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الفقه المقارن العبادات والاحوال الشخصیة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294_581953129">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362296_581953129">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362298_581953129">
            <w:r>
              <w:rPr>
                <w:webHidden/>
                <w:rStyle w:val="IndexLink"/>
                <w:rtl w:val="true"/>
              </w:rPr>
              <w:t>کلمة مرکز المصطفی صلی الله علیه و آله العالمی للدراسات و التحقیق</w:t>
            </w:r>
            <w:r>
              <w:rPr>
                <w:rStyle w:val="IndexLink"/>
                <w:rtl w:val="true"/>
              </w:rPr>
              <w:tab/>
            </w:r>
            <w:r>
              <w:rPr>
                <w:rStyle w:val="IndexLink"/>
              </w:rPr>
              <w:t>27</w:t>
            </w:r>
          </w:hyperlink>
        </w:p>
        <w:p>
          <w:pPr>
            <w:pStyle w:val="Contents2"/>
            <w:tabs>
              <w:tab w:val="clear" w:pos="8743"/>
              <w:tab w:val="right" w:pos="9026" w:leader="dot"/>
            </w:tabs>
            <w:rPr/>
          </w:pPr>
          <w:hyperlink w:anchor="__RefHeading___Toc362300_581953129">
            <w:r>
              <w:rPr>
                <w:webHidden/>
                <w:rStyle w:val="IndexLink"/>
                <w:rtl w:val="true"/>
              </w:rPr>
              <w:t>الفهرس الاجمالی</w:t>
            </w:r>
            <w:r>
              <w:rPr>
                <w:rStyle w:val="IndexLink"/>
                <w:rtl w:val="true"/>
              </w:rPr>
              <w:tab/>
            </w:r>
            <w:r>
              <w:rPr>
                <w:rStyle w:val="IndexLink"/>
              </w:rPr>
              <w:t>30</w:t>
            </w:r>
          </w:hyperlink>
        </w:p>
        <w:p>
          <w:pPr>
            <w:pStyle w:val="Contents2"/>
            <w:tabs>
              <w:tab w:val="clear" w:pos="8743"/>
              <w:tab w:val="right" w:pos="9026" w:leader="dot"/>
            </w:tabs>
            <w:rPr/>
          </w:pPr>
          <w:hyperlink w:anchor="__RefHeading___Toc362302_581953129">
            <w:r>
              <w:rPr>
                <w:webHidden/>
                <w:rStyle w:val="IndexLink"/>
                <w:rtl w:val="true"/>
              </w:rPr>
              <w:t>المقدمة</w:t>
            </w:r>
            <w:r>
              <w:rPr>
                <w:rStyle w:val="IndexLink"/>
                <w:rtl w:val="true"/>
              </w:rPr>
              <w:tab/>
            </w:r>
            <w:r>
              <w:rPr>
                <w:rStyle w:val="IndexLink"/>
              </w:rPr>
              <w:t>32</w:t>
            </w:r>
          </w:hyperlink>
        </w:p>
        <w:p>
          <w:pPr>
            <w:pStyle w:val="Contents2"/>
            <w:tabs>
              <w:tab w:val="clear" w:pos="8743"/>
              <w:tab w:val="right" w:pos="9026" w:leader="dot"/>
            </w:tabs>
            <w:rPr/>
          </w:pPr>
          <w:hyperlink w:anchor="__RefHeading___Toc362304_581953129">
            <w:r>
              <w:rPr>
                <w:webHidden/>
                <w:rStyle w:val="IndexLink"/>
              </w:rPr>
              <w:t>1</w:t>
            </w:r>
            <w:r>
              <w:rPr>
                <w:rStyle w:val="IndexLink"/>
                <w:rtl w:val="true"/>
              </w:rPr>
              <w:t xml:space="preserve">- </w:t>
            </w:r>
            <w:r>
              <w:rPr>
                <w:rStyle w:val="IndexLink"/>
                <w:rtl w:val="true"/>
              </w:rPr>
              <w:t>الطهارة</w:t>
            </w:r>
            <w:r>
              <w:rPr>
                <w:rStyle w:val="IndexLink"/>
                <w:rtl w:val="true"/>
              </w:rPr>
              <w:tab/>
            </w:r>
            <w:r>
              <w:rPr>
                <w:rStyle w:val="IndexLink"/>
              </w:rPr>
              <w:t>34</w:t>
            </w:r>
          </w:hyperlink>
        </w:p>
        <w:p>
          <w:pPr>
            <w:pStyle w:val="Contents3"/>
            <w:tabs>
              <w:tab w:val="clear" w:pos="8459"/>
              <w:tab w:val="right" w:pos="9026" w:leader="dot"/>
            </w:tabs>
            <w:rPr/>
          </w:pPr>
          <w:hyperlink w:anchor="__RefHeading___Toc362306_581953129">
            <w:r>
              <w:rPr>
                <w:webHidden/>
                <w:rStyle w:val="IndexLink"/>
                <w:rtl w:val="true"/>
              </w:rPr>
              <w:t>طهوریة الماء المضاف</w:t>
            </w:r>
            <w:r>
              <w:rPr>
                <w:rStyle w:val="IndexLink"/>
                <w:rtl w:val="true"/>
              </w:rPr>
              <w:tab/>
            </w:r>
            <w:r>
              <w:rPr>
                <w:rStyle w:val="IndexLink"/>
              </w:rPr>
              <w:t>34</w:t>
            </w:r>
          </w:hyperlink>
        </w:p>
        <w:p>
          <w:pPr>
            <w:pStyle w:val="Contents4"/>
            <w:tabs>
              <w:tab w:val="clear" w:pos="8176"/>
              <w:tab w:val="right" w:pos="9026" w:leader="dot"/>
            </w:tabs>
            <w:rPr/>
          </w:pPr>
          <w:hyperlink w:anchor="__RefHeading___Toc362308_58195312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362310_581953129">
            <w:r>
              <w:rPr>
                <w:webHidden/>
                <w:rStyle w:val="IndexLink"/>
                <w:rtl w:val="true"/>
              </w:rPr>
              <w:t>المذهب الجعفری</w:t>
            </w:r>
            <w:r>
              <w:rPr>
                <w:rStyle w:val="IndexLink"/>
                <w:rtl w:val="true"/>
              </w:rPr>
              <w:tab/>
            </w:r>
            <w:r>
              <w:rPr>
                <w:rStyle w:val="IndexLink"/>
              </w:rPr>
              <w:t>34</w:t>
            </w:r>
          </w:hyperlink>
        </w:p>
        <w:p>
          <w:pPr>
            <w:pStyle w:val="Contents4"/>
            <w:tabs>
              <w:tab w:val="clear" w:pos="8176"/>
              <w:tab w:val="right" w:pos="9026" w:leader="dot"/>
            </w:tabs>
            <w:rPr/>
          </w:pPr>
          <w:hyperlink w:anchor="__RefHeading___Toc362312_581953129">
            <w:r>
              <w:rPr>
                <w:webHidden/>
                <w:rStyle w:val="IndexLink"/>
                <w:rtl w:val="true"/>
              </w:rPr>
              <w:t>المذهب الحنفی</w:t>
            </w:r>
            <w:r>
              <w:rPr>
                <w:rStyle w:val="IndexLink"/>
                <w:rtl w:val="true"/>
              </w:rPr>
              <w:tab/>
            </w:r>
            <w:r>
              <w:rPr>
                <w:rStyle w:val="IndexLink"/>
              </w:rPr>
              <w:t>35</w:t>
            </w:r>
          </w:hyperlink>
        </w:p>
        <w:p>
          <w:pPr>
            <w:pStyle w:val="Contents4"/>
            <w:tabs>
              <w:tab w:val="clear" w:pos="8176"/>
              <w:tab w:val="right" w:pos="9026" w:leader="dot"/>
            </w:tabs>
            <w:rPr/>
          </w:pPr>
          <w:hyperlink w:anchor="__RefHeading___Toc362314_581953129">
            <w:r>
              <w:rPr>
                <w:webHidden/>
                <w:rStyle w:val="IndexLink"/>
                <w:rtl w:val="true"/>
              </w:rPr>
              <w:t>المذهب الحنبلی</w:t>
            </w:r>
            <w:r>
              <w:rPr>
                <w:rStyle w:val="IndexLink"/>
                <w:rtl w:val="true"/>
              </w:rPr>
              <w:tab/>
            </w:r>
            <w:r>
              <w:rPr>
                <w:rStyle w:val="IndexLink"/>
              </w:rPr>
              <w:t>35</w:t>
            </w:r>
          </w:hyperlink>
        </w:p>
        <w:p>
          <w:pPr>
            <w:pStyle w:val="Contents4"/>
            <w:tabs>
              <w:tab w:val="clear" w:pos="8176"/>
              <w:tab w:val="right" w:pos="9026" w:leader="dot"/>
            </w:tabs>
            <w:rPr/>
          </w:pPr>
          <w:hyperlink w:anchor="__RefHeading___Toc362316_581953129">
            <w:r>
              <w:rPr>
                <w:webHidden/>
                <w:rStyle w:val="IndexLink"/>
                <w:rtl w:val="true"/>
              </w:rPr>
              <w:t>المذهب الشافعی</w:t>
            </w:r>
            <w:r>
              <w:rPr>
                <w:rStyle w:val="IndexLink"/>
                <w:rtl w:val="true"/>
              </w:rPr>
              <w:tab/>
            </w:r>
            <w:r>
              <w:rPr>
                <w:rStyle w:val="IndexLink"/>
              </w:rPr>
              <w:t>36</w:t>
            </w:r>
          </w:hyperlink>
        </w:p>
        <w:p>
          <w:pPr>
            <w:pStyle w:val="Contents3"/>
            <w:tabs>
              <w:tab w:val="clear" w:pos="8459"/>
              <w:tab w:val="right" w:pos="9026" w:leader="dot"/>
            </w:tabs>
            <w:rPr/>
          </w:pPr>
          <w:hyperlink w:anchor="__RefHeading___Toc362318_581953129">
            <w:r>
              <w:rPr>
                <w:webHidden/>
                <w:rStyle w:val="IndexLink"/>
                <w:rtl w:val="true"/>
              </w:rPr>
              <w:t>الماء الراکد الکثیر</w:t>
            </w:r>
            <w:r>
              <w:rPr>
                <w:rStyle w:val="IndexLink"/>
                <w:rtl w:val="true"/>
              </w:rPr>
              <w:tab/>
            </w:r>
            <w:r>
              <w:rPr>
                <w:rStyle w:val="IndexLink"/>
              </w:rPr>
              <w:t>36</w:t>
            </w:r>
          </w:hyperlink>
        </w:p>
        <w:p>
          <w:pPr>
            <w:pStyle w:val="Contents4"/>
            <w:tabs>
              <w:tab w:val="clear" w:pos="8176"/>
              <w:tab w:val="right" w:pos="9026" w:leader="dot"/>
            </w:tabs>
            <w:rPr/>
          </w:pPr>
          <w:hyperlink w:anchor="__RefHeading___Toc362320_581953129">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362322_581953129">
            <w:r>
              <w:rPr>
                <w:webHidden/>
                <w:rStyle w:val="IndexLink"/>
                <w:rtl w:val="true"/>
              </w:rPr>
              <w:t>المذهب الحنفی</w:t>
            </w:r>
            <w:r>
              <w:rPr>
                <w:rStyle w:val="IndexLink"/>
                <w:rtl w:val="true"/>
              </w:rPr>
              <w:tab/>
            </w:r>
            <w:r>
              <w:rPr>
                <w:rStyle w:val="IndexLink"/>
              </w:rPr>
              <w:t>37</w:t>
            </w:r>
          </w:hyperlink>
        </w:p>
        <w:p>
          <w:pPr>
            <w:pStyle w:val="Contents4"/>
            <w:tabs>
              <w:tab w:val="clear" w:pos="8176"/>
              <w:tab w:val="right" w:pos="9026" w:leader="dot"/>
            </w:tabs>
            <w:rPr/>
          </w:pPr>
          <w:hyperlink w:anchor="__RefHeading___Toc362324_581953129">
            <w:r>
              <w:rPr>
                <w:webHidden/>
                <w:rStyle w:val="IndexLink"/>
                <w:rtl w:val="true"/>
              </w:rPr>
              <w:t>المذهب الحنبلی</w:t>
            </w:r>
            <w:r>
              <w:rPr>
                <w:rStyle w:val="IndexLink"/>
                <w:rtl w:val="true"/>
              </w:rPr>
              <w:tab/>
            </w:r>
            <w:r>
              <w:rPr>
                <w:rStyle w:val="IndexLink"/>
              </w:rPr>
              <w:t>37</w:t>
            </w:r>
          </w:hyperlink>
        </w:p>
        <w:p>
          <w:pPr>
            <w:pStyle w:val="Contents4"/>
            <w:tabs>
              <w:tab w:val="clear" w:pos="8176"/>
              <w:tab w:val="right" w:pos="9026" w:leader="dot"/>
            </w:tabs>
            <w:rPr/>
          </w:pPr>
          <w:hyperlink w:anchor="__RefHeading___Toc362326_581953129">
            <w:r>
              <w:rPr>
                <w:webHidden/>
                <w:rStyle w:val="IndexLink"/>
                <w:rtl w:val="true"/>
              </w:rPr>
              <w:t>المذهب المالکی</w:t>
            </w:r>
            <w:r>
              <w:rPr>
                <w:rStyle w:val="IndexLink"/>
                <w:rtl w:val="true"/>
              </w:rPr>
              <w:tab/>
            </w:r>
            <w:r>
              <w:rPr>
                <w:rStyle w:val="IndexLink"/>
              </w:rPr>
              <w:t>38</w:t>
            </w:r>
          </w:hyperlink>
        </w:p>
        <w:p>
          <w:pPr>
            <w:pStyle w:val="Contents3"/>
            <w:tabs>
              <w:tab w:val="clear" w:pos="8459"/>
              <w:tab w:val="right" w:pos="9026" w:leader="dot"/>
            </w:tabs>
            <w:rPr/>
          </w:pPr>
          <w:hyperlink w:anchor="__RefHeading___Toc362328_581953129">
            <w:r>
              <w:rPr>
                <w:webHidden/>
                <w:rStyle w:val="IndexLink"/>
                <w:rtl w:val="true"/>
              </w:rPr>
              <w:t>الماء الّذی ولغ فیه الکلب</w:t>
            </w:r>
            <w:r>
              <w:rPr>
                <w:rStyle w:val="IndexLink"/>
                <w:rtl w:val="true"/>
              </w:rPr>
              <w:tab/>
            </w:r>
            <w:r>
              <w:rPr>
                <w:rStyle w:val="IndexLink"/>
              </w:rPr>
              <w:t>38</w:t>
            </w:r>
          </w:hyperlink>
        </w:p>
        <w:p>
          <w:pPr>
            <w:pStyle w:val="Contents4"/>
            <w:tabs>
              <w:tab w:val="clear" w:pos="8176"/>
              <w:tab w:val="right" w:pos="9026" w:leader="dot"/>
            </w:tabs>
            <w:rPr/>
          </w:pPr>
          <w:hyperlink w:anchor="__RefHeading___Toc362330_581953129">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62332_581953129">
            <w:r>
              <w:rPr>
                <w:webHidden/>
                <w:rStyle w:val="IndexLink"/>
                <w:rtl w:val="true"/>
              </w:rPr>
              <w:t>التطهیر بالدبغ</w:t>
            </w:r>
            <w:r>
              <w:rPr>
                <w:rStyle w:val="IndexLink"/>
                <w:rtl w:val="true"/>
              </w:rPr>
              <w:tab/>
            </w:r>
            <w:r>
              <w:rPr>
                <w:rStyle w:val="IndexLink"/>
              </w:rPr>
              <w:t>38</w:t>
            </w:r>
          </w:hyperlink>
        </w:p>
        <w:p>
          <w:pPr>
            <w:pStyle w:val="Contents4"/>
            <w:tabs>
              <w:tab w:val="clear" w:pos="8176"/>
              <w:tab w:val="right" w:pos="9026" w:leader="dot"/>
            </w:tabs>
            <w:rPr/>
          </w:pPr>
          <w:hyperlink w:anchor="__RefHeading___Toc362334_581953129">
            <w:r>
              <w:rPr>
                <w:webHidden/>
                <w:rStyle w:val="IndexLink"/>
                <w:rtl w:val="true"/>
              </w:rPr>
              <w:t>منشأ الاختلاف</w:t>
            </w:r>
            <w:r>
              <w:rPr>
                <w:rStyle w:val="IndexLink"/>
                <w:rtl w:val="true"/>
              </w:rPr>
              <w:tab/>
            </w:r>
            <w:r>
              <w:rPr>
                <w:rStyle w:val="IndexLink"/>
              </w:rPr>
              <w:t>39</w:t>
            </w:r>
          </w:hyperlink>
        </w:p>
        <w:p>
          <w:pPr>
            <w:pStyle w:val="Contents3"/>
            <w:tabs>
              <w:tab w:val="clear" w:pos="8459"/>
              <w:tab w:val="right" w:pos="9026" w:leader="dot"/>
            </w:tabs>
            <w:rPr/>
          </w:pPr>
          <w:hyperlink w:anchor="__RefHeading___Toc362336_581953129">
            <w:r>
              <w:rPr>
                <w:webHidden/>
                <w:rStyle w:val="IndexLink"/>
                <w:rtl w:val="true"/>
              </w:rPr>
              <w:t>الخلاصة</w:t>
            </w:r>
            <w:r>
              <w:rPr>
                <w:rStyle w:val="IndexLink"/>
                <w:rtl w:val="true"/>
              </w:rPr>
              <w:tab/>
            </w:r>
            <w:r>
              <w:rPr>
                <w:rStyle w:val="IndexLink"/>
              </w:rPr>
              <w:t>40</w:t>
            </w:r>
          </w:hyperlink>
        </w:p>
        <w:p>
          <w:pPr>
            <w:pStyle w:val="Contents3"/>
            <w:tabs>
              <w:tab w:val="clear" w:pos="8459"/>
              <w:tab w:val="right" w:pos="9026" w:leader="dot"/>
            </w:tabs>
            <w:rPr/>
          </w:pPr>
          <w:hyperlink w:anchor="__RefHeading___Toc362338_581953129">
            <w:r>
              <w:rPr>
                <w:webHidden/>
                <w:rStyle w:val="IndexLink"/>
                <w:rtl w:val="true"/>
              </w:rPr>
              <w:t>الأسئلة</w:t>
            </w:r>
            <w:r>
              <w:rPr>
                <w:rStyle w:val="IndexLink"/>
                <w:rtl w:val="true"/>
              </w:rPr>
              <w:tab/>
            </w:r>
            <w:r>
              <w:rPr>
                <w:rStyle w:val="IndexLink"/>
              </w:rPr>
              <w:t>41</w:t>
            </w:r>
          </w:hyperlink>
        </w:p>
        <w:p>
          <w:pPr>
            <w:pStyle w:val="Contents2"/>
            <w:tabs>
              <w:tab w:val="clear" w:pos="8743"/>
              <w:tab w:val="right" w:pos="9026" w:leader="dot"/>
            </w:tabs>
            <w:rPr/>
          </w:pPr>
          <w:hyperlink w:anchor="__RefHeading___Toc362340_581953129">
            <w:r>
              <w:rPr>
                <w:webHidden/>
                <w:rStyle w:val="IndexLink"/>
              </w:rPr>
              <w:t>2</w:t>
            </w:r>
            <w:r>
              <w:rPr>
                <w:rStyle w:val="IndexLink"/>
                <w:rtl w:val="true"/>
              </w:rPr>
              <w:t xml:space="preserve">- </w:t>
            </w:r>
            <w:r>
              <w:rPr>
                <w:rStyle w:val="IndexLink"/>
                <w:rtl w:val="true"/>
              </w:rPr>
              <w:t xml:space="preserve">فرائض الوضوء </w:t>
            </w:r>
            <w:r>
              <w:rPr>
                <w:rStyle w:val="IndexLink"/>
                <w:rtl w:val="true"/>
              </w:rPr>
              <w:t>(</w:t>
            </w:r>
            <w:r>
              <w:rPr>
                <w:rStyle w:val="IndexLink"/>
              </w:rPr>
              <w:t>1</w:t>
            </w:r>
            <w:r>
              <w:rPr>
                <w:rStyle w:val="IndexLink"/>
                <w:rtl w:val="true"/>
              </w:rPr>
              <w:t>)</w:t>
              <w:tab/>
            </w:r>
            <w:r>
              <w:rPr>
                <w:rStyle w:val="IndexLink"/>
              </w:rPr>
              <w:t>42</w:t>
            </w:r>
          </w:hyperlink>
        </w:p>
        <w:p>
          <w:pPr>
            <w:pStyle w:val="Contents3"/>
            <w:tabs>
              <w:tab w:val="clear" w:pos="8459"/>
              <w:tab w:val="right" w:pos="9026" w:leader="dot"/>
            </w:tabs>
            <w:rPr/>
          </w:pPr>
          <w:hyperlink w:anchor="__RefHeading___Toc362342_581953129">
            <w:r>
              <w:rPr>
                <w:webHidden/>
                <w:rStyle w:val="IndexLink"/>
                <w:rtl w:val="true"/>
              </w:rPr>
              <w:t>عدد الفرائض</w:t>
            </w:r>
            <w:r>
              <w:rPr>
                <w:rStyle w:val="IndexLink"/>
                <w:rtl w:val="true"/>
              </w:rPr>
              <w:tab/>
            </w:r>
            <w:r>
              <w:rPr>
                <w:rStyle w:val="IndexLink"/>
              </w:rPr>
              <w:t>42</w:t>
            </w:r>
          </w:hyperlink>
        </w:p>
        <w:p>
          <w:pPr>
            <w:pStyle w:val="Contents4"/>
            <w:tabs>
              <w:tab w:val="clear" w:pos="8176"/>
              <w:tab w:val="right" w:pos="9026" w:leader="dot"/>
            </w:tabs>
            <w:rPr/>
          </w:pPr>
          <w:hyperlink w:anchor="__RefHeading___Toc362344_58195312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362346_581953129">
            <w:r>
              <w:rPr>
                <w:webHidden/>
                <w:rStyle w:val="IndexLink"/>
                <w:rtl w:val="true"/>
              </w:rPr>
              <w:t>المذهب الجعفری</w:t>
            </w:r>
            <w:r>
              <w:rPr>
                <w:rStyle w:val="IndexLink"/>
                <w:rtl w:val="true"/>
              </w:rPr>
              <w:tab/>
            </w:r>
            <w:r>
              <w:rPr>
                <w:rStyle w:val="IndexLink"/>
              </w:rPr>
              <w:t>42</w:t>
            </w:r>
          </w:hyperlink>
        </w:p>
        <w:p>
          <w:pPr>
            <w:pStyle w:val="Contents4"/>
            <w:tabs>
              <w:tab w:val="clear" w:pos="8176"/>
              <w:tab w:val="right" w:pos="9026" w:leader="dot"/>
            </w:tabs>
            <w:rPr/>
          </w:pPr>
          <w:hyperlink w:anchor="__RefHeading___Toc362348_581953129">
            <w:r>
              <w:rPr>
                <w:webHidden/>
                <w:rStyle w:val="IndexLink"/>
                <w:rtl w:val="true"/>
              </w:rPr>
              <w:t>المذهب الحنبلی</w:t>
            </w:r>
            <w:r>
              <w:rPr>
                <w:rStyle w:val="IndexLink"/>
                <w:rtl w:val="true"/>
              </w:rPr>
              <w:tab/>
            </w:r>
            <w:r>
              <w:rPr>
                <w:rStyle w:val="IndexLink"/>
              </w:rPr>
              <w:t>43</w:t>
            </w:r>
          </w:hyperlink>
        </w:p>
        <w:p>
          <w:pPr>
            <w:pStyle w:val="Contents4"/>
            <w:tabs>
              <w:tab w:val="clear" w:pos="8176"/>
              <w:tab w:val="right" w:pos="9026" w:leader="dot"/>
            </w:tabs>
            <w:rPr/>
          </w:pPr>
          <w:hyperlink w:anchor="__RefHeading___Toc362350_581953129">
            <w:r>
              <w:rPr>
                <w:webHidden/>
                <w:rStyle w:val="IndexLink"/>
                <w:rtl w:val="true"/>
              </w:rPr>
              <w:t>المذهب الشافعی</w:t>
            </w:r>
            <w:r>
              <w:rPr>
                <w:rStyle w:val="IndexLink"/>
                <w:rtl w:val="true"/>
              </w:rPr>
              <w:tab/>
            </w:r>
            <w:r>
              <w:rPr>
                <w:rStyle w:val="IndexLink"/>
              </w:rPr>
              <w:t>43</w:t>
            </w:r>
          </w:hyperlink>
        </w:p>
        <w:p>
          <w:pPr>
            <w:pStyle w:val="Contents4"/>
            <w:tabs>
              <w:tab w:val="clear" w:pos="8176"/>
              <w:tab w:val="right" w:pos="9026" w:leader="dot"/>
            </w:tabs>
            <w:rPr/>
          </w:pPr>
          <w:hyperlink w:anchor="__RefHeading___Toc362352_581953129">
            <w:r>
              <w:rPr>
                <w:webHidden/>
                <w:rStyle w:val="IndexLink"/>
                <w:rtl w:val="true"/>
              </w:rPr>
              <w:t>المذهب المالکی</w:t>
            </w:r>
            <w:r>
              <w:rPr>
                <w:rStyle w:val="IndexLink"/>
                <w:rtl w:val="true"/>
              </w:rPr>
              <w:tab/>
            </w:r>
            <w:r>
              <w:rPr>
                <w:rStyle w:val="IndexLink"/>
              </w:rPr>
              <w:t>43</w:t>
            </w:r>
          </w:hyperlink>
        </w:p>
        <w:p>
          <w:pPr>
            <w:pStyle w:val="Contents4"/>
            <w:tabs>
              <w:tab w:val="clear" w:pos="8176"/>
              <w:tab w:val="right" w:pos="9026" w:leader="dot"/>
            </w:tabs>
            <w:rPr/>
          </w:pPr>
          <w:hyperlink w:anchor="__RefHeading___Toc362354_581953129">
            <w:r>
              <w:rPr>
                <w:webHidden/>
                <w:rStyle w:val="IndexLink"/>
                <w:rtl w:val="true"/>
              </w:rPr>
              <w:t>منشأ الاختلاف</w:t>
            </w:r>
            <w:r>
              <w:rPr>
                <w:rStyle w:val="IndexLink"/>
                <w:rtl w:val="true"/>
              </w:rPr>
              <w:tab/>
            </w:r>
            <w:r>
              <w:rPr>
                <w:rStyle w:val="IndexLink"/>
              </w:rPr>
              <w:t>44</w:t>
            </w:r>
          </w:hyperlink>
        </w:p>
        <w:p>
          <w:pPr>
            <w:pStyle w:val="Contents3"/>
            <w:tabs>
              <w:tab w:val="clear" w:pos="8459"/>
              <w:tab w:val="right" w:pos="9026" w:leader="dot"/>
            </w:tabs>
            <w:rPr/>
          </w:pPr>
          <w:hyperlink w:anchor="__RefHeading___Toc362356_581953129">
            <w:r>
              <w:rPr>
                <w:webHidden/>
                <w:rStyle w:val="IndexLink"/>
                <w:rtl w:val="true"/>
              </w:rPr>
              <w:t>کیفیة الفرائض</w:t>
            </w:r>
            <w:r>
              <w:rPr>
                <w:rStyle w:val="IndexLink"/>
                <w:rtl w:val="true"/>
              </w:rPr>
              <w:tab/>
            </w:r>
            <w:r>
              <w:rPr>
                <w:rStyle w:val="IndexLink"/>
              </w:rPr>
              <w:t>44</w:t>
            </w:r>
          </w:hyperlink>
        </w:p>
        <w:p>
          <w:pPr>
            <w:pStyle w:val="Contents3"/>
            <w:tabs>
              <w:tab w:val="clear" w:pos="8459"/>
              <w:tab w:val="right" w:pos="9026" w:leader="dot"/>
            </w:tabs>
            <w:rPr/>
          </w:pPr>
          <w:hyperlink w:anchor="__RefHeading___Toc362358_581953129">
            <w:r>
              <w:rPr>
                <w:webHidden/>
                <w:rStyle w:val="IndexLink"/>
                <w:rtl w:val="true"/>
              </w:rPr>
              <w:t>حدّ الوجه</w:t>
            </w:r>
            <w:r>
              <w:rPr>
                <w:rStyle w:val="IndexLink"/>
                <w:rtl w:val="true"/>
              </w:rPr>
              <w:tab/>
            </w:r>
            <w:r>
              <w:rPr>
                <w:rStyle w:val="IndexLink"/>
              </w:rPr>
              <w:t>44</w:t>
            </w:r>
          </w:hyperlink>
        </w:p>
        <w:p>
          <w:pPr>
            <w:pStyle w:val="Contents4"/>
            <w:tabs>
              <w:tab w:val="clear" w:pos="8176"/>
              <w:tab w:val="right" w:pos="9026" w:leader="dot"/>
            </w:tabs>
            <w:rPr/>
          </w:pPr>
          <w:hyperlink w:anchor="__RefHeading___Toc362360_58195312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362362_581953129">
            <w:r>
              <w:rPr>
                <w:webHidden/>
                <w:rStyle w:val="IndexLink"/>
                <w:rtl w:val="true"/>
              </w:rPr>
              <w:t>المذهب الجعفری</w:t>
            </w:r>
            <w:r>
              <w:rPr>
                <w:rStyle w:val="IndexLink"/>
                <w:rtl w:val="true"/>
              </w:rPr>
              <w:tab/>
            </w:r>
            <w:r>
              <w:rPr>
                <w:rStyle w:val="IndexLink"/>
              </w:rPr>
              <w:t>45</w:t>
            </w:r>
          </w:hyperlink>
        </w:p>
        <w:p>
          <w:pPr>
            <w:pStyle w:val="Contents4"/>
            <w:tabs>
              <w:tab w:val="clear" w:pos="8176"/>
              <w:tab w:val="right" w:pos="9026" w:leader="dot"/>
            </w:tabs>
            <w:rPr/>
          </w:pPr>
          <w:hyperlink w:anchor="__RefHeading___Toc362364_581953129">
            <w:r>
              <w:rPr>
                <w:webHidden/>
                <w:rStyle w:val="IndexLink"/>
                <w:rtl w:val="true"/>
              </w:rPr>
              <w:t>المذهب الحنبلی</w:t>
            </w:r>
            <w:r>
              <w:rPr>
                <w:rStyle w:val="IndexLink"/>
                <w:rtl w:val="true"/>
              </w:rPr>
              <w:tab/>
            </w:r>
            <w:r>
              <w:rPr>
                <w:rStyle w:val="IndexLink"/>
              </w:rPr>
              <w:t>46</w:t>
            </w:r>
          </w:hyperlink>
        </w:p>
        <w:p>
          <w:pPr>
            <w:pStyle w:val="Contents4"/>
            <w:tabs>
              <w:tab w:val="clear" w:pos="8176"/>
              <w:tab w:val="right" w:pos="9026" w:leader="dot"/>
            </w:tabs>
            <w:rPr/>
          </w:pPr>
          <w:hyperlink w:anchor="__RefHeading___Toc362366_581953129">
            <w:r>
              <w:rPr>
                <w:webHidden/>
                <w:rStyle w:val="IndexLink"/>
                <w:rtl w:val="true"/>
              </w:rPr>
              <w:t>المذهب الحنفی</w:t>
            </w:r>
            <w:r>
              <w:rPr>
                <w:rStyle w:val="IndexLink"/>
                <w:rtl w:val="true"/>
              </w:rPr>
              <w:tab/>
            </w:r>
            <w:r>
              <w:rPr>
                <w:rStyle w:val="IndexLink"/>
              </w:rPr>
              <w:t>46</w:t>
            </w:r>
          </w:hyperlink>
        </w:p>
        <w:p>
          <w:pPr>
            <w:pStyle w:val="Contents4"/>
            <w:tabs>
              <w:tab w:val="clear" w:pos="8176"/>
              <w:tab w:val="right" w:pos="9026" w:leader="dot"/>
            </w:tabs>
            <w:rPr/>
          </w:pPr>
          <w:hyperlink w:anchor="__RefHeading___Toc362368_581953129">
            <w:r>
              <w:rPr>
                <w:webHidden/>
                <w:rStyle w:val="IndexLink"/>
                <w:rtl w:val="true"/>
              </w:rPr>
              <w:t>المذهب الشافعی</w:t>
            </w:r>
            <w:r>
              <w:rPr>
                <w:rStyle w:val="IndexLink"/>
                <w:rtl w:val="true"/>
              </w:rPr>
              <w:tab/>
            </w:r>
            <w:r>
              <w:rPr>
                <w:rStyle w:val="IndexLink"/>
              </w:rPr>
              <w:t>47</w:t>
            </w:r>
          </w:hyperlink>
        </w:p>
        <w:p>
          <w:pPr>
            <w:pStyle w:val="Contents4"/>
            <w:tabs>
              <w:tab w:val="clear" w:pos="8176"/>
              <w:tab w:val="right" w:pos="9026" w:leader="dot"/>
            </w:tabs>
            <w:rPr/>
          </w:pPr>
          <w:hyperlink w:anchor="__RefHeading___Toc362370_581953129">
            <w:r>
              <w:rPr>
                <w:webHidden/>
                <w:rStyle w:val="IndexLink"/>
                <w:rtl w:val="true"/>
              </w:rPr>
              <w:t>منشأ الاختلاف</w:t>
            </w:r>
            <w:r>
              <w:rPr>
                <w:rStyle w:val="IndexLink"/>
                <w:rtl w:val="true"/>
              </w:rPr>
              <w:tab/>
            </w:r>
            <w:r>
              <w:rPr>
                <w:rStyle w:val="IndexLink"/>
              </w:rPr>
              <w:t>48</w:t>
            </w:r>
          </w:hyperlink>
        </w:p>
        <w:p>
          <w:pPr>
            <w:pStyle w:val="Contents3"/>
            <w:tabs>
              <w:tab w:val="clear" w:pos="8459"/>
              <w:tab w:val="right" w:pos="9026" w:leader="dot"/>
            </w:tabs>
            <w:rPr/>
          </w:pPr>
          <w:hyperlink w:anchor="__RefHeading___Toc362372_581953129">
            <w:r>
              <w:rPr>
                <w:webHidden/>
                <w:rStyle w:val="IndexLink"/>
                <w:rtl w:val="true"/>
              </w:rPr>
              <w:t>کیفیة غسل الیدین</w:t>
            </w:r>
            <w:r>
              <w:rPr>
                <w:rStyle w:val="IndexLink"/>
                <w:rtl w:val="true"/>
              </w:rPr>
              <w:tab/>
            </w:r>
            <w:r>
              <w:rPr>
                <w:rStyle w:val="IndexLink"/>
              </w:rPr>
              <w:t>48</w:t>
            </w:r>
          </w:hyperlink>
        </w:p>
        <w:p>
          <w:pPr>
            <w:pStyle w:val="Contents4"/>
            <w:tabs>
              <w:tab w:val="clear" w:pos="8176"/>
              <w:tab w:val="right" w:pos="9026" w:leader="dot"/>
            </w:tabs>
            <w:rPr/>
          </w:pPr>
          <w:hyperlink w:anchor="__RefHeading___Toc362374_58195312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62376_581953129">
            <w:r>
              <w:rPr>
                <w:webHidden/>
                <w:rStyle w:val="IndexLink"/>
                <w:rtl w:val="true"/>
              </w:rPr>
              <w:t>المذهب الجعفری</w:t>
            </w:r>
            <w:r>
              <w:rPr>
                <w:rStyle w:val="IndexLink"/>
                <w:rtl w:val="true"/>
              </w:rPr>
              <w:tab/>
            </w:r>
            <w:r>
              <w:rPr>
                <w:rStyle w:val="IndexLink"/>
              </w:rPr>
              <w:t>48</w:t>
            </w:r>
          </w:hyperlink>
        </w:p>
        <w:p>
          <w:pPr>
            <w:pStyle w:val="Contents4"/>
            <w:tabs>
              <w:tab w:val="clear" w:pos="8176"/>
              <w:tab w:val="right" w:pos="9026" w:leader="dot"/>
            </w:tabs>
            <w:rPr/>
          </w:pPr>
          <w:hyperlink w:anchor="__RefHeading___Toc362378_581953129">
            <w:r>
              <w:rPr>
                <w:webHidden/>
                <w:rStyle w:val="IndexLink"/>
                <w:rtl w:val="true"/>
              </w:rPr>
              <w:t>المذاهب الاربعة</w:t>
            </w:r>
            <w:r>
              <w:rPr>
                <w:rStyle w:val="IndexLink"/>
                <w:rtl w:val="true"/>
              </w:rPr>
              <w:tab/>
            </w:r>
            <w:r>
              <w:rPr>
                <w:rStyle w:val="IndexLink"/>
              </w:rPr>
              <w:t>49</w:t>
            </w:r>
          </w:hyperlink>
        </w:p>
        <w:p>
          <w:pPr>
            <w:pStyle w:val="Contents4"/>
            <w:tabs>
              <w:tab w:val="clear" w:pos="8176"/>
              <w:tab w:val="right" w:pos="9026" w:leader="dot"/>
            </w:tabs>
            <w:rPr/>
          </w:pPr>
          <w:hyperlink w:anchor="__RefHeading___Toc362380_581953129">
            <w:r>
              <w:rPr>
                <w:webHidden/>
                <w:rStyle w:val="IndexLink"/>
                <w:rtl w:val="true"/>
              </w:rPr>
              <w:t>منشأ الاختلاف</w:t>
            </w:r>
            <w:r>
              <w:rPr>
                <w:rStyle w:val="IndexLink"/>
                <w:rtl w:val="true"/>
              </w:rPr>
              <w:tab/>
            </w:r>
            <w:r>
              <w:rPr>
                <w:rStyle w:val="IndexLink"/>
              </w:rPr>
              <w:t>50</w:t>
            </w:r>
          </w:hyperlink>
        </w:p>
        <w:p>
          <w:pPr>
            <w:pStyle w:val="Contents3"/>
            <w:tabs>
              <w:tab w:val="clear" w:pos="8459"/>
              <w:tab w:val="right" w:pos="9026" w:leader="dot"/>
            </w:tabs>
            <w:rPr/>
          </w:pPr>
          <w:hyperlink w:anchor="__RefHeading___Toc362382_581953129">
            <w:r>
              <w:rPr>
                <w:webHidden/>
                <w:rStyle w:val="IndexLink"/>
                <w:rtl w:val="true"/>
              </w:rPr>
              <w:t>الخلاصة</w:t>
            </w:r>
            <w:r>
              <w:rPr>
                <w:rStyle w:val="IndexLink"/>
                <w:rtl w:val="true"/>
              </w:rPr>
              <w:tab/>
            </w:r>
            <w:r>
              <w:rPr>
                <w:rStyle w:val="IndexLink"/>
              </w:rPr>
              <w:t>53</w:t>
            </w:r>
          </w:hyperlink>
        </w:p>
        <w:p>
          <w:pPr>
            <w:pStyle w:val="Contents3"/>
            <w:tabs>
              <w:tab w:val="clear" w:pos="8459"/>
              <w:tab w:val="right" w:pos="9026" w:leader="dot"/>
            </w:tabs>
            <w:rPr/>
          </w:pPr>
          <w:hyperlink w:anchor="__RefHeading___Toc362384_581953129">
            <w:r>
              <w:rPr>
                <w:webHidden/>
                <w:rStyle w:val="IndexLink"/>
                <w:rtl w:val="true"/>
              </w:rPr>
              <w:t>الأسئلة</w:t>
            </w:r>
            <w:r>
              <w:rPr>
                <w:rStyle w:val="IndexLink"/>
                <w:rtl w:val="true"/>
              </w:rPr>
              <w:tab/>
            </w:r>
            <w:r>
              <w:rPr>
                <w:rStyle w:val="IndexLink"/>
              </w:rPr>
              <w:t>54</w:t>
            </w:r>
          </w:hyperlink>
        </w:p>
        <w:p>
          <w:pPr>
            <w:pStyle w:val="Contents2"/>
            <w:tabs>
              <w:tab w:val="clear" w:pos="8743"/>
              <w:tab w:val="right" w:pos="9026" w:leader="dot"/>
            </w:tabs>
            <w:rPr/>
          </w:pPr>
          <w:hyperlink w:anchor="__RefHeading___Toc362386_581953129">
            <w:r>
              <w:rPr>
                <w:webHidden/>
                <w:rStyle w:val="IndexLink"/>
              </w:rPr>
              <w:t>3</w:t>
            </w:r>
            <w:r>
              <w:rPr>
                <w:rStyle w:val="IndexLink"/>
                <w:rtl w:val="true"/>
              </w:rPr>
              <w:t xml:space="preserve">- </w:t>
            </w:r>
            <w:r>
              <w:rPr>
                <w:rStyle w:val="IndexLink"/>
                <w:rtl w:val="true"/>
              </w:rPr>
              <w:t xml:space="preserve">فرائض الوضوء </w:t>
            </w:r>
            <w:r>
              <w:rPr>
                <w:rStyle w:val="IndexLink"/>
                <w:rtl w:val="true"/>
              </w:rPr>
              <w:t>(</w:t>
            </w:r>
            <w:r>
              <w:rPr>
                <w:rStyle w:val="IndexLink"/>
              </w:rPr>
              <w:t>2</w:t>
            </w:r>
            <w:r>
              <w:rPr>
                <w:rStyle w:val="IndexLink"/>
                <w:rtl w:val="true"/>
              </w:rPr>
              <w:t>)</w:t>
              <w:tab/>
            </w:r>
            <w:r>
              <w:rPr>
                <w:rStyle w:val="IndexLink"/>
              </w:rPr>
              <w:t>55</w:t>
            </w:r>
          </w:hyperlink>
        </w:p>
        <w:p>
          <w:pPr>
            <w:pStyle w:val="Contents3"/>
            <w:tabs>
              <w:tab w:val="clear" w:pos="8459"/>
              <w:tab w:val="right" w:pos="9026" w:leader="dot"/>
            </w:tabs>
            <w:rPr/>
          </w:pPr>
          <w:hyperlink w:anchor="__RefHeading___Toc362388_581953129">
            <w:r>
              <w:rPr>
                <w:webHidden/>
                <w:rStyle w:val="IndexLink"/>
                <w:rtl w:val="true"/>
              </w:rPr>
              <w:t>تحدید المسح بالرأس</w:t>
            </w:r>
            <w:r>
              <w:rPr>
                <w:rStyle w:val="IndexLink"/>
                <w:rtl w:val="true"/>
              </w:rPr>
              <w:tab/>
            </w:r>
            <w:r>
              <w:rPr>
                <w:rStyle w:val="IndexLink"/>
              </w:rPr>
              <w:t>55</w:t>
            </w:r>
          </w:hyperlink>
        </w:p>
        <w:p>
          <w:pPr>
            <w:pStyle w:val="Contents4"/>
            <w:tabs>
              <w:tab w:val="clear" w:pos="8176"/>
              <w:tab w:val="right" w:pos="9026" w:leader="dot"/>
            </w:tabs>
            <w:rPr/>
          </w:pPr>
          <w:hyperlink w:anchor="__RefHeading___Toc362390_581953129">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62392_581953129">
            <w:r>
              <w:rPr>
                <w:webHidden/>
                <w:rStyle w:val="IndexLink"/>
                <w:rtl w:val="true"/>
              </w:rPr>
              <w:t>المذهب الجعفری</w:t>
            </w:r>
            <w:r>
              <w:rPr>
                <w:rStyle w:val="IndexLink"/>
                <w:rtl w:val="true"/>
              </w:rPr>
              <w:tab/>
            </w:r>
            <w:r>
              <w:rPr>
                <w:rStyle w:val="IndexLink"/>
              </w:rPr>
              <w:t>55</w:t>
            </w:r>
          </w:hyperlink>
        </w:p>
        <w:p>
          <w:pPr>
            <w:pStyle w:val="Contents4"/>
            <w:tabs>
              <w:tab w:val="clear" w:pos="8176"/>
              <w:tab w:val="right" w:pos="9026" w:leader="dot"/>
            </w:tabs>
            <w:rPr/>
          </w:pPr>
          <w:hyperlink w:anchor="__RefHeading___Toc362394_581953129">
            <w:r>
              <w:rPr>
                <w:webHidden/>
                <w:rStyle w:val="IndexLink"/>
                <w:rtl w:val="true"/>
              </w:rPr>
              <w:t>المذاهب الاربعة</w:t>
            </w:r>
            <w:r>
              <w:rPr>
                <w:rStyle w:val="IndexLink"/>
                <w:rtl w:val="true"/>
              </w:rPr>
              <w:tab/>
            </w:r>
            <w:r>
              <w:rPr>
                <w:rStyle w:val="IndexLink"/>
              </w:rPr>
              <w:t>56</w:t>
            </w:r>
          </w:hyperlink>
        </w:p>
        <w:p>
          <w:pPr>
            <w:pStyle w:val="Contents4"/>
            <w:tabs>
              <w:tab w:val="clear" w:pos="8176"/>
              <w:tab w:val="right" w:pos="9026" w:leader="dot"/>
            </w:tabs>
            <w:rPr/>
          </w:pPr>
          <w:hyperlink w:anchor="__RefHeading___Toc362396_581953129">
            <w:r>
              <w:rPr>
                <w:webHidden/>
                <w:rStyle w:val="IndexLink"/>
                <w:rtl w:val="true"/>
              </w:rPr>
              <w:t>منشأ الاختلاف</w:t>
            </w:r>
            <w:r>
              <w:rPr>
                <w:rStyle w:val="IndexLink"/>
                <w:rtl w:val="true"/>
              </w:rPr>
              <w:tab/>
            </w:r>
            <w:r>
              <w:rPr>
                <w:rStyle w:val="IndexLink"/>
              </w:rPr>
              <w:t>57</w:t>
            </w:r>
          </w:hyperlink>
        </w:p>
        <w:p>
          <w:pPr>
            <w:pStyle w:val="Contents3"/>
            <w:tabs>
              <w:tab w:val="clear" w:pos="8459"/>
              <w:tab w:val="right" w:pos="9026" w:leader="dot"/>
            </w:tabs>
            <w:rPr/>
          </w:pPr>
          <w:hyperlink w:anchor="__RefHeading___Toc362398_581953129">
            <w:r>
              <w:rPr>
                <w:webHidden/>
                <w:rStyle w:val="IndexLink"/>
                <w:rtl w:val="true"/>
              </w:rPr>
              <w:t>مسح الرجلین وغسلهما</w:t>
            </w:r>
            <w:r>
              <w:rPr>
                <w:rStyle w:val="IndexLink"/>
                <w:rtl w:val="true"/>
              </w:rPr>
              <w:tab/>
            </w:r>
            <w:r>
              <w:rPr>
                <w:rStyle w:val="IndexLink"/>
              </w:rPr>
              <w:t>58</w:t>
            </w:r>
          </w:hyperlink>
        </w:p>
        <w:p>
          <w:pPr>
            <w:pStyle w:val="Contents4"/>
            <w:tabs>
              <w:tab w:val="clear" w:pos="8176"/>
              <w:tab w:val="right" w:pos="9026" w:leader="dot"/>
            </w:tabs>
            <w:rPr/>
          </w:pPr>
          <w:hyperlink w:anchor="__RefHeading___Toc362400_581953129">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62402_581953129">
            <w:r>
              <w:rPr>
                <w:webHidden/>
                <w:rStyle w:val="IndexLink"/>
                <w:rtl w:val="true"/>
              </w:rPr>
              <w:t>المذهب الجعفری</w:t>
            </w:r>
            <w:r>
              <w:rPr>
                <w:rStyle w:val="IndexLink"/>
                <w:rtl w:val="true"/>
              </w:rPr>
              <w:tab/>
            </w:r>
            <w:r>
              <w:rPr>
                <w:rStyle w:val="IndexLink"/>
              </w:rPr>
              <w:t>59</w:t>
            </w:r>
          </w:hyperlink>
        </w:p>
        <w:p>
          <w:pPr>
            <w:pStyle w:val="Contents4"/>
            <w:tabs>
              <w:tab w:val="clear" w:pos="8176"/>
              <w:tab w:val="right" w:pos="9026" w:leader="dot"/>
            </w:tabs>
            <w:rPr/>
          </w:pPr>
          <w:hyperlink w:anchor="__RefHeading___Toc362404_581953129">
            <w:r>
              <w:rPr>
                <w:webHidden/>
                <w:rStyle w:val="IndexLink"/>
                <w:rtl w:val="true"/>
              </w:rPr>
              <w:t>المذاهب الاربعة</w:t>
            </w:r>
            <w:r>
              <w:rPr>
                <w:rStyle w:val="IndexLink"/>
                <w:rtl w:val="true"/>
              </w:rPr>
              <w:tab/>
            </w:r>
            <w:r>
              <w:rPr>
                <w:rStyle w:val="IndexLink"/>
              </w:rPr>
              <w:t>61</w:t>
            </w:r>
          </w:hyperlink>
        </w:p>
        <w:p>
          <w:pPr>
            <w:pStyle w:val="Contents4"/>
            <w:tabs>
              <w:tab w:val="clear" w:pos="8176"/>
              <w:tab w:val="right" w:pos="9026" w:leader="dot"/>
            </w:tabs>
            <w:rPr/>
          </w:pPr>
          <w:hyperlink w:anchor="__RefHeading___Toc362406_581953129">
            <w:r>
              <w:rPr>
                <w:webHidden/>
                <w:rStyle w:val="IndexLink"/>
                <w:rtl w:val="true"/>
              </w:rPr>
              <w:t>منشأ الاختلاف</w:t>
            </w:r>
            <w:r>
              <w:rPr>
                <w:rStyle w:val="IndexLink"/>
                <w:rtl w:val="true"/>
              </w:rPr>
              <w:tab/>
            </w:r>
            <w:r>
              <w:rPr>
                <w:rStyle w:val="IndexLink"/>
              </w:rPr>
              <w:t>62</w:t>
            </w:r>
          </w:hyperlink>
        </w:p>
        <w:p>
          <w:pPr>
            <w:pStyle w:val="Contents3"/>
            <w:tabs>
              <w:tab w:val="clear" w:pos="8459"/>
              <w:tab w:val="right" w:pos="9026" w:leader="dot"/>
            </w:tabs>
            <w:rPr/>
          </w:pPr>
          <w:hyperlink w:anchor="__RefHeading___Toc362408_581953129">
            <w:r>
              <w:rPr>
                <w:webHidden/>
                <w:rStyle w:val="IndexLink"/>
                <w:rtl w:val="true"/>
              </w:rPr>
              <w:t>المسح علی الخفین</w:t>
            </w:r>
            <w:r>
              <w:rPr>
                <w:rStyle w:val="IndexLink"/>
                <w:rtl w:val="true"/>
              </w:rPr>
              <w:tab/>
            </w:r>
            <w:r>
              <w:rPr>
                <w:rStyle w:val="IndexLink"/>
              </w:rPr>
              <w:t>64</w:t>
            </w:r>
          </w:hyperlink>
        </w:p>
        <w:p>
          <w:pPr>
            <w:pStyle w:val="Contents4"/>
            <w:tabs>
              <w:tab w:val="clear" w:pos="8176"/>
              <w:tab w:val="right" w:pos="9026" w:leader="dot"/>
            </w:tabs>
            <w:rPr/>
          </w:pPr>
          <w:hyperlink w:anchor="__RefHeading___Toc362410_581953129">
            <w:r>
              <w:rPr>
                <w:webHidden/>
                <w:rStyle w:val="IndexLink"/>
                <w:rtl w:val="true"/>
              </w:rPr>
              <w:t>المذاهب الاربعة</w:t>
            </w:r>
            <w:r>
              <w:rPr>
                <w:rStyle w:val="IndexLink"/>
                <w:rtl w:val="true"/>
              </w:rPr>
              <w:tab/>
            </w:r>
            <w:r>
              <w:rPr>
                <w:rStyle w:val="IndexLink"/>
              </w:rPr>
              <w:t>64</w:t>
            </w:r>
          </w:hyperlink>
        </w:p>
        <w:p>
          <w:pPr>
            <w:pStyle w:val="Contents4"/>
            <w:tabs>
              <w:tab w:val="clear" w:pos="8176"/>
              <w:tab w:val="right" w:pos="9026" w:leader="dot"/>
            </w:tabs>
            <w:rPr/>
          </w:pPr>
          <w:hyperlink w:anchor="__RefHeading___Toc362412_581953129">
            <w:r>
              <w:rPr>
                <w:webHidden/>
                <w:rStyle w:val="IndexLink"/>
                <w:rtl w:val="true"/>
              </w:rPr>
              <w:t>منشأ الاختلاف</w:t>
            </w:r>
            <w:r>
              <w:rPr>
                <w:rStyle w:val="IndexLink"/>
                <w:rtl w:val="true"/>
              </w:rPr>
              <w:tab/>
            </w:r>
            <w:r>
              <w:rPr>
                <w:rStyle w:val="IndexLink"/>
              </w:rPr>
              <w:t>66</w:t>
            </w:r>
          </w:hyperlink>
        </w:p>
        <w:p>
          <w:pPr>
            <w:pStyle w:val="Contents3"/>
            <w:tabs>
              <w:tab w:val="clear" w:pos="8459"/>
              <w:tab w:val="right" w:pos="9026" w:leader="dot"/>
            </w:tabs>
            <w:rPr/>
          </w:pPr>
          <w:hyperlink w:anchor="__RefHeading___Toc362414_581953129">
            <w:r>
              <w:rPr>
                <w:webHidden/>
                <w:rStyle w:val="IndexLink"/>
                <w:rtl w:val="true"/>
              </w:rPr>
              <w:t>الخلاصة</w:t>
            </w:r>
            <w:r>
              <w:rPr>
                <w:rStyle w:val="IndexLink"/>
                <w:rtl w:val="true"/>
              </w:rPr>
              <w:tab/>
            </w:r>
            <w:r>
              <w:rPr>
                <w:rStyle w:val="IndexLink"/>
              </w:rPr>
              <w:t>67</w:t>
            </w:r>
          </w:hyperlink>
        </w:p>
        <w:p>
          <w:pPr>
            <w:pStyle w:val="Contents3"/>
            <w:tabs>
              <w:tab w:val="clear" w:pos="8459"/>
              <w:tab w:val="right" w:pos="9026" w:leader="dot"/>
            </w:tabs>
            <w:rPr/>
          </w:pPr>
          <w:hyperlink w:anchor="__RefHeading___Toc362416_581953129">
            <w:r>
              <w:rPr>
                <w:webHidden/>
                <w:rStyle w:val="IndexLink"/>
                <w:rtl w:val="true"/>
              </w:rPr>
              <w:t>الأسئلة</w:t>
            </w:r>
            <w:r>
              <w:rPr>
                <w:rStyle w:val="IndexLink"/>
                <w:rtl w:val="true"/>
              </w:rPr>
              <w:tab/>
            </w:r>
            <w:r>
              <w:rPr>
                <w:rStyle w:val="IndexLink"/>
              </w:rPr>
              <w:t>68</w:t>
            </w:r>
          </w:hyperlink>
        </w:p>
        <w:p>
          <w:pPr>
            <w:pStyle w:val="Contents2"/>
            <w:tabs>
              <w:tab w:val="clear" w:pos="8743"/>
              <w:tab w:val="right" w:pos="9026" w:leader="dot"/>
            </w:tabs>
            <w:rPr/>
          </w:pPr>
          <w:hyperlink w:anchor="__RefHeading___Toc362418_581953129">
            <w:r>
              <w:rPr>
                <w:webHidden/>
                <w:rStyle w:val="IndexLink"/>
              </w:rPr>
              <w:t>4</w:t>
            </w:r>
            <w:r>
              <w:rPr>
                <w:rStyle w:val="IndexLink"/>
                <w:rtl w:val="true"/>
              </w:rPr>
              <w:t xml:space="preserve">- </w:t>
            </w:r>
            <w:r>
              <w:rPr>
                <w:rStyle w:val="IndexLink"/>
                <w:rtl w:val="true"/>
              </w:rPr>
              <w:t>شروط الوضوء</w:t>
            </w:r>
            <w:r>
              <w:rPr>
                <w:rStyle w:val="IndexLink"/>
                <w:rtl w:val="true"/>
              </w:rPr>
              <w:tab/>
            </w:r>
            <w:r>
              <w:rPr>
                <w:rStyle w:val="IndexLink"/>
              </w:rPr>
              <w:t>69</w:t>
            </w:r>
          </w:hyperlink>
        </w:p>
        <w:p>
          <w:pPr>
            <w:pStyle w:val="Contents3"/>
            <w:tabs>
              <w:tab w:val="clear" w:pos="8459"/>
              <w:tab w:val="right" w:pos="9026" w:leader="dot"/>
            </w:tabs>
            <w:rPr/>
          </w:pPr>
          <w:hyperlink w:anchor="__RefHeading___Toc362420_581953129">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362422_581953129">
            <w:r>
              <w:rPr>
                <w:webHidden/>
                <w:rStyle w:val="IndexLink"/>
                <w:rtl w:val="true"/>
              </w:rPr>
              <w:t>المذاهب الاربعة</w:t>
            </w:r>
            <w:r>
              <w:rPr>
                <w:rStyle w:val="IndexLink"/>
                <w:rtl w:val="true"/>
              </w:rPr>
              <w:tab/>
            </w:r>
            <w:r>
              <w:rPr>
                <w:rStyle w:val="IndexLink"/>
              </w:rPr>
              <w:t>69</w:t>
            </w:r>
          </w:hyperlink>
        </w:p>
        <w:p>
          <w:pPr>
            <w:pStyle w:val="Contents3"/>
            <w:tabs>
              <w:tab w:val="clear" w:pos="8459"/>
              <w:tab w:val="right" w:pos="9026" w:leader="dot"/>
            </w:tabs>
            <w:rPr/>
          </w:pPr>
          <w:hyperlink w:anchor="__RefHeading___Toc362424_581953129">
            <w:r>
              <w:rPr>
                <w:webHidden/>
                <w:rStyle w:val="IndexLink"/>
                <w:rtl w:val="true"/>
              </w:rPr>
              <w:t>المذهب الجعفری</w:t>
            </w:r>
            <w:r>
              <w:rPr>
                <w:rStyle w:val="IndexLink"/>
                <w:rtl w:val="true"/>
              </w:rPr>
              <w:tab/>
            </w:r>
            <w:r>
              <w:rPr>
                <w:rStyle w:val="IndexLink"/>
              </w:rPr>
              <w:t>71</w:t>
            </w:r>
          </w:hyperlink>
        </w:p>
        <w:p>
          <w:pPr>
            <w:pStyle w:val="Contents3"/>
            <w:tabs>
              <w:tab w:val="clear" w:pos="8459"/>
              <w:tab w:val="right" w:pos="9026" w:leader="dot"/>
            </w:tabs>
            <w:rPr/>
          </w:pPr>
          <w:hyperlink w:anchor="__RefHeading___Toc362426_581953129">
            <w:r>
              <w:rPr>
                <w:webHidden/>
                <w:rStyle w:val="IndexLink"/>
                <w:rtl w:val="true"/>
              </w:rPr>
              <w:t>منشأ الاختلاف</w:t>
            </w:r>
            <w:r>
              <w:rPr>
                <w:rStyle w:val="IndexLink"/>
                <w:rtl w:val="true"/>
              </w:rPr>
              <w:tab/>
            </w:r>
            <w:r>
              <w:rPr>
                <w:rStyle w:val="IndexLink"/>
              </w:rPr>
              <w:t>76</w:t>
            </w:r>
          </w:hyperlink>
        </w:p>
        <w:p>
          <w:pPr>
            <w:pStyle w:val="Contents3"/>
            <w:tabs>
              <w:tab w:val="clear" w:pos="8459"/>
              <w:tab w:val="right" w:pos="9026" w:leader="dot"/>
            </w:tabs>
            <w:rPr/>
          </w:pPr>
          <w:hyperlink w:anchor="__RefHeading___Toc362428_581953129">
            <w:r>
              <w:rPr>
                <w:webHidden/>
                <w:rStyle w:val="IndexLink"/>
                <w:rtl w:val="true"/>
              </w:rPr>
              <w:t>ما هو الشرط</w:t>
            </w:r>
            <w:r>
              <w:rPr>
                <w:rStyle w:val="IndexLink"/>
                <w:rtl w:val="true"/>
              </w:rPr>
              <w:tab/>
            </w:r>
            <w:r>
              <w:rPr>
                <w:rStyle w:val="IndexLink"/>
              </w:rPr>
              <w:t>76</w:t>
            </w:r>
          </w:hyperlink>
        </w:p>
        <w:p>
          <w:pPr>
            <w:pStyle w:val="Contents4"/>
            <w:tabs>
              <w:tab w:val="clear" w:pos="8176"/>
              <w:tab w:val="right" w:pos="9026" w:leader="dot"/>
            </w:tabs>
            <w:rPr/>
          </w:pPr>
          <w:hyperlink w:anchor="__RefHeading___Toc362430_58195312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62432_581953129">
            <w:r>
              <w:rPr>
                <w:webHidden/>
                <w:rStyle w:val="IndexLink"/>
                <w:rtl w:val="true"/>
              </w:rPr>
              <w:t>المذهب الجعفری</w:t>
            </w:r>
            <w:r>
              <w:rPr>
                <w:rStyle w:val="IndexLink"/>
                <w:rtl w:val="true"/>
              </w:rPr>
              <w:tab/>
            </w:r>
            <w:r>
              <w:rPr>
                <w:rStyle w:val="IndexLink"/>
              </w:rPr>
              <w:t>76</w:t>
            </w:r>
          </w:hyperlink>
        </w:p>
        <w:p>
          <w:pPr>
            <w:pStyle w:val="Contents4"/>
            <w:tabs>
              <w:tab w:val="clear" w:pos="8176"/>
              <w:tab w:val="right" w:pos="9026" w:leader="dot"/>
            </w:tabs>
            <w:rPr/>
          </w:pPr>
          <w:hyperlink w:anchor="__RefHeading___Toc362434_581953129">
            <w:r>
              <w:rPr>
                <w:webHidden/>
                <w:rStyle w:val="IndexLink"/>
                <w:rtl w:val="true"/>
              </w:rPr>
              <w:t>المذاهب الاربعة</w:t>
            </w:r>
            <w:r>
              <w:rPr>
                <w:rStyle w:val="IndexLink"/>
                <w:rtl w:val="true"/>
              </w:rPr>
              <w:tab/>
            </w:r>
            <w:r>
              <w:rPr>
                <w:rStyle w:val="IndexLink"/>
              </w:rPr>
              <w:t>78</w:t>
            </w:r>
          </w:hyperlink>
        </w:p>
        <w:p>
          <w:pPr>
            <w:pStyle w:val="Contents4"/>
            <w:tabs>
              <w:tab w:val="clear" w:pos="8176"/>
              <w:tab w:val="right" w:pos="9026" w:leader="dot"/>
            </w:tabs>
            <w:rPr/>
          </w:pPr>
          <w:hyperlink w:anchor="__RefHeading___Toc362436_581953129">
            <w:r>
              <w:rPr>
                <w:webHidden/>
                <w:rStyle w:val="IndexLink"/>
                <w:rtl w:val="true"/>
              </w:rPr>
              <w:t>منشأ الاختلاف</w:t>
            </w:r>
            <w:r>
              <w:rPr>
                <w:rStyle w:val="IndexLink"/>
                <w:rtl w:val="true"/>
              </w:rPr>
              <w:tab/>
            </w:r>
            <w:r>
              <w:rPr>
                <w:rStyle w:val="IndexLink"/>
              </w:rPr>
              <w:t>78</w:t>
            </w:r>
          </w:hyperlink>
        </w:p>
        <w:p>
          <w:pPr>
            <w:pStyle w:val="Contents3"/>
            <w:tabs>
              <w:tab w:val="clear" w:pos="8459"/>
              <w:tab w:val="right" w:pos="9026" w:leader="dot"/>
            </w:tabs>
            <w:rPr/>
          </w:pPr>
          <w:hyperlink w:anchor="__RefHeading___Toc362438_581953129">
            <w:r>
              <w:rPr>
                <w:webHidden/>
                <w:rStyle w:val="IndexLink"/>
                <w:rtl w:val="true"/>
              </w:rPr>
              <w:t>غایات الوضوء</w:t>
            </w:r>
            <w:r>
              <w:rPr>
                <w:rStyle w:val="IndexLink"/>
                <w:rtl w:val="true"/>
              </w:rPr>
              <w:tab/>
            </w:r>
            <w:r>
              <w:rPr>
                <w:rStyle w:val="IndexLink"/>
              </w:rPr>
              <w:t>79</w:t>
            </w:r>
          </w:hyperlink>
        </w:p>
        <w:p>
          <w:pPr>
            <w:pStyle w:val="Contents4"/>
            <w:tabs>
              <w:tab w:val="clear" w:pos="8176"/>
              <w:tab w:val="right" w:pos="9026" w:leader="dot"/>
            </w:tabs>
            <w:rPr/>
          </w:pPr>
          <w:hyperlink w:anchor="__RefHeading___Toc362440_58195312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362442_581953129">
            <w:r>
              <w:rPr>
                <w:webHidden/>
                <w:rStyle w:val="IndexLink"/>
                <w:rtl w:val="true"/>
              </w:rPr>
              <w:t>المذاهب الاربعة</w:t>
            </w:r>
            <w:r>
              <w:rPr>
                <w:rStyle w:val="IndexLink"/>
                <w:rtl w:val="true"/>
              </w:rPr>
              <w:tab/>
            </w:r>
            <w:r>
              <w:rPr>
                <w:rStyle w:val="IndexLink"/>
              </w:rPr>
              <w:t>79</w:t>
            </w:r>
          </w:hyperlink>
        </w:p>
        <w:p>
          <w:pPr>
            <w:pStyle w:val="Contents4"/>
            <w:tabs>
              <w:tab w:val="clear" w:pos="8176"/>
              <w:tab w:val="right" w:pos="9026" w:leader="dot"/>
            </w:tabs>
            <w:rPr/>
          </w:pPr>
          <w:hyperlink w:anchor="__RefHeading___Toc362444_581953129">
            <w:r>
              <w:rPr>
                <w:webHidden/>
                <w:rStyle w:val="IndexLink"/>
                <w:rtl w:val="true"/>
              </w:rPr>
              <w:t>المذهب الجعفری</w:t>
            </w:r>
            <w:r>
              <w:rPr>
                <w:rStyle w:val="IndexLink"/>
                <w:rtl w:val="true"/>
              </w:rPr>
              <w:tab/>
            </w:r>
            <w:r>
              <w:rPr>
                <w:rStyle w:val="IndexLink"/>
              </w:rPr>
              <w:t>79</w:t>
            </w:r>
          </w:hyperlink>
        </w:p>
        <w:p>
          <w:pPr>
            <w:pStyle w:val="Contents3"/>
            <w:tabs>
              <w:tab w:val="clear" w:pos="8459"/>
              <w:tab w:val="right" w:pos="9026" w:leader="dot"/>
            </w:tabs>
            <w:rPr/>
          </w:pPr>
          <w:hyperlink w:anchor="__RefHeading___Toc362446_581953129">
            <w:r>
              <w:rPr>
                <w:webHidden/>
                <w:rStyle w:val="IndexLink"/>
                <w:rtl w:val="true"/>
              </w:rPr>
              <w:t>الخلاصة</w:t>
            </w:r>
            <w:r>
              <w:rPr>
                <w:rStyle w:val="IndexLink"/>
                <w:rtl w:val="true"/>
              </w:rPr>
              <w:tab/>
            </w:r>
            <w:r>
              <w:rPr>
                <w:rStyle w:val="IndexLink"/>
              </w:rPr>
              <w:t>81</w:t>
            </w:r>
          </w:hyperlink>
        </w:p>
        <w:p>
          <w:pPr>
            <w:pStyle w:val="Contents3"/>
            <w:tabs>
              <w:tab w:val="clear" w:pos="8459"/>
              <w:tab w:val="right" w:pos="9026" w:leader="dot"/>
            </w:tabs>
            <w:rPr/>
          </w:pPr>
          <w:hyperlink w:anchor="__RefHeading___Toc362448_581953129">
            <w:r>
              <w:rPr>
                <w:webHidden/>
                <w:rStyle w:val="IndexLink"/>
                <w:rtl w:val="true"/>
              </w:rPr>
              <w:t>الأسئلة</w:t>
            </w:r>
            <w:r>
              <w:rPr>
                <w:rStyle w:val="IndexLink"/>
                <w:rtl w:val="true"/>
              </w:rPr>
              <w:tab/>
            </w:r>
            <w:r>
              <w:rPr>
                <w:rStyle w:val="IndexLink"/>
              </w:rPr>
              <w:t>82</w:t>
            </w:r>
          </w:hyperlink>
        </w:p>
        <w:p>
          <w:pPr>
            <w:pStyle w:val="Contents2"/>
            <w:tabs>
              <w:tab w:val="clear" w:pos="8743"/>
              <w:tab w:val="right" w:pos="9026" w:leader="dot"/>
            </w:tabs>
            <w:rPr/>
          </w:pPr>
          <w:hyperlink w:anchor="__RefHeading___Toc362450_581953129">
            <w:r>
              <w:rPr>
                <w:webHidden/>
                <w:rStyle w:val="IndexLink"/>
              </w:rPr>
              <w:t>5</w:t>
            </w:r>
            <w:r>
              <w:rPr>
                <w:rStyle w:val="IndexLink"/>
                <w:rtl w:val="true"/>
              </w:rPr>
              <w:t xml:space="preserve">- </w:t>
            </w:r>
            <w:r>
              <w:rPr>
                <w:rStyle w:val="IndexLink"/>
                <w:rtl w:val="true"/>
              </w:rPr>
              <w:t>نواقض الوضوء</w:t>
            </w:r>
            <w:r>
              <w:rPr>
                <w:rStyle w:val="IndexLink"/>
                <w:rtl w:val="true"/>
              </w:rPr>
              <w:tab/>
            </w:r>
            <w:r>
              <w:rPr>
                <w:rStyle w:val="IndexLink"/>
              </w:rPr>
              <w:t>83</w:t>
            </w:r>
          </w:hyperlink>
        </w:p>
        <w:p>
          <w:pPr>
            <w:pStyle w:val="Contents3"/>
            <w:tabs>
              <w:tab w:val="clear" w:pos="8459"/>
              <w:tab w:val="right" w:pos="9026" w:leader="dot"/>
            </w:tabs>
            <w:rPr/>
          </w:pPr>
          <w:hyperlink w:anchor="__RefHeading___Toc362452_58195312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62454_581953129">
            <w:r>
              <w:rPr>
                <w:webHidden/>
                <w:rStyle w:val="IndexLink"/>
              </w:rPr>
              <w:t>1</w:t>
            </w:r>
            <w:r>
              <w:rPr>
                <w:rStyle w:val="IndexLink"/>
                <w:rtl w:val="true"/>
              </w:rPr>
              <w:t>.</w:t>
            </w:r>
            <w:r>
              <w:rPr>
                <w:rStyle w:val="IndexLink"/>
                <w:rtl w:val="true"/>
              </w:rPr>
              <w:t>ناقضیة المذی و الودی للوضوء</w:t>
            </w:r>
            <w:r>
              <w:rPr>
                <w:rStyle w:val="IndexLink"/>
                <w:rtl w:val="true"/>
              </w:rPr>
              <w:tab/>
            </w:r>
            <w:r>
              <w:rPr>
                <w:rStyle w:val="IndexLink"/>
              </w:rPr>
              <w:t>83</w:t>
            </w:r>
          </w:hyperlink>
        </w:p>
        <w:p>
          <w:pPr>
            <w:pStyle w:val="Contents4"/>
            <w:tabs>
              <w:tab w:val="clear" w:pos="8176"/>
              <w:tab w:val="right" w:pos="9026" w:leader="dot"/>
            </w:tabs>
            <w:rPr/>
          </w:pPr>
          <w:hyperlink w:anchor="__RefHeading___Toc362456_581953129">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362458_581953129">
            <w:r>
              <w:rPr>
                <w:webHidden/>
                <w:rStyle w:val="IndexLink"/>
                <w:rtl w:val="true"/>
              </w:rPr>
              <w:t>المذاهب الاربعة</w:t>
            </w:r>
            <w:r>
              <w:rPr>
                <w:rStyle w:val="IndexLink"/>
                <w:rtl w:val="true"/>
              </w:rPr>
              <w:tab/>
            </w:r>
            <w:r>
              <w:rPr>
                <w:rStyle w:val="IndexLink"/>
              </w:rPr>
              <w:t>83</w:t>
            </w:r>
          </w:hyperlink>
        </w:p>
        <w:p>
          <w:pPr>
            <w:pStyle w:val="Contents4"/>
            <w:tabs>
              <w:tab w:val="clear" w:pos="8176"/>
              <w:tab w:val="right" w:pos="9026" w:leader="dot"/>
            </w:tabs>
            <w:rPr/>
          </w:pPr>
          <w:hyperlink w:anchor="__RefHeading___Toc362460_581953129">
            <w:r>
              <w:rPr>
                <w:webHidden/>
                <w:rStyle w:val="IndexLink"/>
                <w:rtl w:val="true"/>
              </w:rPr>
              <w:t>المذهب الجعفری</w:t>
            </w:r>
            <w:r>
              <w:rPr>
                <w:rStyle w:val="IndexLink"/>
                <w:rtl w:val="true"/>
              </w:rPr>
              <w:tab/>
            </w:r>
            <w:r>
              <w:rPr>
                <w:rStyle w:val="IndexLink"/>
              </w:rPr>
              <w:t>83</w:t>
            </w:r>
          </w:hyperlink>
        </w:p>
        <w:p>
          <w:pPr>
            <w:pStyle w:val="Contents3"/>
            <w:tabs>
              <w:tab w:val="clear" w:pos="8459"/>
              <w:tab w:val="right" w:pos="9026" w:leader="dot"/>
            </w:tabs>
            <w:rPr/>
          </w:pPr>
          <w:hyperlink w:anchor="__RefHeading___Toc362462_581953129">
            <w:r>
              <w:rPr>
                <w:webHidden/>
                <w:rStyle w:val="IndexLink"/>
              </w:rPr>
              <w:t>2</w:t>
            </w:r>
            <w:r>
              <w:rPr>
                <w:rStyle w:val="IndexLink"/>
                <w:rtl w:val="true"/>
              </w:rPr>
              <w:t>.</w:t>
            </w:r>
            <w:r>
              <w:rPr>
                <w:rStyle w:val="IndexLink"/>
                <w:rtl w:val="true"/>
              </w:rPr>
              <w:t>ناقضیة الحدث الخارج من المَخْرَجَین</w:t>
            </w:r>
            <w:r>
              <w:rPr>
                <w:rStyle w:val="IndexLink"/>
                <w:rtl w:val="true"/>
              </w:rPr>
              <w:tab/>
            </w:r>
            <w:r>
              <w:rPr>
                <w:rStyle w:val="IndexLink"/>
              </w:rPr>
              <w:t>84</w:t>
            </w:r>
          </w:hyperlink>
        </w:p>
        <w:p>
          <w:pPr>
            <w:pStyle w:val="Contents4"/>
            <w:tabs>
              <w:tab w:val="clear" w:pos="8176"/>
              <w:tab w:val="right" w:pos="9026" w:leader="dot"/>
            </w:tabs>
            <w:rPr/>
          </w:pPr>
          <w:hyperlink w:anchor="__RefHeading___Toc362464_58195312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362466_581953129">
            <w:r>
              <w:rPr>
                <w:webHidden/>
                <w:rStyle w:val="IndexLink"/>
                <w:rtl w:val="true"/>
              </w:rPr>
              <w:t>المذهب الجعفری</w:t>
            </w:r>
            <w:r>
              <w:rPr>
                <w:rStyle w:val="IndexLink"/>
                <w:rtl w:val="true"/>
              </w:rPr>
              <w:tab/>
            </w:r>
            <w:r>
              <w:rPr>
                <w:rStyle w:val="IndexLink"/>
              </w:rPr>
              <w:t>84</w:t>
            </w:r>
          </w:hyperlink>
        </w:p>
        <w:p>
          <w:pPr>
            <w:pStyle w:val="Contents4"/>
            <w:tabs>
              <w:tab w:val="clear" w:pos="8176"/>
              <w:tab w:val="right" w:pos="9026" w:leader="dot"/>
            </w:tabs>
            <w:rPr/>
          </w:pPr>
          <w:hyperlink w:anchor="__RefHeading___Toc362468_581953129">
            <w:r>
              <w:rPr>
                <w:webHidden/>
                <w:rStyle w:val="IndexLink"/>
                <w:rtl w:val="true"/>
              </w:rPr>
              <w:t>المذهب المالکی</w:t>
            </w:r>
            <w:r>
              <w:rPr>
                <w:rStyle w:val="IndexLink"/>
                <w:rtl w:val="true"/>
              </w:rPr>
              <w:tab/>
            </w:r>
            <w:r>
              <w:rPr>
                <w:rStyle w:val="IndexLink"/>
              </w:rPr>
              <w:t>84</w:t>
            </w:r>
          </w:hyperlink>
        </w:p>
        <w:p>
          <w:pPr>
            <w:pStyle w:val="Contents4"/>
            <w:tabs>
              <w:tab w:val="clear" w:pos="8176"/>
              <w:tab w:val="right" w:pos="9026" w:leader="dot"/>
            </w:tabs>
            <w:rPr/>
          </w:pPr>
          <w:hyperlink w:anchor="__RefHeading___Toc362470_581953129">
            <w:r>
              <w:rPr>
                <w:webHidden/>
                <w:rStyle w:val="IndexLink"/>
                <w:rtl w:val="true"/>
              </w:rPr>
              <w:t>المذاهب الثلاثة الاُخری</w:t>
            </w:r>
            <w:r>
              <w:rPr>
                <w:rStyle w:val="IndexLink"/>
                <w:rtl w:val="true"/>
              </w:rPr>
              <w:tab/>
            </w:r>
            <w:r>
              <w:rPr>
                <w:rStyle w:val="IndexLink"/>
              </w:rPr>
              <w:t>85</w:t>
            </w:r>
          </w:hyperlink>
        </w:p>
        <w:p>
          <w:pPr>
            <w:pStyle w:val="Contents4"/>
            <w:tabs>
              <w:tab w:val="clear" w:pos="8176"/>
              <w:tab w:val="right" w:pos="9026" w:leader="dot"/>
            </w:tabs>
            <w:rPr/>
          </w:pPr>
          <w:hyperlink w:anchor="__RefHeading___Toc362472_581953129">
            <w:r>
              <w:rPr>
                <w:webHidden/>
                <w:rStyle w:val="IndexLink"/>
                <w:rtl w:val="true"/>
              </w:rPr>
              <w:t>منشأ الاختلاف</w:t>
            </w:r>
            <w:r>
              <w:rPr>
                <w:rStyle w:val="IndexLink"/>
                <w:rtl w:val="true"/>
              </w:rPr>
              <w:tab/>
            </w:r>
            <w:r>
              <w:rPr>
                <w:rStyle w:val="IndexLink"/>
              </w:rPr>
              <w:t>85</w:t>
            </w:r>
          </w:hyperlink>
        </w:p>
        <w:p>
          <w:pPr>
            <w:pStyle w:val="Contents3"/>
            <w:tabs>
              <w:tab w:val="clear" w:pos="8459"/>
              <w:tab w:val="right" w:pos="9026" w:leader="dot"/>
            </w:tabs>
            <w:rPr/>
          </w:pPr>
          <w:hyperlink w:anchor="__RefHeading___Toc362474_581953129">
            <w:r>
              <w:rPr>
                <w:webHidden/>
                <w:rStyle w:val="IndexLink"/>
              </w:rPr>
              <w:t>3</w:t>
            </w:r>
            <w:r>
              <w:rPr>
                <w:rStyle w:val="IndexLink"/>
                <w:rtl w:val="true"/>
              </w:rPr>
              <w:t>.</w:t>
            </w:r>
            <w:r>
              <w:rPr>
                <w:rStyle w:val="IndexLink"/>
                <w:rtl w:val="true"/>
              </w:rPr>
              <w:t>ناقضیة النوم حدّاً</w:t>
            </w:r>
            <w:r>
              <w:rPr>
                <w:rStyle w:val="IndexLink"/>
                <w:rtl w:val="true"/>
              </w:rPr>
              <w:tab/>
            </w:r>
            <w:r>
              <w:rPr>
                <w:rStyle w:val="IndexLink"/>
              </w:rPr>
              <w:t>85</w:t>
            </w:r>
          </w:hyperlink>
        </w:p>
        <w:p>
          <w:pPr>
            <w:pStyle w:val="Contents4"/>
            <w:tabs>
              <w:tab w:val="clear" w:pos="8176"/>
              <w:tab w:val="right" w:pos="9026" w:leader="dot"/>
            </w:tabs>
            <w:rPr/>
          </w:pPr>
          <w:hyperlink w:anchor="__RefHeading___Toc362476_581953129">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362478_581953129">
            <w:r>
              <w:rPr>
                <w:webHidden/>
                <w:rStyle w:val="IndexLink"/>
                <w:rtl w:val="true"/>
              </w:rPr>
              <w:t>المذهب الجعفری</w:t>
            </w:r>
            <w:r>
              <w:rPr>
                <w:rStyle w:val="IndexLink"/>
                <w:rtl w:val="true"/>
              </w:rPr>
              <w:tab/>
            </w:r>
            <w:r>
              <w:rPr>
                <w:rStyle w:val="IndexLink"/>
              </w:rPr>
              <w:t>85</w:t>
            </w:r>
          </w:hyperlink>
        </w:p>
        <w:p>
          <w:pPr>
            <w:pStyle w:val="Contents4"/>
            <w:tabs>
              <w:tab w:val="clear" w:pos="8176"/>
              <w:tab w:val="right" w:pos="9026" w:leader="dot"/>
            </w:tabs>
            <w:rPr/>
          </w:pPr>
          <w:hyperlink w:anchor="__RefHeading___Toc362480_581953129">
            <w:r>
              <w:rPr>
                <w:webHidden/>
                <w:rStyle w:val="IndexLink"/>
                <w:rtl w:val="true"/>
              </w:rPr>
              <w:t>المذهب الحنفی</w:t>
            </w:r>
            <w:r>
              <w:rPr>
                <w:rStyle w:val="IndexLink"/>
                <w:rtl w:val="true"/>
              </w:rPr>
              <w:tab/>
            </w:r>
            <w:r>
              <w:rPr>
                <w:rStyle w:val="IndexLink"/>
              </w:rPr>
              <w:t>86</w:t>
            </w:r>
          </w:hyperlink>
        </w:p>
        <w:p>
          <w:pPr>
            <w:pStyle w:val="Contents4"/>
            <w:tabs>
              <w:tab w:val="clear" w:pos="8176"/>
              <w:tab w:val="right" w:pos="9026" w:leader="dot"/>
            </w:tabs>
            <w:rPr/>
          </w:pPr>
          <w:hyperlink w:anchor="__RefHeading___Toc362482_581953129">
            <w:r>
              <w:rPr>
                <w:webHidden/>
                <w:rStyle w:val="IndexLink"/>
                <w:rtl w:val="true"/>
              </w:rPr>
              <w:t>المذهب الشافعی</w:t>
            </w:r>
            <w:r>
              <w:rPr>
                <w:rStyle w:val="IndexLink"/>
                <w:rtl w:val="true"/>
              </w:rPr>
              <w:tab/>
            </w:r>
            <w:r>
              <w:rPr>
                <w:rStyle w:val="IndexLink"/>
              </w:rPr>
              <w:t>87</w:t>
            </w:r>
          </w:hyperlink>
        </w:p>
        <w:p>
          <w:pPr>
            <w:pStyle w:val="Contents4"/>
            <w:tabs>
              <w:tab w:val="clear" w:pos="8176"/>
              <w:tab w:val="right" w:pos="9026" w:leader="dot"/>
            </w:tabs>
            <w:rPr/>
          </w:pPr>
          <w:hyperlink w:anchor="__RefHeading___Toc362484_581953129">
            <w:r>
              <w:rPr>
                <w:webHidden/>
                <w:rStyle w:val="IndexLink"/>
                <w:rtl w:val="true"/>
              </w:rPr>
              <w:t>منشأ الاختلاف</w:t>
            </w:r>
            <w:r>
              <w:rPr>
                <w:rStyle w:val="IndexLink"/>
                <w:rtl w:val="true"/>
              </w:rPr>
              <w:tab/>
            </w:r>
            <w:r>
              <w:rPr>
                <w:rStyle w:val="IndexLink"/>
              </w:rPr>
              <w:t>87</w:t>
            </w:r>
          </w:hyperlink>
        </w:p>
        <w:p>
          <w:pPr>
            <w:pStyle w:val="Contents3"/>
            <w:tabs>
              <w:tab w:val="clear" w:pos="8459"/>
              <w:tab w:val="right" w:pos="9026" w:leader="dot"/>
            </w:tabs>
            <w:rPr/>
          </w:pPr>
          <w:hyperlink w:anchor="__RefHeading___Toc362486_581953129">
            <w:r>
              <w:rPr>
                <w:webHidden/>
                <w:rStyle w:val="IndexLink"/>
              </w:rPr>
              <w:t>4</w:t>
            </w:r>
            <w:r>
              <w:rPr>
                <w:rStyle w:val="IndexLink"/>
                <w:rtl w:val="true"/>
              </w:rPr>
              <w:t>.</w:t>
            </w:r>
            <w:r>
              <w:rPr>
                <w:rStyle w:val="IndexLink"/>
                <w:rtl w:val="true"/>
              </w:rPr>
              <w:t>ناقضیة الرعاف و القیءوخروج الدم من البدن</w:t>
            </w:r>
            <w:r>
              <w:rPr>
                <w:rStyle w:val="IndexLink"/>
                <w:rtl w:val="true"/>
              </w:rPr>
              <w:tab/>
            </w:r>
            <w:r>
              <w:rPr>
                <w:rStyle w:val="IndexLink"/>
              </w:rPr>
              <w:t>87</w:t>
            </w:r>
          </w:hyperlink>
        </w:p>
        <w:p>
          <w:pPr>
            <w:pStyle w:val="Contents4"/>
            <w:tabs>
              <w:tab w:val="clear" w:pos="8176"/>
              <w:tab w:val="right" w:pos="9026" w:leader="dot"/>
            </w:tabs>
            <w:rPr/>
          </w:pPr>
          <w:hyperlink w:anchor="__RefHeading___Toc362488_581953129">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362490_581953129">
            <w:r>
              <w:rPr>
                <w:webHidden/>
                <w:rStyle w:val="IndexLink"/>
                <w:rtl w:val="true"/>
              </w:rPr>
              <w:t>المذهب الجعفری</w:t>
            </w:r>
            <w:r>
              <w:rPr>
                <w:rStyle w:val="IndexLink"/>
                <w:rtl w:val="true"/>
              </w:rPr>
              <w:tab/>
            </w:r>
            <w:r>
              <w:rPr>
                <w:rStyle w:val="IndexLink"/>
              </w:rPr>
              <w:t>88</w:t>
            </w:r>
          </w:hyperlink>
        </w:p>
        <w:p>
          <w:pPr>
            <w:pStyle w:val="Contents4"/>
            <w:tabs>
              <w:tab w:val="clear" w:pos="8176"/>
              <w:tab w:val="right" w:pos="9026" w:leader="dot"/>
            </w:tabs>
            <w:rPr/>
          </w:pPr>
          <w:hyperlink w:anchor="__RefHeading___Toc362492_581953129">
            <w:r>
              <w:rPr>
                <w:webHidden/>
                <w:rStyle w:val="IndexLink"/>
                <w:rtl w:val="true"/>
              </w:rPr>
              <w:t>المذهب الحنبلی</w:t>
            </w:r>
            <w:r>
              <w:rPr>
                <w:rStyle w:val="IndexLink"/>
                <w:rtl w:val="true"/>
              </w:rPr>
              <w:tab/>
            </w:r>
            <w:r>
              <w:rPr>
                <w:rStyle w:val="IndexLink"/>
              </w:rPr>
              <w:t>88</w:t>
            </w:r>
          </w:hyperlink>
        </w:p>
        <w:p>
          <w:pPr>
            <w:pStyle w:val="Contents4"/>
            <w:tabs>
              <w:tab w:val="clear" w:pos="8176"/>
              <w:tab w:val="right" w:pos="9026" w:leader="dot"/>
            </w:tabs>
            <w:rPr/>
          </w:pPr>
          <w:hyperlink w:anchor="__RefHeading___Toc362494_581953129">
            <w:r>
              <w:rPr>
                <w:webHidden/>
                <w:rStyle w:val="IndexLink"/>
                <w:rtl w:val="true"/>
              </w:rPr>
              <w:t>منشأ الاختلاف</w:t>
            </w:r>
            <w:r>
              <w:rPr>
                <w:rStyle w:val="IndexLink"/>
                <w:rtl w:val="true"/>
              </w:rPr>
              <w:tab/>
            </w:r>
            <w:r>
              <w:rPr>
                <w:rStyle w:val="IndexLink"/>
              </w:rPr>
              <w:t>89</w:t>
            </w:r>
          </w:hyperlink>
        </w:p>
        <w:p>
          <w:pPr>
            <w:pStyle w:val="Contents3"/>
            <w:tabs>
              <w:tab w:val="clear" w:pos="8459"/>
              <w:tab w:val="right" w:pos="9026" w:leader="dot"/>
            </w:tabs>
            <w:rPr/>
          </w:pPr>
          <w:hyperlink w:anchor="__RefHeading___Toc362496_581953129">
            <w:r>
              <w:rPr>
                <w:webHidden/>
                <w:rStyle w:val="IndexLink"/>
              </w:rPr>
              <w:t>5</w:t>
            </w:r>
            <w:r>
              <w:rPr>
                <w:rStyle w:val="IndexLink"/>
                <w:rtl w:val="true"/>
              </w:rPr>
              <w:t>.</w:t>
            </w:r>
            <w:r>
              <w:rPr>
                <w:rStyle w:val="IndexLink"/>
                <w:rtl w:val="true"/>
              </w:rPr>
              <w:t>بالنسبة إلی ناقضیة لمس المرأة</w:t>
            </w:r>
            <w:r>
              <w:rPr>
                <w:rStyle w:val="IndexLink"/>
                <w:rtl w:val="true"/>
              </w:rPr>
              <w:tab/>
            </w:r>
            <w:r>
              <w:rPr>
                <w:rStyle w:val="IndexLink"/>
              </w:rPr>
              <w:t>89</w:t>
            </w:r>
          </w:hyperlink>
        </w:p>
        <w:p>
          <w:pPr>
            <w:pStyle w:val="Contents4"/>
            <w:tabs>
              <w:tab w:val="clear" w:pos="8176"/>
              <w:tab w:val="right" w:pos="9026" w:leader="dot"/>
            </w:tabs>
            <w:rPr/>
          </w:pPr>
          <w:hyperlink w:anchor="__RefHeading___Toc362498_58195312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362500_581953129">
            <w:r>
              <w:rPr>
                <w:webHidden/>
                <w:rStyle w:val="IndexLink"/>
                <w:rtl w:val="true"/>
              </w:rPr>
              <w:t>المذهب الجعفری</w:t>
            </w:r>
            <w:r>
              <w:rPr>
                <w:rStyle w:val="IndexLink"/>
                <w:rtl w:val="true"/>
              </w:rPr>
              <w:tab/>
            </w:r>
            <w:r>
              <w:rPr>
                <w:rStyle w:val="IndexLink"/>
              </w:rPr>
              <w:t>89</w:t>
            </w:r>
          </w:hyperlink>
        </w:p>
        <w:p>
          <w:pPr>
            <w:pStyle w:val="Contents4"/>
            <w:tabs>
              <w:tab w:val="clear" w:pos="8176"/>
              <w:tab w:val="right" w:pos="9026" w:leader="dot"/>
            </w:tabs>
            <w:rPr/>
          </w:pPr>
          <w:hyperlink w:anchor="__RefHeading___Toc362502_581953129">
            <w:r>
              <w:rPr>
                <w:webHidden/>
                <w:rStyle w:val="IndexLink"/>
                <w:rtl w:val="true"/>
              </w:rPr>
              <w:t>المذاهب الثلاثة الاُخری</w:t>
            </w:r>
            <w:r>
              <w:rPr>
                <w:rStyle w:val="IndexLink"/>
                <w:rtl w:val="true"/>
              </w:rPr>
              <w:tab/>
            </w:r>
            <w:r>
              <w:rPr>
                <w:rStyle w:val="IndexLink"/>
              </w:rPr>
              <w:t>90</w:t>
            </w:r>
          </w:hyperlink>
        </w:p>
        <w:p>
          <w:pPr>
            <w:pStyle w:val="Contents4"/>
            <w:tabs>
              <w:tab w:val="clear" w:pos="8176"/>
              <w:tab w:val="right" w:pos="9026" w:leader="dot"/>
            </w:tabs>
            <w:rPr/>
          </w:pPr>
          <w:hyperlink w:anchor="__RefHeading___Toc362504_581953129">
            <w:r>
              <w:rPr>
                <w:webHidden/>
                <w:rStyle w:val="IndexLink"/>
                <w:rtl w:val="true"/>
              </w:rPr>
              <w:t>منشأ الاختلاف</w:t>
            </w:r>
            <w:r>
              <w:rPr>
                <w:rStyle w:val="IndexLink"/>
                <w:rtl w:val="true"/>
              </w:rPr>
              <w:tab/>
            </w:r>
            <w:r>
              <w:rPr>
                <w:rStyle w:val="IndexLink"/>
              </w:rPr>
              <w:t>91</w:t>
            </w:r>
          </w:hyperlink>
        </w:p>
        <w:p>
          <w:pPr>
            <w:pStyle w:val="Contents3"/>
            <w:tabs>
              <w:tab w:val="clear" w:pos="8459"/>
              <w:tab w:val="right" w:pos="9026" w:leader="dot"/>
            </w:tabs>
            <w:rPr/>
          </w:pPr>
          <w:hyperlink w:anchor="__RefHeading___Toc362506_581953129">
            <w:r>
              <w:rPr>
                <w:webHidden/>
                <w:rStyle w:val="IndexLink"/>
              </w:rPr>
              <w:t>6</w:t>
            </w:r>
            <w:r>
              <w:rPr>
                <w:rStyle w:val="IndexLink"/>
                <w:rtl w:val="true"/>
              </w:rPr>
              <w:t>.</w:t>
            </w:r>
            <w:r>
              <w:rPr>
                <w:rStyle w:val="IndexLink"/>
                <w:rtl w:val="true"/>
              </w:rPr>
              <w:t>ناقضیة المسّ</w:t>
            </w:r>
            <w:r>
              <w:rPr>
                <w:rStyle w:val="IndexLink"/>
                <w:rtl w:val="true"/>
              </w:rPr>
              <w:tab/>
            </w:r>
            <w:r>
              <w:rPr>
                <w:rStyle w:val="IndexLink"/>
              </w:rPr>
              <w:t>91</w:t>
            </w:r>
          </w:hyperlink>
        </w:p>
        <w:p>
          <w:pPr>
            <w:pStyle w:val="Contents4"/>
            <w:tabs>
              <w:tab w:val="clear" w:pos="8176"/>
              <w:tab w:val="right" w:pos="9026" w:leader="dot"/>
            </w:tabs>
            <w:rPr/>
          </w:pPr>
          <w:hyperlink w:anchor="__RefHeading___Toc362508_58195312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362510_581953129">
            <w:r>
              <w:rPr>
                <w:webHidden/>
                <w:rStyle w:val="IndexLink"/>
                <w:rtl w:val="true"/>
              </w:rPr>
              <w:t>المذهب الحنفی</w:t>
            </w:r>
            <w:r>
              <w:rPr>
                <w:rStyle w:val="IndexLink"/>
                <w:rtl w:val="true"/>
              </w:rPr>
              <w:tab/>
            </w:r>
            <w:r>
              <w:rPr>
                <w:rStyle w:val="IndexLink"/>
              </w:rPr>
              <w:t>91</w:t>
            </w:r>
          </w:hyperlink>
        </w:p>
        <w:p>
          <w:pPr>
            <w:pStyle w:val="Contents4"/>
            <w:tabs>
              <w:tab w:val="clear" w:pos="8176"/>
              <w:tab w:val="right" w:pos="9026" w:leader="dot"/>
            </w:tabs>
            <w:rPr/>
          </w:pPr>
          <w:hyperlink w:anchor="__RefHeading___Toc362512_581953129">
            <w:r>
              <w:rPr>
                <w:webHidden/>
                <w:rStyle w:val="IndexLink"/>
                <w:rtl w:val="true"/>
              </w:rPr>
              <w:t>المذاهب الثلاثة الاُخری</w:t>
            </w:r>
            <w:r>
              <w:rPr>
                <w:rStyle w:val="IndexLink"/>
                <w:rtl w:val="true"/>
              </w:rPr>
              <w:tab/>
            </w:r>
            <w:r>
              <w:rPr>
                <w:rStyle w:val="IndexLink"/>
              </w:rPr>
              <w:t>91</w:t>
            </w:r>
          </w:hyperlink>
        </w:p>
        <w:p>
          <w:pPr>
            <w:pStyle w:val="Contents3"/>
            <w:tabs>
              <w:tab w:val="clear" w:pos="8459"/>
              <w:tab w:val="right" w:pos="9026" w:leader="dot"/>
            </w:tabs>
            <w:rPr/>
          </w:pPr>
          <w:hyperlink w:anchor="__RefHeading___Toc362514_581953129">
            <w:r>
              <w:rPr>
                <w:webHidden/>
                <w:rStyle w:val="IndexLink"/>
              </w:rPr>
              <w:t>7</w:t>
            </w:r>
            <w:r>
              <w:rPr>
                <w:rStyle w:val="IndexLink"/>
                <w:rtl w:val="true"/>
              </w:rPr>
              <w:t>.</w:t>
            </w:r>
            <w:r>
              <w:rPr>
                <w:rStyle w:val="IndexLink"/>
                <w:rtl w:val="true"/>
              </w:rPr>
              <w:t>ناقضیة الضحک للوضوء</w:t>
            </w:r>
            <w:r>
              <w:rPr>
                <w:rStyle w:val="IndexLink"/>
                <w:rtl w:val="true"/>
              </w:rPr>
              <w:tab/>
            </w:r>
            <w:r>
              <w:rPr>
                <w:rStyle w:val="IndexLink"/>
              </w:rPr>
              <w:t>92</w:t>
            </w:r>
          </w:hyperlink>
        </w:p>
        <w:p>
          <w:pPr>
            <w:pStyle w:val="Contents4"/>
            <w:tabs>
              <w:tab w:val="clear" w:pos="8176"/>
              <w:tab w:val="right" w:pos="9026" w:leader="dot"/>
            </w:tabs>
            <w:rPr/>
          </w:pPr>
          <w:hyperlink w:anchor="__RefHeading___Toc362516_581953129">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362518_581953129">
            <w:r>
              <w:rPr>
                <w:webHidden/>
                <w:rStyle w:val="IndexLink"/>
                <w:rtl w:val="true"/>
              </w:rPr>
              <w:t>المذاهب الثلاثة الأخری</w:t>
            </w:r>
            <w:r>
              <w:rPr>
                <w:rStyle w:val="IndexLink"/>
                <w:rtl w:val="true"/>
              </w:rPr>
              <w:tab/>
            </w:r>
            <w:r>
              <w:rPr>
                <w:rStyle w:val="IndexLink"/>
              </w:rPr>
              <w:t>92</w:t>
            </w:r>
          </w:hyperlink>
        </w:p>
        <w:p>
          <w:pPr>
            <w:pStyle w:val="Contents3"/>
            <w:tabs>
              <w:tab w:val="clear" w:pos="8459"/>
              <w:tab w:val="right" w:pos="9026" w:leader="dot"/>
            </w:tabs>
            <w:rPr/>
          </w:pPr>
          <w:hyperlink w:anchor="__RefHeading___Toc362520_581953129">
            <w:r>
              <w:rPr>
                <w:webHidden/>
                <w:rStyle w:val="IndexLink"/>
              </w:rPr>
              <w:t>8</w:t>
            </w:r>
            <w:r>
              <w:rPr>
                <w:rStyle w:val="IndexLink"/>
                <w:rtl w:val="true"/>
              </w:rPr>
              <w:t>.</w:t>
            </w:r>
            <w:r>
              <w:rPr>
                <w:rStyle w:val="IndexLink"/>
                <w:rtl w:val="true"/>
              </w:rPr>
              <w:t>نقض الوضوء بأکل لحم الجزور</w:t>
            </w:r>
            <w:r>
              <w:rPr>
                <w:rStyle w:val="IndexLink"/>
                <w:rtl w:val="true"/>
              </w:rPr>
              <w:tab/>
            </w:r>
            <w:r>
              <w:rPr>
                <w:rStyle w:val="IndexLink"/>
              </w:rPr>
              <w:t>92</w:t>
            </w:r>
          </w:hyperlink>
        </w:p>
        <w:p>
          <w:pPr>
            <w:pStyle w:val="Contents4"/>
            <w:tabs>
              <w:tab w:val="clear" w:pos="8176"/>
              <w:tab w:val="right" w:pos="9026" w:leader="dot"/>
            </w:tabs>
            <w:rPr/>
          </w:pPr>
          <w:hyperlink w:anchor="__RefHeading___Toc362522_581953129">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362524_581953129">
            <w:r>
              <w:rPr>
                <w:webHidden/>
                <w:rStyle w:val="IndexLink"/>
                <w:rtl w:val="true"/>
              </w:rPr>
              <w:t>منشأ الاختلاف</w:t>
            </w:r>
            <w:r>
              <w:rPr>
                <w:rStyle w:val="IndexLink"/>
                <w:rtl w:val="true"/>
              </w:rPr>
              <w:tab/>
            </w:r>
            <w:r>
              <w:rPr>
                <w:rStyle w:val="IndexLink"/>
              </w:rPr>
              <w:t>93</w:t>
            </w:r>
          </w:hyperlink>
        </w:p>
        <w:p>
          <w:pPr>
            <w:pStyle w:val="Contents4"/>
            <w:tabs>
              <w:tab w:val="clear" w:pos="8176"/>
              <w:tab w:val="right" w:pos="9026" w:leader="dot"/>
            </w:tabs>
            <w:rPr/>
          </w:pPr>
          <w:hyperlink w:anchor="__RefHeading___Toc362526_581953129">
            <w:r>
              <w:rPr>
                <w:webHidden/>
                <w:rStyle w:val="IndexLink"/>
                <w:rtl w:val="true"/>
              </w:rPr>
              <w:t>الشکّ فی الحدث</w:t>
            </w:r>
            <w:r>
              <w:rPr>
                <w:rStyle w:val="IndexLink"/>
                <w:rtl w:val="true"/>
              </w:rPr>
              <w:tab/>
            </w:r>
            <w:r>
              <w:rPr>
                <w:rStyle w:val="IndexLink"/>
              </w:rPr>
              <w:t>93</w:t>
            </w:r>
          </w:hyperlink>
        </w:p>
        <w:p>
          <w:pPr>
            <w:pStyle w:val="Contents4"/>
            <w:tabs>
              <w:tab w:val="clear" w:pos="8176"/>
              <w:tab w:val="right" w:pos="9026" w:leader="dot"/>
            </w:tabs>
            <w:rPr/>
          </w:pPr>
          <w:hyperlink w:anchor="__RefHeading___Toc362528_581953129">
            <w:r>
              <w:rPr>
                <w:webHidden/>
                <w:rStyle w:val="IndexLink"/>
                <w:rtl w:val="true"/>
              </w:rPr>
              <w:t>المذاهب الثلاثة الأخری</w:t>
            </w:r>
            <w:r>
              <w:rPr>
                <w:rStyle w:val="IndexLink"/>
                <w:rtl w:val="true"/>
              </w:rPr>
              <w:tab/>
            </w:r>
            <w:r>
              <w:rPr>
                <w:rStyle w:val="IndexLink"/>
              </w:rPr>
              <w:t>94</w:t>
            </w:r>
          </w:hyperlink>
        </w:p>
        <w:p>
          <w:pPr>
            <w:pStyle w:val="Contents4"/>
            <w:tabs>
              <w:tab w:val="clear" w:pos="8176"/>
              <w:tab w:val="right" w:pos="9026" w:leader="dot"/>
            </w:tabs>
            <w:rPr/>
          </w:pPr>
          <w:hyperlink w:anchor="__RefHeading___Toc362530_581953129">
            <w:r>
              <w:rPr>
                <w:webHidden/>
                <w:rStyle w:val="IndexLink"/>
                <w:rtl w:val="true"/>
              </w:rPr>
              <w:t>منشأ الاختلاف</w:t>
            </w:r>
            <w:r>
              <w:rPr>
                <w:rStyle w:val="IndexLink"/>
                <w:rtl w:val="true"/>
              </w:rPr>
              <w:tab/>
            </w:r>
            <w:r>
              <w:rPr>
                <w:rStyle w:val="IndexLink"/>
              </w:rPr>
              <w:t>94</w:t>
            </w:r>
          </w:hyperlink>
        </w:p>
        <w:p>
          <w:pPr>
            <w:pStyle w:val="Contents3"/>
            <w:tabs>
              <w:tab w:val="clear" w:pos="8459"/>
              <w:tab w:val="right" w:pos="9026" w:leader="dot"/>
            </w:tabs>
            <w:rPr/>
          </w:pPr>
          <w:hyperlink w:anchor="__RefHeading___Toc362532_581953129">
            <w:r>
              <w:rPr>
                <w:webHidden/>
                <w:rStyle w:val="IndexLink"/>
                <w:rtl w:val="true"/>
              </w:rPr>
              <w:t>الخلاصة</w:t>
            </w:r>
            <w:r>
              <w:rPr>
                <w:rStyle w:val="IndexLink"/>
                <w:rtl w:val="true"/>
              </w:rPr>
              <w:tab/>
            </w:r>
            <w:r>
              <w:rPr>
                <w:rStyle w:val="IndexLink"/>
              </w:rPr>
              <w:t>95</w:t>
            </w:r>
          </w:hyperlink>
        </w:p>
        <w:p>
          <w:pPr>
            <w:pStyle w:val="Contents3"/>
            <w:tabs>
              <w:tab w:val="clear" w:pos="8459"/>
              <w:tab w:val="right" w:pos="9026" w:leader="dot"/>
            </w:tabs>
            <w:rPr/>
          </w:pPr>
          <w:hyperlink w:anchor="__RefHeading___Toc362534_581953129">
            <w:r>
              <w:rPr>
                <w:webHidden/>
                <w:rStyle w:val="IndexLink"/>
                <w:rtl w:val="true"/>
              </w:rPr>
              <w:t>الأسئلة</w:t>
            </w:r>
            <w:r>
              <w:rPr>
                <w:rStyle w:val="IndexLink"/>
                <w:rtl w:val="true"/>
              </w:rPr>
              <w:tab/>
            </w:r>
            <w:r>
              <w:rPr>
                <w:rStyle w:val="IndexLink"/>
              </w:rPr>
              <w:t>96</w:t>
            </w:r>
          </w:hyperlink>
        </w:p>
        <w:p>
          <w:pPr>
            <w:pStyle w:val="Contents2"/>
            <w:tabs>
              <w:tab w:val="clear" w:pos="8743"/>
              <w:tab w:val="right" w:pos="9026" w:leader="dot"/>
            </w:tabs>
            <w:rPr/>
          </w:pPr>
          <w:hyperlink w:anchor="__RefHeading___Toc362536_581953129">
            <w:r>
              <w:rPr>
                <w:webHidden/>
                <w:rStyle w:val="IndexLink"/>
              </w:rPr>
              <w:t>6</w:t>
            </w:r>
            <w:r>
              <w:rPr>
                <w:rStyle w:val="IndexLink"/>
                <w:rtl w:val="true"/>
              </w:rPr>
              <w:t xml:space="preserve">- </w:t>
            </w:r>
            <w:r>
              <w:rPr>
                <w:rStyle w:val="IndexLink"/>
                <w:rtl w:val="true"/>
              </w:rPr>
              <w:t>الغسل</w:t>
            </w:r>
            <w:r>
              <w:rPr>
                <w:rStyle w:val="IndexLink"/>
                <w:rtl w:val="true"/>
              </w:rPr>
              <w:tab/>
            </w:r>
            <w:r>
              <w:rPr>
                <w:rStyle w:val="IndexLink"/>
              </w:rPr>
              <w:t>97</w:t>
            </w:r>
          </w:hyperlink>
        </w:p>
        <w:p>
          <w:pPr>
            <w:pStyle w:val="Contents3"/>
            <w:tabs>
              <w:tab w:val="clear" w:pos="8459"/>
              <w:tab w:val="right" w:pos="9026" w:leader="dot"/>
            </w:tabs>
            <w:rPr/>
          </w:pPr>
          <w:hyperlink w:anchor="__RefHeading___Toc362538_581953129">
            <w:r>
              <w:rPr>
                <w:webHidden/>
                <w:rStyle w:val="IndexLink"/>
                <w:rtl w:val="true"/>
              </w:rPr>
              <w:t>واجبات الغسل</w:t>
            </w:r>
            <w:r>
              <w:rPr>
                <w:rStyle w:val="IndexLink"/>
                <w:rtl w:val="true"/>
              </w:rPr>
              <w:tab/>
            </w:r>
            <w:r>
              <w:rPr>
                <w:rStyle w:val="IndexLink"/>
              </w:rPr>
              <w:t>97</w:t>
            </w:r>
          </w:hyperlink>
        </w:p>
        <w:p>
          <w:pPr>
            <w:pStyle w:val="Contents4"/>
            <w:tabs>
              <w:tab w:val="clear" w:pos="8176"/>
              <w:tab w:val="right" w:pos="9026" w:leader="dot"/>
            </w:tabs>
            <w:rPr/>
          </w:pPr>
          <w:hyperlink w:anchor="__RefHeading___Toc362540_581953129">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362542_581953129">
            <w:r>
              <w:rPr>
                <w:webHidden/>
                <w:rStyle w:val="IndexLink"/>
                <w:rtl w:val="true"/>
              </w:rPr>
              <w:t>المذهب الجعفری</w:t>
            </w:r>
            <w:r>
              <w:rPr>
                <w:rStyle w:val="IndexLink"/>
                <w:rtl w:val="true"/>
              </w:rPr>
              <w:tab/>
            </w:r>
            <w:r>
              <w:rPr>
                <w:rStyle w:val="IndexLink"/>
              </w:rPr>
              <w:t>97</w:t>
            </w:r>
          </w:hyperlink>
        </w:p>
        <w:p>
          <w:pPr>
            <w:pStyle w:val="Contents4"/>
            <w:tabs>
              <w:tab w:val="clear" w:pos="8176"/>
              <w:tab w:val="right" w:pos="9026" w:leader="dot"/>
            </w:tabs>
            <w:rPr/>
          </w:pPr>
          <w:hyperlink w:anchor="__RefHeading___Toc362544_581953129">
            <w:r>
              <w:rPr>
                <w:webHidden/>
                <w:rStyle w:val="IndexLink"/>
                <w:rtl w:val="true"/>
              </w:rPr>
              <w:t>المذهب الحنفی</w:t>
            </w:r>
            <w:r>
              <w:rPr>
                <w:rStyle w:val="IndexLink"/>
                <w:rtl w:val="true"/>
              </w:rPr>
              <w:tab/>
            </w:r>
            <w:r>
              <w:rPr>
                <w:rStyle w:val="IndexLink"/>
              </w:rPr>
              <w:t>98</w:t>
            </w:r>
          </w:hyperlink>
        </w:p>
        <w:p>
          <w:pPr>
            <w:pStyle w:val="Contents4"/>
            <w:tabs>
              <w:tab w:val="clear" w:pos="8176"/>
              <w:tab w:val="right" w:pos="9026" w:leader="dot"/>
            </w:tabs>
            <w:rPr/>
          </w:pPr>
          <w:hyperlink w:anchor="__RefHeading___Toc362546_581953129">
            <w:r>
              <w:rPr>
                <w:webHidden/>
                <w:rStyle w:val="IndexLink"/>
                <w:rtl w:val="true"/>
              </w:rPr>
              <w:t>المذهب الجعفری</w:t>
            </w:r>
            <w:r>
              <w:rPr>
                <w:rStyle w:val="IndexLink"/>
                <w:rtl w:val="true"/>
              </w:rPr>
              <w:tab/>
            </w:r>
            <w:r>
              <w:rPr>
                <w:rStyle w:val="IndexLink"/>
              </w:rPr>
              <w:t>99</w:t>
            </w:r>
          </w:hyperlink>
        </w:p>
        <w:p>
          <w:pPr>
            <w:pStyle w:val="Contents4"/>
            <w:tabs>
              <w:tab w:val="clear" w:pos="8176"/>
              <w:tab w:val="right" w:pos="9026" w:leader="dot"/>
            </w:tabs>
            <w:rPr/>
          </w:pPr>
          <w:hyperlink w:anchor="__RefHeading___Toc362548_581953129">
            <w:r>
              <w:rPr>
                <w:webHidden/>
                <w:rStyle w:val="IndexLink"/>
                <w:rtl w:val="true"/>
              </w:rPr>
              <w:t>منشأ الاختلاف</w:t>
            </w:r>
            <w:r>
              <w:rPr>
                <w:rStyle w:val="IndexLink"/>
                <w:rtl w:val="true"/>
              </w:rPr>
              <w:tab/>
            </w:r>
            <w:r>
              <w:rPr>
                <w:rStyle w:val="IndexLink"/>
              </w:rPr>
              <w:t>100</w:t>
            </w:r>
          </w:hyperlink>
        </w:p>
        <w:p>
          <w:pPr>
            <w:pStyle w:val="Contents3"/>
            <w:tabs>
              <w:tab w:val="clear" w:pos="8459"/>
              <w:tab w:val="right" w:pos="9026" w:leader="dot"/>
            </w:tabs>
            <w:rPr/>
          </w:pPr>
          <w:hyperlink w:anchor="__RefHeading___Toc362550_581953129">
            <w:r>
              <w:rPr>
                <w:webHidden/>
                <w:rStyle w:val="IndexLink"/>
                <w:rtl w:val="true"/>
              </w:rPr>
              <w:t>غسل المیت</w:t>
            </w:r>
            <w:r>
              <w:rPr>
                <w:rStyle w:val="IndexLink"/>
                <w:rtl w:val="true"/>
              </w:rPr>
              <w:tab/>
            </w:r>
            <w:r>
              <w:rPr>
                <w:rStyle w:val="IndexLink"/>
              </w:rPr>
              <w:t>100</w:t>
            </w:r>
          </w:hyperlink>
        </w:p>
        <w:p>
          <w:pPr>
            <w:pStyle w:val="Contents4"/>
            <w:tabs>
              <w:tab w:val="clear" w:pos="8176"/>
              <w:tab w:val="right" w:pos="9026" w:leader="dot"/>
            </w:tabs>
            <w:rPr/>
          </w:pPr>
          <w:hyperlink w:anchor="__RefHeading___Toc362552_581953129">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362554_581953129">
            <w:r>
              <w:rPr>
                <w:webHidden/>
                <w:rStyle w:val="IndexLink"/>
                <w:rtl w:val="true"/>
              </w:rPr>
              <w:t>المذهب الجعفری</w:t>
            </w:r>
            <w:r>
              <w:rPr>
                <w:rStyle w:val="IndexLink"/>
                <w:rtl w:val="true"/>
              </w:rPr>
              <w:tab/>
            </w:r>
            <w:r>
              <w:rPr>
                <w:rStyle w:val="IndexLink"/>
              </w:rPr>
              <w:t>100</w:t>
            </w:r>
          </w:hyperlink>
        </w:p>
        <w:p>
          <w:pPr>
            <w:pStyle w:val="Contents4"/>
            <w:tabs>
              <w:tab w:val="clear" w:pos="8176"/>
              <w:tab w:val="right" w:pos="9026" w:leader="dot"/>
            </w:tabs>
            <w:rPr/>
          </w:pPr>
          <w:hyperlink w:anchor="__RefHeading___Toc362556_581953129">
            <w:r>
              <w:rPr>
                <w:webHidden/>
                <w:rStyle w:val="IndexLink"/>
                <w:rtl w:val="true"/>
              </w:rPr>
              <w:t>المذاهب الاربعة</w:t>
            </w:r>
            <w:r>
              <w:rPr>
                <w:rStyle w:val="IndexLink"/>
                <w:rtl w:val="true"/>
              </w:rPr>
              <w:tab/>
            </w:r>
            <w:r>
              <w:rPr>
                <w:rStyle w:val="IndexLink"/>
              </w:rPr>
              <w:t>101</w:t>
            </w:r>
          </w:hyperlink>
        </w:p>
        <w:p>
          <w:pPr>
            <w:pStyle w:val="Contents4"/>
            <w:tabs>
              <w:tab w:val="clear" w:pos="8176"/>
              <w:tab w:val="right" w:pos="9026" w:leader="dot"/>
            </w:tabs>
            <w:rPr/>
          </w:pPr>
          <w:hyperlink w:anchor="__RefHeading___Toc362558_581953129">
            <w:r>
              <w:rPr>
                <w:webHidden/>
                <w:rStyle w:val="IndexLink"/>
                <w:rtl w:val="true"/>
              </w:rPr>
              <w:t>منشأ الاختلاف</w:t>
            </w:r>
            <w:r>
              <w:rPr>
                <w:rStyle w:val="IndexLink"/>
                <w:rtl w:val="true"/>
              </w:rPr>
              <w:tab/>
            </w:r>
            <w:r>
              <w:rPr>
                <w:rStyle w:val="IndexLink"/>
              </w:rPr>
              <w:t>101</w:t>
            </w:r>
          </w:hyperlink>
        </w:p>
        <w:p>
          <w:pPr>
            <w:pStyle w:val="Contents3"/>
            <w:tabs>
              <w:tab w:val="clear" w:pos="8459"/>
              <w:tab w:val="right" w:pos="9026" w:leader="dot"/>
            </w:tabs>
            <w:rPr/>
          </w:pPr>
          <w:hyperlink w:anchor="__RefHeading___Toc362560_581953129">
            <w:r>
              <w:rPr>
                <w:webHidden/>
                <w:rStyle w:val="IndexLink"/>
                <w:rtl w:val="true"/>
              </w:rPr>
              <w:t>الخلاصة</w:t>
            </w:r>
            <w:r>
              <w:rPr>
                <w:rStyle w:val="IndexLink"/>
                <w:rtl w:val="true"/>
              </w:rPr>
              <w:tab/>
            </w:r>
            <w:r>
              <w:rPr>
                <w:rStyle w:val="IndexLink"/>
              </w:rPr>
              <w:t>102</w:t>
            </w:r>
          </w:hyperlink>
        </w:p>
        <w:p>
          <w:pPr>
            <w:pStyle w:val="Contents3"/>
            <w:tabs>
              <w:tab w:val="clear" w:pos="8459"/>
              <w:tab w:val="right" w:pos="9026" w:leader="dot"/>
            </w:tabs>
            <w:rPr/>
          </w:pPr>
          <w:hyperlink w:anchor="__RefHeading___Toc362562_581953129">
            <w:r>
              <w:rPr>
                <w:webHidden/>
                <w:rStyle w:val="IndexLink"/>
                <w:rtl w:val="true"/>
              </w:rPr>
              <w:t>الأسئلة</w:t>
            </w:r>
            <w:r>
              <w:rPr>
                <w:rStyle w:val="IndexLink"/>
                <w:rtl w:val="true"/>
              </w:rPr>
              <w:tab/>
            </w:r>
            <w:r>
              <w:rPr>
                <w:rStyle w:val="IndexLink"/>
              </w:rPr>
              <w:t>103</w:t>
            </w:r>
          </w:hyperlink>
        </w:p>
        <w:p>
          <w:pPr>
            <w:pStyle w:val="Contents2"/>
            <w:tabs>
              <w:tab w:val="clear" w:pos="8743"/>
              <w:tab w:val="right" w:pos="9026" w:leader="dot"/>
            </w:tabs>
            <w:rPr/>
          </w:pPr>
          <w:hyperlink w:anchor="__RefHeading___Toc362564_581953129">
            <w:r>
              <w:rPr>
                <w:webHidden/>
                <w:rStyle w:val="IndexLink"/>
              </w:rPr>
              <w:t>7</w:t>
            </w:r>
            <w:r>
              <w:rPr>
                <w:rStyle w:val="IndexLink"/>
                <w:rtl w:val="true"/>
              </w:rPr>
              <w:t xml:space="preserve">- </w:t>
            </w:r>
            <w:r>
              <w:rPr>
                <w:rStyle w:val="IndexLink"/>
                <w:rtl w:val="true"/>
              </w:rPr>
              <w:t>التیمم</w:t>
            </w:r>
            <w:r>
              <w:rPr>
                <w:rStyle w:val="IndexLink"/>
                <w:rtl w:val="true"/>
              </w:rPr>
              <w:tab/>
            </w:r>
            <w:r>
              <w:rPr>
                <w:rStyle w:val="IndexLink"/>
              </w:rPr>
              <w:t>104</w:t>
            </w:r>
          </w:hyperlink>
        </w:p>
        <w:p>
          <w:pPr>
            <w:pStyle w:val="Contents3"/>
            <w:tabs>
              <w:tab w:val="clear" w:pos="8459"/>
              <w:tab w:val="right" w:pos="9026" w:leader="dot"/>
            </w:tabs>
            <w:rPr/>
          </w:pPr>
          <w:hyperlink w:anchor="__RefHeading___Toc362566_581953129">
            <w:r>
              <w:rPr>
                <w:webHidden/>
                <w:rStyle w:val="IndexLink"/>
                <w:rtl w:val="true"/>
              </w:rPr>
              <w:t>کیفیة التیمم</w:t>
            </w:r>
            <w:r>
              <w:rPr>
                <w:rStyle w:val="IndexLink"/>
                <w:rtl w:val="true"/>
              </w:rPr>
              <w:tab/>
            </w:r>
            <w:r>
              <w:rPr>
                <w:rStyle w:val="IndexLink"/>
              </w:rPr>
              <w:t>104</w:t>
            </w:r>
          </w:hyperlink>
        </w:p>
        <w:p>
          <w:pPr>
            <w:pStyle w:val="Contents4"/>
            <w:tabs>
              <w:tab w:val="clear" w:pos="8176"/>
              <w:tab w:val="right" w:pos="9026" w:leader="dot"/>
            </w:tabs>
            <w:rPr/>
          </w:pPr>
          <w:hyperlink w:anchor="__RefHeading___Toc362568_581953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362570_581953129">
            <w:r>
              <w:rPr>
                <w:webHidden/>
                <w:rStyle w:val="IndexLink"/>
                <w:rtl w:val="true"/>
              </w:rPr>
              <w:t>المذهب الجعفری</w:t>
            </w:r>
            <w:r>
              <w:rPr>
                <w:rStyle w:val="IndexLink"/>
                <w:rtl w:val="true"/>
              </w:rPr>
              <w:tab/>
            </w:r>
            <w:r>
              <w:rPr>
                <w:rStyle w:val="IndexLink"/>
              </w:rPr>
              <w:t>104</w:t>
            </w:r>
          </w:hyperlink>
        </w:p>
        <w:p>
          <w:pPr>
            <w:pStyle w:val="Contents4"/>
            <w:tabs>
              <w:tab w:val="clear" w:pos="8176"/>
              <w:tab w:val="right" w:pos="9026" w:leader="dot"/>
            </w:tabs>
            <w:rPr/>
          </w:pPr>
          <w:hyperlink w:anchor="__RefHeading___Toc362572_581953129">
            <w:r>
              <w:rPr>
                <w:webHidden/>
                <w:rStyle w:val="IndexLink"/>
                <w:rtl w:val="true"/>
              </w:rPr>
              <w:t>المذهب الحنبلی</w:t>
            </w:r>
            <w:r>
              <w:rPr>
                <w:rStyle w:val="IndexLink"/>
                <w:rtl w:val="true"/>
              </w:rPr>
              <w:tab/>
            </w:r>
            <w:r>
              <w:rPr>
                <w:rStyle w:val="IndexLink"/>
              </w:rPr>
              <w:t>105</w:t>
            </w:r>
          </w:hyperlink>
        </w:p>
        <w:p>
          <w:pPr>
            <w:pStyle w:val="Contents4"/>
            <w:tabs>
              <w:tab w:val="clear" w:pos="8176"/>
              <w:tab w:val="right" w:pos="9026" w:leader="dot"/>
            </w:tabs>
            <w:rPr/>
          </w:pPr>
          <w:hyperlink w:anchor="__RefHeading___Toc362574_581953129">
            <w:r>
              <w:rPr>
                <w:webHidden/>
                <w:rStyle w:val="IndexLink"/>
                <w:rtl w:val="true"/>
              </w:rPr>
              <w:t>المذهب الحنفی</w:t>
            </w:r>
            <w:r>
              <w:rPr>
                <w:rStyle w:val="IndexLink"/>
                <w:rtl w:val="true"/>
              </w:rPr>
              <w:tab/>
            </w:r>
            <w:r>
              <w:rPr>
                <w:rStyle w:val="IndexLink"/>
              </w:rPr>
              <w:t>106</w:t>
            </w:r>
          </w:hyperlink>
        </w:p>
        <w:p>
          <w:pPr>
            <w:pStyle w:val="Contents3"/>
            <w:tabs>
              <w:tab w:val="clear" w:pos="8459"/>
              <w:tab w:val="right" w:pos="9026" w:leader="dot"/>
            </w:tabs>
            <w:rPr/>
          </w:pPr>
          <w:hyperlink w:anchor="__RefHeading___Toc362576_581953129">
            <w:r>
              <w:rPr>
                <w:webHidden/>
                <w:rStyle w:val="IndexLink"/>
                <w:rtl w:val="true"/>
              </w:rPr>
              <w:t>معنی الصعید</w:t>
            </w:r>
            <w:r>
              <w:rPr>
                <w:rStyle w:val="IndexLink"/>
                <w:rtl w:val="true"/>
              </w:rPr>
              <w:tab/>
            </w:r>
            <w:r>
              <w:rPr>
                <w:rStyle w:val="IndexLink"/>
              </w:rPr>
              <w:t>106</w:t>
            </w:r>
          </w:hyperlink>
        </w:p>
        <w:p>
          <w:pPr>
            <w:pStyle w:val="Contents4"/>
            <w:tabs>
              <w:tab w:val="clear" w:pos="8176"/>
              <w:tab w:val="right" w:pos="9026" w:leader="dot"/>
            </w:tabs>
            <w:rPr/>
          </w:pPr>
          <w:hyperlink w:anchor="__RefHeading___Toc362578_581953129">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362580_581953129">
            <w:r>
              <w:rPr>
                <w:webHidden/>
                <w:rStyle w:val="IndexLink"/>
                <w:rtl w:val="true"/>
              </w:rPr>
              <w:t>المذهب المالکی</w:t>
            </w:r>
            <w:r>
              <w:rPr>
                <w:rStyle w:val="IndexLink"/>
                <w:rtl w:val="true"/>
              </w:rPr>
              <w:tab/>
            </w:r>
            <w:r>
              <w:rPr>
                <w:rStyle w:val="IndexLink"/>
              </w:rPr>
              <w:t>106</w:t>
            </w:r>
          </w:hyperlink>
        </w:p>
        <w:p>
          <w:pPr>
            <w:pStyle w:val="Contents4"/>
            <w:tabs>
              <w:tab w:val="clear" w:pos="8176"/>
              <w:tab w:val="right" w:pos="9026" w:leader="dot"/>
            </w:tabs>
            <w:rPr/>
          </w:pPr>
          <w:hyperlink w:anchor="__RefHeading___Toc362582_581953129">
            <w:r>
              <w:rPr>
                <w:webHidden/>
                <w:rStyle w:val="IndexLink"/>
                <w:rtl w:val="true"/>
              </w:rPr>
              <w:t>المذهب الجعفری</w:t>
            </w:r>
            <w:r>
              <w:rPr>
                <w:rStyle w:val="IndexLink"/>
                <w:rtl w:val="true"/>
              </w:rPr>
              <w:tab/>
            </w:r>
            <w:r>
              <w:rPr>
                <w:rStyle w:val="IndexLink"/>
              </w:rPr>
              <w:t>107</w:t>
            </w:r>
          </w:hyperlink>
        </w:p>
        <w:p>
          <w:pPr>
            <w:pStyle w:val="Contents3"/>
            <w:tabs>
              <w:tab w:val="clear" w:pos="8459"/>
              <w:tab w:val="right" w:pos="9026" w:leader="dot"/>
            </w:tabs>
            <w:rPr/>
          </w:pPr>
          <w:hyperlink w:anchor="__RefHeading___Toc362584_581953129">
            <w:r>
              <w:rPr>
                <w:webHidden/>
                <w:rStyle w:val="IndexLink"/>
                <w:rtl w:val="true"/>
              </w:rPr>
              <w:t>رفع الساتر</w:t>
            </w:r>
            <w:r>
              <w:rPr>
                <w:rStyle w:val="IndexLink"/>
                <w:rtl w:val="true"/>
              </w:rPr>
              <w:tab/>
            </w:r>
            <w:r>
              <w:rPr>
                <w:rStyle w:val="IndexLink"/>
              </w:rPr>
              <w:t>107</w:t>
            </w:r>
          </w:hyperlink>
        </w:p>
        <w:p>
          <w:pPr>
            <w:pStyle w:val="Contents4"/>
            <w:tabs>
              <w:tab w:val="clear" w:pos="8176"/>
              <w:tab w:val="right" w:pos="9026" w:leader="dot"/>
            </w:tabs>
            <w:rPr/>
          </w:pPr>
          <w:hyperlink w:anchor="__RefHeading___Toc362586_58195312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62588_581953129">
            <w:r>
              <w:rPr>
                <w:webHidden/>
                <w:rStyle w:val="IndexLink"/>
                <w:rtl w:val="true"/>
              </w:rPr>
              <w:t>المذهب الحنفی</w:t>
            </w:r>
            <w:r>
              <w:rPr>
                <w:rStyle w:val="IndexLink"/>
                <w:rtl w:val="true"/>
              </w:rPr>
              <w:tab/>
            </w:r>
            <w:r>
              <w:rPr>
                <w:rStyle w:val="IndexLink"/>
              </w:rPr>
              <w:t>107</w:t>
            </w:r>
          </w:hyperlink>
        </w:p>
        <w:p>
          <w:pPr>
            <w:pStyle w:val="Contents4"/>
            <w:tabs>
              <w:tab w:val="clear" w:pos="8176"/>
              <w:tab w:val="right" w:pos="9026" w:leader="dot"/>
            </w:tabs>
            <w:rPr/>
          </w:pPr>
          <w:hyperlink w:anchor="__RefHeading___Toc362590_581953129">
            <w:r>
              <w:rPr>
                <w:webHidden/>
                <w:rStyle w:val="IndexLink"/>
                <w:rtl w:val="true"/>
              </w:rPr>
              <w:t>منشأ الاختلاف</w:t>
            </w:r>
            <w:r>
              <w:rPr>
                <w:rStyle w:val="IndexLink"/>
                <w:rtl w:val="true"/>
              </w:rPr>
              <w:tab/>
            </w:r>
            <w:r>
              <w:rPr>
                <w:rStyle w:val="IndexLink"/>
              </w:rPr>
              <w:t>107</w:t>
            </w:r>
          </w:hyperlink>
        </w:p>
        <w:p>
          <w:pPr>
            <w:pStyle w:val="Contents3"/>
            <w:tabs>
              <w:tab w:val="clear" w:pos="8459"/>
              <w:tab w:val="right" w:pos="9026" w:leader="dot"/>
            </w:tabs>
            <w:rPr/>
          </w:pPr>
          <w:hyperlink w:anchor="__RefHeading___Toc362592_581953129">
            <w:r>
              <w:rPr>
                <w:webHidden/>
                <w:rStyle w:val="IndexLink"/>
                <w:rtl w:val="true"/>
              </w:rPr>
              <w:t>الخلاصة</w:t>
            </w:r>
            <w:r>
              <w:rPr>
                <w:rStyle w:val="IndexLink"/>
                <w:rtl w:val="true"/>
              </w:rPr>
              <w:tab/>
            </w:r>
            <w:r>
              <w:rPr>
                <w:rStyle w:val="IndexLink"/>
              </w:rPr>
              <w:t>108</w:t>
            </w:r>
          </w:hyperlink>
        </w:p>
        <w:p>
          <w:pPr>
            <w:pStyle w:val="Contents3"/>
            <w:tabs>
              <w:tab w:val="clear" w:pos="8459"/>
              <w:tab w:val="right" w:pos="9026" w:leader="dot"/>
            </w:tabs>
            <w:rPr/>
          </w:pPr>
          <w:hyperlink w:anchor="__RefHeading___Toc362594_581953129">
            <w:r>
              <w:rPr>
                <w:webHidden/>
                <w:rStyle w:val="IndexLink"/>
                <w:rtl w:val="true"/>
              </w:rPr>
              <w:t>الأسئلة</w:t>
            </w:r>
            <w:r>
              <w:rPr>
                <w:rStyle w:val="IndexLink"/>
                <w:rtl w:val="true"/>
              </w:rPr>
              <w:tab/>
            </w:r>
            <w:r>
              <w:rPr>
                <w:rStyle w:val="IndexLink"/>
              </w:rPr>
              <w:t>109</w:t>
            </w:r>
          </w:hyperlink>
        </w:p>
        <w:p>
          <w:pPr>
            <w:pStyle w:val="Contents2"/>
            <w:tabs>
              <w:tab w:val="clear" w:pos="8743"/>
              <w:tab w:val="right" w:pos="9026" w:leader="dot"/>
            </w:tabs>
            <w:rPr/>
          </w:pPr>
          <w:hyperlink w:anchor="__RefHeading___Toc362596_581953129">
            <w:r>
              <w:rPr>
                <w:webHidden/>
                <w:rStyle w:val="IndexLink"/>
              </w:rPr>
              <w:t>8</w:t>
            </w:r>
            <w:r>
              <w:rPr>
                <w:rStyle w:val="IndexLink"/>
                <w:rtl w:val="true"/>
              </w:rPr>
              <w:t xml:space="preserve">- </w:t>
            </w:r>
            <w:r>
              <w:rPr>
                <w:rStyle w:val="IndexLink"/>
                <w:rtl w:val="true"/>
              </w:rPr>
              <w:t xml:space="preserve">أوقات الصلاة </w:t>
            </w:r>
            <w:r>
              <w:rPr>
                <w:rStyle w:val="IndexLink"/>
                <w:rtl w:val="true"/>
              </w:rPr>
              <w:t>(</w:t>
            </w:r>
            <w:r>
              <w:rPr>
                <w:rStyle w:val="IndexLink"/>
              </w:rPr>
              <w:t>1</w:t>
            </w:r>
            <w:r>
              <w:rPr>
                <w:rStyle w:val="IndexLink"/>
                <w:rtl w:val="true"/>
              </w:rPr>
              <w:t>)</w:t>
              <w:tab/>
            </w:r>
            <w:r>
              <w:rPr>
                <w:rStyle w:val="IndexLink"/>
              </w:rPr>
              <w:t>110</w:t>
            </w:r>
          </w:hyperlink>
        </w:p>
        <w:p>
          <w:pPr>
            <w:pStyle w:val="Contents3"/>
            <w:tabs>
              <w:tab w:val="clear" w:pos="8459"/>
              <w:tab w:val="right" w:pos="9026" w:leader="dot"/>
            </w:tabs>
            <w:rPr/>
          </w:pPr>
          <w:hyperlink w:anchor="__RefHeading___Toc362598_581953129">
            <w:r>
              <w:rPr>
                <w:webHidden/>
                <w:rStyle w:val="IndexLink"/>
                <w:rtl w:val="true"/>
              </w:rPr>
              <w:t>وقت الظهرین</w:t>
            </w:r>
            <w:r>
              <w:rPr>
                <w:rStyle w:val="IndexLink"/>
                <w:rtl w:val="true"/>
              </w:rPr>
              <w:tab/>
            </w:r>
            <w:r>
              <w:rPr>
                <w:rStyle w:val="IndexLink"/>
              </w:rPr>
              <w:t>110</w:t>
            </w:r>
          </w:hyperlink>
        </w:p>
        <w:p>
          <w:pPr>
            <w:pStyle w:val="Contents4"/>
            <w:tabs>
              <w:tab w:val="clear" w:pos="8176"/>
              <w:tab w:val="right" w:pos="9026" w:leader="dot"/>
            </w:tabs>
            <w:rPr/>
          </w:pPr>
          <w:hyperlink w:anchor="__RefHeading___Toc362600_581953129">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362602_581953129">
            <w:r>
              <w:rPr>
                <w:webHidden/>
                <w:rStyle w:val="IndexLink"/>
                <w:rtl w:val="true"/>
              </w:rPr>
              <w:t>المذهب الجعفری</w:t>
            </w:r>
            <w:r>
              <w:rPr>
                <w:rStyle w:val="IndexLink"/>
                <w:rtl w:val="true"/>
              </w:rPr>
              <w:tab/>
            </w:r>
            <w:r>
              <w:rPr>
                <w:rStyle w:val="IndexLink"/>
              </w:rPr>
              <w:t>110</w:t>
            </w:r>
          </w:hyperlink>
        </w:p>
        <w:p>
          <w:pPr>
            <w:pStyle w:val="Contents4"/>
            <w:tabs>
              <w:tab w:val="clear" w:pos="8176"/>
              <w:tab w:val="right" w:pos="9026" w:leader="dot"/>
            </w:tabs>
            <w:rPr/>
          </w:pPr>
          <w:hyperlink w:anchor="__RefHeading___Toc362604_581953129">
            <w:r>
              <w:rPr>
                <w:webHidden/>
                <w:rStyle w:val="IndexLink"/>
                <w:rtl w:val="true"/>
              </w:rPr>
              <w:t>المذاهب الاربعة</w:t>
            </w:r>
            <w:r>
              <w:rPr>
                <w:rStyle w:val="IndexLink"/>
                <w:rtl w:val="true"/>
              </w:rPr>
              <w:tab/>
            </w:r>
            <w:r>
              <w:rPr>
                <w:rStyle w:val="IndexLink"/>
              </w:rPr>
              <w:t>111</w:t>
            </w:r>
          </w:hyperlink>
        </w:p>
        <w:p>
          <w:pPr>
            <w:pStyle w:val="Contents3"/>
            <w:tabs>
              <w:tab w:val="clear" w:pos="8459"/>
              <w:tab w:val="right" w:pos="9026" w:leader="dot"/>
            </w:tabs>
            <w:rPr/>
          </w:pPr>
          <w:hyperlink w:anchor="__RefHeading___Toc362606_581953129">
            <w:r>
              <w:rPr>
                <w:webHidden/>
                <w:rStyle w:val="IndexLink"/>
                <w:rtl w:val="true"/>
              </w:rPr>
              <w:t>الجمع بین الصلاتین</w:t>
            </w:r>
            <w:r>
              <w:rPr>
                <w:rStyle w:val="IndexLink"/>
                <w:rtl w:val="true"/>
              </w:rPr>
              <w:tab/>
            </w:r>
            <w:r>
              <w:rPr>
                <w:rStyle w:val="IndexLink"/>
              </w:rPr>
              <w:t>113</w:t>
            </w:r>
          </w:hyperlink>
        </w:p>
        <w:p>
          <w:pPr>
            <w:pStyle w:val="Contents4"/>
            <w:tabs>
              <w:tab w:val="clear" w:pos="8176"/>
              <w:tab w:val="right" w:pos="9026" w:leader="dot"/>
            </w:tabs>
            <w:rPr/>
          </w:pPr>
          <w:hyperlink w:anchor="__RefHeading___Toc362608_581953129">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362610_581953129">
            <w:r>
              <w:rPr>
                <w:webHidden/>
                <w:rStyle w:val="IndexLink"/>
                <w:rtl w:val="true"/>
              </w:rPr>
              <w:t>منشأ الاختلاف</w:t>
            </w:r>
            <w:r>
              <w:rPr>
                <w:rStyle w:val="IndexLink"/>
                <w:rtl w:val="true"/>
              </w:rPr>
              <w:tab/>
            </w:r>
            <w:r>
              <w:rPr>
                <w:rStyle w:val="IndexLink"/>
              </w:rPr>
              <w:t>115</w:t>
            </w:r>
          </w:hyperlink>
        </w:p>
        <w:p>
          <w:pPr>
            <w:pStyle w:val="Contents3"/>
            <w:tabs>
              <w:tab w:val="clear" w:pos="8459"/>
              <w:tab w:val="right" w:pos="9026" w:leader="dot"/>
            </w:tabs>
            <w:rPr/>
          </w:pPr>
          <w:hyperlink w:anchor="__RefHeading___Toc362612_581953129">
            <w:r>
              <w:rPr>
                <w:webHidden/>
                <w:rStyle w:val="IndexLink"/>
                <w:rtl w:val="true"/>
              </w:rPr>
              <w:t>الخلاصة</w:t>
            </w:r>
            <w:r>
              <w:rPr>
                <w:rStyle w:val="IndexLink"/>
                <w:rtl w:val="true"/>
              </w:rPr>
              <w:tab/>
            </w:r>
            <w:r>
              <w:rPr>
                <w:rStyle w:val="IndexLink"/>
              </w:rPr>
              <w:t>116</w:t>
            </w:r>
          </w:hyperlink>
        </w:p>
        <w:p>
          <w:pPr>
            <w:pStyle w:val="Contents3"/>
            <w:tabs>
              <w:tab w:val="clear" w:pos="8459"/>
              <w:tab w:val="right" w:pos="9026" w:leader="dot"/>
            </w:tabs>
            <w:rPr/>
          </w:pPr>
          <w:hyperlink w:anchor="__RefHeading___Toc362614_581953129">
            <w:r>
              <w:rPr>
                <w:webHidden/>
                <w:rStyle w:val="IndexLink"/>
                <w:rtl w:val="true"/>
              </w:rPr>
              <w:t>الأسئلة</w:t>
            </w:r>
            <w:r>
              <w:rPr>
                <w:rStyle w:val="IndexLink"/>
                <w:rtl w:val="true"/>
              </w:rPr>
              <w:tab/>
            </w:r>
            <w:r>
              <w:rPr>
                <w:rStyle w:val="IndexLink"/>
              </w:rPr>
              <w:t>117</w:t>
            </w:r>
          </w:hyperlink>
        </w:p>
        <w:p>
          <w:pPr>
            <w:pStyle w:val="Contents2"/>
            <w:tabs>
              <w:tab w:val="clear" w:pos="8743"/>
              <w:tab w:val="right" w:pos="9026" w:leader="dot"/>
            </w:tabs>
            <w:rPr/>
          </w:pPr>
          <w:hyperlink w:anchor="__RefHeading___Toc362616_581953129">
            <w:r>
              <w:rPr>
                <w:webHidden/>
                <w:rStyle w:val="IndexLink"/>
              </w:rPr>
              <w:t>9</w:t>
            </w:r>
            <w:r>
              <w:rPr>
                <w:rStyle w:val="IndexLink"/>
                <w:rtl w:val="true"/>
              </w:rPr>
              <w:t xml:space="preserve">- </w:t>
            </w:r>
            <w:r>
              <w:rPr>
                <w:rStyle w:val="IndexLink"/>
                <w:rtl w:val="true"/>
              </w:rPr>
              <w:t xml:space="preserve">أوقات الصلاة </w:t>
            </w:r>
            <w:r>
              <w:rPr>
                <w:rStyle w:val="IndexLink"/>
                <w:rtl w:val="true"/>
              </w:rPr>
              <w:t>(</w:t>
            </w:r>
            <w:r>
              <w:rPr>
                <w:rStyle w:val="IndexLink"/>
              </w:rPr>
              <w:t>2</w:t>
            </w:r>
            <w:r>
              <w:rPr>
                <w:rStyle w:val="IndexLink"/>
                <w:rtl w:val="true"/>
              </w:rPr>
              <w:t>)</w:t>
              <w:tab/>
            </w:r>
            <w:r>
              <w:rPr>
                <w:rStyle w:val="IndexLink"/>
              </w:rPr>
              <w:t>118</w:t>
            </w:r>
          </w:hyperlink>
        </w:p>
        <w:p>
          <w:pPr>
            <w:pStyle w:val="Contents3"/>
            <w:tabs>
              <w:tab w:val="clear" w:pos="8459"/>
              <w:tab w:val="right" w:pos="9026" w:leader="dot"/>
            </w:tabs>
            <w:rPr/>
          </w:pPr>
          <w:hyperlink w:anchor="__RefHeading___Toc362618_581953129">
            <w:r>
              <w:rPr>
                <w:webHidden/>
                <w:rStyle w:val="IndexLink"/>
                <w:rtl w:val="true"/>
              </w:rPr>
              <w:t>وقت المغرب</w:t>
            </w:r>
            <w:r>
              <w:rPr>
                <w:rStyle w:val="IndexLink"/>
                <w:rtl w:val="true"/>
              </w:rPr>
              <w:tab/>
            </w:r>
            <w:r>
              <w:rPr>
                <w:rStyle w:val="IndexLink"/>
              </w:rPr>
              <w:t>118</w:t>
            </w:r>
          </w:hyperlink>
        </w:p>
        <w:p>
          <w:pPr>
            <w:pStyle w:val="Contents4"/>
            <w:tabs>
              <w:tab w:val="clear" w:pos="8176"/>
              <w:tab w:val="right" w:pos="9026" w:leader="dot"/>
            </w:tabs>
            <w:rPr/>
          </w:pPr>
          <w:hyperlink w:anchor="__RefHeading___Toc362620_581953129">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362622_581953129">
            <w:r>
              <w:rPr>
                <w:webHidden/>
                <w:rStyle w:val="IndexLink"/>
                <w:rtl w:val="true"/>
              </w:rPr>
              <w:t>المذاهب الاربعة</w:t>
            </w:r>
            <w:r>
              <w:rPr>
                <w:rStyle w:val="IndexLink"/>
                <w:rtl w:val="true"/>
              </w:rPr>
              <w:tab/>
            </w:r>
            <w:r>
              <w:rPr>
                <w:rStyle w:val="IndexLink"/>
              </w:rPr>
              <w:t>118</w:t>
            </w:r>
          </w:hyperlink>
        </w:p>
        <w:p>
          <w:pPr>
            <w:pStyle w:val="Contents4"/>
            <w:tabs>
              <w:tab w:val="clear" w:pos="8176"/>
              <w:tab w:val="right" w:pos="9026" w:leader="dot"/>
            </w:tabs>
            <w:rPr/>
          </w:pPr>
          <w:hyperlink w:anchor="__RefHeading___Toc362624_581953129">
            <w:r>
              <w:rPr>
                <w:webHidden/>
                <w:rStyle w:val="IndexLink"/>
                <w:rtl w:val="true"/>
              </w:rPr>
              <w:t>المذهب الجعفری</w:t>
            </w:r>
            <w:r>
              <w:rPr>
                <w:rStyle w:val="IndexLink"/>
                <w:rtl w:val="true"/>
              </w:rPr>
              <w:tab/>
            </w:r>
            <w:r>
              <w:rPr>
                <w:rStyle w:val="IndexLink"/>
              </w:rPr>
              <w:t>118</w:t>
            </w:r>
          </w:hyperlink>
        </w:p>
        <w:p>
          <w:pPr>
            <w:pStyle w:val="Contents3"/>
            <w:tabs>
              <w:tab w:val="clear" w:pos="8459"/>
              <w:tab w:val="right" w:pos="9026" w:leader="dot"/>
            </w:tabs>
            <w:rPr/>
          </w:pPr>
          <w:hyperlink w:anchor="__RefHeading___Toc362626_581953129">
            <w:r>
              <w:rPr>
                <w:webHidden/>
                <w:rStyle w:val="IndexLink"/>
                <w:rtl w:val="true"/>
              </w:rPr>
              <w:t>جواز تأخیر المغرب عن الوقت الخاص</w:t>
            </w:r>
            <w:r>
              <w:rPr>
                <w:rStyle w:val="IndexLink"/>
                <w:rtl w:val="true"/>
              </w:rPr>
              <w:tab/>
            </w:r>
            <w:r>
              <w:rPr>
                <w:rStyle w:val="IndexLink"/>
              </w:rPr>
              <w:t>120</w:t>
            </w:r>
          </w:hyperlink>
        </w:p>
        <w:p>
          <w:pPr>
            <w:pStyle w:val="Contents4"/>
            <w:tabs>
              <w:tab w:val="clear" w:pos="8176"/>
              <w:tab w:val="right" w:pos="9026" w:leader="dot"/>
            </w:tabs>
            <w:rPr/>
          </w:pPr>
          <w:hyperlink w:anchor="__RefHeading___Toc362628_581953129">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362630_581953129">
            <w:r>
              <w:rPr>
                <w:webHidden/>
                <w:rStyle w:val="IndexLink"/>
                <w:rtl w:val="true"/>
              </w:rPr>
              <w:t>المذهب الجعفری</w:t>
            </w:r>
            <w:r>
              <w:rPr>
                <w:rStyle w:val="IndexLink"/>
                <w:rtl w:val="true"/>
              </w:rPr>
              <w:tab/>
            </w:r>
            <w:r>
              <w:rPr>
                <w:rStyle w:val="IndexLink"/>
              </w:rPr>
              <w:t>120</w:t>
            </w:r>
          </w:hyperlink>
        </w:p>
        <w:p>
          <w:pPr>
            <w:pStyle w:val="Contents4"/>
            <w:tabs>
              <w:tab w:val="clear" w:pos="8176"/>
              <w:tab w:val="right" w:pos="9026" w:leader="dot"/>
            </w:tabs>
            <w:rPr/>
          </w:pPr>
          <w:hyperlink w:anchor="__RefHeading___Toc362632_581953129">
            <w:r>
              <w:rPr>
                <w:webHidden/>
                <w:rStyle w:val="IndexLink"/>
                <w:rtl w:val="true"/>
              </w:rPr>
              <w:t>المذاهب الاربعة</w:t>
            </w:r>
            <w:r>
              <w:rPr>
                <w:rStyle w:val="IndexLink"/>
                <w:rtl w:val="true"/>
              </w:rPr>
              <w:tab/>
            </w:r>
            <w:r>
              <w:rPr>
                <w:rStyle w:val="IndexLink"/>
              </w:rPr>
              <w:t>121</w:t>
            </w:r>
          </w:hyperlink>
        </w:p>
        <w:p>
          <w:pPr>
            <w:pStyle w:val="Contents3"/>
            <w:tabs>
              <w:tab w:val="clear" w:pos="8459"/>
              <w:tab w:val="right" w:pos="9026" w:leader="dot"/>
            </w:tabs>
            <w:rPr/>
          </w:pPr>
          <w:hyperlink w:anchor="__RefHeading___Toc362634_581953129">
            <w:r>
              <w:rPr>
                <w:webHidden/>
                <w:rStyle w:val="IndexLink"/>
                <w:rtl w:val="true"/>
              </w:rPr>
              <w:t>الجمع بین العشائین</w:t>
            </w:r>
            <w:r>
              <w:rPr>
                <w:rStyle w:val="IndexLink"/>
                <w:rtl w:val="true"/>
              </w:rPr>
              <w:tab/>
            </w:r>
            <w:r>
              <w:rPr>
                <w:rStyle w:val="IndexLink"/>
              </w:rPr>
              <w:t>121</w:t>
            </w:r>
          </w:hyperlink>
        </w:p>
        <w:p>
          <w:pPr>
            <w:pStyle w:val="Contents3"/>
            <w:tabs>
              <w:tab w:val="clear" w:pos="8459"/>
              <w:tab w:val="right" w:pos="9026" w:leader="dot"/>
            </w:tabs>
            <w:rPr/>
          </w:pPr>
          <w:hyperlink w:anchor="__RefHeading___Toc362636_581953129">
            <w:r>
              <w:rPr>
                <w:webHidden/>
                <w:rStyle w:val="IndexLink"/>
                <w:rtl w:val="true"/>
              </w:rPr>
              <w:t>وقت العشاء</w:t>
            </w:r>
            <w:r>
              <w:rPr>
                <w:rStyle w:val="IndexLink"/>
                <w:rtl w:val="true"/>
              </w:rPr>
              <w:tab/>
            </w:r>
            <w:r>
              <w:rPr>
                <w:rStyle w:val="IndexLink"/>
              </w:rPr>
              <w:t>122</w:t>
            </w:r>
          </w:hyperlink>
        </w:p>
        <w:p>
          <w:pPr>
            <w:pStyle w:val="Contents4"/>
            <w:tabs>
              <w:tab w:val="clear" w:pos="8176"/>
              <w:tab w:val="right" w:pos="9026" w:leader="dot"/>
            </w:tabs>
            <w:rPr/>
          </w:pPr>
          <w:hyperlink w:anchor="__RefHeading___Toc362638_58195312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362640_581953129">
            <w:r>
              <w:rPr>
                <w:webHidden/>
                <w:rStyle w:val="IndexLink"/>
                <w:rtl w:val="true"/>
              </w:rPr>
              <w:t>المذاهب الاربعة</w:t>
            </w:r>
            <w:r>
              <w:rPr>
                <w:rStyle w:val="IndexLink"/>
                <w:rtl w:val="true"/>
              </w:rPr>
              <w:tab/>
            </w:r>
            <w:r>
              <w:rPr>
                <w:rStyle w:val="IndexLink"/>
              </w:rPr>
              <w:t>122</w:t>
            </w:r>
          </w:hyperlink>
        </w:p>
        <w:p>
          <w:pPr>
            <w:pStyle w:val="Contents4"/>
            <w:tabs>
              <w:tab w:val="clear" w:pos="8176"/>
              <w:tab w:val="right" w:pos="9026" w:leader="dot"/>
            </w:tabs>
            <w:rPr/>
          </w:pPr>
          <w:hyperlink w:anchor="__RefHeading___Toc362642_581953129">
            <w:r>
              <w:rPr>
                <w:webHidden/>
                <w:rStyle w:val="IndexLink"/>
                <w:rtl w:val="true"/>
              </w:rPr>
              <w:t>المذهب الجعفری</w:t>
            </w:r>
            <w:r>
              <w:rPr>
                <w:rStyle w:val="IndexLink"/>
                <w:rtl w:val="true"/>
              </w:rPr>
              <w:tab/>
            </w:r>
            <w:r>
              <w:rPr>
                <w:rStyle w:val="IndexLink"/>
              </w:rPr>
              <w:t>123</w:t>
            </w:r>
          </w:hyperlink>
        </w:p>
        <w:p>
          <w:pPr>
            <w:pStyle w:val="Contents4"/>
            <w:tabs>
              <w:tab w:val="clear" w:pos="8176"/>
              <w:tab w:val="right" w:pos="9026" w:leader="dot"/>
            </w:tabs>
            <w:rPr/>
          </w:pPr>
          <w:hyperlink w:anchor="__RefHeading___Toc362644_581953129">
            <w:r>
              <w:rPr>
                <w:webHidden/>
                <w:rStyle w:val="IndexLink"/>
                <w:rtl w:val="true"/>
              </w:rPr>
              <w:t>منشأ الاختلاف</w:t>
            </w:r>
            <w:r>
              <w:rPr>
                <w:rStyle w:val="IndexLink"/>
                <w:rtl w:val="true"/>
              </w:rPr>
              <w:tab/>
            </w:r>
            <w:r>
              <w:rPr>
                <w:rStyle w:val="IndexLink"/>
              </w:rPr>
              <w:t>125</w:t>
            </w:r>
          </w:hyperlink>
        </w:p>
        <w:p>
          <w:pPr>
            <w:pStyle w:val="Contents3"/>
            <w:tabs>
              <w:tab w:val="clear" w:pos="8459"/>
              <w:tab w:val="right" w:pos="9026" w:leader="dot"/>
            </w:tabs>
            <w:rPr/>
          </w:pPr>
          <w:hyperlink w:anchor="__RefHeading___Toc362646_581953129">
            <w:r>
              <w:rPr>
                <w:webHidden/>
                <w:rStyle w:val="IndexLink"/>
                <w:rtl w:val="true"/>
              </w:rPr>
              <w:t>الخلاصة</w:t>
            </w:r>
            <w:r>
              <w:rPr>
                <w:rStyle w:val="IndexLink"/>
                <w:rtl w:val="true"/>
              </w:rPr>
              <w:tab/>
            </w:r>
            <w:r>
              <w:rPr>
                <w:rStyle w:val="IndexLink"/>
              </w:rPr>
              <w:t>126</w:t>
            </w:r>
          </w:hyperlink>
        </w:p>
        <w:p>
          <w:pPr>
            <w:pStyle w:val="Contents3"/>
            <w:tabs>
              <w:tab w:val="clear" w:pos="8459"/>
              <w:tab w:val="right" w:pos="9026" w:leader="dot"/>
            </w:tabs>
            <w:rPr/>
          </w:pPr>
          <w:hyperlink w:anchor="__RefHeading___Toc362648_581953129">
            <w:r>
              <w:rPr>
                <w:webHidden/>
                <w:rStyle w:val="IndexLink"/>
                <w:rtl w:val="true"/>
              </w:rPr>
              <w:t>الأسئلة</w:t>
            </w:r>
            <w:r>
              <w:rPr>
                <w:rStyle w:val="IndexLink"/>
                <w:rtl w:val="true"/>
              </w:rPr>
              <w:tab/>
            </w:r>
            <w:r>
              <w:rPr>
                <w:rStyle w:val="IndexLink"/>
              </w:rPr>
              <w:t>127</w:t>
            </w:r>
          </w:hyperlink>
        </w:p>
        <w:p>
          <w:pPr>
            <w:pStyle w:val="Contents2"/>
            <w:tabs>
              <w:tab w:val="clear" w:pos="8743"/>
              <w:tab w:val="right" w:pos="9026" w:leader="dot"/>
            </w:tabs>
            <w:rPr/>
          </w:pPr>
          <w:hyperlink w:anchor="__RefHeading___Toc362650_581953129">
            <w:r>
              <w:rPr>
                <w:webHidden/>
                <w:rStyle w:val="IndexLink"/>
              </w:rPr>
              <w:t>10</w:t>
            </w:r>
            <w:r>
              <w:rPr>
                <w:rStyle w:val="IndexLink"/>
                <w:rtl w:val="true"/>
              </w:rPr>
              <w:t xml:space="preserve">- </w:t>
            </w:r>
            <w:r>
              <w:rPr>
                <w:rStyle w:val="IndexLink"/>
                <w:rtl w:val="true"/>
              </w:rPr>
              <w:t>الأذان و الإقامة</w:t>
            </w:r>
            <w:r>
              <w:rPr>
                <w:rStyle w:val="IndexLink"/>
                <w:rtl w:val="true"/>
              </w:rPr>
              <w:tab/>
            </w:r>
            <w:r>
              <w:rPr>
                <w:rStyle w:val="IndexLink"/>
              </w:rPr>
              <w:t>128</w:t>
            </w:r>
          </w:hyperlink>
        </w:p>
        <w:p>
          <w:pPr>
            <w:pStyle w:val="Contents3"/>
            <w:tabs>
              <w:tab w:val="clear" w:pos="8459"/>
              <w:tab w:val="right" w:pos="9026" w:leader="dot"/>
            </w:tabs>
            <w:rPr/>
          </w:pPr>
          <w:hyperlink w:anchor="__RefHeading___Toc362652_581953129">
            <w:r>
              <w:rPr>
                <w:webHidden/>
                <w:rStyle w:val="IndexLink"/>
                <w:rtl w:val="true"/>
              </w:rPr>
              <w:t>حکم الأذان و الإقامة</w:t>
            </w:r>
            <w:r>
              <w:rPr>
                <w:rStyle w:val="IndexLink"/>
                <w:rtl w:val="true"/>
              </w:rPr>
              <w:tab/>
            </w:r>
            <w:r>
              <w:rPr>
                <w:rStyle w:val="IndexLink"/>
              </w:rPr>
              <w:t>128</w:t>
            </w:r>
          </w:hyperlink>
        </w:p>
        <w:p>
          <w:pPr>
            <w:pStyle w:val="Contents4"/>
            <w:tabs>
              <w:tab w:val="clear" w:pos="8176"/>
              <w:tab w:val="right" w:pos="9026" w:leader="dot"/>
            </w:tabs>
            <w:rPr/>
          </w:pPr>
          <w:hyperlink w:anchor="__RefHeading___Toc362654_581953129">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362656_581953129">
            <w:r>
              <w:rPr>
                <w:webHidden/>
                <w:rStyle w:val="IndexLink"/>
                <w:rtl w:val="true"/>
              </w:rPr>
              <w:t>المذهب الجعفری</w:t>
            </w:r>
            <w:r>
              <w:rPr>
                <w:rStyle w:val="IndexLink"/>
                <w:rtl w:val="true"/>
              </w:rPr>
              <w:tab/>
            </w:r>
            <w:r>
              <w:rPr>
                <w:rStyle w:val="IndexLink"/>
              </w:rPr>
              <w:t>128</w:t>
            </w:r>
          </w:hyperlink>
        </w:p>
        <w:p>
          <w:pPr>
            <w:pStyle w:val="Contents4"/>
            <w:tabs>
              <w:tab w:val="clear" w:pos="8176"/>
              <w:tab w:val="right" w:pos="9026" w:leader="dot"/>
            </w:tabs>
            <w:rPr/>
          </w:pPr>
          <w:hyperlink w:anchor="__RefHeading___Toc362658_581953129">
            <w:r>
              <w:rPr>
                <w:webHidden/>
                <w:rStyle w:val="IndexLink"/>
                <w:rtl w:val="true"/>
              </w:rPr>
              <w:t>المذاهب الاربعة</w:t>
            </w:r>
            <w:r>
              <w:rPr>
                <w:rStyle w:val="IndexLink"/>
                <w:rtl w:val="true"/>
              </w:rPr>
              <w:tab/>
            </w:r>
            <w:r>
              <w:rPr>
                <w:rStyle w:val="IndexLink"/>
              </w:rPr>
              <w:t>128</w:t>
            </w:r>
          </w:hyperlink>
        </w:p>
        <w:p>
          <w:pPr>
            <w:pStyle w:val="Contents3"/>
            <w:tabs>
              <w:tab w:val="clear" w:pos="8459"/>
              <w:tab w:val="right" w:pos="9026" w:leader="dot"/>
            </w:tabs>
            <w:rPr/>
          </w:pPr>
          <w:hyperlink w:anchor="__RefHeading___Toc362660_581953129">
            <w:r>
              <w:rPr>
                <w:webHidden/>
                <w:rStyle w:val="IndexLink"/>
                <w:rtl w:val="true"/>
              </w:rPr>
              <w:t>صیغ الأذان و الإقامة</w:t>
            </w:r>
            <w:r>
              <w:rPr>
                <w:rStyle w:val="IndexLink"/>
                <w:rtl w:val="true"/>
              </w:rPr>
              <w:tab/>
            </w:r>
            <w:r>
              <w:rPr>
                <w:rStyle w:val="IndexLink"/>
              </w:rPr>
              <w:t>129</w:t>
            </w:r>
          </w:hyperlink>
        </w:p>
        <w:p>
          <w:pPr>
            <w:pStyle w:val="Contents4"/>
            <w:tabs>
              <w:tab w:val="clear" w:pos="8176"/>
              <w:tab w:val="right" w:pos="9026" w:leader="dot"/>
            </w:tabs>
            <w:rPr/>
          </w:pPr>
          <w:hyperlink w:anchor="__RefHeading___Toc362662_581953129">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362664_581953129">
            <w:r>
              <w:rPr>
                <w:webHidden/>
                <w:rStyle w:val="IndexLink"/>
                <w:rtl w:val="true"/>
              </w:rPr>
              <w:t>المذاهب الاربعة</w:t>
            </w:r>
            <w:r>
              <w:rPr>
                <w:rStyle w:val="IndexLink"/>
                <w:rtl w:val="true"/>
              </w:rPr>
              <w:tab/>
            </w:r>
            <w:r>
              <w:rPr>
                <w:rStyle w:val="IndexLink"/>
              </w:rPr>
              <w:t>129</w:t>
            </w:r>
          </w:hyperlink>
        </w:p>
        <w:p>
          <w:pPr>
            <w:pStyle w:val="Contents3"/>
            <w:tabs>
              <w:tab w:val="clear" w:pos="8459"/>
              <w:tab w:val="right" w:pos="9026" w:leader="dot"/>
            </w:tabs>
            <w:rPr/>
          </w:pPr>
          <w:hyperlink w:anchor="__RefHeading___Toc362666_581953129">
            <w:r>
              <w:rPr>
                <w:webHidden/>
                <w:rStyle w:val="IndexLink"/>
                <w:rtl w:val="true"/>
              </w:rPr>
              <w:t>التثویب المحدث</w:t>
            </w:r>
            <w:r>
              <w:rPr>
                <w:rStyle w:val="IndexLink"/>
                <w:rtl w:val="true"/>
              </w:rPr>
              <w:tab/>
            </w:r>
            <w:r>
              <w:rPr>
                <w:rStyle w:val="IndexLink"/>
              </w:rPr>
              <w:t>130</w:t>
            </w:r>
          </w:hyperlink>
        </w:p>
        <w:p>
          <w:pPr>
            <w:pStyle w:val="Contents4"/>
            <w:tabs>
              <w:tab w:val="clear" w:pos="8176"/>
              <w:tab w:val="right" w:pos="9026" w:leader="dot"/>
            </w:tabs>
            <w:rPr/>
          </w:pPr>
          <w:hyperlink w:anchor="__RefHeading___Toc362668_581953129">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362670_581953129">
            <w:r>
              <w:rPr>
                <w:webHidden/>
                <w:rStyle w:val="IndexLink"/>
                <w:rtl w:val="true"/>
              </w:rPr>
              <w:t>المذهب الجعفری</w:t>
            </w:r>
            <w:r>
              <w:rPr>
                <w:rStyle w:val="IndexLink"/>
                <w:rtl w:val="true"/>
              </w:rPr>
              <w:tab/>
            </w:r>
            <w:r>
              <w:rPr>
                <w:rStyle w:val="IndexLink"/>
              </w:rPr>
              <w:t>132</w:t>
            </w:r>
          </w:hyperlink>
        </w:p>
        <w:p>
          <w:pPr>
            <w:pStyle w:val="Contents4"/>
            <w:tabs>
              <w:tab w:val="clear" w:pos="8176"/>
              <w:tab w:val="right" w:pos="9026" w:leader="dot"/>
            </w:tabs>
            <w:rPr/>
          </w:pPr>
          <w:hyperlink w:anchor="__RefHeading___Toc362672_581953129">
            <w:r>
              <w:rPr>
                <w:webHidden/>
                <w:rStyle w:val="IndexLink"/>
                <w:rtl w:val="true"/>
              </w:rPr>
              <w:t>منشأ الاختلاف</w:t>
            </w:r>
            <w:r>
              <w:rPr>
                <w:rStyle w:val="IndexLink"/>
                <w:rtl w:val="true"/>
              </w:rPr>
              <w:tab/>
            </w:r>
            <w:r>
              <w:rPr>
                <w:rStyle w:val="IndexLink"/>
              </w:rPr>
              <w:t>134</w:t>
            </w:r>
          </w:hyperlink>
        </w:p>
        <w:p>
          <w:pPr>
            <w:pStyle w:val="Contents3"/>
            <w:tabs>
              <w:tab w:val="clear" w:pos="8459"/>
              <w:tab w:val="right" w:pos="9026" w:leader="dot"/>
            </w:tabs>
            <w:rPr/>
          </w:pPr>
          <w:hyperlink w:anchor="__RefHeading___Toc362674_581953129">
            <w:r>
              <w:rPr>
                <w:webHidden/>
                <w:rStyle w:val="IndexLink"/>
                <w:rtl w:val="true"/>
              </w:rPr>
              <w:t>تکبیرة الإحرام</w:t>
            </w:r>
            <w:r>
              <w:rPr>
                <w:rStyle w:val="IndexLink"/>
                <w:rtl w:val="true"/>
              </w:rPr>
              <w:tab/>
            </w:r>
            <w:r>
              <w:rPr>
                <w:rStyle w:val="IndexLink"/>
              </w:rPr>
              <w:t>134</w:t>
            </w:r>
          </w:hyperlink>
        </w:p>
        <w:p>
          <w:pPr>
            <w:pStyle w:val="Contents4"/>
            <w:tabs>
              <w:tab w:val="clear" w:pos="8176"/>
              <w:tab w:val="right" w:pos="9026" w:leader="dot"/>
            </w:tabs>
            <w:rPr/>
          </w:pPr>
          <w:hyperlink w:anchor="__RefHeading___Toc362676_581953129">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362678_581953129">
            <w:r>
              <w:rPr>
                <w:webHidden/>
                <w:rStyle w:val="IndexLink"/>
                <w:rtl w:val="true"/>
              </w:rPr>
              <w:t>المذاهب الاربعة</w:t>
            </w:r>
            <w:r>
              <w:rPr>
                <w:rStyle w:val="IndexLink"/>
                <w:rtl w:val="true"/>
              </w:rPr>
              <w:tab/>
            </w:r>
            <w:r>
              <w:rPr>
                <w:rStyle w:val="IndexLink"/>
              </w:rPr>
              <w:t>134</w:t>
            </w:r>
          </w:hyperlink>
        </w:p>
        <w:p>
          <w:pPr>
            <w:pStyle w:val="Contents4"/>
            <w:tabs>
              <w:tab w:val="clear" w:pos="8176"/>
              <w:tab w:val="right" w:pos="9026" w:leader="dot"/>
            </w:tabs>
            <w:rPr/>
          </w:pPr>
          <w:hyperlink w:anchor="__RefHeading___Toc362680_581953129">
            <w:r>
              <w:rPr>
                <w:webHidden/>
                <w:rStyle w:val="IndexLink"/>
                <w:rtl w:val="true"/>
              </w:rPr>
              <w:t>المذهب الجعفری</w:t>
            </w:r>
            <w:r>
              <w:rPr>
                <w:rStyle w:val="IndexLink"/>
                <w:rtl w:val="true"/>
              </w:rPr>
              <w:tab/>
            </w:r>
            <w:r>
              <w:rPr>
                <w:rStyle w:val="IndexLink"/>
              </w:rPr>
              <w:t>136</w:t>
            </w:r>
          </w:hyperlink>
        </w:p>
        <w:p>
          <w:pPr>
            <w:pStyle w:val="Contents3"/>
            <w:tabs>
              <w:tab w:val="clear" w:pos="8459"/>
              <w:tab w:val="right" w:pos="9026" w:leader="dot"/>
            </w:tabs>
            <w:rPr/>
          </w:pPr>
          <w:hyperlink w:anchor="__RefHeading___Toc362682_581953129">
            <w:r>
              <w:rPr>
                <w:webHidden/>
                <w:rStyle w:val="IndexLink"/>
                <w:rtl w:val="true"/>
              </w:rPr>
              <w:t>القرائة</w:t>
            </w:r>
            <w:r>
              <w:rPr>
                <w:rStyle w:val="IndexLink"/>
                <w:rtl w:val="true"/>
              </w:rPr>
              <w:tab/>
            </w:r>
            <w:r>
              <w:rPr>
                <w:rStyle w:val="IndexLink"/>
              </w:rPr>
              <w:t>136</w:t>
            </w:r>
          </w:hyperlink>
        </w:p>
        <w:p>
          <w:pPr>
            <w:pStyle w:val="Contents4"/>
            <w:tabs>
              <w:tab w:val="clear" w:pos="8176"/>
              <w:tab w:val="right" w:pos="9026" w:leader="dot"/>
            </w:tabs>
            <w:rPr/>
          </w:pPr>
          <w:hyperlink w:anchor="__RefHeading___Toc362684_581953129">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362686_581953129">
            <w:r>
              <w:rPr>
                <w:webHidden/>
                <w:rStyle w:val="IndexLink"/>
                <w:rtl w:val="true"/>
              </w:rPr>
              <w:t>المذاهب الاربعة</w:t>
            </w:r>
            <w:r>
              <w:rPr>
                <w:rStyle w:val="IndexLink"/>
                <w:rtl w:val="true"/>
              </w:rPr>
              <w:tab/>
            </w:r>
            <w:r>
              <w:rPr>
                <w:rStyle w:val="IndexLink"/>
              </w:rPr>
              <w:t>136</w:t>
            </w:r>
          </w:hyperlink>
        </w:p>
        <w:p>
          <w:pPr>
            <w:pStyle w:val="Contents3"/>
            <w:tabs>
              <w:tab w:val="clear" w:pos="8459"/>
              <w:tab w:val="right" w:pos="9026" w:leader="dot"/>
            </w:tabs>
            <w:rPr/>
          </w:pPr>
          <w:hyperlink w:anchor="__RefHeading___Toc362688_581953129">
            <w:r>
              <w:rPr>
                <w:webHidden/>
                <w:rStyle w:val="IndexLink"/>
                <w:rtl w:val="true"/>
              </w:rPr>
              <w:t>جواز القراءت بغیر العربیة</w:t>
            </w:r>
            <w:r>
              <w:rPr>
                <w:rStyle w:val="IndexLink"/>
                <w:rtl w:val="true"/>
              </w:rPr>
              <w:tab/>
            </w:r>
            <w:r>
              <w:rPr>
                <w:rStyle w:val="IndexLink"/>
              </w:rPr>
              <w:t>138</w:t>
            </w:r>
          </w:hyperlink>
        </w:p>
        <w:p>
          <w:pPr>
            <w:pStyle w:val="Contents4"/>
            <w:tabs>
              <w:tab w:val="clear" w:pos="8176"/>
              <w:tab w:val="right" w:pos="9026" w:leader="dot"/>
            </w:tabs>
            <w:rPr/>
          </w:pPr>
          <w:hyperlink w:anchor="__RefHeading___Toc362690_581953129">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362692_581953129">
            <w:r>
              <w:rPr>
                <w:webHidden/>
                <w:rStyle w:val="IndexLink"/>
                <w:rtl w:val="true"/>
              </w:rPr>
              <w:t>منشأ الاختلاف</w:t>
            </w:r>
            <w:r>
              <w:rPr>
                <w:rStyle w:val="IndexLink"/>
                <w:rtl w:val="true"/>
              </w:rPr>
              <w:tab/>
            </w:r>
            <w:r>
              <w:rPr>
                <w:rStyle w:val="IndexLink"/>
              </w:rPr>
              <w:t>140</w:t>
            </w:r>
          </w:hyperlink>
        </w:p>
        <w:p>
          <w:pPr>
            <w:pStyle w:val="Contents3"/>
            <w:tabs>
              <w:tab w:val="clear" w:pos="8459"/>
              <w:tab w:val="right" w:pos="9026" w:leader="dot"/>
            </w:tabs>
            <w:rPr/>
          </w:pPr>
          <w:hyperlink w:anchor="__RefHeading___Toc362694_581953129">
            <w:r>
              <w:rPr>
                <w:webHidden/>
                <w:rStyle w:val="IndexLink"/>
                <w:rtl w:val="true"/>
              </w:rPr>
              <w:t>الجهر و الإخفات</w:t>
            </w:r>
            <w:r>
              <w:rPr>
                <w:rStyle w:val="IndexLink"/>
                <w:rtl w:val="true"/>
              </w:rPr>
              <w:tab/>
            </w:r>
            <w:r>
              <w:rPr>
                <w:rStyle w:val="IndexLink"/>
              </w:rPr>
              <w:t>140</w:t>
            </w:r>
          </w:hyperlink>
        </w:p>
        <w:p>
          <w:pPr>
            <w:pStyle w:val="Contents4"/>
            <w:tabs>
              <w:tab w:val="clear" w:pos="8176"/>
              <w:tab w:val="right" w:pos="9026" w:leader="dot"/>
            </w:tabs>
            <w:rPr/>
          </w:pPr>
          <w:hyperlink w:anchor="__RefHeading___Toc362696_581953129">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362698_581953129">
            <w:r>
              <w:rPr>
                <w:webHidden/>
                <w:rStyle w:val="IndexLink"/>
                <w:rtl w:val="true"/>
              </w:rPr>
              <w:t>المذاهب الاربعة</w:t>
            </w:r>
            <w:r>
              <w:rPr>
                <w:rStyle w:val="IndexLink"/>
                <w:rtl w:val="true"/>
              </w:rPr>
              <w:tab/>
            </w:r>
            <w:r>
              <w:rPr>
                <w:rStyle w:val="IndexLink"/>
              </w:rPr>
              <w:t>140</w:t>
            </w:r>
          </w:hyperlink>
        </w:p>
        <w:p>
          <w:pPr>
            <w:pStyle w:val="Contents4"/>
            <w:tabs>
              <w:tab w:val="clear" w:pos="8176"/>
              <w:tab w:val="right" w:pos="9026" w:leader="dot"/>
            </w:tabs>
            <w:rPr/>
          </w:pPr>
          <w:hyperlink w:anchor="__RefHeading___Toc362700_581953129">
            <w:r>
              <w:rPr>
                <w:webHidden/>
                <w:rStyle w:val="IndexLink"/>
                <w:rtl w:val="true"/>
              </w:rPr>
              <w:t>المذهب الجعفری</w:t>
            </w:r>
            <w:r>
              <w:rPr>
                <w:rStyle w:val="IndexLink"/>
                <w:rtl w:val="true"/>
              </w:rPr>
              <w:tab/>
            </w:r>
            <w:r>
              <w:rPr>
                <w:rStyle w:val="IndexLink"/>
              </w:rPr>
              <w:t>140</w:t>
            </w:r>
          </w:hyperlink>
        </w:p>
        <w:p>
          <w:pPr>
            <w:pStyle w:val="Contents3"/>
            <w:tabs>
              <w:tab w:val="clear" w:pos="8459"/>
              <w:tab w:val="right" w:pos="9026" w:leader="dot"/>
            </w:tabs>
            <w:rPr/>
          </w:pPr>
          <w:hyperlink w:anchor="__RefHeading___Toc362702_581953129">
            <w:r>
              <w:rPr>
                <w:webHidden/>
                <w:rStyle w:val="IndexLink"/>
                <w:rtl w:val="true"/>
              </w:rPr>
              <w:t>حکم البسملة فی القرائة</w:t>
            </w:r>
            <w:r>
              <w:rPr>
                <w:rStyle w:val="IndexLink"/>
                <w:rtl w:val="true"/>
              </w:rPr>
              <w:tab/>
            </w:r>
            <w:r>
              <w:rPr>
                <w:rStyle w:val="IndexLink"/>
              </w:rPr>
              <w:t>141</w:t>
            </w:r>
          </w:hyperlink>
        </w:p>
        <w:p>
          <w:pPr>
            <w:pStyle w:val="Contents4"/>
            <w:tabs>
              <w:tab w:val="clear" w:pos="8176"/>
              <w:tab w:val="right" w:pos="9026" w:leader="dot"/>
            </w:tabs>
            <w:rPr/>
          </w:pPr>
          <w:hyperlink w:anchor="__RefHeading___Toc362704_581953129">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362706_581953129">
            <w:r>
              <w:rPr>
                <w:webHidden/>
                <w:rStyle w:val="IndexLink"/>
                <w:rtl w:val="true"/>
              </w:rPr>
              <w:t>المذهب الجعفری</w:t>
            </w:r>
            <w:r>
              <w:rPr>
                <w:rStyle w:val="IndexLink"/>
                <w:rtl w:val="true"/>
              </w:rPr>
              <w:tab/>
            </w:r>
            <w:r>
              <w:rPr>
                <w:rStyle w:val="IndexLink"/>
              </w:rPr>
              <w:t>141</w:t>
            </w:r>
          </w:hyperlink>
        </w:p>
        <w:p>
          <w:pPr>
            <w:pStyle w:val="Contents4"/>
            <w:tabs>
              <w:tab w:val="clear" w:pos="8176"/>
              <w:tab w:val="right" w:pos="9026" w:leader="dot"/>
            </w:tabs>
            <w:rPr/>
          </w:pPr>
          <w:hyperlink w:anchor="__RefHeading___Toc362708_581953129">
            <w:r>
              <w:rPr>
                <w:webHidden/>
                <w:rStyle w:val="IndexLink"/>
                <w:rtl w:val="true"/>
              </w:rPr>
              <w:t>المذهب الشافعی</w:t>
            </w:r>
            <w:r>
              <w:rPr>
                <w:rStyle w:val="IndexLink"/>
                <w:rtl w:val="true"/>
              </w:rPr>
              <w:tab/>
            </w:r>
            <w:r>
              <w:rPr>
                <w:rStyle w:val="IndexLink"/>
              </w:rPr>
              <w:t>142</w:t>
            </w:r>
          </w:hyperlink>
        </w:p>
        <w:p>
          <w:pPr>
            <w:pStyle w:val="Contents4"/>
            <w:tabs>
              <w:tab w:val="clear" w:pos="8176"/>
              <w:tab w:val="right" w:pos="9026" w:leader="dot"/>
            </w:tabs>
            <w:rPr/>
          </w:pPr>
          <w:hyperlink w:anchor="__RefHeading___Toc362710_581953129">
            <w:r>
              <w:rPr>
                <w:webHidden/>
                <w:rStyle w:val="IndexLink"/>
                <w:rtl w:val="true"/>
              </w:rPr>
              <w:t>المذهب الحنبلی</w:t>
            </w:r>
            <w:r>
              <w:rPr>
                <w:rStyle w:val="IndexLink"/>
                <w:rtl w:val="true"/>
              </w:rPr>
              <w:tab/>
            </w:r>
            <w:r>
              <w:rPr>
                <w:rStyle w:val="IndexLink"/>
              </w:rPr>
              <w:t>143</w:t>
            </w:r>
          </w:hyperlink>
        </w:p>
        <w:p>
          <w:pPr>
            <w:pStyle w:val="Contents4"/>
            <w:tabs>
              <w:tab w:val="clear" w:pos="8176"/>
              <w:tab w:val="right" w:pos="9026" w:leader="dot"/>
            </w:tabs>
            <w:rPr/>
          </w:pPr>
          <w:hyperlink w:anchor="__RefHeading___Toc362712_581953129">
            <w:r>
              <w:rPr>
                <w:webHidden/>
                <w:rStyle w:val="IndexLink"/>
                <w:rtl w:val="true"/>
              </w:rPr>
              <w:t>المذهب المالکی</w:t>
            </w:r>
            <w:r>
              <w:rPr>
                <w:rStyle w:val="IndexLink"/>
                <w:rtl w:val="true"/>
              </w:rPr>
              <w:tab/>
            </w:r>
            <w:r>
              <w:rPr>
                <w:rStyle w:val="IndexLink"/>
              </w:rPr>
              <w:t>143</w:t>
            </w:r>
          </w:hyperlink>
        </w:p>
        <w:p>
          <w:pPr>
            <w:pStyle w:val="Contents4"/>
            <w:tabs>
              <w:tab w:val="clear" w:pos="8176"/>
              <w:tab w:val="right" w:pos="9026" w:leader="dot"/>
            </w:tabs>
            <w:rPr/>
          </w:pPr>
          <w:hyperlink w:anchor="__RefHeading___Toc362714_581953129">
            <w:r>
              <w:rPr>
                <w:webHidden/>
                <w:rStyle w:val="IndexLink"/>
                <w:rtl w:val="true"/>
              </w:rPr>
              <w:t>منشأ الاختلاف</w:t>
            </w:r>
            <w:r>
              <w:rPr>
                <w:rStyle w:val="IndexLink"/>
                <w:rtl w:val="true"/>
              </w:rPr>
              <w:tab/>
            </w:r>
            <w:r>
              <w:rPr>
                <w:rStyle w:val="IndexLink"/>
              </w:rPr>
              <w:t>144</w:t>
            </w:r>
          </w:hyperlink>
        </w:p>
        <w:p>
          <w:pPr>
            <w:pStyle w:val="Contents3"/>
            <w:tabs>
              <w:tab w:val="clear" w:pos="8459"/>
              <w:tab w:val="right" w:pos="9026" w:leader="dot"/>
            </w:tabs>
            <w:rPr/>
          </w:pPr>
          <w:hyperlink w:anchor="__RefHeading___Toc362716_581953129">
            <w:r>
              <w:rPr>
                <w:webHidden/>
                <w:rStyle w:val="IndexLink"/>
                <w:rtl w:val="true"/>
              </w:rPr>
              <w:t>الخلاصة</w:t>
            </w:r>
            <w:r>
              <w:rPr>
                <w:rStyle w:val="IndexLink"/>
                <w:rtl w:val="true"/>
              </w:rPr>
              <w:tab/>
            </w:r>
            <w:r>
              <w:rPr>
                <w:rStyle w:val="IndexLink"/>
              </w:rPr>
              <w:t>145</w:t>
            </w:r>
          </w:hyperlink>
        </w:p>
        <w:p>
          <w:pPr>
            <w:pStyle w:val="Contents3"/>
            <w:tabs>
              <w:tab w:val="clear" w:pos="8459"/>
              <w:tab w:val="right" w:pos="9026" w:leader="dot"/>
            </w:tabs>
            <w:rPr/>
          </w:pPr>
          <w:hyperlink w:anchor="__RefHeading___Toc362718_581953129">
            <w:r>
              <w:rPr>
                <w:webHidden/>
                <w:rStyle w:val="IndexLink"/>
                <w:rtl w:val="true"/>
              </w:rPr>
              <w:t>الأسئلة</w:t>
            </w:r>
            <w:r>
              <w:rPr>
                <w:rStyle w:val="IndexLink"/>
                <w:rtl w:val="true"/>
              </w:rPr>
              <w:tab/>
            </w:r>
            <w:r>
              <w:rPr>
                <w:rStyle w:val="IndexLink"/>
              </w:rPr>
              <w:t>146</w:t>
            </w:r>
          </w:hyperlink>
        </w:p>
        <w:p>
          <w:pPr>
            <w:pStyle w:val="Contents2"/>
            <w:tabs>
              <w:tab w:val="clear" w:pos="8743"/>
              <w:tab w:val="right" w:pos="9026" w:leader="dot"/>
            </w:tabs>
            <w:rPr/>
          </w:pPr>
          <w:hyperlink w:anchor="__RefHeading___Toc362720_581953129">
            <w:r>
              <w:rPr>
                <w:webHidden/>
                <w:rStyle w:val="IndexLink"/>
              </w:rPr>
              <w:t>11</w:t>
            </w:r>
            <w:r>
              <w:rPr>
                <w:rStyle w:val="IndexLink"/>
                <w:rtl w:val="true"/>
              </w:rPr>
              <w:t xml:space="preserve">- </w:t>
            </w:r>
            <w:r>
              <w:rPr>
                <w:rStyle w:val="IndexLink"/>
                <w:rtl w:val="true"/>
              </w:rPr>
              <w:t>أفعال الصلاة</w:t>
            </w:r>
            <w:r>
              <w:rPr>
                <w:rStyle w:val="IndexLink"/>
                <w:rtl w:val="true"/>
              </w:rPr>
              <w:tab/>
            </w:r>
            <w:r>
              <w:rPr>
                <w:rStyle w:val="IndexLink"/>
              </w:rPr>
              <w:t>147</w:t>
            </w:r>
          </w:hyperlink>
        </w:p>
        <w:p>
          <w:pPr>
            <w:pStyle w:val="Contents3"/>
            <w:tabs>
              <w:tab w:val="clear" w:pos="8459"/>
              <w:tab w:val="right" w:pos="9026" w:leader="dot"/>
            </w:tabs>
            <w:rPr/>
          </w:pPr>
          <w:hyperlink w:anchor="__RefHeading___Toc362722_581953129">
            <w:r>
              <w:rPr>
                <w:webHidden/>
                <w:rStyle w:val="IndexLink"/>
                <w:rtl w:val="true"/>
              </w:rPr>
              <w:t>التکتّف والاسترسال</w:t>
            </w:r>
            <w:r>
              <w:rPr>
                <w:rStyle w:val="IndexLink"/>
                <w:rtl w:val="true"/>
              </w:rPr>
              <w:tab/>
            </w:r>
            <w:r>
              <w:rPr>
                <w:rStyle w:val="IndexLink"/>
              </w:rPr>
              <w:t>147</w:t>
            </w:r>
          </w:hyperlink>
        </w:p>
        <w:p>
          <w:pPr>
            <w:pStyle w:val="Contents4"/>
            <w:tabs>
              <w:tab w:val="clear" w:pos="8176"/>
              <w:tab w:val="right" w:pos="9026" w:leader="dot"/>
            </w:tabs>
            <w:rPr/>
          </w:pPr>
          <w:hyperlink w:anchor="__RefHeading___Toc362724_58195312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362726_581953129">
            <w:r>
              <w:rPr>
                <w:webHidden/>
                <w:rStyle w:val="IndexLink"/>
                <w:rtl w:val="true"/>
              </w:rPr>
              <w:t>المذهب الجعفری</w:t>
            </w:r>
            <w:r>
              <w:rPr>
                <w:rStyle w:val="IndexLink"/>
                <w:rtl w:val="true"/>
              </w:rPr>
              <w:tab/>
            </w:r>
            <w:r>
              <w:rPr>
                <w:rStyle w:val="IndexLink"/>
              </w:rPr>
              <w:t>147</w:t>
            </w:r>
          </w:hyperlink>
        </w:p>
        <w:p>
          <w:pPr>
            <w:pStyle w:val="Contents4"/>
            <w:tabs>
              <w:tab w:val="clear" w:pos="8176"/>
              <w:tab w:val="right" w:pos="9026" w:leader="dot"/>
            </w:tabs>
            <w:rPr/>
          </w:pPr>
          <w:hyperlink w:anchor="__RefHeading___Toc362728_581953129">
            <w:r>
              <w:rPr>
                <w:webHidden/>
                <w:rStyle w:val="IndexLink"/>
                <w:rtl w:val="true"/>
              </w:rPr>
              <w:t>المذاهب الاربعة</w:t>
            </w:r>
            <w:r>
              <w:rPr>
                <w:rStyle w:val="IndexLink"/>
                <w:rtl w:val="true"/>
              </w:rPr>
              <w:tab/>
            </w:r>
            <w:r>
              <w:rPr>
                <w:rStyle w:val="IndexLink"/>
              </w:rPr>
              <w:t>148</w:t>
            </w:r>
          </w:hyperlink>
        </w:p>
        <w:p>
          <w:pPr>
            <w:pStyle w:val="Contents4"/>
            <w:tabs>
              <w:tab w:val="clear" w:pos="8176"/>
              <w:tab w:val="right" w:pos="9026" w:leader="dot"/>
            </w:tabs>
            <w:rPr/>
          </w:pPr>
          <w:hyperlink w:anchor="__RefHeading___Toc362730_581953129">
            <w:r>
              <w:rPr>
                <w:webHidden/>
                <w:rStyle w:val="IndexLink"/>
                <w:rtl w:val="true"/>
              </w:rPr>
              <w:t>منشأ الاختلاف</w:t>
            </w:r>
            <w:r>
              <w:rPr>
                <w:rStyle w:val="IndexLink"/>
                <w:rtl w:val="true"/>
              </w:rPr>
              <w:tab/>
            </w:r>
            <w:r>
              <w:rPr>
                <w:rStyle w:val="IndexLink"/>
              </w:rPr>
              <w:t>148</w:t>
            </w:r>
          </w:hyperlink>
        </w:p>
        <w:p>
          <w:pPr>
            <w:pStyle w:val="Contents3"/>
            <w:tabs>
              <w:tab w:val="clear" w:pos="8459"/>
              <w:tab w:val="right" w:pos="9026" w:leader="dot"/>
            </w:tabs>
            <w:rPr/>
          </w:pPr>
          <w:hyperlink w:anchor="__RefHeading___Toc362732_581953129">
            <w:r>
              <w:rPr>
                <w:webHidden/>
                <w:rStyle w:val="IndexLink"/>
                <w:rtl w:val="true"/>
              </w:rPr>
              <w:t>حول کلمة آمین فی الصلاة</w:t>
            </w:r>
            <w:r>
              <w:rPr>
                <w:rStyle w:val="IndexLink"/>
                <w:rtl w:val="true"/>
              </w:rPr>
              <w:tab/>
            </w:r>
            <w:r>
              <w:rPr>
                <w:rStyle w:val="IndexLink"/>
              </w:rPr>
              <w:t>148</w:t>
            </w:r>
          </w:hyperlink>
        </w:p>
        <w:p>
          <w:pPr>
            <w:pStyle w:val="Contents4"/>
            <w:tabs>
              <w:tab w:val="clear" w:pos="8176"/>
              <w:tab w:val="right" w:pos="9026" w:leader="dot"/>
            </w:tabs>
            <w:rPr/>
          </w:pPr>
          <w:hyperlink w:anchor="__RefHeading___Toc362734_581953129">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362736_581953129">
            <w:r>
              <w:rPr>
                <w:webHidden/>
                <w:rStyle w:val="IndexLink"/>
                <w:rtl w:val="true"/>
              </w:rPr>
              <w:t>المذاهب الاربعة</w:t>
            </w:r>
            <w:r>
              <w:rPr>
                <w:rStyle w:val="IndexLink"/>
                <w:rtl w:val="true"/>
              </w:rPr>
              <w:tab/>
            </w:r>
            <w:r>
              <w:rPr>
                <w:rStyle w:val="IndexLink"/>
              </w:rPr>
              <w:t>149</w:t>
            </w:r>
          </w:hyperlink>
        </w:p>
        <w:p>
          <w:pPr>
            <w:pStyle w:val="Contents4"/>
            <w:tabs>
              <w:tab w:val="clear" w:pos="8176"/>
              <w:tab w:val="right" w:pos="9026" w:leader="dot"/>
            </w:tabs>
            <w:rPr/>
          </w:pPr>
          <w:hyperlink w:anchor="__RefHeading___Toc362738_581953129">
            <w:r>
              <w:rPr>
                <w:webHidden/>
                <w:rStyle w:val="IndexLink"/>
                <w:rtl w:val="true"/>
              </w:rPr>
              <w:t>المذهب الجعفری</w:t>
            </w:r>
            <w:r>
              <w:rPr>
                <w:rStyle w:val="IndexLink"/>
                <w:rtl w:val="true"/>
              </w:rPr>
              <w:tab/>
            </w:r>
            <w:r>
              <w:rPr>
                <w:rStyle w:val="IndexLink"/>
              </w:rPr>
              <w:t>149</w:t>
            </w:r>
          </w:hyperlink>
        </w:p>
        <w:p>
          <w:pPr>
            <w:pStyle w:val="Contents4"/>
            <w:tabs>
              <w:tab w:val="clear" w:pos="8176"/>
              <w:tab w:val="right" w:pos="9026" w:leader="dot"/>
            </w:tabs>
            <w:rPr/>
          </w:pPr>
          <w:hyperlink w:anchor="__RefHeading___Toc362740_581953129">
            <w:r>
              <w:rPr>
                <w:webHidden/>
                <w:rStyle w:val="IndexLink"/>
                <w:rtl w:val="true"/>
              </w:rPr>
              <w:t>منشأ الاختلاف</w:t>
            </w:r>
            <w:r>
              <w:rPr>
                <w:rStyle w:val="IndexLink"/>
                <w:rtl w:val="true"/>
              </w:rPr>
              <w:tab/>
            </w:r>
            <w:r>
              <w:rPr>
                <w:rStyle w:val="IndexLink"/>
              </w:rPr>
              <w:t>150</w:t>
            </w:r>
          </w:hyperlink>
        </w:p>
        <w:p>
          <w:pPr>
            <w:pStyle w:val="Contents3"/>
            <w:tabs>
              <w:tab w:val="clear" w:pos="8459"/>
              <w:tab w:val="right" w:pos="9026" w:leader="dot"/>
            </w:tabs>
            <w:rPr/>
          </w:pPr>
          <w:hyperlink w:anchor="__RefHeading___Toc362742_581953129">
            <w:r>
              <w:rPr>
                <w:webHidden/>
                <w:rStyle w:val="IndexLink"/>
                <w:rtl w:val="true"/>
              </w:rPr>
              <w:t>القنوت</w:t>
            </w:r>
            <w:r>
              <w:rPr>
                <w:rStyle w:val="IndexLink"/>
                <w:rtl w:val="true"/>
              </w:rPr>
              <w:tab/>
            </w:r>
            <w:r>
              <w:rPr>
                <w:rStyle w:val="IndexLink"/>
              </w:rPr>
              <w:t>150</w:t>
            </w:r>
          </w:hyperlink>
        </w:p>
        <w:p>
          <w:pPr>
            <w:pStyle w:val="Contents4"/>
            <w:tabs>
              <w:tab w:val="clear" w:pos="8176"/>
              <w:tab w:val="right" w:pos="9026" w:leader="dot"/>
            </w:tabs>
            <w:rPr/>
          </w:pPr>
          <w:hyperlink w:anchor="__RefHeading___Toc362744_581953129">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362746_581953129">
            <w:r>
              <w:rPr>
                <w:webHidden/>
                <w:rStyle w:val="IndexLink"/>
                <w:rtl w:val="true"/>
              </w:rPr>
              <w:t>المذهب الجعفری</w:t>
            </w:r>
            <w:r>
              <w:rPr>
                <w:rStyle w:val="IndexLink"/>
                <w:rtl w:val="true"/>
              </w:rPr>
              <w:tab/>
            </w:r>
            <w:r>
              <w:rPr>
                <w:rStyle w:val="IndexLink"/>
              </w:rPr>
              <w:t>150</w:t>
            </w:r>
          </w:hyperlink>
        </w:p>
        <w:p>
          <w:pPr>
            <w:pStyle w:val="Contents4"/>
            <w:tabs>
              <w:tab w:val="clear" w:pos="8176"/>
              <w:tab w:val="right" w:pos="9026" w:leader="dot"/>
            </w:tabs>
            <w:rPr/>
          </w:pPr>
          <w:hyperlink w:anchor="__RefHeading___Toc362748_581953129">
            <w:r>
              <w:rPr>
                <w:webHidden/>
                <w:rStyle w:val="IndexLink"/>
                <w:rtl w:val="true"/>
              </w:rPr>
              <w:t>المذهب الحنبلی</w:t>
            </w:r>
            <w:r>
              <w:rPr>
                <w:rStyle w:val="IndexLink"/>
                <w:rtl w:val="true"/>
              </w:rPr>
              <w:tab/>
            </w:r>
            <w:r>
              <w:rPr>
                <w:rStyle w:val="IndexLink"/>
              </w:rPr>
              <w:t>151</w:t>
            </w:r>
          </w:hyperlink>
        </w:p>
        <w:p>
          <w:pPr>
            <w:pStyle w:val="Contents4"/>
            <w:tabs>
              <w:tab w:val="clear" w:pos="8176"/>
              <w:tab w:val="right" w:pos="9026" w:leader="dot"/>
            </w:tabs>
            <w:rPr/>
          </w:pPr>
          <w:hyperlink w:anchor="__RefHeading___Toc362750_581953129">
            <w:r>
              <w:rPr>
                <w:webHidden/>
                <w:rStyle w:val="IndexLink"/>
                <w:rtl w:val="true"/>
              </w:rPr>
              <w:t>المذهب الحنفی</w:t>
            </w:r>
            <w:r>
              <w:rPr>
                <w:rStyle w:val="IndexLink"/>
                <w:rtl w:val="true"/>
              </w:rPr>
              <w:tab/>
            </w:r>
            <w:r>
              <w:rPr>
                <w:rStyle w:val="IndexLink"/>
              </w:rPr>
              <w:t>151</w:t>
            </w:r>
          </w:hyperlink>
        </w:p>
        <w:p>
          <w:pPr>
            <w:pStyle w:val="Contents4"/>
            <w:tabs>
              <w:tab w:val="clear" w:pos="8176"/>
              <w:tab w:val="right" w:pos="9026" w:leader="dot"/>
            </w:tabs>
            <w:rPr/>
          </w:pPr>
          <w:hyperlink w:anchor="__RefHeading___Toc362752_581953129">
            <w:r>
              <w:rPr>
                <w:webHidden/>
                <w:rStyle w:val="IndexLink"/>
                <w:rtl w:val="true"/>
              </w:rPr>
              <w:t>المذهب الشافعی</w:t>
            </w:r>
            <w:r>
              <w:rPr>
                <w:rStyle w:val="IndexLink"/>
                <w:rtl w:val="true"/>
              </w:rPr>
              <w:tab/>
            </w:r>
            <w:r>
              <w:rPr>
                <w:rStyle w:val="IndexLink"/>
              </w:rPr>
              <w:t>151</w:t>
            </w:r>
          </w:hyperlink>
        </w:p>
        <w:p>
          <w:pPr>
            <w:pStyle w:val="Contents4"/>
            <w:tabs>
              <w:tab w:val="clear" w:pos="8176"/>
              <w:tab w:val="right" w:pos="9026" w:leader="dot"/>
            </w:tabs>
            <w:rPr/>
          </w:pPr>
          <w:hyperlink w:anchor="__RefHeading___Toc362754_581953129">
            <w:r>
              <w:rPr>
                <w:webHidden/>
                <w:rStyle w:val="IndexLink"/>
                <w:rtl w:val="true"/>
              </w:rPr>
              <w:t>المذهب المالکی</w:t>
            </w:r>
            <w:r>
              <w:rPr>
                <w:rStyle w:val="IndexLink"/>
                <w:rtl w:val="true"/>
              </w:rPr>
              <w:tab/>
            </w:r>
            <w:r>
              <w:rPr>
                <w:rStyle w:val="IndexLink"/>
              </w:rPr>
              <w:t>152</w:t>
            </w:r>
          </w:hyperlink>
        </w:p>
        <w:p>
          <w:pPr>
            <w:pStyle w:val="Contents4"/>
            <w:tabs>
              <w:tab w:val="clear" w:pos="8176"/>
              <w:tab w:val="right" w:pos="9026" w:leader="dot"/>
            </w:tabs>
            <w:rPr/>
          </w:pPr>
          <w:hyperlink w:anchor="__RefHeading___Toc362756_581953129">
            <w:r>
              <w:rPr>
                <w:webHidden/>
                <w:rStyle w:val="IndexLink"/>
                <w:rtl w:val="true"/>
              </w:rPr>
              <w:t>منشأ الاختلاف</w:t>
            </w:r>
            <w:r>
              <w:rPr>
                <w:rStyle w:val="IndexLink"/>
                <w:rtl w:val="true"/>
              </w:rPr>
              <w:tab/>
            </w:r>
            <w:r>
              <w:rPr>
                <w:rStyle w:val="IndexLink"/>
              </w:rPr>
              <w:t>153</w:t>
            </w:r>
          </w:hyperlink>
        </w:p>
        <w:p>
          <w:pPr>
            <w:pStyle w:val="Contents3"/>
            <w:tabs>
              <w:tab w:val="clear" w:pos="8459"/>
              <w:tab w:val="right" w:pos="9026" w:leader="dot"/>
            </w:tabs>
            <w:rPr/>
          </w:pPr>
          <w:hyperlink w:anchor="__RefHeading___Toc362758_581953129">
            <w:r>
              <w:rPr>
                <w:webHidden/>
                <w:rStyle w:val="IndexLink"/>
                <w:rtl w:val="true"/>
              </w:rPr>
              <w:t>خصائص الرکوع و السجود و التشهّد</w:t>
            </w:r>
            <w:r>
              <w:rPr>
                <w:rStyle w:val="IndexLink"/>
                <w:rtl w:val="true"/>
              </w:rPr>
              <w:tab/>
            </w:r>
            <w:r>
              <w:rPr>
                <w:rStyle w:val="IndexLink"/>
              </w:rPr>
              <w:t>153</w:t>
            </w:r>
          </w:hyperlink>
        </w:p>
        <w:p>
          <w:pPr>
            <w:pStyle w:val="Contents4"/>
            <w:tabs>
              <w:tab w:val="clear" w:pos="8176"/>
              <w:tab w:val="right" w:pos="9026" w:leader="dot"/>
            </w:tabs>
            <w:rPr/>
          </w:pPr>
          <w:hyperlink w:anchor="__RefHeading___Toc362760_581953129">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362762_581953129">
            <w:r>
              <w:rPr>
                <w:webHidden/>
                <w:rStyle w:val="IndexLink"/>
                <w:rtl w:val="true"/>
              </w:rPr>
              <w:t>المذهب الجعفری</w:t>
            </w:r>
            <w:r>
              <w:rPr>
                <w:rStyle w:val="IndexLink"/>
                <w:rtl w:val="true"/>
              </w:rPr>
              <w:tab/>
            </w:r>
            <w:r>
              <w:rPr>
                <w:rStyle w:val="IndexLink"/>
              </w:rPr>
              <w:t>153</w:t>
            </w:r>
          </w:hyperlink>
        </w:p>
        <w:p>
          <w:pPr>
            <w:pStyle w:val="Contents4"/>
            <w:tabs>
              <w:tab w:val="clear" w:pos="8176"/>
              <w:tab w:val="right" w:pos="9026" w:leader="dot"/>
            </w:tabs>
            <w:rPr/>
          </w:pPr>
          <w:hyperlink w:anchor="__RefHeading___Toc362764_581953129">
            <w:r>
              <w:rPr>
                <w:webHidden/>
                <w:rStyle w:val="IndexLink"/>
                <w:rtl w:val="true"/>
              </w:rPr>
              <w:t>المذهب الحنبلی</w:t>
            </w:r>
            <w:r>
              <w:rPr>
                <w:rStyle w:val="IndexLink"/>
                <w:rtl w:val="true"/>
              </w:rPr>
              <w:tab/>
            </w:r>
            <w:r>
              <w:rPr>
                <w:rStyle w:val="IndexLink"/>
              </w:rPr>
              <w:t>155</w:t>
            </w:r>
          </w:hyperlink>
        </w:p>
        <w:p>
          <w:pPr>
            <w:pStyle w:val="Contents4"/>
            <w:tabs>
              <w:tab w:val="clear" w:pos="8176"/>
              <w:tab w:val="right" w:pos="9026" w:leader="dot"/>
            </w:tabs>
            <w:rPr/>
          </w:pPr>
          <w:hyperlink w:anchor="__RefHeading___Toc362766_581953129">
            <w:r>
              <w:rPr>
                <w:webHidden/>
                <w:rStyle w:val="IndexLink"/>
                <w:rtl w:val="true"/>
              </w:rPr>
              <w:t>منشأ الاختلاف</w:t>
            </w:r>
            <w:r>
              <w:rPr>
                <w:rStyle w:val="IndexLink"/>
                <w:rtl w:val="true"/>
              </w:rPr>
              <w:tab/>
            </w:r>
            <w:r>
              <w:rPr>
                <w:rStyle w:val="IndexLink"/>
              </w:rPr>
              <w:t>157</w:t>
            </w:r>
          </w:hyperlink>
        </w:p>
        <w:p>
          <w:pPr>
            <w:pStyle w:val="Contents3"/>
            <w:tabs>
              <w:tab w:val="clear" w:pos="8459"/>
              <w:tab w:val="right" w:pos="9026" w:leader="dot"/>
            </w:tabs>
            <w:rPr/>
          </w:pPr>
          <w:hyperlink w:anchor="__RefHeading___Toc362768_581953129">
            <w:r>
              <w:rPr>
                <w:webHidden/>
                <w:rStyle w:val="IndexLink"/>
                <w:rtl w:val="true"/>
              </w:rPr>
              <w:t>اختلف فقهاء المذاهب</w:t>
            </w:r>
            <w:r>
              <w:rPr>
                <w:rStyle w:val="IndexLink"/>
                <w:rtl w:val="true"/>
              </w:rPr>
              <w:tab/>
            </w:r>
            <w:r>
              <w:rPr>
                <w:rStyle w:val="IndexLink"/>
              </w:rPr>
              <w:t>157</w:t>
            </w:r>
          </w:hyperlink>
        </w:p>
        <w:p>
          <w:pPr>
            <w:pStyle w:val="Contents4"/>
            <w:tabs>
              <w:tab w:val="clear" w:pos="8176"/>
              <w:tab w:val="right" w:pos="9026" w:leader="dot"/>
            </w:tabs>
            <w:rPr/>
          </w:pPr>
          <w:hyperlink w:anchor="__RefHeading___Toc362770_581953129">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362772_581953129">
            <w:r>
              <w:rPr>
                <w:webHidden/>
                <w:rStyle w:val="IndexLink"/>
                <w:rtl w:val="true"/>
              </w:rPr>
              <w:t>المذهب الحنبلی</w:t>
            </w:r>
            <w:r>
              <w:rPr>
                <w:rStyle w:val="IndexLink"/>
                <w:rtl w:val="true"/>
              </w:rPr>
              <w:tab/>
            </w:r>
            <w:r>
              <w:rPr>
                <w:rStyle w:val="IndexLink"/>
              </w:rPr>
              <w:t>157</w:t>
            </w:r>
          </w:hyperlink>
        </w:p>
        <w:p>
          <w:pPr>
            <w:pStyle w:val="Contents4"/>
            <w:tabs>
              <w:tab w:val="clear" w:pos="8176"/>
              <w:tab w:val="right" w:pos="9026" w:leader="dot"/>
            </w:tabs>
            <w:rPr/>
          </w:pPr>
          <w:hyperlink w:anchor="__RefHeading___Toc362774_581953129">
            <w:r>
              <w:rPr>
                <w:webHidden/>
                <w:rStyle w:val="IndexLink"/>
                <w:rtl w:val="true"/>
              </w:rPr>
              <w:t>المذاهب الثلاثة الأخری</w:t>
            </w:r>
            <w:r>
              <w:rPr>
                <w:rStyle w:val="IndexLink"/>
                <w:rtl w:val="true"/>
              </w:rPr>
              <w:tab/>
            </w:r>
            <w:r>
              <w:rPr>
                <w:rStyle w:val="IndexLink"/>
              </w:rPr>
              <w:t>158</w:t>
            </w:r>
          </w:hyperlink>
        </w:p>
        <w:p>
          <w:pPr>
            <w:pStyle w:val="Contents4"/>
            <w:tabs>
              <w:tab w:val="clear" w:pos="8176"/>
              <w:tab w:val="right" w:pos="9026" w:leader="dot"/>
            </w:tabs>
            <w:rPr/>
          </w:pPr>
          <w:hyperlink w:anchor="__RefHeading___Toc362776_581953129">
            <w:r>
              <w:rPr>
                <w:webHidden/>
                <w:rStyle w:val="IndexLink"/>
                <w:rtl w:val="true"/>
              </w:rPr>
              <w:t>المذهب الحنبلی</w:t>
            </w:r>
            <w:r>
              <w:rPr>
                <w:rStyle w:val="IndexLink"/>
                <w:rtl w:val="true"/>
              </w:rPr>
              <w:tab/>
            </w:r>
            <w:r>
              <w:rPr>
                <w:rStyle w:val="IndexLink"/>
              </w:rPr>
              <w:t>158</w:t>
            </w:r>
          </w:hyperlink>
        </w:p>
        <w:p>
          <w:pPr>
            <w:pStyle w:val="Contents4"/>
            <w:tabs>
              <w:tab w:val="clear" w:pos="8176"/>
              <w:tab w:val="right" w:pos="9026" w:leader="dot"/>
            </w:tabs>
            <w:rPr/>
          </w:pPr>
          <w:hyperlink w:anchor="__RefHeading___Toc362778_581953129">
            <w:r>
              <w:rPr>
                <w:webHidden/>
                <w:rStyle w:val="IndexLink"/>
                <w:rtl w:val="true"/>
              </w:rPr>
              <w:t>منشأ الاختلاف</w:t>
            </w:r>
            <w:r>
              <w:rPr>
                <w:rStyle w:val="IndexLink"/>
                <w:rtl w:val="true"/>
              </w:rPr>
              <w:tab/>
            </w:r>
            <w:r>
              <w:rPr>
                <w:rStyle w:val="IndexLink"/>
              </w:rPr>
              <w:t>158</w:t>
            </w:r>
          </w:hyperlink>
        </w:p>
        <w:p>
          <w:pPr>
            <w:pStyle w:val="Contents3"/>
            <w:tabs>
              <w:tab w:val="clear" w:pos="8459"/>
              <w:tab w:val="right" w:pos="9026" w:leader="dot"/>
            </w:tabs>
            <w:rPr/>
          </w:pPr>
          <w:hyperlink w:anchor="__RefHeading___Toc362780_581953129">
            <w:r>
              <w:rPr>
                <w:webHidden/>
                <w:rStyle w:val="IndexLink"/>
                <w:rtl w:val="true"/>
              </w:rPr>
              <w:t>کیفیة صلاة العاجز</w:t>
            </w:r>
            <w:r>
              <w:rPr>
                <w:rStyle w:val="IndexLink"/>
                <w:rtl w:val="true"/>
              </w:rPr>
              <w:tab/>
            </w:r>
            <w:r>
              <w:rPr>
                <w:rStyle w:val="IndexLink"/>
              </w:rPr>
              <w:t>159</w:t>
            </w:r>
          </w:hyperlink>
        </w:p>
        <w:p>
          <w:pPr>
            <w:pStyle w:val="Contents4"/>
            <w:tabs>
              <w:tab w:val="clear" w:pos="8176"/>
              <w:tab w:val="right" w:pos="9026" w:leader="dot"/>
            </w:tabs>
            <w:rPr/>
          </w:pPr>
          <w:hyperlink w:anchor="__RefHeading___Toc362782_581953129">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362784_581953129">
            <w:r>
              <w:rPr>
                <w:webHidden/>
                <w:rStyle w:val="IndexLink"/>
                <w:rtl w:val="true"/>
              </w:rPr>
              <w:t>أکثر المذاهب</w:t>
            </w:r>
            <w:r>
              <w:rPr>
                <w:rStyle w:val="IndexLink"/>
                <w:rtl w:val="true"/>
              </w:rPr>
              <w:tab/>
            </w:r>
            <w:r>
              <w:rPr>
                <w:rStyle w:val="IndexLink"/>
              </w:rPr>
              <w:t>159</w:t>
            </w:r>
          </w:hyperlink>
        </w:p>
        <w:p>
          <w:pPr>
            <w:pStyle w:val="Contents4"/>
            <w:tabs>
              <w:tab w:val="clear" w:pos="8176"/>
              <w:tab w:val="right" w:pos="9026" w:leader="dot"/>
            </w:tabs>
            <w:rPr/>
          </w:pPr>
          <w:hyperlink w:anchor="__RefHeading___Toc362786_581953129">
            <w:r>
              <w:rPr>
                <w:webHidden/>
                <w:rStyle w:val="IndexLink"/>
                <w:rtl w:val="true"/>
              </w:rPr>
              <w:t>المذهب الحنفی</w:t>
            </w:r>
            <w:r>
              <w:rPr>
                <w:rStyle w:val="IndexLink"/>
                <w:rtl w:val="true"/>
              </w:rPr>
              <w:tab/>
            </w:r>
            <w:r>
              <w:rPr>
                <w:rStyle w:val="IndexLink"/>
              </w:rPr>
              <w:t>159</w:t>
            </w:r>
          </w:hyperlink>
        </w:p>
        <w:p>
          <w:pPr>
            <w:pStyle w:val="Contents4"/>
            <w:tabs>
              <w:tab w:val="clear" w:pos="8176"/>
              <w:tab w:val="right" w:pos="9026" w:leader="dot"/>
            </w:tabs>
            <w:rPr/>
          </w:pPr>
          <w:hyperlink w:anchor="__RefHeading___Toc362788_581953129">
            <w:r>
              <w:rPr>
                <w:webHidden/>
                <w:rStyle w:val="IndexLink"/>
                <w:rtl w:val="true"/>
              </w:rPr>
              <w:t>منشأ الاختلاف</w:t>
            </w:r>
            <w:r>
              <w:rPr>
                <w:rStyle w:val="IndexLink"/>
                <w:rtl w:val="true"/>
              </w:rPr>
              <w:tab/>
            </w:r>
            <w:r>
              <w:rPr>
                <w:rStyle w:val="IndexLink"/>
              </w:rPr>
              <w:t>160</w:t>
            </w:r>
          </w:hyperlink>
        </w:p>
        <w:p>
          <w:pPr>
            <w:pStyle w:val="Contents3"/>
            <w:tabs>
              <w:tab w:val="clear" w:pos="8459"/>
              <w:tab w:val="right" w:pos="9026" w:leader="dot"/>
            </w:tabs>
            <w:rPr/>
          </w:pPr>
          <w:hyperlink w:anchor="__RefHeading___Toc362790_581953129">
            <w:r>
              <w:rPr>
                <w:webHidden/>
                <w:rStyle w:val="IndexLink"/>
                <w:rtl w:val="true"/>
              </w:rPr>
              <w:t>الخلاصة</w:t>
            </w:r>
            <w:r>
              <w:rPr>
                <w:rStyle w:val="IndexLink"/>
                <w:rtl w:val="true"/>
              </w:rPr>
              <w:tab/>
            </w:r>
            <w:r>
              <w:rPr>
                <w:rStyle w:val="IndexLink"/>
              </w:rPr>
              <w:t>161</w:t>
            </w:r>
          </w:hyperlink>
        </w:p>
        <w:p>
          <w:pPr>
            <w:pStyle w:val="Contents3"/>
            <w:tabs>
              <w:tab w:val="clear" w:pos="8459"/>
              <w:tab w:val="right" w:pos="9026" w:leader="dot"/>
            </w:tabs>
            <w:rPr/>
          </w:pPr>
          <w:hyperlink w:anchor="__RefHeading___Toc362792_581953129">
            <w:r>
              <w:rPr>
                <w:webHidden/>
                <w:rStyle w:val="IndexLink"/>
                <w:rtl w:val="true"/>
              </w:rPr>
              <w:t>الأسئلة</w:t>
            </w:r>
            <w:r>
              <w:rPr>
                <w:rStyle w:val="IndexLink"/>
                <w:rtl w:val="true"/>
              </w:rPr>
              <w:tab/>
            </w:r>
            <w:r>
              <w:rPr>
                <w:rStyle w:val="IndexLink"/>
              </w:rPr>
              <w:t>162</w:t>
            </w:r>
          </w:hyperlink>
        </w:p>
        <w:p>
          <w:pPr>
            <w:pStyle w:val="Contents2"/>
            <w:tabs>
              <w:tab w:val="clear" w:pos="8743"/>
              <w:tab w:val="right" w:pos="9026" w:leader="dot"/>
            </w:tabs>
            <w:rPr/>
          </w:pPr>
          <w:hyperlink w:anchor="__RefHeading___Toc362794_581953129">
            <w:r>
              <w:rPr>
                <w:webHidden/>
                <w:rStyle w:val="IndexLink"/>
              </w:rPr>
              <w:t>12</w:t>
            </w:r>
            <w:r>
              <w:rPr>
                <w:rStyle w:val="IndexLink"/>
                <w:rtl w:val="true"/>
              </w:rPr>
              <w:t xml:space="preserve">- </w:t>
            </w:r>
            <w:r>
              <w:rPr>
                <w:rStyle w:val="IndexLink"/>
                <w:rtl w:val="true"/>
              </w:rPr>
              <w:t>مباحث القبلة ولباس المصلّی</w:t>
            </w:r>
            <w:r>
              <w:rPr>
                <w:rStyle w:val="IndexLink"/>
                <w:rtl w:val="true"/>
              </w:rPr>
              <w:tab/>
            </w:r>
            <w:r>
              <w:rPr>
                <w:rStyle w:val="IndexLink"/>
              </w:rPr>
              <w:t>163</w:t>
            </w:r>
          </w:hyperlink>
        </w:p>
        <w:p>
          <w:pPr>
            <w:pStyle w:val="Contents3"/>
            <w:tabs>
              <w:tab w:val="clear" w:pos="8459"/>
              <w:tab w:val="right" w:pos="9026" w:leader="dot"/>
            </w:tabs>
            <w:rPr/>
          </w:pPr>
          <w:hyperlink w:anchor="__RefHeading___Toc362796_581953129">
            <w:r>
              <w:rPr>
                <w:webHidden/>
                <w:rStyle w:val="IndexLink"/>
                <w:rtl w:val="true"/>
              </w:rPr>
              <w:t>حکم الانحراف عن القبلة اشتباهاً</w:t>
            </w:r>
            <w:r>
              <w:rPr>
                <w:rStyle w:val="IndexLink"/>
                <w:rtl w:val="true"/>
              </w:rPr>
              <w:tab/>
            </w:r>
            <w:r>
              <w:rPr>
                <w:rStyle w:val="IndexLink"/>
              </w:rPr>
              <w:t>163</w:t>
            </w:r>
          </w:hyperlink>
        </w:p>
        <w:p>
          <w:pPr>
            <w:pStyle w:val="Contents4"/>
            <w:tabs>
              <w:tab w:val="clear" w:pos="8176"/>
              <w:tab w:val="right" w:pos="9026" w:leader="dot"/>
            </w:tabs>
            <w:rPr/>
          </w:pPr>
          <w:hyperlink w:anchor="__RefHeading___Toc362798_581953129">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362800_581953129">
            <w:r>
              <w:rPr>
                <w:webHidden/>
                <w:rStyle w:val="IndexLink"/>
                <w:rtl w:val="true"/>
              </w:rPr>
              <w:t>المذهب الجعفری</w:t>
            </w:r>
            <w:r>
              <w:rPr>
                <w:rStyle w:val="IndexLink"/>
                <w:rtl w:val="true"/>
              </w:rPr>
              <w:tab/>
            </w:r>
            <w:r>
              <w:rPr>
                <w:rStyle w:val="IndexLink"/>
              </w:rPr>
              <w:t>163</w:t>
            </w:r>
          </w:hyperlink>
        </w:p>
        <w:p>
          <w:pPr>
            <w:pStyle w:val="Contents4"/>
            <w:tabs>
              <w:tab w:val="clear" w:pos="8176"/>
              <w:tab w:val="right" w:pos="9026" w:leader="dot"/>
            </w:tabs>
            <w:rPr/>
          </w:pPr>
          <w:hyperlink w:anchor="__RefHeading___Toc362802_581953129">
            <w:r>
              <w:rPr>
                <w:webHidden/>
                <w:rStyle w:val="IndexLink"/>
                <w:rtl w:val="true"/>
              </w:rPr>
              <w:t>المذهب الحنبلی</w:t>
            </w:r>
            <w:r>
              <w:rPr>
                <w:rStyle w:val="IndexLink"/>
                <w:rtl w:val="true"/>
              </w:rPr>
              <w:tab/>
            </w:r>
            <w:r>
              <w:rPr>
                <w:rStyle w:val="IndexLink"/>
              </w:rPr>
              <w:t>164</w:t>
            </w:r>
          </w:hyperlink>
        </w:p>
        <w:p>
          <w:pPr>
            <w:pStyle w:val="Contents3"/>
            <w:tabs>
              <w:tab w:val="clear" w:pos="8459"/>
              <w:tab w:val="right" w:pos="9026" w:leader="dot"/>
            </w:tabs>
            <w:rPr/>
          </w:pPr>
          <w:hyperlink w:anchor="__RefHeading___Toc362804_581953129">
            <w:r>
              <w:rPr>
                <w:webHidden/>
                <w:rStyle w:val="IndexLink"/>
                <w:rtl w:val="true"/>
              </w:rPr>
              <w:t>وظیفة الجاهل بالقبلة</w:t>
            </w:r>
            <w:r>
              <w:rPr>
                <w:rStyle w:val="IndexLink"/>
                <w:rtl w:val="true"/>
              </w:rPr>
              <w:tab/>
            </w:r>
            <w:r>
              <w:rPr>
                <w:rStyle w:val="IndexLink"/>
              </w:rPr>
              <w:t>165</w:t>
            </w:r>
          </w:hyperlink>
        </w:p>
        <w:p>
          <w:pPr>
            <w:pStyle w:val="Contents4"/>
            <w:tabs>
              <w:tab w:val="clear" w:pos="8176"/>
              <w:tab w:val="right" w:pos="9026" w:leader="dot"/>
            </w:tabs>
            <w:rPr/>
          </w:pPr>
          <w:hyperlink w:anchor="__RefHeading___Toc362806_581953129">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62808_581953129">
            <w:r>
              <w:rPr>
                <w:webHidden/>
                <w:rStyle w:val="IndexLink"/>
                <w:rtl w:val="true"/>
              </w:rPr>
              <w:t>المذاهب الاربعة</w:t>
            </w:r>
            <w:r>
              <w:rPr>
                <w:rStyle w:val="IndexLink"/>
                <w:rtl w:val="true"/>
              </w:rPr>
              <w:tab/>
            </w:r>
            <w:r>
              <w:rPr>
                <w:rStyle w:val="IndexLink"/>
              </w:rPr>
              <w:t>165</w:t>
            </w:r>
          </w:hyperlink>
        </w:p>
        <w:p>
          <w:pPr>
            <w:pStyle w:val="Contents4"/>
            <w:tabs>
              <w:tab w:val="clear" w:pos="8176"/>
              <w:tab w:val="right" w:pos="9026" w:leader="dot"/>
            </w:tabs>
            <w:rPr/>
          </w:pPr>
          <w:hyperlink w:anchor="__RefHeading___Toc362810_581953129">
            <w:r>
              <w:rPr>
                <w:webHidden/>
                <w:rStyle w:val="IndexLink"/>
                <w:rtl w:val="true"/>
              </w:rPr>
              <w:t>المذهب الجعفری</w:t>
            </w:r>
            <w:r>
              <w:rPr>
                <w:rStyle w:val="IndexLink"/>
                <w:rtl w:val="true"/>
              </w:rPr>
              <w:tab/>
            </w:r>
            <w:r>
              <w:rPr>
                <w:rStyle w:val="IndexLink"/>
              </w:rPr>
              <w:t>165</w:t>
            </w:r>
          </w:hyperlink>
        </w:p>
        <w:p>
          <w:pPr>
            <w:pStyle w:val="Contents4"/>
            <w:tabs>
              <w:tab w:val="clear" w:pos="8176"/>
              <w:tab w:val="right" w:pos="9026" w:leader="dot"/>
            </w:tabs>
            <w:rPr/>
          </w:pPr>
          <w:hyperlink w:anchor="__RefHeading___Toc362812_581953129">
            <w:r>
              <w:rPr>
                <w:webHidden/>
                <w:rStyle w:val="IndexLink"/>
                <w:rtl w:val="true"/>
              </w:rPr>
              <w:t>منشأ الاختلاف</w:t>
            </w:r>
            <w:r>
              <w:rPr>
                <w:rStyle w:val="IndexLink"/>
                <w:rtl w:val="true"/>
              </w:rPr>
              <w:tab/>
            </w:r>
            <w:r>
              <w:rPr>
                <w:rStyle w:val="IndexLink"/>
              </w:rPr>
              <w:t>166</w:t>
            </w:r>
          </w:hyperlink>
        </w:p>
        <w:p>
          <w:pPr>
            <w:pStyle w:val="Contents3"/>
            <w:tabs>
              <w:tab w:val="clear" w:pos="8459"/>
              <w:tab w:val="right" w:pos="9026" w:leader="dot"/>
            </w:tabs>
            <w:rPr/>
          </w:pPr>
          <w:hyperlink w:anchor="__RefHeading___Toc362814_581953129">
            <w:r>
              <w:rPr>
                <w:webHidden/>
                <w:rStyle w:val="IndexLink"/>
                <w:rtl w:val="true"/>
              </w:rPr>
              <w:t>حول لباس المصلّی</w:t>
            </w:r>
            <w:r>
              <w:rPr>
                <w:rStyle w:val="IndexLink"/>
                <w:rtl w:val="true"/>
              </w:rPr>
              <w:tab/>
            </w:r>
            <w:r>
              <w:rPr>
                <w:rStyle w:val="IndexLink"/>
              </w:rPr>
              <w:t>166</w:t>
            </w:r>
          </w:hyperlink>
        </w:p>
        <w:p>
          <w:pPr>
            <w:pStyle w:val="Contents3"/>
            <w:tabs>
              <w:tab w:val="clear" w:pos="8459"/>
              <w:tab w:val="right" w:pos="9026" w:leader="dot"/>
            </w:tabs>
            <w:rPr/>
          </w:pPr>
          <w:hyperlink w:anchor="__RefHeading___Toc362816_581953129">
            <w:r>
              <w:rPr>
                <w:webHidden/>
                <w:rStyle w:val="IndexLink"/>
                <w:rtl w:val="true"/>
              </w:rPr>
              <w:t>عفو النجاسة فی اللباس</w:t>
            </w:r>
            <w:r>
              <w:rPr>
                <w:rStyle w:val="IndexLink"/>
                <w:rtl w:val="true"/>
              </w:rPr>
              <w:tab/>
            </w:r>
            <w:r>
              <w:rPr>
                <w:rStyle w:val="IndexLink"/>
              </w:rPr>
              <w:t>166</w:t>
            </w:r>
          </w:hyperlink>
        </w:p>
        <w:p>
          <w:pPr>
            <w:pStyle w:val="Contents4"/>
            <w:tabs>
              <w:tab w:val="clear" w:pos="8176"/>
              <w:tab w:val="right" w:pos="9026" w:leader="dot"/>
            </w:tabs>
            <w:rPr/>
          </w:pPr>
          <w:hyperlink w:anchor="__RefHeading___Toc362818_581953129">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362820_581953129">
            <w:r>
              <w:rPr>
                <w:webHidden/>
                <w:rStyle w:val="IndexLink"/>
                <w:rtl w:val="true"/>
              </w:rPr>
              <w:t>المذهب الحنبلی</w:t>
            </w:r>
            <w:r>
              <w:rPr>
                <w:rStyle w:val="IndexLink"/>
                <w:rtl w:val="true"/>
              </w:rPr>
              <w:tab/>
            </w:r>
            <w:r>
              <w:rPr>
                <w:rStyle w:val="IndexLink"/>
              </w:rPr>
              <w:t>166</w:t>
            </w:r>
          </w:hyperlink>
        </w:p>
        <w:p>
          <w:pPr>
            <w:pStyle w:val="Contents4"/>
            <w:tabs>
              <w:tab w:val="clear" w:pos="8176"/>
              <w:tab w:val="right" w:pos="9026" w:leader="dot"/>
            </w:tabs>
            <w:rPr/>
          </w:pPr>
          <w:hyperlink w:anchor="__RefHeading___Toc362822_581953129">
            <w:r>
              <w:rPr>
                <w:webHidden/>
                <w:rStyle w:val="IndexLink"/>
                <w:rtl w:val="true"/>
              </w:rPr>
              <w:t>المذهب الحنفی</w:t>
            </w:r>
            <w:r>
              <w:rPr>
                <w:rStyle w:val="IndexLink"/>
                <w:rtl w:val="true"/>
              </w:rPr>
              <w:tab/>
            </w:r>
            <w:r>
              <w:rPr>
                <w:rStyle w:val="IndexLink"/>
              </w:rPr>
              <w:t>166</w:t>
            </w:r>
          </w:hyperlink>
        </w:p>
        <w:p>
          <w:pPr>
            <w:pStyle w:val="Contents4"/>
            <w:tabs>
              <w:tab w:val="clear" w:pos="8176"/>
              <w:tab w:val="right" w:pos="9026" w:leader="dot"/>
            </w:tabs>
            <w:rPr/>
          </w:pPr>
          <w:hyperlink w:anchor="__RefHeading___Toc362824_581953129">
            <w:r>
              <w:rPr>
                <w:webHidden/>
                <w:rStyle w:val="IndexLink"/>
                <w:rtl w:val="true"/>
              </w:rPr>
              <w:t>المذهب الشافعی</w:t>
            </w:r>
            <w:r>
              <w:rPr>
                <w:rStyle w:val="IndexLink"/>
                <w:rtl w:val="true"/>
              </w:rPr>
              <w:tab/>
            </w:r>
            <w:r>
              <w:rPr>
                <w:rStyle w:val="IndexLink"/>
              </w:rPr>
              <w:t>167</w:t>
            </w:r>
          </w:hyperlink>
        </w:p>
        <w:p>
          <w:pPr>
            <w:pStyle w:val="Contents4"/>
            <w:tabs>
              <w:tab w:val="clear" w:pos="8176"/>
              <w:tab w:val="right" w:pos="9026" w:leader="dot"/>
            </w:tabs>
            <w:rPr/>
          </w:pPr>
          <w:hyperlink w:anchor="__RefHeading___Toc362826_581953129">
            <w:r>
              <w:rPr>
                <w:webHidden/>
                <w:rStyle w:val="IndexLink"/>
                <w:rtl w:val="true"/>
              </w:rPr>
              <w:t>المذهب المالکی</w:t>
            </w:r>
            <w:r>
              <w:rPr>
                <w:rStyle w:val="IndexLink"/>
                <w:rtl w:val="true"/>
              </w:rPr>
              <w:tab/>
            </w:r>
            <w:r>
              <w:rPr>
                <w:rStyle w:val="IndexLink"/>
              </w:rPr>
              <w:t>167</w:t>
            </w:r>
          </w:hyperlink>
        </w:p>
        <w:p>
          <w:pPr>
            <w:pStyle w:val="Contents4"/>
            <w:tabs>
              <w:tab w:val="clear" w:pos="8176"/>
              <w:tab w:val="right" w:pos="9026" w:leader="dot"/>
            </w:tabs>
            <w:rPr/>
          </w:pPr>
          <w:hyperlink w:anchor="__RefHeading___Toc362828_581953129">
            <w:r>
              <w:rPr>
                <w:webHidden/>
                <w:rStyle w:val="IndexLink"/>
                <w:rtl w:val="true"/>
              </w:rPr>
              <w:t>المذهب الجعفری</w:t>
            </w:r>
            <w:r>
              <w:rPr>
                <w:rStyle w:val="IndexLink"/>
                <w:rtl w:val="true"/>
              </w:rPr>
              <w:tab/>
            </w:r>
            <w:r>
              <w:rPr>
                <w:rStyle w:val="IndexLink"/>
              </w:rPr>
              <w:t>167</w:t>
            </w:r>
          </w:hyperlink>
        </w:p>
        <w:p>
          <w:pPr>
            <w:pStyle w:val="Contents3"/>
            <w:tabs>
              <w:tab w:val="clear" w:pos="8459"/>
              <w:tab w:val="right" w:pos="9026" w:leader="dot"/>
            </w:tabs>
            <w:rPr/>
          </w:pPr>
          <w:hyperlink w:anchor="__RefHeading___Toc362830_581953129">
            <w:r>
              <w:rPr>
                <w:webHidden/>
                <w:rStyle w:val="IndexLink"/>
                <w:rtl w:val="true"/>
              </w:rPr>
              <w:t>العفو عن الدماء الثلاثة</w:t>
            </w:r>
            <w:r>
              <w:rPr>
                <w:rStyle w:val="IndexLink"/>
                <w:rtl w:val="true"/>
              </w:rPr>
              <w:tab/>
            </w:r>
            <w:r>
              <w:rPr>
                <w:rStyle w:val="IndexLink"/>
              </w:rPr>
              <w:t>168</w:t>
            </w:r>
          </w:hyperlink>
        </w:p>
        <w:p>
          <w:pPr>
            <w:pStyle w:val="Contents4"/>
            <w:tabs>
              <w:tab w:val="clear" w:pos="8176"/>
              <w:tab w:val="right" w:pos="9026" w:leader="dot"/>
            </w:tabs>
            <w:rPr/>
          </w:pPr>
          <w:hyperlink w:anchor="__RefHeading___Toc362832_581953129">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362834_581953129">
            <w:r>
              <w:rPr>
                <w:webHidden/>
                <w:rStyle w:val="IndexLink"/>
                <w:rtl w:val="true"/>
              </w:rPr>
              <w:t>المذهب الجعفری</w:t>
            </w:r>
            <w:r>
              <w:rPr>
                <w:rStyle w:val="IndexLink"/>
                <w:rtl w:val="true"/>
              </w:rPr>
              <w:tab/>
            </w:r>
            <w:r>
              <w:rPr>
                <w:rStyle w:val="IndexLink"/>
              </w:rPr>
              <w:t>168</w:t>
            </w:r>
          </w:hyperlink>
        </w:p>
        <w:p>
          <w:pPr>
            <w:pStyle w:val="Contents4"/>
            <w:tabs>
              <w:tab w:val="clear" w:pos="8176"/>
              <w:tab w:val="right" w:pos="9026" w:leader="dot"/>
            </w:tabs>
            <w:rPr/>
          </w:pPr>
          <w:hyperlink w:anchor="__RefHeading___Toc362836_581953129">
            <w:r>
              <w:rPr>
                <w:webHidden/>
                <w:rStyle w:val="IndexLink"/>
                <w:rtl w:val="true"/>
              </w:rPr>
              <w:t>المذاهب الاربعة</w:t>
            </w:r>
            <w:r>
              <w:rPr>
                <w:rStyle w:val="IndexLink"/>
                <w:rtl w:val="true"/>
              </w:rPr>
              <w:tab/>
            </w:r>
            <w:r>
              <w:rPr>
                <w:rStyle w:val="IndexLink"/>
              </w:rPr>
              <w:t>168</w:t>
            </w:r>
          </w:hyperlink>
        </w:p>
        <w:p>
          <w:pPr>
            <w:pStyle w:val="Contents4"/>
            <w:tabs>
              <w:tab w:val="clear" w:pos="8176"/>
              <w:tab w:val="right" w:pos="9026" w:leader="dot"/>
            </w:tabs>
            <w:rPr/>
          </w:pPr>
          <w:hyperlink w:anchor="__RefHeading___Toc362838_581953129">
            <w:r>
              <w:rPr>
                <w:webHidden/>
                <w:rStyle w:val="IndexLink"/>
                <w:rtl w:val="true"/>
              </w:rPr>
              <w:t>منشأ الاختلاف</w:t>
            </w:r>
            <w:r>
              <w:rPr>
                <w:rStyle w:val="IndexLink"/>
                <w:rtl w:val="true"/>
              </w:rPr>
              <w:tab/>
            </w:r>
            <w:r>
              <w:rPr>
                <w:rStyle w:val="IndexLink"/>
              </w:rPr>
              <w:t>169</w:t>
            </w:r>
          </w:hyperlink>
        </w:p>
        <w:p>
          <w:pPr>
            <w:pStyle w:val="Contents3"/>
            <w:tabs>
              <w:tab w:val="clear" w:pos="8459"/>
              <w:tab w:val="right" w:pos="9026" w:leader="dot"/>
            </w:tabs>
            <w:rPr/>
          </w:pPr>
          <w:hyperlink w:anchor="__RefHeading___Toc362840_581953129">
            <w:r>
              <w:rPr>
                <w:webHidden/>
                <w:rStyle w:val="IndexLink"/>
                <w:rtl w:val="true"/>
              </w:rPr>
              <w:t>صحّة الصلاة فی اللباس المغصوب</w:t>
            </w:r>
            <w:r>
              <w:rPr>
                <w:rStyle w:val="IndexLink"/>
                <w:rtl w:val="true"/>
              </w:rPr>
              <w:tab/>
            </w:r>
            <w:r>
              <w:rPr>
                <w:rStyle w:val="IndexLink"/>
              </w:rPr>
              <w:t>169</w:t>
            </w:r>
          </w:hyperlink>
        </w:p>
        <w:p>
          <w:pPr>
            <w:pStyle w:val="Contents4"/>
            <w:tabs>
              <w:tab w:val="clear" w:pos="8176"/>
              <w:tab w:val="right" w:pos="9026" w:leader="dot"/>
            </w:tabs>
            <w:rPr/>
          </w:pPr>
          <w:hyperlink w:anchor="__RefHeading___Toc362842_581953129">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362844_581953129">
            <w:r>
              <w:rPr>
                <w:webHidden/>
                <w:rStyle w:val="IndexLink"/>
                <w:rtl w:val="true"/>
              </w:rPr>
              <w:t>المذهب الجعفری</w:t>
            </w:r>
            <w:r>
              <w:rPr>
                <w:rStyle w:val="IndexLink"/>
                <w:rtl w:val="true"/>
              </w:rPr>
              <w:tab/>
            </w:r>
            <w:r>
              <w:rPr>
                <w:rStyle w:val="IndexLink"/>
              </w:rPr>
              <w:t>169</w:t>
            </w:r>
          </w:hyperlink>
        </w:p>
        <w:p>
          <w:pPr>
            <w:pStyle w:val="Contents4"/>
            <w:tabs>
              <w:tab w:val="clear" w:pos="8176"/>
              <w:tab w:val="right" w:pos="9026" w:leader="dot"/>
            </w:tabs>
            <w:rPr/>
          </w:pPr>
          <w:hyperlink w:anchor="__RefHeading___Toc362846_581953129">
            <w:r>
              <w:rPr>
                <w:webHidden/>
                <w:rStyle w:val="IndexLink"/>
                <w:rtl w:val="true"/>
              </w:rPr>
              <w:t>المذاهب الاربعة</w:t>
            </w:r>
            <w:r>
              <w:rPr>
                <w:rStyle w:val="IndexLink"/>
                <w:rtl w:val="true"/>
              </w:rPr>
              <w:tab/>
            </w:r>
            <w:r>
              <w:rPr>
                <w:rStyle w:val="IndexLink"/>
              </w:rPr>
              <w:t>170</w:t>
            </w:r>
          </w:hyperlink>
        </w:p>
        <w:p>
          <w:pPr>
            <w:pStyle w:val="Contents4"/>
            <w:tabs>
              <w:tab w:val="clear" w:pos="8176"/>
              <w:tab w:val="right" w:pos="9026" w:leader="dot"/>
            </w:tabs>
            <w:rPr/>
          </w:pPr>
          <w:hyperlink w:anchor="__RefHeading___Toc362848_581953129">
            <w:r>
              <w:rPr>
                <w:webHidden/>
                <w:rStyle w:val="IndexLink"/>
                <w:rtl w:val="true"/>
              </w:rPr>
              <w:t>منشأ الاختلاف</w:t>
            </w:r>
            <w:r>
              <w:rPr>
                <w:rStyle w:val="IndexLink"/>
                <w:rtl w:val="true"/>
              </w:rPr>
              <w:tab/>
            </w:r>
            <w:r>
              <w:rPr>
                <w:rStyle w:val="IndexLink"/>
              </w:rPr>
              <w:t>170</w:t>
            </w:r>
          </w:hyperlink>
        </w:p>
        <w:p>
          <w:pPr>
            <w:pStyle w:val="Contents3"/>
            <w:tabs>
              <w:tab w:val="clear" w:pos="8459"/>
              <w:tab w:val="right" w:pos="9026" w:leader="dot"/>
            </w:tabs>
            <w:rPr/>
          </w:pPr>
          <w:hyperlink w:anchor="__RefHeading___Toc362850_581953129">
            <w:r>
              <w:rPr>
                <w:webHidden/>
                <w:rStyle w:val="IndexLink"/>
                <w:rtl w:val="true"/>
              </w:rPr>
              <w:t>صحّة صلاة المضطرّ فی الساتر المتنجّس</w:t>
            </w:r>
            <w:r>
              <w:rPr>
                <w:rStyle w:val="IndexLink"/>
                <w:rtl w:val="true"/>
              </w:rPr>
              <w:tab/>
            </w:r>
            <w:r>
              <w:rPr>
                <w:rStyle w:val="IndexLink"/>
              </w:rPr>
              <w:t>170</w:t>
            </w:r>
          </w:hyperlink>
        </w:p>
        <w:p>
          <w:pPr>
            <w:pStyle w:val="Contents4"/>
            <w:tabs>
              <w:tab w:val="clear" w:pos="8176"/>
              <w:tab w:val="right" w:pos="9026" w:leader="dot"/>
            </w:tabs>
            <w:rPr/>
          </w:pPr>
          <w:hyperlink w:anchor="__RefHeading___Toc362852_581953129">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362854_581953129">
            <w:r>
              <w:rPr>
                <w:webHidden/>
                <w:rStyle w:val="IndexLink"/>
                <w:rtl w:val="true"/>
              </w:rPr>
              <w:t>المذهب الجعفری</w:t>
            </w:r>
            <w:r>
              <w:rPr>
                <w:rStyle w:val="IndexLink"/>
                <w:rtl w:val="true"/>
              </w:rPr>
              <w:tab/>
            </w:r>
            <w:r>
              <w:rPr>
                <w:rStyle w:val="IndexLink"/>
              </w:rPr>
              <w:t>170</w:t>
            </w:r>
          </w:hyperlink>
        </w:p>
        <w:p>
          <w:pPr>
            <w:pStyle w:val="Contents4"/>
            <w:tabs>
              <w:tab w:val="clear" w:pos="8176"/>
              <w:tab w:val="right" w:pos="9026" w:leader="dot"/>
            </w:tabs>
            <w:rPr/>
          </w:pPr>
          <w:hyperlink w:anchor="__RefHeading___Toc362856_581953129">
            <w:r>
              <w:rPr>
                <w:webHidden/>
                <w:rStyle w:val="IndexLink"/>
                <w:rtl w:val="true"/>
              </w:rPr>
              <w:t>المذاهب الاربعة</w:t>
            </w:r>
            <w:r>
              <w:rPr>
                <w:rStyle w:val="IndexLink"/>
                <w:rtl w:val="true"/>
              </w:rPr>
              <w:tab/>
            </w:r>
            <w:r>
              <w:rPr>
                <w:rStyle w:val="IndexLink"/>
              </w:rPr>
              <w:t>171</w:t>
            </w:r>
          </w:hyperlink>
        </w:p>
        <w:p>
          <w:pPr>
            <w:pStyle w:val="Contents3"/>
            <w:tabs>
              <w:tab w:val="clear" w:pos="8459"/>
              <w:tab w:val="right" w:pos="9026" w:leader="dot"/>
            </w:tabs>
            <w:rPr/>
          </w:pPr>
          <w:hyperlink w:anchor="__RefHeading___Toc362858_581953129">
            <w:r>
              <w:rPr>
                <w:webHidden/>
                <w:rStyle w:val="IndexLink"/>
                <w:rtl w:val="true"/>
              </w:rPr>
              <w:t>تحدید الطهارة بالنسبة إلی مکان المصلّی</w:t>
            </w:r>
            <w:r>
              <w:rPr>
                <w:rStyle w:val="IndexLink"/>
                <w:rtl w:val="true"/>
              </w:rPr>
              <w:tab/>
            </w:r>
            <w:r>
              <w:rPr>
                <w:rStyle w:val="IndexLink"/>
              </w:rPr>
              <w:t>171</w:t>
            </w:r>
          </w:hyperlink>
        </w:p>
        <w:p>
          <w:pPr>
            <w:pStyle w:val="Contents4"/>
            <w:tabs>
              <w:tab w:val="clear" w:pos="8176"/>
              <w:tab w:val="right" w:pos="9026" w:leader="dot"/>
            </w:tabs>
            <w:rPr/>
          </w:pPr>
          <w:hyperlink w:anchor="__RefHeading___Toc362860_581953129">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362862_581953129">
            <w:r>
              <w:rPr>
                <w:webHidden/>
                <w:rStyle w:val="IndexLink"/>
                <w:rtl w:val="true"/>
              </w:rPr>
              <w:t>المذهب الجعفری</w:t>
            </w:r>
            <w:r>
              <w:rPr>
                <w:rStyle w:val="IndexLink"/>
                <w:rtl w:val="true"/>
              </w:rPr>
              <w:tab/>
            </w:r>
            <w:r>
              <w:rPr>
                <w:rStyle w:val="IndexLink"/>
              </w:rPr>
              <w:t>171</w:t>
            </w:r>
          </w:hyperlink>
        </w:p>
        <w:p>
          <w:pPr>
            <w:pStyle w:val="Contents4"/>
            <w:tabs>
              <w:tab w:val="clear" w:pos="8176"/>
              <w:tab w:val="right" w:pos="9026" w:leader="dot"/>
            </w:tabs>
            <w:rPr/>
          </w:pPr>
          <w:hyperlink w:anchor="__RefHeading___Toc362864_581953129">
            <w:r>
              <w:rPr>
                <w:webHidden/>
                <w:rStyle w:val="IndexLink"/>
                <w:rtl w:val="true"/>
              </w:rPr>
              <w:t>المذاهب الأخری</w:t>
            </w:r>
            <w:r>
              <w:rPr>
                <w:rStyle w:val="IndexLink"/>
                <w:rtl w:val="true"/>
              </w:rPr>
              <w:tab/>
            </w:r>
            <w:r>
              <w:rPr>
                <w:rStyle w:val="IndexLink"/>
              </w:rPr>
              <w:t>172</w:t>
            </w:r>
          </w:hyperlink>
        </w:p>
        <w:p>
          <w:pPr>
            <w:pStyle w:val="Contents3"/>
            <w:tabs>
              <w:tab w:val="clear" w:pos="8459"/>
              <w:tab w:val="right" w:pos="9026" w:leader="dot"/>
            </w:tabs>
            <w:rPr/>
          </w:pPr>
          <w:hyperlink w:anchor="__RefHeading___Toc362866_581953129">
            <w:r>
              <w:rPr>
                <w:webHidden/>
                <w:rStyle w:val="IndexLink"/>
                <w:rtl w:val="true"/>
              </w:rPr>
              <w:t>ما یصحّ السجود علیه</w:t>
            </w:r>
            <w:r>
              <w:rPr>
                <w:rStyle w:val="IndexLink"/>
                <w:rtl w:val="true"/>
              </w:rPr>
              <w:tab/>
            </w:r>
            <w:r>
              <w:rPr>
                <w:rStyle w:val="IndexLink"/>
              </w:rPr>
              <w:t>172</w:t>
            </w:r>
          </w:hyperlink>
        </w:p>
        <w:p>
          <w:pPr>
            <w:pStyle w:val="Contents4"/>
            <w:tabs>
              <w:tab w:val="clear" w:pos="8176"/>
              <w:tab w:val="right" w:pos="9026" w:leader="dot"/>
            </w:tabs>
            <w:rPr/>
          </w:pPr>
          <w:hyperlink w:anchor="__RefHeading___Toc362868_581953129">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362870_581953129">
            <w:r>
              <w:rPr>
                <w:webHidden/>
                <w:rStyle w:val="IndexLink"/>
                <w:rtl w:val="true"/>
              </w:rPr>
              <w:t>المذهب الجعفری</w:t>
            </w:r>
            <w:r>
              <w:rPr>
                <w:rStyle w:val="IndexLink"/>
                <w:rtl w:val="true"/>
              </w:rPr>
              <w:tab/>
            </w:r>
            <w:r>
              <w:rPr>
                <w:rStyle w:val="IndexLink"/>
              </w:rPr>
              <w:t>172</w:t>
            </w:r>
          </w:hyperlink>
        </w:p>
        <w:p>
          <w:pPr>
            <w:pStyle w:val="Contents4"/>
            <w:tabs>
              <w:tab w:val="clear" w:pos="8176"/>
              <w:tab w:val="right" w:pos="9026" w:leader="dot"/>
            </w:tabs>
            <w:rPr/>
          </w:pPr>
          <w:hyperlink w:anchor="__RefHeading___Toc362872_581953129">
            <w:r>
              <w:rPr>
                <w:webHidden/>
                <w:rStyle w:val="IndexLink"/>
                <w:rtl w:val="true"/>
              </w:rPr>
              <w:t>المذاهب الاربعة</w:t>
            </w:r>
            <w:r>
              <w:rPr>
                <w:rStyle w:val="IndexLink"/>
                <w:rtl w:val="true"/>
              </w:rPr>
              <w:tab/>
            </w:r>
            <w:r>
              <w:rPr>
                <w:rStyle w:val="IndexLink"/>
              </w:rPr>
              <w:t>173</w:t>
            </w:r>
          </w:hyperlink>
        </w:p>
        <w:p>
          <w:pPr>
            <w:pStyle w:val="Contents4"/>
            <w:tabs>
              <w:tab w:val="clear" w:pos="8176"/>
              <w:tab w:val="right" w:pos="9026" w:leader="dot"/>
            </w:tabs>
            <w:rPr/>
          </w:pPr>
          <w:hyperlink w:anchor="__RefHeading___Toc362874_581953129">
            <w:r>
              <w:rPr>
                <w:webHidden/>
                <w:rStyle w:val="IndexLink"/>
                <w:rtl w:val="true"/>
              </w:rPr>
              <w:t>منشأ الاختلاف</w:t>
            </w:r>
            <w:r>
              <w:rPr>
                <w:rStyle w:val="IndexLink"/>
                <w:rtl w:val="true"/>
              </w:rPr>
              <w:tab/>
            </w:r>
            <w:r>
              <w:rPr>
                <w:rStyle w:val="IndexLink"/>
              </w:rPr>
              <w:t>174</w:t>
            </w:r>
          </w:hyperlink>
        </w:p>
        <w:p>
          <w:pPr>
            <w:pStyle w:val="Contents3"/>
            <w:tabs>
              <w:tab w:val="clear" w:pos="8459"/>
              <w:tab w:val="right" w:pos="9026" w:leader="dot"/>
            </w:tabs>
            <w:rPr/>
          </w:pPr>
          <w:hyperlink w:anchor="__RefHeading___Toc362876_581953129">
            <w:r>
              <w:rPr>
                <w:webHidden/>
                <w:rStyle w:val="IndexLink"/>
                <w:rtl w:val="true"/>
              </w:rPr>
              <w:t>الخلاصة</w:t>
            </w:r>
            <w:r>
              <w:rPr>
                <w:rStyle w:val="IndexLink"/>
                <w:rtl w:val="true"/>
              </w:rPr>
              <w:tab/>
            </w:r>
            <w:r>
              <w:rPr>
                <w:rStyle w:val="IndexLink"/>
              </w:rPr>
              <w:t>175</w:t>
            </w:r>
          </w:hyperlink>
        </w:p>
        <w:p>
          <w:pPr>
            <w:pStyle w:val="Contents3"/>
            <w:tabs>
              <w:tab w:val="clear" w:pos="8459"/>
              <w:tab w:val="right" w:pos="9026" w:leader="dot"/>
            </w:tabs>
            <w:rPr/>
          </w:pPr>
          <w:hyperlink w:anchor="__RefHeading___Toc362878_581953129">
            <w:r>
              <w:rPr>
                <w:webHidden/>
                <w:rStyle w:val="IndexLink"/>
                <w:rtl w:val="true"/>
              </w:rPr>
              <w:t>الأسئلة</w:t>
            </w:r>
            <w:r>
              <w:rPr>
                <w:rStyle w:val="IndexLink"/>
                <w:rtl w:val="true"/>
              </w:rPr>
              <w:tab/>
            </w:r>
            <w:r>
              <w:rPr>
                <w:rStyle w:val="IndexLink"/>
              </w:rPr>
              <w:t>176</w:t>
            </w:r>
          </w:hyperlink>
        </w:p>
        <w:p>
          <w:pPr>
            <w:pStyle w:val="Contents2"/>
            <w:tabs>
              <w:tab w:val="clear" w:pos="8743"/>
              <w:tab w:val="right" w:pos="9026" w:leader="dot"/>
            </w:tabs>
            <w:rPr/>
          </w:pPr>
          <w:hyperlink w:anchor="__RefHeading___Toc362880_581953129">
            <w:r>
              <w:rPr>
                <w:webHidden/>
                <w:rStyle w:val="IndexLink"/>
              </w:rPr>
              <w:t>13</w:t>
            </w:r>
            <w:r>
              <w:rPr>
                <w:rStyle w:val="IndexLink"/>
                <w:rtl w:val="true"/>
              </w:rPr>
              <w:t xml:space="preserve">- </w:t>
            </w:r>
            <w:r>
              <w:rPr>
                <w:rStyle w:val="IndexLink"/>
                <w:rtl w:val="true"/>
              </w:rPr>
              <w:t>حکم السهو فی الصلاة</w:t>
            </w:r>
            <w:r>
              <w:rPr>
                <w:rStyle w:val="IndexLink"/>
                <w:rtl w:val="true"/>
              </w:rPr>
              <w:tab/>
            </w:r>
            <w:r>
              <w:rPr>
                <w:rStyle w:val="IndexLink"/>
              </w:rPr>
              <w:t>177</w:t>
            </w:r>
          </w:hyperlink>
        </w:p>
        <w:p>
          <w:pPr>
            <w:pStyle w:val="Contents3"/>
            <w:tabs>
              <w:tab w:val="clear" w:pos="8459"/>
              <w:tab w:val="right" w:pos="9026" w:leader="dot"/>
            </w:tabs>
            <w:rPr/>
          </w:pPr>
          <w:hyperlink w:anchor="__RefHeading___Toc362882_581953129">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362884_581953129">
            <w:r>
              <w:rPr>
                <w:webHidden/>
                <w:rStyle w:val="IndexLink"/>
                <w:rtl w:val="true"/>
              </w:rPr>
              <w:t>الموجبات</w:t>
            </w:r>
            <w:r>
              <w:rPr>
                <w:rStyle w:val="IndexLink"/>
                <w:rtl w:val="true"/>
              </w:rPr>
              <w:tab/>
            </w:r>
            <w:r>
              <w:rPr>
                <w:rStyle w:val="IndexLink"/>
              </w:rPr>
              <w:t>177</w:t>
            </w:r>
          </w:hyperlink>
        </w:p>
        <w:p>
          <w:pPr>
            <w:pStyle w:val="Contents4"/>
            <w:tabs>
              <w:tab w:val="clear" w:pos="8176"/>
              <w:tab w:val="right" w:pos="9026" w:leader="dot"/>
            </w:tabs>
            <w:rPr/>
          </w:pPr>
          <w:hyperlink w:anchor="__RefHeading___Toc362886_581953129">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362888_581953129">
            <w:r>
              <w:rPr>
                <w:webHidden/>
                <w:rStyle w:val="IndexLink"/>
                <w:rtl w:val="true"/>
              </w:rPr>
              <w:t>الجعفری</w:t>
            </w:r>
            <w:r>
              <w:rPr>
                <w:rStyle w:val="IndexLink"/>
                <w:rtl w:val="true"/>
              </w:rPr>
              <w:tab/>
            </w:r>
            <w:r>
              <w:rPr>
                <w:rStyle w:val="IndexLink"/>
              </w:rPr>
              <w:t>177</w:t>
            </w:r>
          </w:hyperlink>
        </w:p>
        <w:p>
          <w:pPr>
            <w:pStyle w:val="Contents5"/>
            <w:tabs>
              <w:tab w:val="clear" w:pos="7892"/>
              <w:tab w:val="right" w:pos="9026" w:leader="dot"/>
            </w:tabs>
            <w:rPr/>
          </w:pPr>
          <w:hyperlink w:anchor="__RefHeading___Toc362890_58195312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62892_581953129">
            <w:r>
              <w:rPr>
                <w:webHidden/>
                <w:rStyle w:val="IndexLink"/>
                <w:rtl w:val="true"/>
              </w:rPr>
              <w:t>حدیث لاتعاد</w:t>
            </w:r>
            <w:r>
              <w:rPr>
                <w:rStyle w:val="IndexLink"/>
                <w:rtl w:val="true"/>
              </w:rPr>
              <w:tab/>
            </w:r>
            <w:r>
              <w:rPr>
                <w:rStyle w:val="IndexLink"/>
              </w:rPr>
              <w:t>178</w:t>
            </w:r>
          </w:hyperlink>
        </w:p>
        <w:p>
          <w:pPr>
            <w:pStyle w:val="Contents4"/>
            <w:tabs>
              <w:tab w:val="clear" w:pos="8176"/>
              <w:tab w:val="right" w:pos="9026" w:leader="dot"/>
            </w:tabs>
            <w:rPr/>
          </w:pPr>
          <w:hyperlink w:anchor="__RefHeading___Toc362894_581953129">
            <w:r>
              <w:rPr>
                <w:webHidden/>
                <w:rStyle w:val="IndexLink"/>
                <w:rtl w:val="true"/>
              </w:rPr>
              <w:t>المذهب الحنبلی</w:t>
            </w:r>
            <w:r>
              <w:rPr>
                <w:rStyle w:val="IndexLink"/>
                <w:rtl w:val="true"/>
              </w:rPr>
              <w:tab/>
            </w:r>
            <w:r>
              <w:rPr>
                <w:rStyle w:val="IndexLink"/>
              </w:rPr>
              <w:t>178</w:t>
            </w:r>
          </w:hyperlink>
        </w:p>
        <w:p>
          <w:pPr>
            <w:pStyle w:val="Contents4"/>
            <w:tabs>
              <w:tab w:val="clear" w:pos="8176"/>
              <w:tab w:val="right" w:pos="9026" w:leader="dot"/>
            </w:tabs>
            <w:rPr/>
          </w:pPr>
          <w:hyperlink w:anchor="__RefHeading___Toc362896_581953129">
            <w:r>
              <w:rPr>
                <w:webHidden/>
                <w:rStyle w:val="IndexLink"/>
                <w:rtl w:val="true"/>
              </w:rPr>
              <w:t>المذهب الحنفی</w:t>
            </w:r>
            <w:r>
              <w:rPr>
                <w:rStyle w:val="IndexLink"/>
                <w:rtl w:val="true"/>
              </w:rPr>
              <w:tab/>
            </w:r>
            <w:r>
              <w:rPr>
                <w:rStyle w:val="IndexLink"/>
              </w:rPr>
              <w:t>180</w:t>
            </w:r>
          </w:hyperlink>
        </w:p>
        <w:p>
          <w:pPr>
            <w:pStyle w:val="Contents4"/>
            <w:tabs>
              <w:tab w:val="clear" w:pos="8176"/>
              <w:tab w:val="right" w:pos="9026" w:leader="dot"/>
            </w:tabs>
            <w:rPr/>
          </w:pPr>
          <w:hyperlink w:anchor="__RefHeading___Toc362898_581953129">
            <w:r>
              <w:rPr>
                <w:webHidden/>
                <w:rStyle w:val="IndexLink"/>
                <w:rtl w:val="true"/>
              </w:rPr>
              <w:t>المذهب الشافعی</w:t>
            </w:r>
            <w:r>
              <w:rPr>
                <w:rStyle w:val="IndexLink"/>
                <w:rtl w:val="true"/>
              </w:rPr>
              <w:tab/>
            </w:r>
            <w:r>
              <w:rPr>
                <w:rStyle w:val="IndexLink"/>
              </w:rPr>
              <w:t>181</w:t>
            </w:r>
          </w:hyperlink>
        </w:p>
        <w:p>
          <w:pPr>
            <w:pStyle w:val="Contents4"/>
            <w:tabs>
              <w:tab w:val="clear" w:pos="8176"/>
              <w:tab w:val="right" w:pos="9026" w:leader="dot"/>
            </w:tabs>
            <w:rPr/>
          </w:pPr>
          <w:hyperlink w:anchor="__RefHeading___Toc362900_581953129">
            <w:r>
              <w:rPr>
                <w:webHidden/>
                <w:rStyle w:val="IndexLink"/>
                <w:rtl w:val="true"/>
              </w:rPr>
              <w:t>المذهب المالکی</w:t>
            </w:r>
            <w:r>
              <w:rPr>
                <w:rStyle w:val="IndexLink"/>
                <w:rtl w:val="true"/>
              </w:rPr>
              <w:tab/>
            </w:r>
            <w:r>
              <w:rPr>
                <w:rStyle w:val="IndexLink"/>
              </w:rPr>
              <w:t>182</w:t>
            </w:r>
          </w:hyperlink>
        </w:p>
        <w:p>
          <w:pPr>
            <w:pStyle w:val="Contents3"/>
            <w:tabs>
              <w:tab w:val="clear" w:pos="8459"/>
              <w:tab w:val="right" w:pos="9026" w:leader="dot"/>
            </w:tabs>
            <w:rPr/>
          </w:pPr>
          <w:hyperlink w:anchor="__RefHeading___Toc362902_581953129">
            <w:r>
              <w:rPr>
                <w:webHidden/>
                <w:rStyle w:val="IndexLink"/>
                <w:rtl w:val="true"/>
              </w:rPr>
              <w:t>محل سجود السهو</w:t>
            </w:r>
            <w:r>
              <w:rPr>
                <w:rStyle w:val="IndexLink"/>
                <w:rtl w:val="true"/>
              </w:rPr>
              <w:tab/>
            </w:r>
            <w:r>
              <w:rPr>
                <w:rStyle w:val="IndexLink"/>
              </w:rPr>
              <w:t>183</w:t>
            </w:r>
          </w:hyperlink>
        </w:p>
        <w:p>
          <w:pPr>
            <w:pStyle w:val="Contents4"/>
            <w:tabs>
              <w:tab w:val="clear" w:pos="8176"/>
              <w:tab w:val="right" w:pos="9026" w:leader="dot"/>
            </w:tabs>
            <w:rPr/>
          </w:pPr>
          <w:hyperlink w:anchor="__RefHeading___Toc362904_581953129">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362906_581953129">
            <w:r>
              <w:rPr>
                <w:webHidden/>
                <w:rStyle w:val="IndexLink"/>
                <w:rtl w:val="true"/>
              </w:rPr>
              <w:t>المذهب الجعفری و الحنفی</w:t>
            </w:r>
            <w:r>
              <w:rPr>
                <w:rStyle w:val="IndexLink"/>
                <w:rtl w:val="true"/>
              </w:rPr>
              <w:tab/>
            </w:r>
            <w:r>
              <w:rPr>
                <w:rStyle w:val="IndexLink"/>
              </w:rPr>
              <w:t>183</w:t>
            </w:r>
          </w:hyperlink>
        </w:p>
        <w:p>
          <w:pPr>
            <w:pStyle w:val="Contents4"/>
            <w:tabs>
              <w:tab w:val="clear" w:pos="8176"/>
              <w:tab w:val="right" w:pos="9026" w:leader="dot"/>
            </w:tabs>
            <w:rPr/>
          </w:pPr>
          <w:hyperlink w:anchor="__RefHeading___Toc362908_581953129">
            <w:r>
              <w:rPr>
                <w:webHidden/>
                <w:rStyle w:val="IndexLink"/>
                <w:rtl w:val="true"/>
              </w:rPr>
              <w:t>المذهب الشافعی</w:t>
            </w:r>
            <w:r>
              <w:rPr>
                <w:rStyle w:val="IndexLink"/>
                <w:rtl w:val="true"/>
              </w:rPr>
              <w:tab/>
            </w:r>
            <w:r>
              <w:rPr>
                <w:rStyle w:val="IndexLink"/>
              </w:rPr>
              <w:t>184</w:t>
            </w:r>
          </w:hyperlink>
        </w:p>
        <w:p>
          <w:pPr>
            <w:pStyle w:val="Contents4"/>
            <w:tabs>
              <w:tab w:val="clear" w:pos="8176"/>
              <w:tab w:val="right" w:pos="9026" w:leader="dot"/>
            </w:tabs>
            <w:rPr/>
          </w:pPr>
          <w:hyperlink w:anchor="__RefHeading___Toc362910_581953129">
            <w:r>
              <w:rPr>
                <w:webHidden/>
                <w:rStyle w:val="IndexLink"/>
                <w:rtl w:val="true"/>
              </w:rPr>
              <w:t>المذهب المالکی</w:t>
            </w:r>
            <w:r>
              <w:rPr>
                <w:rStyle w:val="IndexLink"/>
                <w:rtl w:val="true"/>
              </w:rPr>
              <w:tab/>
            </w:r>
            <w:r>
              <w:rPr>
                <w:rStyle w:val="IndexLink"/>
              </w:rPr>
              <w:t>184</w:t>
            </w:r>
          </w:hyperlink>
        </w:p>
        <w:p>
          <w:pPr>
            <w:pStyle w:val="Contents4"/>
            <w:tabs>
              <w:tab w:val="clear" w:pos="8176"/>
              <w:tab w:val="right" w:pos="9026" w:leader="dot"/>
            </w:tabs>
            <w:rPr/>
          </w:pPr>
          <w:hyperlink w:anchor="__RefHeading___Toc362912_581953129">
            <w:r>
              <w:rPr>
                <w:webHidden/>
                <w:rStyle w:val="IndexLink"/>
                <w:rtl w:val="true"/>
              </w:rPr>
              <w:t>المذهب الحنبلی</w:t>
            </w:r>
            <w:r>
              <w:rPr>
                <w:rStyle w:val="IndexLink"/>
                <w:rtl w:val="true"/>
              </w:rPr>
              <w:tab/>
            </w:r>
            <w:r>
              <w:rPr>
                <w:rStyle w:val="IndexLink"/>
              </w:rPr>
              <w:t>184</w:t>
            </w:r>
          </w:hyperlink>
        </w:p>
        <w:p>
          <w:pPr>
            <w:pStyle w:val="Contents3"/>
            <w:tabs>
              <w:tab w:val="clear" w:pos="8459"/>
              <w:tab w:val="right" w:pos="9026" w:leader="dot"/>
            </w:tabs>
            <w:rPr/>
          </w:pPr>
          <w:hyperlink w:anchor="__RefHeading___Toc362914_581953129">
            <w:r>
              <w:rPr>
                <w:webHidden/>
                <w:rStyle w:val="IndexLink"/>
                <w:rtl w:val="true"/>
              </w:rPr>
              <w:t>تداخل الأسباب فی سجود السهو</w:t>
            </w:r>
            <w:r>
              <w:rPr>
                <w:rStyle w:val="IndexLink"/>
                <w:rtl w:val="true"/>
              </w:rPr>
              <w:tab/>
            </w:r>
            <w:r>
              <w:rPr>
                <w:rStyle w:val="IndexLink"/>
              </w:rPr>
              <w:t>185</w:t>
            </w:r>
          </w:hyperlink>
        </w:p>
        <w:p>
          <w:pPr>
            <w:pStyle w:val="Contents4"/>
            <w:tabs>
              <w:tab w:val="clear" w:pos="8176"/>
              <w:tab w:val="right" w:pos="9026" w:leader="dot"/>
            </w:tabs>
            <w:rPr/>
          </w:pPr>
          <w:hyperlink w:anchor="__RefHeading___Toc362916_581953129">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362918_581953129">
            <w:r>
              <w:rPr>
                <w:webHidden/>
                <w:rStyle w:val="IndexLink"/>
                <w:rtl w:val="true"/>
              </w:rPr>
              <w:t>المذهب الجعفری</w:t>
            </w:r>
            <w:r>
              <w:rPr>
                <w:rStyle w:val="IndexLink"/>
                <w:rtl w:val="true"/>
              </w:rPr>
              <w:tab/>
            </w:r>
            <w:r>
              <w:rPr>
                <w:rStyle w:val="IndexLink"/>
              </w:rPr>
              <w:t>185</w:t>
            </w:r>
          </w:hyperlink>
        </w:p>
        <w:p>
          <w:pPr>
            <w:pStyle w:val="Contents4"/>
            <w:tabs>
              <w:tab w:val="clear" w:pos="8176"/>
              <w:tab w:val="right" w:pos="9026" w:leader="dot"/>
            </w:tabs>
            <w:rPr/>
          </w:pPr>
          <w:hyperlink w:anchor="__RefHeading___Toc362920_581953129">
            <w:r>
              <w:rPr>
                <w:webHidden/>
                <w:rStyle w:val="IndexLink"/>
                <w:rtl w:val="true"/>
              </w:rPr>
              <w:t>المذاهب الاربعة</w:t>
            </w:r>
            <w:r>
              <w:rPr>
                <w:rStyle w:val="IndexLink"/>
                <w:rtl w:val="true"/>
              </w:rPr>
              <w:tab/>
            </w:r>
            <w:r>
              <w:rPr>
                <w:rStyle w:val="IndexLink"/>
              </w:rPr>
              <w:t>185</w:t>
            </w:r>
          </w:hyperlink>
        </w:p>
        <w:p>
          <w:pPr>
            <w:pStyle w:val="Contents3"/>
            <w:tabs>
              <w:tab w:val="clear" w:pos="8459"/>
              <w:tab w:val="right" w:pos="9026" w:leader="dot"/>
            </w:tabs>
            <w:rPr/>
          </w:pPr>
          <w:hyperlink w:anchor="__RefHeading___Toc362922_581953129">
            <w:r>
              <w:rPr>
                <w:webHidden/>
                <w:rStyle w:val="IndexLink"/>
                <w:rtl w:val="true"/>
              </w:rPr>
              <w:t>وصف السجود</w:t>
            </w:r>
            <w:r>
              <w:rPr>
                <w:rStyle w:val="IndexLink"/>
                <w:rtl w:val="true"/>
              </w:rPr>
              <w:tab/>
            </w:r>
            <w:r>
              <w:rPr>
                <w:rStyle w:val="IndexLink"/>
              </w:rPr>
              <w:t>185</w:t>
            </w:r>
          </w:hyperlink>
        </w:p>
        <w:p>
          <w:pPr>
            <w:pStyle w:val="Contents4"/>
            <w:tabs>
              <w:tab w:val="clear" w:pos="8176"/>
              <w:tab w:val="right" w:pos="9026" w:leader="dot"/>
            </w:tabs>
            <w:rPr/>
          </w:pPr>
          <w:hyperlink w:anchor="__RefHeading___Toc362924_581953129">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362926_581953129">
            <w:r>
              <w:rPr>
                <w:webHidden/>
                <w:rStyle w:val="IndexLink"/>
                <w:rtl w:val="true"/>
              </w:rPr>
              <w:t>المذهب الجعفری</w:t>
            </w:r>
            <w:r>
              <w:rPr>
                <w:rStyle w:val="IndexLink"/>
                <w:rtl w:val="true"/>
              </w:rPr>
              <w:tab/>
            </w:r>
            <w:r>
              <w:rPr>
                <w:rStyle w:val="IndexLink"/>
              </w:rPr>
              <w:t>186</w:t>
            </w:r>
          </w:hyperlink>
        </w:p>
        <w:p>
          <w:pPr>
            <w:pStyle w:val="Contents4"/>
            <w:tabs>
              <w:tab w:val="clear" w:pos="8176"/>
              <w:tab w:val="right" w:pos="9026" w:leader="dot"/>
            </w:tabs>
            <w:rPr/>
          </w:pPr>
          <w:hyperlink w:anchor="__RefHeading___Toc362928_581953129">
            <w:r>
              <w:rPr>
                <w:webHidden/>
                <w:rStyle w:val="IndexLink"/>
                <w:rtl w:val="true"/>
              </w:rPr>
              <w:t>المذهب الشافعی و الحنبلی</w:t>
            </w:r>
            <w:r>
              <w:rPr>
                <w:rStyle w:val="IndexLink"/>
                <w:rtl w:val="true"/>
              </w:rPr>
              <w:tab/>
            </w:r>
            <w:r>
              <w:rPr>
                <w:rStyle w:val="IndexLink"/>
              </w:rPr>
              <w:t>186</w:t>
            </w:r>
          </w:hyperlink>
        </w:p>
        <w:p>
          <w:pPr>
            <w:pStyle w:val="Contents4"/>
            <w:tabs>
              <w:tab w:val="clear" w:pos="8176"/>
              <w:tab w:val="right" w:pos="9026" w:leader="dot"/>
            </w:tabs>
            <w:rPr/>
          </w:pPr>
          <w:hyperlink w:anchor="__RefHeading___Toc362930_581953129">
            <w:r>
              <w:rPr>
                <w:webHidden/>
                <w:rStyle w:val="IndexLink"/>
                <w:rtl w:val="true"/>
              </w:rPr>
              <w:t>المذهب المالکی</w:t>
            </w:r>
            <w:r>
              <w:rPr>
                <w:rStyle w:val="IndexLink"/>
                <w:rtl w:val="true"/>
              </w:rPr>
              <w:tab/>
            </w:r>
            <w:r>
              <w:rPr>
                <w:rStyle w:val="IndexLink"/>
              </w:rPr>
              <w:t>186</w:t>
            </w:r>
          </w:hyperlink>
        </w:p>
        <w:p>
          <w:pPr>
            <w:pStyle w:val="Contents3"/>
            <w:tabs>
              <w:tab w:val="clear" w:pos="8459"/>
              <w:tab w:val="right" w:pos="9026" w:leader="dot"/>
            </w:tabs>
            <w:rPr/>
          </w:pPr>
          <w:hyperlink w:anchor="__RefHeading___Toc362932_581953129">
            <w:r>
              <w:rPr>
                <w:webHidden/>
                <w:rStyle w:val="IndexLink"/>
                <w:rtl w:val="true"/>
              </w:rPr>
              <w:t>الشکّ و السهو</w:t>
            </w:r>
            <w:r>
              <w:rPr>
                <w:rStyle w:val="IndexLink"/>
                <w:rtl w:val="true"/>
              </w:rPr>
              <w:tab/>
            </w:r>
            <w:r>
              <w:rPr>
                <w:rStyle w:val="IndexLink"/>
              </w:rPr>
              <w:t>186</w:t>
            </w:r>
          </w:hyperlink>
        </w:p>
        <w:p>
          <w:pPr>
            <w:pStyle w:val="Contents4"/>
            <w:tabs>
              <w:tab w:val="clear" w:pos="8176"/>
              <w:tab w:val="right" w:pos="9026" w:leader="dot"/>
            </w:tabs>
            <w:rPr/>
          </w:pPr>
          <w:hyperlink w:anchor="__RefHeading___Toc362934_581953129">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362936_581953129">
            <w:r>
              <w:rPr>
                <w:webHidden/>
                <w:rStyle w:val="IndexLink"/>
                <w:rtl w:val="true"/>
              </w:rPr>
              <w:t>المذاهب الاربعة</w:t>
            </w:r>
            <w:r>
              <w:rPr>
                <w:rStyle w:val="IndexLink"/>
                <w:rtl w:val="true"/>
              </w:rPr>
              <w:tab/>
            </w:r>
            <w:r>
              <w:rPr>
                <w:rStyle w:val="IndexLink"/>
              </w:rPr>
              <w:t>186</w:t>
            </w:r>
          </w:hyperlink>
        </w:p>
        <w:p>
          <w:pPr>
            <w:pStyle w:val="Contents4"/>
            <w:tabs>
              <w:tab w:val="clear" w:pos="8176"/>
              <w:tab w:val="right" w:pos="9026" w:leader="dot"/>
            </w:tabs>
            <w:rPr/>
          </w:pPr>
          <w:hyperlink w:anchor="__RefHeading___Toc362938_581953129">
            <w:r>
              <w:rPr>
                <w:webHidden/>
                <w:rStyle w:val="IndexLink"/>
                <w:rtl w:val="true"/>
              </w:rPr>
              <w:t>المذهب الجعفری</w:t>
            </w:r>
            <w:r>
              <w:rPr>
                <w:rStyle w:val="IndexLink"/>
                <w:rtl w:val="true"/>
              </w:rPr>
              <w:tab/>
            </w:r>
            <w:r>
              <w:rPr>
                <w:rStyle w:val="IndexLink"/>
              </w:rPr>
              <w:t>187</w:t>
            </w:r>
          </w:hyperlink>
        </w:p>
        <w:p>
          <w:pPr>
            <w:pStyle w:val="Contents3"/>
            <w:tabs>
              <w:tab w:val="clear" w:pos="8459"/>
              <w:tab w:val="right" w:pos="9026" w:leader="dot"/>
            </w:tabs>
            <w:rPr/>
          </w:pPr>
          <w:hyperlink w:anchor="__RefHeading___Toc362940_581953129">
            <w:r>
              <w:rPr>
                <w:webHidden/>
                <w:rStyle w:val="IndexLink"/>
                <w:rtl w:val="true"/>
              </w:rPr>
              <w:t>حول الشکّیات</w:t>
            </w:r>
            <w:r>
              <w:rPr>
                <w:rStyle w:val="IndexLink"/>
                <w:rtl w:val="true"/>
              </w:rPr>
              <w:tab/>
            </w:r>
            <w:r>
              <w:rPr>
                <w:rStyle w:val="IndexLink"/>
              </w:rPr>
              <w:t>187</w:t>
            </w:r>
          </w:hyperlink>
        </w:p>
        <w:p>
          <w:pPr>
            <w:pStyle w:val="Contents3"/>
            <w:tabs>
              <w:tab w:val="clear" w:pos="8459"/>
              <w:tab w:val="right" w:pos="9026" w:leader="dot"/>
            </w:tabs>
            <w:rPr/>
          </w:pPr>
          <w:hyperlink w:anchor="__RefHeading___Toc362942_581953129">
            <w:r>
              <w:rPr>
                <w:webHidden/>
                <w:rStyle w:val="IndexLink"/>
                <w:rtl w:val="true"/>
              </w:rPr>
              <w:t>الشکّ الصحیح</w:t>
            </w:r>
            <w:r>
              <w:rPr>
                <w:rStyle w:val="IndexLink"/>
                <w:rtl w:val="true"/>
              </w:rPr>
              <w:tab/>
            </w:r>
            <w:r>
              <w:rPr>
                <w:rStyle w:val="IndexLink"/>
              </w:rPr>
              <w:t>188</w:t>
            </w:r>
          </w:hyperlink>
        </w:p>
        <w:p>
          <w:pPr>
            <w:pStyle w:val="Contents3"/>
            <w:tabs>
              <w:tab w:val="clear" w:pos="8459"/>
              <w:tab w:val="right" w:pos="9026" w:leader="dot"/>
            </w:tabs>
            <w:rPr/>
          </w:pPr>
          <w:hyperlink w:anchor="__RefHeading___Toc362944_581953129">
            <w:r>
              <w:rPr>
                <w:webHidden/>
                <w:rStyle w:val="IndexLink"/>
                <w:rtl w:val="true"/>
              </w:rPr>
              <w:t>حجیة الظنّ فی الصلاة</w:t>
            </w:r>
            <w:r>
              <w:rPr>
                <w:rStyle w:val="IndexLink"/>
                <w:rtl w:val="true"/>
              </w:rPr>
              <w:tab/>
            </w:r>
            <w:r>
              <w:rPr>
                <w:rStyle w:val="IndexLink"/>
              </w:rPr>
              <w:t>188</w:t>
            </w:r>
          </w:hyperlink>
        </w:p>
        <w:p>
          <w:pPr>
            <w:pStyle w:val="Contents4"/>
            <w:tabs>
              <w:tab w:val="clear" w:pos="8176"/>
              <w:tab w:val="right" w:pos="9026" w:leader="dot"/>
            </w:tabs>
            <w:rPr/>
          </w:pPr>
          <w:hyperlink w:anchor="__RefHeading___Toc362946_581953129">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62948_581953129">
            <w:r>
              <w:rPr>
                <w:webHidden/>
                <w:rStyle w:val="IndexLink"/>
                <w:rtl w:val="true"/>
              </w:rPr>
              <w:t>منشأ الاختلاف</w:t>
            </w:r>
            <w:r>
              <w:rPr>
                <w:rStyle w:val="IndexLink"/>
                <w:rtl w:val="true"/>
              </w:rPr>
              <w:tab/>
            </w:r>
            <w:r>
              <w:rPr>
                <w:rStyle w:val="IndexLink"/>
              </w:rPr>
              <w:t>189</w:t>
            </w:r>
          </w:hyperlink>
        </w:p>
        <w:p>
          <w:pPr>
            <w:pStyle w:val="Contents3"/>
            <w:tabs>
              <w:tab w:val="clear" w:pos="8459"/>
              <w:tab w:val="right" w:pos="9026" w:leader="dot"/>
            </w:tabs>
            <w:rPr/>
          </w:pPr>
          <w:hyperlink w:anchor="__RefHeading___Toc362950_581953129">
            <w:r>
              <w:rPr>
                <w:webHidden/>
                <w:rStyle w:val="IndexLink"/>
                <w:rtl w:val="true"/>
              </w:rPr>
              <w:t>الخلاصة</w:t>
            </w:r>
            <w:r>
              <w:rPr>
                <w:rStyle w:val="IndexLink"/>
                <w:rtl w:val="true"/>
              </w:rPr>
              <w:tab/>
            </w:r>
            <w:r>
              <w:rPr>
                <w:rStyle w:val="IndexLink"/>
              </w:rPr>
              <w:t>191</w:t>
            </w:r>
          </w:hyperlink>
        </w:p>
        <w:p>
          <w:pPr>
            <w:pStyle w:val="Contents3"/>
            <w:tabs>
              <w:tab w:val="clear" w:pos="8459"/>
              <w:tab w:val="right" w:pos="9026" w:leader="dot"/>
            </w:tabs>
            <w:rPr/>
          </w:pPr>
          <w:hyperlink w:anchor="__RefHeading___Toc362952_581953129">
            <w:r>
              <w:rPr>
                <w:webHidden/>
                <w:rStyle w:val="IndexLink"/>
                <w:rtl w:val="true"/>
              </w:rPr>
              <w:t>الأسئلة</w:t>
            </w:r>
            <w:r>
              <w:rPr>
                <w:rStyle w:val="IndexLink"/>
                <w:rtl w:val="true"/>
              </w:rPr>
              <w:tab/>
            </w:r>
            <w:r>
              <w:rPr>
                <w:rStyle w:val="IndexLink"/>
              </w:rPr>
              <w:t>192</w:t>
            </w:r>
          </w:hyperlink>
        </w:p>
        <w:p>
          <w:pPr>
            <w:pStyle w:val="Contents2"/>
            <w:tabs>
              <w:tab w:val="clear" w:pos="8743"/>
              <w:tab w:val="right" w:pos="9026" w:leader="dot"/>
            </w:tabs>
            <w:rPr/>
          </w:pPr>
          <w:hyperlink w:anchor="__RefHeading___Toc362954_581953129">
            <w:r>
              <w:rPr>
                <w:webHidden/>
                <w:rStyle w:val="IndexLink"/>
              </w:rPr>
              <w:t>14</w:t>
            </w:r>
            <w:r>
              <w:rPr>
                <w:rStyle w:val="IndexLink"/>
                <w:rtl w:val="true"/>
              </w:rPr>
              <w:t xml:space="preserve">- </w:t>
            </w:r>
            <w:r>
              <w:rPr>
                <w:rStyle w:val="IndexLink"/>
                <w:rtl w:val="true"/>
              </w:rPr>
              <w:t xml:space="preserve">صلاة الجماعة </w:t>
            </w:r>
            <w:r>
              <w:rPr>
                <w:rStyle w:val="IndexLink"/>
                <w:rtl w:val="true"/>
              </w:rPr>
              <w:t>(</w:t>
            </w:r>
            <w:r>
              <w:rPr>
                <w:rStyle w:val="IndexLink"/>
              </w:rPr>
              <w:t>1</w:t>
            </w:r>
            <w:r>
              <w:rPr>
                <w:rStyle w:val="IndexLink"/>
                <w:rtl w:val="true"/>
              </w:rPr>
              <w:t>)</w:t>
              <w:tab/>
            </w:r>
            <w:r>
              <w:rPr>
                <w:rStyle w:val="IndexLink"/>
              </w:rPr>
              <w:t>193</w:t>
            </w:r>
          </w:hyperlink>
        </w:p>
        <w:p>
          <w:pPr>
            <w:pStyle w:val="Contents3"/>
            <w:tabs>
              <w:tab w:val="clear" w:pos="8459"/>
              <w:tab w:val="right" w:pos="9026" w:leader="dot"/>
            </w:tabs>
            <w:rPr/>
          </w:pPr>
          <w:hyperlink w:anchor="__RefHeading___Toc362956_581953129">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362958_581953129">
            <w:r>
              <w:rPr>
                <w:webHidden/>
                <w:rStyle w:val="IndexLink"/>
                <w:rtl w:val="true"/>
              </w:rPr>
              <w:t>الحکم</w:t>
            </w:r>
            <w:r>
              <w:rPr>
                <w:rStyle w:val="IndexLink"/>
                <w:rtl w:val="true"/>
              </w:rPr>
              <w:tab/>
            </w:r>
            <w:r>
              <w:rPr>
                <w:rStyle w:val="IndexLink"/>
              </w:rPr>
              <w:t>193</w:t>
            </w:r>
          </w:hyperlink>
        </w:p>
        <w:p>
          <w:pPr>
            <w:pStyle w:val="Contents4"/>
            <w:tabs>
              <w:tab w:val="clear" w:pos="8176"/>
              <w:tab w:val="right" w:pos="9026" w:leader="dot"/>
            </w:tabs>
            <w:rPr/>
          </w:pPr>
          <w:hyperlink w:anchor="__RefHeading___Toc362960_581953129">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362962_581953129">
            <w:r>
              <w:rPr>
                <w:webHidden/>
                <w:rStyle w:val="IndexLink"/>
                <w:rtl w:val="true"/>
              </w:rPr>
              <w:t>المذهب الحنبلی</w:t>
            </w:r>
            <w:r>
              <w:rPr>
                <w:rStyle w:val="IndexLink"/>
                <w:rtl w:val="true"/>
              </w:rPr>
              <w:tab/>
            </w:r>
            <w:r>
              <w:rPr>
                <w:rStyle w:val="IndexLink"/>
              </w:rPr>
              <w:t>193</w:t>
            </w:r>
          </w:hyperlink>
        </w:p>
        <w:p>
          <w:pPr>
            <w:pStyle w:val="Contents4"/>
            <w:tabs>
              <w:tab w:val="clear" w:pos="8176"/>
              <w:tab w:val="right" w:pos="9026" w:leader="dot"/>
            </w:tabs>
            <w:rPr/>
          </w:pPr>
          <w:hyperlink w:anchor="__RefHeading___Toc362964_581953129">
            <w:r>
              <w:rPr>
                <w:webHidden/>
                <w:rStyle w:val="IndexLink"/>
                <w:rtl w:val="true"/>
              </w:rPr>
              <w:t>المذاهب الاربعة الأخری</w:t>
            </w:r>
            <w:r>
              <w:rPr>
                <w:rStyle w:val="IndexLink"/>
                <w:rtl w:val="true"/>
              </w:rPr>
              <w:tab/>
            </w:r>
            <w:r>
              <w:rPr>
                <w:rStyle w:val="IndexLink"/>
              </w:rPr>
              <w:t>193</w:t>
            </w:r>
          </w:hyperlink>
        </w:p>
        <w:p>
          <w:pPr>
            <w:pStyle w:val="Contents3"/>
            <w:tabs>
              <w:tab w:val="clear" w:pos="8459"/>
              <w:tab w:val="right" w:pos="9026" w:leader="dot"/>
            </w:tabs>
            <w:rPr/>
          </w:pPr>
          <w:hyperlink w:anchor="__RefHeading___Toc362966_581953129">
            <w:r>
              <w:rPr>
                <w:webHidden/>
                <w:rStyle w:val="IndexLink"/>
                <w:rtl w:val="true"/>
              </w:rPr>
              <w:t>اشتراط العدالة للإمام</w:t>
            </w:r>
            <w:r>
              <w:rPr>
                <w:rStyle w:val="IndexLink"/>
                <w:rtl w:val="true"/>
              </w:rPr>
              <w:tab/>
            </w:r>
            <w:r>
              <w:rPr>
                <w:rStyle w:val="IndexLink"/>
              </w:rPr>
              <w:t>194</w:t>
            </w:r>
          </w:hyperlink>
        </w:p>
        <w:p>
          <w:pPr>
            <w:pStyle w:val="Contents4"/>
            <w:tabs>
              <w:tab w:val="clear" w:pos="8176"/>
              <w:tab w:val="right" w:pos="9026" w:leader="dot"/>
            </w:tabs>
            <w:rPr/>
          </w:pPr>
          <w:hyperlink w:anchor="__RefHeading___Toc362968_581953129">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362970_581953129">
            <w:r>
              <w:rPr>
                <w:webHidden/>
                <w:rStyle w:val="IndexLink"/>
                <w:rtl w:val="true"/>
              </w:rPr>
              <w:t>المذهب الجعفری</w:t>
            </w:r>
            <w:r>
              <w:rPr>
                <w:rStyle w:val="IndexLink"/>
                <w:rtl w:val="true"/>
              </w:rPr>
              <w:tab/>
            </w:r>
            <w:r>
              <w:rPr>
                <w:rStyle w:val="IndexLink"/>
              </w:rPr>
              <w:t>194</w:t>
            </w:r>
          </w:hyperlink>
        </w:p>
        <w:p>
          <w:pPr>
            <w:pStyle w:val="Contents4"/>
            <w:tabs>
              <w:tab w:val="clear" w:pos="8176"/>
              <w:tab w:val="right" w:pos="9026" w:leader="dot"/>
            </w:tabs>
            <w:rPr/>
          </w:pPr>
          <w:hyperlink w:anchor="__RefHeading___Toc362972_581953129">
            <w:r>
              <w:rPr>
                <w:webHidden/>
                <w:rStyle w:val="IndexLink"/>
                <w:rtl w:val="true"/>
              </w:rPr>
              <w:t>المذهب الحنفی و الشافعی</w:t>
            </w:r>
            <w:r>
              <w:rPr>
                <w:rStyle w:val="IndexLink"/>
                <w:rtl w:val="true"/>
              </w:rPr>
              <w:tab/>
            </w:r>
            <w:r>
              <w:rPr>
                <w:rStyle w:val="IndexLink"/>
              </w:rPr>
              <w:t>195</w:t>
            </w:r>
          </w:hyperlink>
        </w:p>
        <w:p>
          <w:pPr>
            <w:pStyle w:val="Contents3"/>
            <w:tabs>
              <w:tab w:val="clear" w:pos="8459"/>
              <w:tab w:val="right" w:pos="9026" w:leader="dot"/>
            </w:tabs>
            <w:rPr/>
          </w:pPr>
          <w:hyperlink w:anchor="__RefHeading___Toc362974_581953129">
            <w:r>
              <w:rPr>
                <w:webHidden/>
                <w:rStyle w:val="IndexLink"/>
                <w:rtl w:val="true"/>
              </w:rPr>
              <w:t>[</w:t>
            </w:r>
            <w:r>
              <w:rPr>
                <w:rStyle w:val="IndexLink"/>
                <w:rtl w:val="true"/>
              </w:rPr>
              <w:t>اشتراط العدالة لإمام الجمعة و الأعیاد</w:t>
            </w:r>
            <w:r>
              <w:rPr>
                <w:rStyle w:val="IndexLink"/>
                <w:rtl w:val="true"/>
              </w:rPr>
              <w:t>]</w:t>
              <w:tab/>
            </w:r>
            <w:r>
              <w:rPr>
                <w:rStyle w:val="IndexLink"/>
              </w:rPr>
              <w:t>195</w:t>
            </w:r>
          </w:hyperlink>
        </w:p>
        <w:p>
          <w:pPr>
            <w:pStyle w:val="Contents4"/>
            <w:tabs>
              <w:tab w:val="clear" w:pos="8176"/>
              <w:tab w:val="right" w:pos="9026" w:leader="dot"/>
            </w:tabs>
            <w:rPr/>
          </w:pPr>
          <w:hyperlink w:anchor="__RefHeading___Toc362976_581953129">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362978_581953129">
            <w:r>
              <w:rPr>
                <w:webHidden/>
                <w:rStyle w:val="IndexLink"/>
                <w:rtl w:val="true"/>
              </w:rPr>
              <w:t>المذهب الجعفری</w:t>
            </w:r>
            <w:r>
              <w:rPr>
                <w:rStyle w:val="IndexLink"/>
                <w:rtl w:val="true"/>
              </w:rPr>
              <w:tab/>
            </w:r>
            <w:r>
              <w:rPr>
                <w:rStyle w:val="IndexLink"/>
              </w:rPr>
              <w:t>195</w:t>
            </w:r>
          </w:hyperlink>
        </w:p>
        <w:p>
          <w:pPr>
            <w:pStyle w:val="Contents4"/>
            <w:tabs>
              <w:tab w:val="clear" w:pos="8176"/>
              <w:tab w:val="right" w:pos="9026" w:leader="dot"/>
            </w:tabs>
            <w:rPr/>
          </w:pPr>
          <w:hyperlink w:anchor="__RefHeading___Toc362980_581953129">
            <w:r>
              <w:rPr>
                <w:webHidden/>
                <w:rStyle w:val="IndexLink"/>
                <w:rtl w:val="true"/>
              </w:rPr>
              <w:t>المذاهب الاربعة</w:t>
            </w:r>
            <w:r>
              <w:rPr>
                <w:rStyle w:val="IndexLink"/>
                <w:rtl w:val="true"/>
              </w:rPr>
              <w:tab/>
            </w:r>
            <w:r>
              <w:rPr>
                <w:rStyle w:val="IndexLink"/>
              </w:rPr>
              <w:t>196</w:t>
            </w:r>
          </w:hyperlink>
        </w:p>
        <w:p>
          <w:pPr>
            <w:pStyle w:val="Contents4"/>
            <w:tabs>
              <w:tab w:val="clear" w:pos="8176"/>
              <w:tab w:val="right" w:pos="9026" w:leader="dot"/>
            </w:tabs>
            <w:rPr/>
          </w:pPr>
          <w:hyperlink w:anchor="__RefHeading___Toc362982_581953129">
            <w:r>
              <w:rPr>
                <w:webHidden/>
                <w:rStyle w:val="IndexLink"/>
                <w:rtl w:val="true"/>
              </w:rPr>
              <w:t>منشأ الاختلاف</w:t>
            </w:r>
            <w:r>
              <w:rPr>
                <w:rStyle w:val="IndexLink"/>
                <w:rtl w:val="true"/>
              </w:rPr>
              <w:tab/>
            </w:r>
            <w:r>
              <w:rPr>
                <w:rStyle w:val="IndexLink"/>
              </w:rPr>
              <w:t>196</w:t>
            </w:r>
          </w:hyperlink>
        </w:p>
        <w:p>
          <w:pPr>
            <w:pStyle w:val="Contents3"/>
            <w:tabs>
              <w:tab w:val="clear" w:pos="8459"/>
              <w:tab w:val="right" w:pos="9026" w:leader="dot"/>
            </w:tabs>
            <w:rPr/>
          </w:pPr>
          <w:hyperlink w:anchor="__RefHeading___Toc362984_581953129">
            <w:r>
              <w:rPr>
                <w:webHidden/>
                <w:rStyle w:val="IndexLink"/>
                <w:rtl w:val="true"/>
              </w:rPr>
              <w:t>طهارة المولد</w:t>
            </w:r>
            <w:r>
              <w:rPr>
                <w:rStyle w:val="IndexLink"/>
                <w:rtl w:val="true"/>
              </w:rPr>
              <w:tab/>
            </w:r>
            <w:r>
              <w:rPr>
                <w:rStyle w:val="IndexLink"/>
              </w:rPr>
              <w:t>196</w:t>
            </w:r>
          </w:hyperlink>
        </w:p>
        <w:p>
          <w:pPr>
            <w:pStyle w:val="Contents4"/>
            <w:tabs>
              <w:tab w:val="clear" w:pos="8176"/>
              <w:tab w:val="right" w:pos="9026" w:leader="dot"/>
            </w:tabs>
            <w:rPr/>
          </w:pPr>
          <w:hyperlink w:anchor="__RefHeading___Toc362986_581953129">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362988_581953129">
            <w:r>
              <w:rPr>
                <w:webHidden/>
                <w:rStyle w:val="IndexLink"/>
                <w:rtl w:val="true"/>
              </w:rPr>
              <w:t>المذاهب الاربعة</w:t>
            </w:r>
            <w:r>
              <w:rPr>
                <w:rStyle w:val="IndexLink"/>
                <w:rtl w:val="true"/>
              </w:rPr>
              <w:tab/>
            </w:r>
            <w:r>
              <w:rPr>
                <w:rStyle w:val="IndexLink"/>
              </w:rPr>
              <w:t>197</w:t>
            </w:r>
          </w:hyperlink>
        </w:p>
        <w:p>
          <w:pPr>
            <w:pStyle w:val="Contents4"/>
            <w:tabs>
              <w:tab w:val="clear" w:pos="8176"/>
              <w:tab w:val="right" w:pos="9026" w:leader="dot"/>
            </w:tabs>
            <w:rPr/>
          </w:pPr>
          <w:hyperlink w:anchor="__RefHeading___Toc362990_581953129">
            <w:r>
              <w:rPr>
                <w:webHidden/>
                <w:rStyle w:val="IndexLink"/>
                <w:rtl w:val="true"/>
              </w:rPr>
              <w:t>المذهب الجعفری</w:t>
            </w:r>
            <w:r>
              <w:rPr>
                <w:rStyle w:val="IndexLink"/>
                <w:rtl w:val="true"/>
              </w:rPr>
              <w:tab/>
            </w:r>
            <w:r>
              <w:rPr>
                <w:rStyle w:val="IndexLink"/>
              </w:rPr>
              <w:t>197</w:t>
            </w:r>
          </w:hyperlink>
        </w:p>
        <w:p>
          <w:pPr>
            <w:pStyle w:val="Contents3"/>
            <w:tabs>
              <w:tab w:val="clear" w:pos="8459"/>
              <w:tab w:val="right" w:pos="9026" w:leader="dot"/>
            </w:tabs>
            <w:rPr/>
          </w:pPr>
          <w:hyperlink w:anchor="__RefHeading___Toc362992_581953129">
            <w:r>
              <w:rPr>
                <w:webHidden/>
                <w:rStyle w:val="IndexLink"/>
                <w:rtl w:val="true"/>
              </w:rPr>
              <w:t>اشتراط البلوغ</w:t>
            </w:r>
            <w:r>
              <w:rPr>
                <w:rStyle w:val="IndexLink"/>
                <w:rtl w:val="true"/>
              </w:rPr>
              <w:tab/>
            </w:r>
            <w:r>
              <w:rPr>
                <w:rStyle w:val="IndexLink"/>
              </w:rPr>
              <w:t>197</w:t>
            </w:r>
          </w:hyperlink>
        </w:p>
        <w:p>
          <w:pPr>
            <w:pStyle w:val="Contents4"/>
            <w:tabs>
              <w:tab w:val="clear" w:pos="8176"/>
              <w:tab w:val="right" w:pos="9026" w:leader="dot"/>
            </w:tabs>
            <w:rPr/>
          </w:pPr>
          <w:hyperlink w:anchor="__RefHeading___Toc362994_581953129">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362996_581953129">
            <w:r>
              <w:rPr>
                <w:webHidden/>
                <w:rStyle w:val="IndexLink"/>
                <w:rtl w:val="true"/>
              </w:rPr>
              <w:t>منشأ الاختلاف</w:t>
            </w:r>
            <w:r>
              <w:rPr>
                <w:rStyle w:val="IndexLink"/>
                <w:rtl w:val="true"/>
              </w:rPr>
              <w:tab/>
            </w:r>
            <w:r>
              <w:rPr>
                <w:rStyle w:val="IndexLink"/>
              </w:rPr>
              <w:t>198</w:t>
            </w:r>
          </w:hyperlink>
        </w:p>
        <w:p>
          <w:pPr>
            <w:pStyle w:val="Contents3"/>
            <w:tabs>
              <w:tab w:val="clear" w:pos="8459"/>
              <w:tab w:val="right" w:pos="9026" w:leader="dot"/>
            </w:tabs>
            <w:rPr/>
          </w:pPr>
          <w:hyperlink w:anchor="__RefHeading___Toc362998_581953129">
            <w:r>
              <w:rPr>
                <w:webHidden/>
                <w:rStyle w:val="IndexLink"/>
                <w:rtl w:val="true"/>
              </w:rPr>
              <w:t>الجماعة فی النوافل</w:t>
            </w:r>
            <w:r>
              <w:rPr>
                <w:rStyle w:val="IndexLink"/>
                <w:rtl w:val="true"/>
              </w:rPr>
              <w:tab/>
            </w:r>
            <w:r>
              <w:rPr>
                <w:rStyle w:val="IndexLink"/>
              </w:rPr>
              <w:t>198</w:t>
            </w:r>
          </w:hyperlink>
        </w:p>
        <w:p>
          <w:pPr>
            <w:pStyle w:val="Contents4"/>
            <w:tabs>
              <w:tab w:val="clear" w:pos="8176"/>
              <w:tab w:val="right" w:pos="9026" w:leader="dot"/>
            </w:tabs>
            <w:rPr/>
          </w:pPr>
          <w:hyperlink w:anchor="__RefHeading___Toc363000_581953129">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363002_581953129">
            <w:r>
              <w:rPr>
                <w:webHidden/>
                <w:rStyle w:val="IndexLink"/>
                <w:rtl w:val="true"/>
              </w:rPr>
              <w:t>المذهب المالکی</w:t>
            </w:r>
            <w:r>
              <w:rPr>
                <w:rStyle w:val="IndexLink"/>
                <w:rtl w:val="true"/>
              </w:rPr>
              <w:tab/>
            </w:r>
            <w:r>
              <w:rPr>
                <w:rStyle w:val="IndexLink"/>
              </w:rPr>
              <w:t>198</w:t>
            </w:r>
          </w:hyperlink>
        </w:p>
        <w:p>
          <w:pPr>
            <w:pStyle w:val="Contents4"/>
            <w:tabs>
              <w:tab w:val="clear" w:pos="8176"/>
              <w:tab w:val="right" w:pos="9026" w:leader="dot"/>
            </w:tabs>
            <w:rPr/>
          </w:pPr>
          <w:hyperlink w:anchor="__RefHeading___Toc363004_581953129">
            <w:r>
              <w:rPr>
                <w:webHidden/>
                <w:rStyle w:val="IndexLink"/>
                <w:rtl w:val="true"/>
              </w:rPr>
              <w:t>المذهب الحنفی</w:t>
            </w:r>
            <w:r>
              <w:rPr>
                <w:rStyle w:val="IndexLink"/>
                <w:rtl w:val="true"/>
              </w:rPr>
              <w:tab/>
            </w:r>
            <w:r>
              <w:rPr>
                <w:rStyle w:val="IndexLink"/>
              </w:rPr>
              <w:t>198</w:t>
            </w:r>
          </w:hyperlink>
        </w:p>
        <w:p>
          <w:pPr>
            <w:pStyle w:val="Contents4"/>
            <w:tabs>
              <w:tab w:val="clear" w:pos="8176"/>
              <w:tab w:val="right" w:pos="9026" w:leader="dot"/>
            </w:tabs>
            <w:rPr/>
          </w:pPr>
          <w:hyperlink w:anchor="__RefHeading___Toc363006_581953129">
            <w:r>
              <w:rPr>
                <w:webHidden/>
                <w:rStyle w:val="IndexLink"/>
                <w:rtl w:val="true"/>
              </w:rPr>
              <w:t>المذهب الحنبلی</w:t>
            </w:r>
            <w:r>
              <w:rPr>
                <w:rStyle w:val="IndexLink"/>
                <w:rtl w:val="true"/>
              </w:rPr>
              <w:tab/>
            </w:r>
            <w:r>
              <w:rPr>
                <w:rStyle w:val="IndexLink"/>
              </w:rPr>
              <w:t>199</w:t>
            </w:r>
          </w:hyperlink>
        </w:p>
        <w:p>
          <w:pPr>
            <w:pStyle w:val="Contents4"/>
            <w:tabs>
              <w:tab w:val="clear" w:pos="8176"/>
              <w:tab w:val="right" w:pos="9026" w:leader="dot"/>
            </w:tabs>
            <w:rPr/>
          </w:pPr>
          <w:hyperlink w:anchor="__RefHeading___Toc363008_581953129">
            <w:r>
              <w:rPr>
                <w:webHidden/>
                <w:rStyle w:val="IndexLink"/>
                <w:rtl w:val="true"/>
              </w:rPr>
              <w:t>المذهب الشافعی</w:t>
            </w:r>
            <w:r>
              <w:rPr>
                <w:rStyle w:val="IndexLink"/>
                <w:rtl w:val="true"/>
              </w:rPr>
              <w:tab/>
            </w:r>
            <w:r>
              <w:rPr>
                <w:rStyle w:val="IndexLink"/>
              </w:rPr>
              <w:t>199</w:t>
            </w:r>
          </w:hyperlink>
        </w:p>
        <w:p>
          <w:pPr>
            <w:pStyle w:val="Contents4"/>
            <w:tabs>
              <w:tab w:val="clear" w:pos="8176"/>
              <w:tab w:val="right" w:pos="9026" w:leader="dot"/>
            </w:tabs>
            <w:rPr/>
          </w:pPr>
          <w:hyperlink w:anchor="__RefHeading___Toc363010_581953129">
            <w:r>
              <w:rPr>
                <w:webHidden/>
                <w:rStyle w:val="IndexLink"/>
                <w:rtl w:val="true"/>
              </w:rPr>
              <w:t>المذهب الجعفری</w:t>
            </w:r>
            <w:r>
              <w:rPr>
                <w:rStyle w:val="IndexLink"/>
                <w:rtl w:val="true"/>
              </w:rPr>
              <w:tab/>
            </w:r>
            <w:r>
              <w:rPr>
                <w:rStyle w:val="IndexLink"/>
              </w:rPr>
              <w:t>199</w:t>
            </w:r>
          </w:hyperlink>
        </w:p>
        <w:p>
          <w:pPr>
            <w:pStyle w:val="Contents4"/>
            <w:tabs>
              <w:tab w:val="clear" w:pos="8176"/>
              <w:tab w:val="right" w:pos="9026" w:leader="dot"/>
            </w:tabs>
            <w:rPr/>
          </w:pPr>
          <w:hyperlink w:anchor="__RefHeading___Toc363012_581953129">
            <w:r>
              <w:rPr>
                <w:webHidden/>
                <w:rStyle w:val="IndexLink"/>
                <w:rtl w:val="true"/>
              </w:rPr>
              <w:t>منشأ الاختلاف</w:t>
            </w:r>
            <w:r>
              <w:rPr>
                <w:rStyle w:val="IndexLink"/>
                <w:rtl w:val="true"/>
              </w:rPr>
              <w:tab/>
            </w:r>
            <w:r>
              <w:rPr>
                <w:rStyle w:val="IndexLink"/>
              </w:rPr>
              <w:t>199</w:t>
            </w:r>
          </w:hyperlink>
        </w:p>
        <w:p>
          <w:pPr>
            <w:pStyle w:val="Contents3"/>
            <w:tabs>
              <w:tab w:val="clear" w:pos="8459"/>
              <w:tab w:val="right" w:pos="9026" w:leader="dot"/>
            </w:tabs>
            <w:rPr/>
          </w:pPr>
          <w:hyperlink w:anchor="__RefHeading___Toc363014_581953129">
            <w:r>
              <w:rPr>
                <w:webHidden/>
                <w:rStyle w:val="IndexLink"/>
                <w:rtl w:val="true"/>
              </w:rPr>
              <w:t>اتحاد الصلاة</w:t>
            </w:r>
            <w:r>
              <w:rPr>
                <w:rStyle w:val="IndexLink"/>
                <w:rtl w:val="true"/>
              </w:rPr>
              <w:tab/>
            </w:r>
            <w:r>
              <w:rPr>
                <w:rStyle w:val="IndexLink"/>
              </w:rPr>
              <w:t>200</w:t>
            </w:r>
          </w:hyperlink>
        </w:p>
        <w:p>
          <w:pPr>
            <w:pStyle w:val="Contents4"/>
            <w:tabs>
              <w:tab w:val="clear" w:pos="8176"/>
              <w:tab w:val="right" w:pos="9026" w:leader="dot"/>
            </w:tabs>
            <w:rPr/>
          </w:pPr>
          <w:hyperlink w:anchor="__RefHeading___Toc363016_581953129">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363018_581953129">
            <w:r>
              <w:rPr>
                <w:webHidden/>
                <w:rStyle w:val="IndexLink"/>
                <w:rtl w:val="true"/>
              </w:rPr>
              <w:t>المذهب الجعفری</w:t>
            </w:r>
            <w:r>
              <w:rPr>
                <w:rStyle w:val="IndexLink"/>
                <w:rtl w:val="true"/>
              </w:rPr>
              <w:tab/>
            </w:r>
            <w:r>
              <w:rPr>
                <w:rStyle w:val="IndexLink"/>
              </w:rPr>
              <w:t>200</w:t>
            </w:r>
          </w:hyperlink>
        </w:p>
        <w:p>
          <w:pPr>
            <w:pStyle w:val="Contents4"/>
            <w:tabs>
              <w:tab w:val="clear" w:pos="8176"/>
              <w:tab w:val="right" w:pos="9026" w:leader="dot"/>
            </w:tabs>
            <w:rPr/>
          </w:pPr>
          <w:hyperlink w:anchor="__RefHeading___Toc363020_581953129">
            <w:r>
              <w:rPr>
                <w:webHidden/>
                <w:rStyle w:val="IndexLink"/>
                <w:rtl w:val="true"/>
              </w:rPr>
              <w:t>آراء المذاهب الاربعة</w:t>
            </w:r>
            <w:r>
              <w:rPr>
                <w:rStyle w:val="IndexLink"/>
                <w:rtl w:val="true"/>
              </w:rPr>
              <w:tab/>
            </w:r>
            <w:r>
              <w:rPr>
                <w:rStyle w:val="IndexLink"/>
              </w:rPr>
              <w:t>200</w:t>
            </w:r>
          </w:hyperlink>
        </w:p>
        <w:p>
          <w:pPr>
            <w:pStyle w:val="Contents4"/>
            <w:tabs>
              <w:tab w:val="clear" w:pos="8176"/>
              <w:tab w:val="right" w:pos="9026" w:leader="dot"/>
            </w:tabs>
            <w:rPr/>
          </w:pPr>
          <w:hyperlink w:anchor="__RefHeading___Toc363022_581953129">
            <w:r>
              <w:rPr>
                <w:webHidden/>
                <w:rStyle w:val="IndexLink"/>
                <w:rtl w:val="true"/>
              </w:rPr>
              <w:t>منشأ الاختلاف</w:t>
            </w:r>
            <w:r>
              <w:rPr>
                <w:rStyle w:val="IndexLink"/>
                <w:rtl w:val="true"/>
              </w:rPr>
              <w:tab/>
            </w:r>
            <w:r>
              <w:rPr>
                <w:rStyle w:val="IndexLink"/>
              </w:rPr>
              <w:t>201</w:t>
            </w:r>
          </w:hyperlink>
        </w:p>
        <w:p>
          <w:pPr>
            <w:pStyle w:val="Contents3"/>
            <w:tabs>
              <w:tab w:val="clear" w:pos="8459"/>
              <w:tab w:val="right" w:pos="9026" w:leader="dot"/>
            </w:tabs>
            <w:rPr/>
          </w:pPr>
          <w:hyperlink w:anchor="__RefHeading___Toc363024_581953129">
            <w:r>
              <w:rPr>
                <w:webHidden/>
                <w:rStyle w:val="IndexLink"/>
                <w:rtl w:val="true"/>
              </w:rPr>
              <w:t>اتّصال الصفوف</w:t>
            </w:r>
            <w:r>
              <w:rPr>
                <w:rStyle w:val="IndexLink"/>
                <w:rtl w:val="true"/>
              </w:rPr>
              <w:tab/>
            </w:r>
            <w:r>
              <w:rPr>
                <w:rStyle w:val="IndexLink"/>
              </w:rPr>
              <w:t>201</w:t>
            </w:r>
          </w:hyperlink>
        </w:p>
        <w:p>
          <w:pPr>
            <w:pStyle w:val="Contents4"/>
            <w:tabs>
              <w:tab w:val="clear" w:pos="8176"/>
              <w:tab w:val="right" w:pos="9026" w:leader="dot"/>
            </w:tabs>
            <w:rPr/>
          </w:pPr>
          <w:hyperlink w:anchor="__RefHeading___Toc363026_581953129">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363028_581953129">
            <w:r>
              <w:rPr>
                <w:webHidden/>
                <w:rStyle w:val="IndexLink"/>
                <w:rtl w:val="true"/>
              </w:rPr>
              <w:t>المذاهب الاربعة</w:t>
            </w:r>
            <w:r>
              <w:rPr>
                <w:rStyle w:val="IndexLink"/>
                <w:rtl w:val="true"/>
              </w:rPr>
              <w:tab/>
            </w:r>
            <w:r>
              <w:rPr>
                <w:rStyle w:val="IndexLink"/>
              </w:rPr>
              <w:t>201</w:t>
            </w:r>
          </w:hyperlink>
        </w:p>
        <w:p>
          <w:pPr>
            <w:pStyle w:val="Contents4"/>
            <w:tabs>
              <w:tab w:val="clear" w:pos="8176"/>
              <w:tab w:val="right" w:pos="9026" w:leader="dot"/>
            </w:tabs>
            <w:rPr/>
          </w:pPr>
          <w:hyperlink w:anchor="__RefHeading___Toc363030_581953129">
            <w:r>
              <w:rPr>
                <w:webHidden/>
                <w:rStyle w:val="IndexLink"/>
                <w:rtl w:val="true"/>
              </w:rPr>
              <w:t>المذهب الجعفری</w:t>
            </w:r>
            <w:r>
              <w:rPr>
                <w:rStyle w:val="IndexLink"/>
                <w:rtl w:val="true"/>
              </w:rPr>
              <w:tab/>
            </w:r>
            <w:r>
              <w:rPr>
                <w:rStyle w:val="IndexLink"/>
              </w:rPr>
              <w:t>202</w:t>
            </w:r>
          </w:hyperlink>
        </w:p>
        <w:p>
          <w:pPr>
            <w:pStyle w:val="Contents4"/>
            <w:tabs>
              <w:tab w:val="clear" w:pos="8176"/>
              <w:tab w:val="right" w:pos="9026" w:leader="dot"/>
            </w:tabs>
            <w:rPr/>
          </w:pPr>
          <w:hyperlink w:anchor="__RefHeading___Toc363032_581953129">
            <w:r>
              <w:rPr>
                <w:webHidden/>
                <w:rStyle w:val="IndexLink"/>
                <w:rtl w:val="true"/>
              </w:rPr>
              <w:t>منشأ الاختلاف</w:t>
            </w:r>
            <w:r>
              <w:rPr>
                <w:rStyle w:val="IndexLink"/>
                <w:rtl w:val="true"/>
              </w:rPr>
              <w:tab/>
            </w:r>
            <w:r>
              <w:rPr>
                <w:rStyle w:val="IndexLink"/>
              </w:rPr>
              <w:t>202</w:t>
            </w:r>
          </w:hyperlink>
        </w:p>
        <w:p>
          <w:pPr>
            <w:pStyle w:val="Contents3"/>
            <w:tabs>
              <w:tab w:val="clear" w:pos="8459"/>
              <w:tab w:val="right" w:pos="9026" w:leader="dot"/>
            </w:tabs>
            <w:rPr/>
          </w:pPr>
          <w:hyperlink w:anchor="__RefHeading___Toc363034_581953129">
            <w:r>
              <w:rPr>
                <w:webHidden/>
                <w:rStyle w:val="IndexLink"/>
                <w:rtl w:val="true"/>
              </w:rPr>
              <w:t>المتابعة</w:t>
            </w:r>
            <w:r>
              <w:rPr>
                <w:rStyle w:val="IndexLink"/>
                <w:rtl w:val="true"/>
              </w:rPr>
              <w:tab/>
            </w:r>
            <w:r>
              <w:rPr>
                <w:rStyle w:val="IndexLink"/>
              </w:rPr>
              <w:t>203</w:t>
            </w:r>
          </w:hyperlink>
        </w:p>
        <w:p>
          <w:pPr>
            <w:pStyle w:val="Contents4"/>
            <w:tabs>
              <w:tab w:val="clear" w:pos="8176"/>
              <w:tab w:val="right" w:pos="9026" w:leader="dot"/>
            </w:tabs>
            <w:rPr/>
          </w:pPr>
          <w:hyperlink w:anchor="__RefHeading___Toc363036_581953129">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363038_581953129">
            <w:r>
              <w:rPr>
                <w:webHidden/>
                <w:rStyle w:val="IndexLink"/>
                <w:rtl w:val="true"/>
              </w:rPr>
              <w:t>المذهب الحنبلی</w:t>
            </w:r>
            <w:r>
              <w:rPr>
                <w:rStyle w:val="IndexLink"/>
                <w:rtl w:val="true"/>
              </w:rPr>
              <w:tab/>
            </w:r>
            <w:r>
              <w:rPr>
                <w:rStyle w:val="IndexLink"/>
              </w:rPr>
              <w:t>203</w:t>
            </w:r>
          </w:hyperlink>
        </w:p>
        <w:p>
          <w:pPr>
            <w:pStyle w:val="Contents4"/>
            <w:tabs>
              <w:tab w:val="clear" w:pos="8176"/>
              <w:tab w:val="right" w:pos="9026" w:leader="dot"/>
            </w:tabs>
            <w:rPr/>
          </w:pPr>
          <w:hyperlink w:anchor="__RefHeading___Toc363040_581953129">
            <w:r>
              <w:rPr>
                <w:webHidden/>
                <w:rStyle w:val="IndexLink"/>
                <w:rtl w:val="true"/>
              </w:rPr>
              <w:t>منشأ الاختلاف</w:t>
            </w:r>
            <w:r>
              <w:rPr>
                <w:rStyle w:val="IndexLink"/>
                <w:rtl w:val="true"/>
              </w:rPr>
              <w:tab/>
            </w:r>
            <w:r>
              <w:rPr>
                <w:rStyle w:val="IndexLink"/>
              </w:rPr>
              <w:t>204</w:t>
            </w:r>
          </w:hyperlink>
        </w:p>
        <w:p>
          <w:pPr>
            <w:pStyle w:val="Contents3"/>
            <w:tabs>
              <w:tab w:val="clear" w:pos="8459"/>
              <w:tab w:val="right" w:pos="9026" w:leader="dot"/>
            </w:tabs>
            <w:rPr/>
          </w:pPr>
          <w:hyperlink w:anchor="__RefHeading___Toc363042_581953129">
            <w:r>
              <w:rPr>
                <w:webHidden/>
                <w:rStyle w:val="IndexLink"/>
                <w:rtl w:val="true"/>
              </w:rPr>
              <w:t>حکم المتأخّر عن الجماعة</w:t>
            </w:r>
            <w:r>
              <w:rPr>
                <w:rStyle w:val="IndexLink"/>
                <w:rtl w:val="true"/>
              </w:rPr>
              <w:tab/>
            </w:r>
            <w:r>
              <w:rPr>
                <w:rStyle w:val="IndexLink"/>
              </w:rPr>
              <w:t>204</w:t>
            </w:r>
          </w:hyperlink>
        </w:p>
        <w:p>
          <w:pPr>
            <w:pStyle w:val="Contents4"/>
            <w:tabs>
              <w:tab w:val="clear" w:pos="8176"/>
              <w:tab w:val="right" w:pos="9026" w:leader="dot"/>
            </w:tabs>
            <w:rPr/>
          </w:pPr>
          <w:hyperlink w:anchor="__RefHeading___Toc363044_581953129">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363046_581953129">
            <w:r>
              <w:rPr>
                <w:webHidden/>
                <w:rStyle w:val="IndexLink"/>
                <w:rtl w:val="true"/>
              </w:rPr>
              <w:t>المذهب الجعفری و الشافعی</w:t>
            </w:r>
            <w:r>
              <w:rPr>
                <w:rStyle w:val="IndexLink"/>
                <w:rtl w:val="true"/>
              </w:rPr>
              <w:tab/>
            </w:r>
            <w:r>
              <w:rPr>
                <w:rStyle w:val="IndexLink"/>
              </w:rPr>
              <w:t>204</w:t>
            </w:r>
          </w:hyperlink>
        </w:p>
        <w:p>
          <w:pPr>
            <w:pStyle w:val="Contents4"/>
            <w:tabs>
              <w:tab w:val="clear" w:pos="8176"/>
              <w:tab w:val="right" w:pos="9026" w:leader="dot"/>
            </w:tabs>
            <w:rPr/>
          </w:pPr>
          <w:hyperlink w:anchor="__RefHeading___Toc363048_581953129">
            <w:r>
              <w:rPr>
                <w:webHidden/>
                <w:rStyle w:val="IndexLink"/>
                <w:rtl w:val="true"/>
              </w:rPr>
              <w:t>المذاهب الثلاثة الأخری</w:t>
            </w:r>
            <w:r>
              <w:rPr>
                <w:rStyle w:val="IndexLink"/>
                <w:rtl w:val="true"/>
              </w:rPr>
              <w:tab/>
            </w:r>
            <w:r>
              <w:rPr>
                <w:rStyle w:val="IndexLink"/>
              </w:rPr>
              <w:t>205</w:t>
            </w:r>
          </w:hyperlink>
        </w:p>
        <w:p>
          <w:pPr>
            <w:pStyle w:val="Contents4"/>
            <w:tabs>
              <w:tab w:val="clear" w:pos="8176"/>
              <w:tab w:val="right" w:pos="9026" w:leader="dot"/>
            </w:tabs>
            <w:rPr/>
          </w:pPr>
          <w:hyperlink w:anchor="__RefHeading___Toc363050_581953129">
            <w:r>
              <w:rPr>
                <w:webHidden/>
                <w:rStyle w:val="IndexLink"/>
                <w:rtl w:val="true"/>
              </w:rPr>
              <w:t>منشأ الاختلاف</w:t>
            </w:r>
            <w:r>
              <w:rPr>
                <w:rStyle w:val="IndexLink"/>
                <w:rtl w:val="true"/>
              </w:rPr>
              <w:tab/>
            </w:r>
            <w:r>
              <w:rPr>
                <w:rStyle w:val="IndexLink"/>
              </w:rPr>
              <w:t>205</w:t>
            </w:r>
          </w:hyperlink>
        </w:p>
        <w:p>
          <w:pPr>
            <w:pStyle w:val="Contents3"/>
            <w:tabs>
              <w:tab w:val="clear" w:pos="8459"/>
              <w:tab w:val="right" w:pos="9026" w:leader="dot"/>
            </w:tabs>
            <w:rPr/>
          </w:pPr>
          <w:hyperlink w:anchor="__RefHeading___Toc363052_581953129">
            <w:r>
              <w:rPr>
                <w:webHidden/>
                <w:rStyle w:val="IndexLink"/>
                <w:rtl w:val="true"/>
              </w:rPr>
              <w:t>نیة الإمامة</w:t>
            </w:r>
            <w:r>
              <w:rPr>
                <w:rStyle w:val="IndexLink"/>
                <w:rtl w:val="true"/>
              </w:rPr>
              <w:tab/>
            </w:r>
            <w:r>
              <w:rPr>
                <w:rStyle w:val="IndexLink"/>
              </w:rPr>
              <w:t>205</w:t>
            </w:r>
          </w:hyperlink>
        </w:p>
        <w:p>
          <w:pPr>
            <w:pStyle w:val="Contents4"/>
            <w:tabs>
              <w:tab w:val="clear" w:pos="8176"/>
              <w:tab w:val="right" w:pos="9026" w:leader="dot"/>
            </w:tabs>
            <w:rPr/>
          </w:pPr>
          <w:hyperlink w:anchor="__RefHeading___Toc363054_581953129">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363056_581953129">
            <w:r>
              <w:rPr>
                <w:webHidden/>
                <w:rStyle w:val="IndexLink"/>
                <w:rtl w:val="true"/>
              </w:rPr>
              <w:t>المذهب الحنبلی</w:t>
            </w:r>
            <w:r>
              <w:rPr>
                <w:rStyle w:val="IndexLink"/>
                <w:rtl w:val="true"/>
              </w:rPr>
              <w:tab/>
            </w:r>
            <w:r>
              <w:rPr>
                <w:rStyle w:val="IndexLink"/>
              </w:rPr>
              <w:t>205</w:t>
            </w:r>
          </w:hyperlink>
        </w:p>
        <w:p>
          <w:pPr>
            <w:pStyle w:val="Contents4"/>
            <w:tabs>
              <w:tab w:val="clear" w:pos="8176"/>
              <w:tab w:val="right" w:pos="9026" w:leader="dot"/>
            </w:tabs>
            <w:rPr/>
          </w:pPr>
          <w:hyperlink w:anchor="__RefHeading___Toc363058_581953129">
            <w:r>
              <w:rPr>
                <w:webHidden/>
                <w:rStyle w:val="IndexLink"/>
                <w:rtl w:val="true"/>
              </w:rPr>
              <w:t>المذهب الحنفی</w:t>
            </w:r>
            <w:r>
              <w:rPr>
                <w:rStyle w:val="IndexLink"/>
                <w:rtl w:val="true"/>
              </w:rPr>
              <w:tab/>
            </w:r>
            <w:r>
              <w:rPr>
                <w:rStyle w:val="IndexLink"/>
              </w:rPr>
              <w:t>206</w:t>
            </w:r>
          </w:hyperlink>
        </w:p>
        <w:p>
          <w:pPr>
            <w:pStyle w:val="Contents4"/>
            <w:tabs>
              <w:tab w:val="clear" w:pos="8176"/>
              <w:tab w:val="right" w:pos="9026" w:leader="dot"/>
            </w:tabs>
            <w:rPr/>
          </w:pPr>
          <w:hyperlink w:anchor="__RefHeading___Toc363060_581953129">
            <w:r>
              <w:rPr>
                <w:webHidden/>
                <w:rStyle w:val="IndexLink"/>
                <w:rtl w:val="true"/>
              </w:rPr>
              <w:t>المذهب الشافعی و المالکی</w:t>
            </w:r>
            <w:r>
              <w:rPr>
                <w:rStyle w:val="IndexLink"/>
                <w:rtl w:val="true"/>
              </w:rPr>
              <w:tab/>
            </w:r>
            <w:r>
              <w:rPr>
                <w:rStyle w:val="IndexLink"/>
              </w:rPr>
              <w:t>206</w:t>
            </w:r>
          </w:hyperlink>
        </w:p>
        <w:p>
          <w:pPr>
            <w:pStyle w:val="Contents4"/>
            <w:tabs>
              <w:tab w:val="clear" w:pos="8176"/>
              <w:tab w:val="right" w:pos="9026" w:leader="dot"/>
            </w:tabs>
            <w:rPr/>
          </w:pPr>
          <w:hyperlink w:anchor="__RefHeading___Toc363062_581953129">
            <w:r>
              <w:rPr>
                <w:webHidden/>
                <w:rStyle w:val="IndexLink"/>
                <w:rtl w:val="true"/>
              </w:rPr>
              <w:t>المذهب الجعفری</w:t>
            </w:r>
            <w:r>
              <w:rPr>
                <w:rStyle w:val="IndexLink"/>
                <w:rtl w:val="true"/>
              </w:rPr>
              <w:tab/>
            </w:r>
            <w:r>
              <w:rPr>
                <w:rStyle w:val="IndexLink"/>
              </w:rPr>
              <w:t>206</w:t>
            </w:r>
          </w:hyperlink>
        </w:p>
        <w:p>
          <w:pPr>
            <w:pStyle w:val="Contents3"/>
            <w:tabs>
              <w:tab w:val="clear" w:pos="8459"/>
              <w:tab w:val="right" w:pos="9026" w:leader="dot"/>
            </w:tabs>
            <w:rPr/>
          </w:pPr>
          <w:hyperlink w:anchor="__RefHeading___Toc363064_581953129">
            <w:r>
              <w:rPr>
                <w:webHidden/>
                <w:rStyle w:val="IndexLink"/>
                <w:rtl w:val="true"/>
              </w:rPr>
              <w:t>من هو الأحقّ بالإمامة</w:t>
            </w:r>
            <w:r>
              <w:rPr>
                <w:rStyle w:val="IndexLink"/>
                <w:rtl w:val="true"/>
              </w:rPr>
              <w:tab/>
            </w:r>
            <w:r>
              <w:rPr>
                <w:rStyle w:val="IndexLink"/>
              </w:rPr>
              <w:t>207</w:t>
            </w:r>
          </w:hyperlink>
        </w:p>
        <w:p>
          <w:pPr>
            <w:pStyle w:val="Contents4"/>
            <w:tabs>
              <w:tab w:val="clear" w:pos="8176"/>
              <w:tab w:val="right" w:pos="9026" w:leader="dot"/>
            </w:tabs>
            <w:rPr/>
          </w:pPr>
          <w:hyperlink w:anchor="__RefHeading___Toc363066_581953129">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363068_581953129">
            <w:r>
              <w:rPr>
                <w:webHidden/>
                <w:rStyle w:val="IndexLink"/>
                <w:rtl w:val="true"/>
              </w:rPr>
              <w:t>منشأ الاختلاف</w:t>
            </w:r>
            <w:r>
              <w:rPr>
                <w:rStyle w:val="IndexLink"/>
                <w:rtl w:val="true"/>
              </w:rPr>
              <w:tab/>
            </w:r>
            <w:r>
              <w:rPr>
                <w:rStyle w:val="IndexLink"/>
              </w:rPr>
              <w:t>208</w:t>
            </w:r>
          </w:hyperlink>
        </w:p>
        <w:p>
          <w:pPr>
            <w:pStyle w:val="Contents3"/>
            <w:tabs>
              <w:tab w:val="clear" w:pos="8459"/>
              <w:tab w:val="right" w:pos="9026" w:leader="dot"/>
            </w:tabs>
            <w:rPr/>
          </w:pPr>
          <w:hyperlink w:anchor="__RefHeading___Toc363070_581953129">
            <w:r>
              <w:rPr>
                <w:webHidden/>
                <w:rStyle w:val="IndexLink"/>
                <w:rtl w:val="true"/>
              </w:rPr>
              <w:t>الخلاصة</w:t>
            </w:r>
            <w:r>
              <w:rPr>
                <w:rStyle w:val="IndexLink"/>
                <w:rtl w:val="true"/>
              </w:rPr>
              <w:tab/>
            </w:r>
            <w:r>
              <w:rPr>
                <w:rStyle w:val="IndexLink"/>
              </w:rPr>
              <w:t>209</w:t>
            </w:r>
          </w:hyperlink>
        </w:p>
        <w:p>
          <w:pPr>
            <w:pStyle w:val="Contents3"/>
            <w:tabs>
              <w:tab w:val="clear" w:pos="8459"/>
              <w:tab w:val="right" w:pos="9026" w:leader="dot"/>
            </w:tabs>
            <w:rPr/>
          </w:pPr>
          <w:hyperlink w:anchor="__RefHeading___Toc363072_581953129">
            <w:r>
              <w:rPr>
                <w:webHidden/>
                <w:rStyle w:val="IndexLink"/>
                <w:rtl w:val="true"/>
              </w:rPr>
              <w:t>الأسئلة</w:t>
            </w:r>
            <w:r>
              <w:rPr>
                <w:rStyle w:val="IndexLink"/>
                <w:rtl w:val="true"/>
              </w:rPr>
              <w:tab/>
            </w:r>
            <w:r>
              <w:rPr>
                <w:rStyle w:val="IndexLink"/>
              </w:rPr>
              <w:t>210</w:t>
            </w:r>
          </w:hyperlink>
        </w:p>
        <w:p>
          <w:pPr>
            <w:pStyle w:val="Contents2"/>
            <w:tabs>
              <w:tab w:val="clear" w:pos="8743"/>
              <w:tab w:val="right" w:pos="9026" w:leader="dot"/>
            </w:tabs>
            <w:rPr/>
          </w:pPr>
          <w:hyperlink w:anchor="__RefHeading___Toc363074_581953129">
            <w:r>
              <w:rPr>
                <w:webHidden/>
                <w:rStyle w:val="IndexLink"/>
              </w:rPr>
              <w:t>15</w:t>
            </w:r>
            <w:r>
              <w:rPr>
                <w:rStyle w:val="IndexLink"/>
                <w:rtl w:val="true"/>
              </w:rPr>
              <w:t xml:space="preserve">- </w:t>
            </w:r>
            <w:r>
              <w:rPr>
                <w:rStyle w:val="IndexLink"/>
                <w:rtl w:val="true"/>
              </w:rPr>
              <w:t xml:space="preserve">صلاة الجمعة </w:t>
            </w:r>
            <w:r>
              <w:rPr>
                <w:rStyle w:val="IndexLink"/>
                <w:rtl w:val="true"/>
              </w:rPr>
              <w:t>(</w:t>
            </w:r>
            <w:r>
              <w:rPr>
                <w:rStyle w:val="IndexLink"/>
              </w:rPr>
              <w:t>2</w:t>
            </w:r>
            <w:r>
              <w:rPr>
                <w:rStyle w:val="IndexLink"/>
                <w:rtl w:val="true"/>
              </w:rPr>
              <w:t>)</w:t>
              <w:tab/>
            </w:r>
            <w:r>
              <w:rPr>
                <w:rStyle w:val="IndexLink"/>
              </w:rPr>
              <w:t>211</w:t>
            </w:r>
          </w:hyperlink>
        </w:p>
        <w:p>
          <w:pPr>
            <w:pStyle w:val="Contents3"/>
            <w:tabs>
              <w:tab w:val="clear" w:pos="8459"/>
              <w:tab w:val="right" w:pos="9026" w:leader="dot"/>
            </w:tabs>
            <w:rPr/>
          </w:pPr>
          <w:hyperlink w:anchor="__RefHeading___Toc363076_581953129">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363078_581953129">
            <w:r>
              <w:rPr>
                <w:webHidden/>
                <w:rStyle w:val="IndexLink"/>
                <w:rtl w:val="true"/>
              </w:rPr>
              <w:t>المذهب الجعفری</w:t>
            </w:r>
            <w:r>
              <w:rPr>
                <w:rStyle w:val="IndexLink"/>
                <w:rtl w:val="true"/>
              </w:rPr>
              <w:tab/>
            </w:r>
            <w:r>
              <w:rPr>
                <w:rStyle w:val="IndexLink"/>
              </w:rPr>
              <w:t>211</w:t>
            </w:r>
          </w:hyperlink>
        </w:p>
        <w:p>
          <w:pPr>
            <w:pStyle w:val="Contents3"/>
            <w:tabs>
              <w:tab w:val="clear" w:pos="8459"/>
              <w:tab w:val="right" w:pos="9026" w:leader="dot"/>
            </w:tabs>
            <w:rPr/>
          </w:pPr>
          <w:hyperlink w:anchor="__RefHeading___Toc363080_581953129">
            <w:r>
              <w:rPr>
                <w:webHidden/>
                <w:rStyle w:val="IndexLink"/>
                <w:rtl w:val="true"/>
              </w:rPr>
              <w:t>المذاهب الاربعة</w:t>
            </w:r>
            <w:r>
              <w:rPr>
                <w:rStyle w:val="IndexLink"/>
                <w:rtl w:val="true"/>
              </w:rPr>
              <w:tab/>
            </w:r>
            <w:r>
              <w:rPr>
                <w:rStyle w:val="IndexLink"/>
              </w:rPr>
              <w:t>212</w:t>
            </w:r>
          </w:hyperlink>
        </w:p>
        <w:p>
          <w:pPr>
            <w:pStyle w:val="Contents3"/>
            <w:tabs>
              <w:tab w:val="clear" w:pos="8459"/>
              <w:tab w:val="right" w:pos="9026" w:leader="dot"/>
            </w:tabs>
            <w:rPr/>
          </w:pPr>
          <w:hyperlink w:anchor="__RefHeading___Toc363082_581953129">
            <w:r>
              <w:rPr>
                <w:webHidden/>
                <w:rStyle w:val="IndexLink"/>
                <w:rtl w:val="true"/>
              </w:rPr>
              <w:t>منشأ الاختلاف</w:t>
            </w:r>
            <w:r>
              <w:rPr>
                <w:rStyle w:val="IndexLink"/>
                <w:rtl w:val="true"/>
              </w:rPr>
              <w:tab/>
            </w:r>
            <w:r>
              <w:rPr>
                <w:rStyle w:val="IndexLink"/>
              </w:rPr>
              <w:t>212</w:t>
            </w:r>
          </w:hyperlink>
        </w:p>
        <w:p>
          <w:pPr>
            <w:pStyle w:val="Contents3"/>
            <w:tabs>
              <w:tab w:val="clear" w:pos="8459"/>
              <w:tab w:val="right" w:pos="9026" w:leader="dot"/>
            </w:tabs>
            <w:rPr/>
          </w:pPr>
          <w:hyperlink w:anchor="__RefHeading___Toc363084_581953129">
            <w:r>
              <w:rPr>
                <w:webHidden/>
                <w:rStyle w:val="IndexLink"/>
                <w:rtl w:val="true"/>
              </w:rPr>
              <w:t>العدد المشترط فی الجمعة</w:t>
            </w:r>
            <w:r>
              <w:rPr>
                <w:rStyle w:val="IndexLink"/>
                <w:rtl w:val="true"/>
              </w:rPr>
              <w:tab/>
            </w:r>
            <w:r>
              <w:rPr>
                <w:rStyle w:val="IndexLink"/>
              </w:rPr>
              <w:t>213</w:t>
            </w:r>
          </w:hyperlink>
        </w:p>
        <w:p>
          <w:pPr>
            <w:pStyle w:val="Contents4"/>
            <w:tabs>
              <w:tab w:val="clear" w:pos="8176"/>
              <w:tab w:val="right" w:pos="9026" w:leader="dot"/>
            </w:tabs>
            <w:rPr/>
          </w:pPr>
          <w:hyperlink w:anchor="__RefHeading___Toc363086_581953129">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363088_581953129">
            <w:r>
              <w:rPr>
                <w:webHidden/>
                <w:rStyle w:val="IndexLink"/>
                <w:rtl w:val="true"/>
              </w:rPr>
              <w:t>المذهب الجعفری</w:t>
            </w:r>
            <w:r>
              <w:rPr>
                <w:rStyle w:val="IndexLink"/>
                <w:rtl w:val="true"/>
              </w:rPr>
              <w:tab/>
            </w:r>
            <w:r>
              <w:rPr>
                <w:rStyle w:val="IndexLink"/>
              </w:rPr>
              <w:t>213</w:t>
            </w:r>
          </w:hyperlink>
        </w:p>
        <w:p>
          <w:pPr>
            <w:pStyle w:val="Contents4"/>
            <w:tabs>
              <w:tab w:val="clear" w:pos="8176"/>
              <w:tab w:val="right" w:pos="9026" w:leader="dot"/>
            </w:tabs>
            <w:rPr/>
          </w:pPr>
          <w:hyperlink w:anchor="__RefHeading___Toc363090_581953129">
            <w:r>
              <w:rPr>
                <w:webHidden/>
                <w:rStyle w:val="IndexLink"/>
                <w:rtl w:val="true"/>
              </w:rPr>
              <w:t>المذهب الحنفی</w:t>
            </w:r>
            <w:r>
              <w:rPr>
                <w:rStyle w:val="IndexLink"/>
                <w:rtl w:val="true"/>
              </w:rPr>
              <w:tab/>
            </w:r>
            <w:r>
              <w:rPr>
                <w:rStyle w:val="IndexLink"/>
              </w:rPr>
              <w:t>213</w:t>
            </w:r>
          </w:hyperlink>
        </w:p>
        <w:p>
          <w:pPr>
            <w:pStyle w:val="Contents4"/>
            <w:tabs>
              <w:tab w:val="clear" w:pos="8176"/>
              <w:tab w:val="right" w:pos="9026" w:leader="dot"/>
            </w:tabs>
            <w:rPr/>
          </w:pPr>
          <w:hyperlink w:anchor="__RefHeading___Toc363092_581953129">
            <w:r>
              <w:rPr>
                <w:webHidden/>
                <w:rStyle w:val="IndexLink"/>
                <w:rtl w:val="true"/>
              </w:rPr>
              <w:t>المذهب الحنبلی و الشافعی</w:t>
            </w:r>
            <w:r>
              <w:rPr>
                <w:rStyle w:val="IndexLink"/>
                <w:rtl w:val="true"/>
              </w:rPr>
              <w:tab/>
            </w:r>
            <w:r>
              <w:rPr>
                <w:rStyle w:val="IndexLink"/>
              </w:rPr>
              <w:t>214</w:t>
            </w:r>
          </w:hyperlink>
        </w:p>
        <w:p>
          <w:pPr>
            <w:pStyle w:val="Contents4"/>
            <w:tabs>
              <w:tab w:val="clear" w:pos="8176"/>
              <w:tab w:val="right" w:pos="9026" w:leader="dot"/>
            </w:tabs>
            <w:rPr/>
          </w:pPr>
          <w:hyperlink w:anchor="__RefHeading___Toc363094_581953129">
            <w:r>
              <w:rPr>
                <w:webHidden/>
                <w:rStyle w:val="IndexLink"/>
                <w:rtl w:val="true"/>
              </w:rPr>
              <w:t>منشأ الاختلاف</w:t>
            </w:r>
            <w:r>
              <w:rPr>
                <w:rStyle w:val="IndexLink"/>
                <w:rtl w:val="true"/>
              </w:rPr>
              <w:tab/>
            </w:r>
            <w:r>
              <w:rPr>
                <w:rStyle w:val="IndexLink"/>
              </w:rPr>
              <w:t>214</w:t>
            </w:r>
          </w:hyperlink>
        </w:p>
        <w:p>
          <w:pPr>
            <w:pStyle w:val="Contents3"/>
            <w:tabs>
              <w:tab w:val="clear" w:pos="8459"/>
              <w:tab w:val="right" w:pos="9026" w:leader="dot"/>
            </w:tabs>
            <w:rPr/>
          </w:pPr>
          <w:hyperlink w:anchor="__RefHeading___Toc363096_581953129">
            <w:r>
              <w:rPr>
                <w:webHidden/>
                <w:rStyle w:val="IndexLink"/>
                <w:rtl w:val="true"/>
              </w:rPr>
              <w:t>صلاة الآیات</w:t>
            </w:r>
            <w:r>
              <w:rPr>
                <w:rStyle w:val="IndexLink"/>
                <w:rtl w:val="true"/>
              </w:rPr>
              <w:tab/>
            </w:r>
            <w:r>
              <w:rPr>
                <w:rStyle w:val="IndexLink"/>
              </w:rPr>
              <w:t>214</w:t>
            </w:r>
          </w:hyperlink>
        </w:p>
        <w:p>
          <w:pPr>
            <w:pStyle w:val="Contents3"/>
            <w:tabs>
              <w:tab w:val="clear" w:pos="8459"/>
              <w:tab w:val="right" w:pos="9026" w:leader="dot"/>
            </w:tabs>
            <w:rPr/>
          </w:pPr>
          <w:hyperlink w:anchor="__RefHeading___Toc363098_581953129">
            <w:r>
              <w:rPr>
                <w:webHidden/>
                <w:rStyle w:val="IndexLink"/>
                <w:rtl w:val="true"/>
              </w:rPr>
              <w:t>حکم صلاة الآیات</w:t>
            </w:r>
            <w:r>
              <w:rPr>
                <w:rStyle w:val="IndexLink"/>
                <w:rtl w:val="true"/>
              </w:rPr>
              <w:tab/>
            </w:r>
            <w:r>
              <w:rPr>
                <w:rStyle w:val="IndexLink"/>
              </w:rPr>
              <w:t>214</w:t>
            </w:r>
          </w:hyperlink>
        </w:p>
        <w:p>
          <w:pPr>
            <w:pStyle w:val="Contents4"/>
            <w:tabs>
              <w:tab w:val="clear" w:pos="8176"/>
              <w:tab w:val="right" w:pos="9026" w:leader="dot"/>
            </w:tabs>
            <w:rPr/>
          </w:pPr>
          <w:hyperlink w:anchor="__RefHeading___Toc363100_581953129">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363102_581953129">
            <w:r>
              <w:rPr>
                <w:webHidden/>
                <w:rStyle w:val="IndexLink"/>
                <w:rtl w:val="true"/>
              </w:rPr>
              <w:t>المذهب الجعفری</w:t>
            </w:r>
            <w:r>
              <w:rPr>
                <w:rStyle w:val="IndexLink"/>
                <w:rtl w:val="true"/>
              </w:rPr>
              <w:tab/>
            </w:r>
            <w:r>
              <w:rPr>
                <w:rStyle w:val="IndexLink"/>
              </w:rPr>
              <w:t>215</w:t>
            </w:r>
          </w:hyperlink>
        </w:p>
        <w:p>
          <w:pPr>
            <w:pStyle w:val="Contents4"/>
            <w:tabs>
              <w:tab w:val="clear" w:pos="8176"/>
              <w:tab w:val="right" w:pos="9026" w:leader="dot"/>
            </w:tabs>
            <w:rPr/>
          </w:pPr>
          <w:hyperlink w:anchor="__RefHeading___Toc363104_581953129">
            <w:r>
              <w:rPr>
                <w:webHidden/>
                <w:rStyle w:val="IndexLink"/>
                <w:rtl w:val="true"/>
              </w:rPr>
              <w:t>المذاهب الاربعة</w:t>
            </w:r>
            <w:r>
              <w:rPr>
                <w:rStyle w:val="IndexLink"/>
                <w:rtl w:val="true"/>
              </w:rPr>
              <w:tab/>
            </w:r>
            <w:r>
              <w:rPr>
                <w:rStyle w:val="IndexLink"/>
              </w:rPr>
              <w:t>215</w:t>
            </w:r>
          </w:hyperlink>
        </w:p>
        <w:p>
          <w:pPr>
            <w:pStyle w:val="Contents3"/>
            <w:tabs>
              <w:tab w:val="clear" w:pos="8459"/>
              <w:tab w:val="right" w:pos="9026" w:leader="dot"/>
            </w:tabs>
            <w:rPr/>
          </w:pPr>
          <w:hyperlink w:anchor="__RefHeading___Toc363106_581953129">
            <w:r>
              <w:rPr>
                <w:webHidden/>
                <w:rStyle w:val="IndexLink"/>
                <w:rtl w:val="true"/>
              </w:rPr>
              <w:t>الکیفیة</w:t>
            </w:r>
            <w:r>
              <w:rPr>
                <w:rStyle w:val="IndexLink"/>
                <w:rtl w:val="true"/>
              </w:rPr>
              <w:tab/>
            </w:r>
            <w:r>
              <w:rPr>
                <w:rStyle w:val="IndexLink"/>
              </w:rPr>
              <w:t>216</w:t>
            </w:r>
          </w:hyperlink>
        </w:p>
        <w:p>
          <w:pPr>
            <w:pStyle w:val="Contents4"/>
            <w:tabs>
              <w:tab w:val="clear" w:pos="8176"/>
              <w:tab w:val="right" w:pos="9026" w:leader="dot"/>
            </w:tabs>
            <w:rPr/>
          </w:pPr>
          <w:hyperlink w:anchor="__RefHeading___Toc363108_581953129">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363110_581953129">
            <w:r>
              <w:rPr>
                <w:webHidden/>
                <w:rStyle w:val="IndexLink"/>
                <w:rtl w:val="true"/>
              </w:rPr>
              <w:t>المذهب الجعفری</w:t>
            </w:r>
            <w:r>
              <w:rPr>
                <w:rStyle w:val="IndexLink"/>
                <w:rtl w:val="true"/>
              </w:rPr>
              <w:tab/>
            </w:r>
            <w:r>
              <w:rPr>
                <w:rStyle w:val="IndexLink"/>
              </w:rPr>
              <w:t>216</w:t>
            </w:r>
          </w:hyperlink>
        </w:p>
        <w:p>
          <w:pPr>
            <w:pStyle w:val="Contents4"/>
            <w:tabs>
              <w:tab w:val="clear" w:pos="8176"/>
              <w:tab w:val="right" w:pos="9026" w:leader="dot"/>
            </w:tabs>
            <w:rPr/>
          </w:pPr>
          <w:hyperlink w:anchor="__RefHeading___Toc363112_581953129">
            <w:r>
              <w:rPr>
                <w:webHidden/>
                <w:rStyle w:val="IndexLink"/>
                <w:rtl w:val="true"/>
              </w:rPr>
              <w:t>المذاهب الاربعة</w:t>
            </w:r>
            <w:r>
              <w:rPr>
                <w:rStyle w:val="IndexLink"/>
                <w:rtl w:val="true"/>
              </w:rPr>
              <w:tab/>
            </w:r>
            <w:r>
              <w:rPr>
                <w:rStyle w:val="IndexLink"/>
              </w:rPr>
              <w:t>216</w:t>
            </w:r>
          </w:hyperlink>
        </w:p>
        <w:p>
          <w:pPr>
            <w:pStyle w:val="Contents3"/>
            <w:tabs>
              <w:tab w:val="clear" w:pos="8459"/>
              <w:tab w:val="right" w:pos="9026" w:leader="dot"/>
            </w:tabs>
            <w:rPr/>
          </w:pPr>
          <w:hyperlink w:anchor="__RefHeading___Toc363114_581953129">
            <w:r>
              <w:rPr>
                <w:webHidden/>
                <w:rStyle w:val="IndexLink"/>
                <w:rtl w:val="true"/>
              </w:rPr>
              <w:t>الأسباب و الموجبات</w:t>
            </w:r>
            <w:r>
              <w:rPr>
                <w:rStyle w:val="IndexLink"/>
                <w:rtl w:val="true"/>
              </w:rPr>
              <w:tab/>
            </w:r>
            <w:r>
              <w:rPr>
                <w:rStyle w:val="IndexLink"/>
              </w:rPr>
              <w:t>217</w:t>
            </w:r>
          </w:hyperlink>
        </w:p>
        <w:p>
          <w:pPr>
            <w:pStyle w:val="Contents4"/>
            <w:tabs>
              <w:tab w:val="clear" w:pos="8176"/>
              <w:tab w:val="right" w:pos="9026" w:leader="dot"/>
            </w:tabs>
            <w:rPr/>
          </w:pPr>
          <w:hyperlink w:anchor="__RefHeading___Toc363116_581953129">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363118_581953129">
            <w:r>
              <w:rPr>
                <w:webHidden/>
                <w:rStyle w:val="IndexLink"/>
                <w:rtl w:val="true"/>
              </w:rPr>
              <w:t>المذاهب الاربعة</w:t>
            </w:r>
            <w:r>
              <w:rPr>
                <w:rStyle w:val="IndexLink"/>
                <w:rtl w:val="true"/>
              </w:rPr>
              <w:tab/>
            </w:r>
            <w:r>
              <w:rPr>
                <w:rStyle w:val="IndexLink"/>
              </w:rPr>
              <w:t>217</w:t>
            </w:r>
          </w:hyperlink>
        </w:p>
        <w:p>
          <w:pPr>
            <w:pStyle w:val="Contents4"/>
            <w:tabs>
              <w:tab w:val="clear" w:pos="8176"/>
              <w:tab w:val="right" w:pos="9026" w:leader="dot"/>
            </w:tabs>
            <w:rPr/>
          </w:pPr>
          <w:hyperlink w:anchor="__RefHeading___Toc363120_581953129">
            <w:r>
              <w:rPr>
                <w:webHidden/>
                <w:rStyle w:val="IndexLink"/>
                <w:rtl w:val="true"/>
              </w:rPr>
              <w:t>المذهب الجعفری</w:t>
            </w:r>
            <w:r>
              <w:rPr>
                <w:rStyle w:val="IndexLink"/>
                <w:rtl w:val="true"/>
              </w:rPr>
              <w:tab/>
            </w:r>
            <w:r>
              <w:rPr>
                <w:rStyle w:val="IndexLink"/>
              </w:rPr>
              <w:t>218</w:t>
            </w:r>
          </w:hyperlink>
        </w:p>
        <w:p>
          <w:pPr>
            <w:pStyle w:val="Contents4"/>
            <w:tabs>
              <w:tab w:val="clear" w:pos="8176"/>
              <w:tab w:val="right" w:pos="9026" w:leader="dot"/>
            </w:tabs>
            <w:rPr/>
          </w:pPr>
          <w:hyperlink w:anchor="__RefHeading___Toc363122_581953129">
            <w:r>
              <w:rPr>
                <w:webHidden/>
                <w:rStyle w:val="IndexLink"/>
                <w:rtl w:val="true"/>
              </w:rPr>
              <w:t>منشأ الاختلاف</w:t>
            </w:r>
            <w:r>
              <w:rPr>
                <w:rStyle w:val="IndexLink"/>
                <w:rtl w:val="true"/>
              </w:rPr>
              <w:tab/>
            </w:r>
            <w:r>
              <w:rPr>
                <w:rStyle w:val="IndexLink"/>
              </w:rPr>
              <w:t>219</w:t>
            </w:r>
          </w:hyperlink>
        </w:p>
        <w:p>
          <w:pPr>
            <w:pStyle w:val="Contents3"/>
            <w:tabs>
              <w:tab w:val="clear" w:pos="8459"/>
              <w:tab w:val="right" w:pos="9026" w:leader="dot"/>
            </w:tabs>
            <w:rPr/>
          </w:pPr>
          <w:hyperlink w:anchor="__RefHeading___Toc363124_581953129">
            <w:r>
              <w:rPr>
                <w:webHidden/>
                <w:rStyle w:val="IndexLink"/>
                <w:rtl w:val="true"/>
              </w:rPr>
              <w:t>مبطلات الصلاة</w:t>
            </w:r>
            <w:r>
              <w:rPr>
                <w:rStyle w:val="IndexLink"/>
                <w:rtl w:val="true"/>
              </w:rPr>
              <w:tab/>
            </w:r>
            <w:r>
              <w:rPr>
                <w:rStyle w:val="IndexLink"/>
              </w:rPr>
              <w:t>219</w:t>
            </w:r>
          </w:hyperlink>
        </w:p>
        <w:p>
          <w:pPr>
            <w:pStyle w:val="Contents3"/>
            <w:tabs>
              <w:tab w:val="clear" w:pos="8459"/>
              <w:tab w:val="right" w:pos="9026" w:leader="dot"/>
            </w:tabs>
            <w:rPr/>
          </w:pPr>
          <w:hyperlink w:anchor="__RefHeading___Toc363126_581953129">
            <w:r>
              <w:rPr>
                <w:webHidden/>
                <w:rStyle w:val="IndexLink"/>
                <w:rtl w:val="true"/>
              </w:rPr>
              <w:t>مبطلیة الکلام السهوی</w:t>
            </w:r>
            <w:r>
              <w:rPr>
                <w:rStyle w:val="IndexLink"/>
                <w:rtl w:val="true"/>
              </w:rPr>
              <w:tab/>
            </w:r>
            <w:r>
              <w:rPr>
                <w:rStyle w:val="IndexLink"/>
              </w:rPr>
              <w:t>219</w:t>
            </w:r>
          </w:hyperlink>
        </w:p>
        <w:p>
          <w:pPr>
            <w:pStyle w:val="Contents4"/>
            <w:tabs>
              <w:tab w:val="clear" w:pos="8176"/>
              <w:tab w:val="right" w:pos="9026" w:leader="dot"/>
            </w:tabs>
            <w:rPr/>
          </w:pPr>
          <w:hyperlink w:anchor="__RefHeading___Toc363128_581953129">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363130_581953129">
            <w:r>
              <w:rPr>
                <w:webHidden/>
                <w:rStyle w:val="IndexLink"/>
                <w:rtl w:val="true"/>
              </w:rPr>
              <w:t>المذهب الجعفری</w:t>
            </w:r>
            <w:r>
              <w:rPr>
                <w:rStyle w:val="IndexLink"/>
                <w:rtl w:val="true"/>
              </w:rPr>
              <w:tab/>
            </w:r>
            <w:r>
              <w:rPr>
                <w:rStyle w:val="IndexLink"/>
              </w:rPr>
              <w:t>220</w:t>
            </w:r>
          </w:hyperlink>
        </w:p>
        <w:p>
          <w:pPr>
            <w:pStyle w:val="Contents4"/>
            <w:tabs>
              <w:tab w:val="clear" w:pos="8176"/>
              <w:tab w:val="right" w:pos="9026" w:leader="dot"/>
            </w:tabs>
            <w:rPr/>
          </w:pPr>
          <w:hyperlink w:anchor="__RefHeading___Toc363132_581953129">
            <w:r>
              <w:rPr>
                <w:webHidden/>
                <w:rStyle w:val="IndexLink"/>
                <w:rtl w:val="true"/>
              </w:rPr>
              <w:t>المذهب الحنبلی و الحنفی</w:t>
            </w:r>
            <w:r>
              <w:rPr>
                <w:rStyle w:val="IndexLink"/>
                <w:rtl w:val="true"/>
              </w:rPr>
              <w:tab/>
            </w:r>
            <w:r>
              <w:rPr>
                <w:rStyle w:val="IndexLink"/>
              </w:rPr>
              <w:t>220</w:t>
            </w:r>
          </w:hyperlink>
        </w:p>
        <w:p>
          <w:pPr>
            <w:pStyle w:val="Contents3"/>
            <w:tabs>
              <w:tab w:val="clear" w:pos="8459"/>
              <w:tab w:val="right" w:pos="9026" w:leader="dot"/>
            </w:tabs>
            <w:rPr/>
          </w:pPr>
          <w:hyperlink w:anchor="__RefHeading___Toc363134_581953129">
            <w:r>
              <w:rPr>
                <w:webHidden/>
                <w:rStyle w:val="IndexLink"/>
                <w:rtl w:val="true"/>
              </w:rPr>
              <w:t>ردّ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363136_581953129">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363138_581953129">
            <w:r>
              <w:rPr>
                <w:webHidden/>
                <w:rStyle w:val="IndexLink"/>
                <w:rtl w:val="true"/>
              </w:rPr>
              <w:t>المذهب الجعفری</w:t>
            </w:r>
            <w:r>
              <w:rPr>
                <w:rStyle w:val="IndexLink"/>
                <w:rtl w:val="true"/>
              </w:rPr>
              <w:tab/>
            </w:r>
            <w:r>
              <w:rPr>
                <w:rStyle w:val="IndexLink"/>
              </w:rPr>
              <w:t>220</w:t>
            </w:r>
          </w:hyperlink>
        </w:p>
        <w:p>
          <w:pPr>
            <w:pStyle w:val="Contents3"/>
            <w:tabs>
              <w:tab w:val="clear" w:pos="8459"/>
              <w:tab w:val="right" w:pos="9026" w:leader="dot"/>
            </w:tabs>
            <w:rPr/>
          </w:pPr>
          <w:hyperlink w:anchor="__RefHeading___Toc363140_581953129">
            <w:r>
              <w:rPr>
                <w:webHidden/>
                <w:rStyle w:val="IndexLink"/>
                <w:rtl w:val="true"/>
              </w:rPr>
              <w:t>التکلّم حال النوم</w:t>
            </w:r>
            <w:r>
              <w:rPr>
                <w:rStyle w:val="IndexLink"/>
                <w:rtl w:val="true"/>
              </w:rPr>
              <w:tab/>
            </w:r>
            <w:r>
              <w:rPr>
                <w:rStyle w:val="IndexLink"/>
              </w:rPr>
              <w:t>221</w:t>
            </w:r>
          </w:hyperlink>
        </w:p>
        <w:p>
          <w:pPr>
            <w:pStyle w:val="Contents3"/>
            <w:tabs>
              <w:tab w:val="clear" w:pos="8459"/>
              <w:tab w:val="right" w:pos="9026" w:leader="dot"/>
            </w:tabs>
            <w:rPr/>
          </w:pPr>
          <w:hyperlink w:anchor="__RefHeading___Toc363142_581953129">
            <w:r>
              <w:rPr>
                <w:webHidden/>
                <w:rStyle w:val="IndexLink"/>
                <w:rtl w:val="true"/>
              </w:rPr>
              <w:t>بطلان الصلاة بمرور الکلب</w:t>
            </w:r>
            <w:r>
              <w:rPr>
                <w:rStyle w:val="IndexLink"/>
                <w:rtl w:val="true"/>
              </w:rPr>
              <w:tab/>
            </w:r>
            <w:r>
              <w:rPr>
                <w:rStyle w:val="IndexLink"/>
              </w:rPr>
              <w:t>221</w:t>
            </w:r>
          </w:hyperlink>
        </w:p>
        <w:p>
          <w:pPr>
            <w:pStyle w:val="Contents3"/>
            <w:tabs>
              <w:tab w:val="clear" w:pos="8459"/>
              <w:tab w:val="right" w:pos="9026" w:leader="dot"/>
            </w:tabs>
            <w:rPr/>
          </w:pPr>
          <w:hyperlink w:anchor="__RefHeading___Toc363144_581953129">
            <w:r>
              <w:rPr>
                <w:webHidden/>
                <w:rStyle w:val="IndexLink"/>
                <w:rtl w:val="true"/>
              </w:rPr>
              <w:t>الناقض غیر المبطل</w:t>
            </w:r>
            <w:r>
              <w:rPr>
                <w:rStyle w:val="IndexLink"/>
                <w:rtl w:val="true"/>
              </w:rPr>
              <w:tab/>
            </w:r>
            <w:r>
              <w:rPr>
                <w:rStyle w:val="IndexLink"/>
              </w:rPr>
              <w:t>222</w:t>
            </w:r>
          </w:hyperlink>
        </w:p>
        <w:p>
          <w:pPr>
            <w:pStyle w:val="Contents3"/>
            <w:tabs>
              <w:tab w:val="clear" w:pos="8459"/>
              <w:tab w:val="right" w:pos="9026" w:leader="dot"/>
            </w:tabs>
            <w:rPr/>
          </w:pPr>
          <w:hyperlink w:anchor="__RefHeading___Toc363146_581953129">
            <w:r>
              <w:rPr>
                <w:webHidden/>
                <w:rStyle w:val="IndexLink"/>
                <w:rtl w:val="true"/>
              </w:rPr>
              <w:t>المرور بین یدی المصلی</w:t>
            </w:r>
            <w:r>
              <w:rPr>
                <w:rStyle w:val="IndexLink"/>
                <w:rtl w:val="true"/>
              </w:rPr>
              <w:tab/>
            </w:r>
            <w:r>
              <w:rPr>
                <w:rStyle w:val="IndexLink"/>
              </w:rPr>
              <w:t>222</w:t>
            </w:r>
          </w:hyperlink>
        </w:p>
        <w:p>
          <w:pPr>
            <w:pStyle w:val="Contents4"/>
            <w:tabs>
              <w:tab w:val="clear" w:pos="8176"/>
              <w:tab w:val="right" w:pos="9026" w:leader="dot"/>
            </w:tabs>
            <w:rPr/>
          </w:pPr>
          <w:hyperlink w:anchor="__RefHeading___Toc363148_581953129">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363150_581953129">
            <w:r>
              <w:rPr>
                <w:webHidden/>
                <w:rStyle w:val="IndexLink"/>
                <w:rtl w:val="true"/>
              </w:rPr>
              <w:t>المذهب الحنفی و المالکی</w:t>
            </w:r>
            <w:r>
              <w:rPr>
                <w:rStyle w:val="IndexLink"/>
                <w:rtl w:val="true"/>
              </w:rPr>
              <w:tab/>
            </w:r>
            <w:r>
              <w:rPr>
                <w:rStyle w:val="IndexLink"/>
              </w:rPr>
              <w:t>222</w:t>
            </w:r>
          </w:hyperlink>
        </w:p>
        <w:p>
          <w:pPr>
            <w:pStyle w:val="Contents4"/>
            <w:tabs>
              <w:tab w:val="clear" w:pos="8176"/>
              <w:tab w:val="right" w:pos="9026" w:leader="dot"/>
            </w:tabs>
            <w:rPr/>
          </w:pPr>
          <w:hyperlink w:anchor="__RefHeading___Toc363152_581953129">
            <w:r>
              <w:rPr>
                <w:webHidden/>
                <w:rStyle w:val="IndexLink"/>
                <w:rtl w:val="true"/>
              </w:rPr>
              <w:t>المذهب الجعفری</w:t>
            </w:r>
            <w:r>
              <w:rPr>
                <w:rStyle w:val="IndexLink"/>
                <w:rtl w:val="true"/>
              </w:rPr>
              <w:tab/>
            </w:r>
            <w:r>
              <w:rPr>
                <w:rStyle w:val="IndexLink"/>
              </w:rPr>
              <w:t>223</w:t>
            </w:r>
          </w:hyperlink>
        </w:p>
        <w:p>
          <w:pPr>
            <w:pStyle w:val="Contents3"/>
            <w:tabs>
              <w:tab w:val="clear" w:pos="8459"/>
              <w:tab w:val="right" w:pos="9026" w:leader="dot"/>
            </w:tabs>
            <w:rPr/>
          </w:pPr>
          <w:hyperlink w:anchor="__RefHeading___Toc363154_581953129">
            <w:r>
              <w:rPr>
                <w:webHidden/>
                <w:rStyle w:val="IndexLink"/>
                <w:rtl w:val="true"/>
              </w:rPr>
              <w:t>الریاء فی الصلاة</w:t>
            </w:r>
            <w:r>
              <w:rPr>
                <w:rStyle w:val="IndexLink"/>
                <w:rtl w:val="true"/>
              </w:rPr>
              <w:tab/>
            </w:r>
            <w:r>
              <w:rPr>
                <w:rStyle w:val="IndexLink"/>
              </w:rPr>
              <w:t>223</w:t>
            </w:r>
          </w:hyperlink>
        </w:p>
        <w:p>
          <w:pPr>
            <w:pStyle w:val="Contents4"/>
            <w:tabs>
              <w:tab w:val="clear" w:pos="8176"/>
              <w:tab w:val="right" w:pos="9026" w:leader="dot"/>
            </w:tabs>
            <w:rPr/>
          </w:pPr>
          <w:hyperlink w:anchor="__RefHeading___Toc363156_581953129">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63158_581953129">
            <w:r>
              <w:rPr>
                <w:webHidden/>
                <w:rStyle w:val="IndexLink"/>
                <w:rtl w:val="true"/>
              </w:rPr>
              <w:t>منشأ الاختلاف</w:t>
            </w:r>
            <w:r>
              <w:rPr>
                <w:rStyle w:val="IndexLink"/>
                <w:rtl w:val="true"/>
              </w:rPr>
              <w:tab/>
            </w:r>
            <w:r>
              <w:rPr>
                <w:rStyle w:val="IndexLink"/>
              </w:rPr>
              <w:t>223</w:t>
            </w:r>
          </w:hyperlink>
        </w:p>
        <w:p>
          <w:pPr>
            <w:pStyle w:val="Contents3"/>
            <w:tabs>
              <w:tab w:val="clear" w:pos="8459"/>
              <w:tab w:val="right" w:pos="9026" w:leader="dot"/>
            </w:tabs>
            <w:rPr/>
          </w:pPr>
          <w:hyperlink w:anchor="__RefHeading___Toc363160_581953129">
            <w:r>
              <w:rPr>
                <w:webHidden/>
                <w:rStyle w:val="IndexLink"/>
                <w:rtl w:val="true"/>
              </w:rPr>
              <w:t>الخلاصة</w:t>
            </w:r>
            <w:r>
              <w:rPr>
                <w:rStyle w:val="IndexLink"/>
                <w:rtl w:val="true"/>
              </w:rPr>
              <w:tab/>
            </w:r>
            <w:r>
              <w:rPr>
                <w:rStyle w:val="IndexLink"/>
              </w:rPr>
              <w:t>224</w:t>
            </w:r>
          </w:hyperlink>
        </w:p>
        <w:p>
          <w:pPr>
            <w:pStyle w:val="Contents3"/>
            <w:tabs>
              <w:tab w:val="clear" w:pos="8459"/>
              <w:tab w:val="right" w:pos="9026" w:leader="dot"/>
            </w:tabs>
            <w:rPr/>
          </w:pPr>
          <w:hyperlink w:anchor="__RefHeading___Toc363162_581953129">
            <w:r>
              <w:rPr>
                <w:webHidden/>
                <w:rStyle w:val="IndexLink"/>
                <w:rtl w:val="true"/>
              </w:rPr>
              <w:t>الأسئلة</w:t>
            </w:r>
            <w:r>
              <w:rPr>
                <w:rStyle w:val="IndexLink"/>
                <w:rtl w:val="true"/>
              </w:rPr>
              <w:tab/>
            </w:r>
            <w:r>
              <w:rPr>
                <w:rStyle w:val="IndexLink"/>
              </w:rPr>
              <w:t>225</w:t>
            </w:r>
          </w:hyperlink>
        </w:p>
        <w:p>
          <w:pPr>
            <w:pStyle w:val="Contents2"/>
            <w:tabs>
              <w:tab w:val="clear" w:pos="8743"/>
              <w:tab w:val="right" w:pos="9026" w:leader="dot"/>
            </w:tabs>
            <w:rPr/>
          </w:pPr>
          <w:hyperlink w:anchor="__RefHeading___Toc363164_581953129">
            <w:r>
              <w:rPr>
                <w:webHidden/>
                <w:rStyle w:val="IndexLink"/>
              </w:rPr>
              <w:t>16</w:t>
            </w:r>
            <w:r>
              <w:rPr>
                <w:rStyle w:val="IndexLink"/>
                <w:rtl w:val="true"/>
              </w:rPr>
              <w:t xml:space="preserve">- </w:t>
            </w:r>
            <w:r>
              <w:rPr>
                <w:rStyle w:val="IndexLink"/>
                <w:rtl w:val="true"/>
              </w:rPr>
              <w:t>صلاة المسافر</w:t>
            </w:r>
            <w:r>
              <w:rPr>
                <w:rStyle w:val="IndexLink"/>
                <w:rtl w:val="true"/>
              </w:rPr>
              <w:tab/>
            </w:r>
            <w:r>
              <w:rPr>
                <w:rStyle w:val="IndexLink"/>
              </w:rPr>
              <w:t>226</w:t>
            </w:r>
          </w:hyperlink>
        </w:p>
        <w:p>
          <w:pPr>
            <w:pStyle w:val="Contents3"/>
            <w:tabs>
              <w:tab w:val="clear" w:pos="8459"/>
              <w:tab w:val="right" w:pos="9026" w:leader="dot"/>
            </w:tabs>
            <w:rPr/>
          </w:pPr>
          <w:hyperlink w:anchor="__RefHeading___Toc363166_581953129">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363168_581953129">
            <w:r>
              <w:rPr>
                <w:webHidden/>
                <w:rStyle w:val="IndexLink"/>
                <w:rtl w:val="true"/>
              </w:rPr>
              <w:t>کمّیة السفر</w:t>
            </w:r>
            <w:r>
              <w:rPr>
                <w:rStyle w:val="IndexLink"/>
                <w:rtl w:val="true"/>
              </w:rPr>
              <w:tab/>
            </w:r>
            <w:r>
              <w:rPr>
                <w:rStyle w:val="IndexLink"/>
              </w:rPr>
              <w:t>227</w:t>
            </w:r>
          </w:hyperlink>
        </w:p>
        <w:p>
          <w:pPr>
            <w:pStyle w:val="Contents4"/>
            <w:tabs>
              <w:tab w:val="clear" w:pos="8176"/>
              <w:tab w:val="right" w:pos="9026" w:leader="dot"/>
            </w:tabs>
            <w:rPr/>
          </w:pPr>
          <w:hyperlink w:anchor="__RefHeading___Toc363170_581953129">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363172_581953129">
            <w:r>
              <w:rPr>
                <w:webHidden/>
                <w:rStyle w:val="IndexLink"/>
                <w:rtl w:val="true"/>
              </w:rPr>
              <w:t>المذهب الجعفری</w:t>
            </w:r>
            <w:r>
              <w:rPr>
                <w:rStyle w:val="IndexLink"/>
                <w:rtl w:val="true"/>
              </w:rPr>
              <w:tab/>
            </w:r>
            <w:r>
              <w:rPr>
                <w:rStyle w:val="IndexLink"/>
              </w:rPr>
              <w:t>227</w:t>
            </w:r>
          </w:hyperlink>
        </w:p>
        <w:p>
          <w:pPr>
            <w:pStyle w:val="Contents4"/>
            <w:tabs>
              <w:tab w:val="clear" w:pos="8176"/>
              <w:tab w:val="right" w:pos="9026" w:leader="dot"/>
            </w:tabs>
            <w:rPr/>
          </w:pPr>
          <w:hyperlink w:anchor="__RefHeading___Toc363174_581953129">
            <w:r>
              <w:rPr>
                <w:webHidden/>
                <w:rStyle w:val="IndexLink"/>
                <w:rtl w:val="true"/>
              </w:rPr>
              <w:t>المذاهب الاربعة</w:t>
            </w:r>
            <w:r>
              <w:rPr>
                <w:rStyle w:val="IndexLink"/>
                <w:rtl w:val="true"/>
              </w:rPr>
              <w:tab/>
            </w:r>
            <w:r>
              <w:rPr>
                <w:rStyle w:val="IndexLink"/>
              </w:rPr>
              <w:t>228</w:t>
            </w:r>
          </w:hyperlink>
        </w:p>
        <w:p>
          <w:pPr>
            <w:pStyle w:val="Contents4"/>
            <w:tabs>
              <w:tab w:val="clear" w:pos="8176"/>
              <w:tab w:val="right" w:pos="9026" w:leader="dot"/>
            </w:tabs>
            <w:rPr/>
          </w:pPr>
          <w:hyperlink w:anchor="__RefHeading___Toc363176_581953129">
            <w:r>
              <w:rPr>
                <w:webHidden/>
                <w:rStyle w:val="IndexLink"/>
                <w:rtl w:val="true"/>
              </w:rPr>
              <w:t>اختلاف النصوص</w:t>
            </w:r>
            <w:r>
              <w:rPr>
                <w:rStyle w:val="IndexLink"/>
                <w:rtl w:val="true"/>
              </w:rPr>
              <w:tab/>
            </w:r>
            <w:r>
              <w:rPr>
                <w:rStyle w:val="IndexLink"/>
              </w:rPr>
              <w:t>228</w:t>
            </w:r>
          </w:hyperlink>
        </w:p>
        <w:p>
          <w:pPr>
            <w:pStyle w:val="Contents4"/>
            <w:tabs>
              <w:tab w:val="clear" w:pos="8176"/>
              <w:tab w:val="right" w:pos="9026" w:leader="dot"/>
            </w:tabs>
            <w:rPr/>
          </w:pPr>
          <w:hyperlink w:anchor="__RefHeading___Toc363178_581953129">
            <w:r>
              <w:rPr>
                <w:webHidden/>
                <w:rStyle w:val="IndexLink"/>
                <w:rtl w:val="true"/>
              </w:rPr>
              <w:t>منشأ الاختلاف</w:t>
            </w:r>
            <w:r>
              <w:rPr>
                <w:rStyle w:val="IndexLink"/>
                <w:rtl w:val="true"/>
              </w:rPr>
              <w:tab/>
            </w:r>
            <w:r>
              <w:rPr>
                <w:rStyle w:val="IndexLink"/>
              </w:rPr>
              <w:t>229</w:t>
            </w:r>
          </w:hyperlink>
        </w:p>
        <w:p>
          <w:pPr>
            <w:pStyle w:val="Contents3"/>
            <w:tabs>
              <w:tab w:val="clear" w:pos="8459"/>
              <w:tab w:val="right" w:pos="9026" w:leader="dot"/>
            </w:tabs>
            <w:rPr/>
          </w:pPr>
          <w:hyperlink w:anchor="__RefHeading___Toc363180_581953129">
            <w:r>
              <w:rPr>
                <w:webHidden/>
                <w:rStyle w:val="IndexLink"/>
                <w:rtl w:val="true"/>
              </w:rPr>
              <w:t>التعیین و التخییر</w:t>
            </w:r>
            <w:r>
              <w:rPr>
                <w:rStyle w:val="IndexLink"/>
                <w:rtl w:val="true"/>
              </w:rPr>
              <w:tab/>
            </w:r>
            <w:r>
              <w:rPr>
                <w:rStyle w:val="IndexLink"/>
              </w:rPr>
              <w:t>229</w:t>
            </w:r>
          </w:hyperlink>
        </w:p>
        <w:p>
          <w:pPr>
            <w:pStyle w:val="Contents4"/>
            <w:tabs>
              <w:tab w:val="clear" w:pos="8176"/>
              <w:tab w:val="right" w:pos="9026" w:leader="dot"/>
            </w:tabs>
            <w:rPr/>
          </w:pPr>
          <w:hyperlink w:anchor="__RefHeading___Toc363182_581953129">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363184_581953129">
            <w:r>
              <w:rPr>
                <w:webHidden/>
                <w:rStyle w:val="IndexLink"/>
                <w:rtl w:val="true"/>
              </w:rPr>
              <w:t>المذهب الجعفری</w:t>
            </w:r>
            <w:r>
              <w:rPr>
                <w:rStyle w:val="IndexLink"/>
                <w:rtl w:val="true"/>
              </w:rPr>
              <w:tab/>
            </w:r>
            <w:r>
              <w:rPr>
                <w:rStyle w:val="IndexLink"/>
              </w:rPr>
              <w:t>229</w:t>
            </w:r>
          </w:hyperlink>
        </w:p>
        <w:p>
          <w:pPr>
            <w:pStyle w:val="Contents4"/>
            <w:tabs>
              <w:tab w:val="clear" w:pos="8176"/>
              <w:tab w:val="right" w:pos="9026" w:leader="dot"/>
            </w:tabs>
            <w:rPr/>
          </w:pPr>
          <w:hyperlink w:anchor="__RefHeading___Toc363186_581953129">
            <w:r>
              <w:rPr>
                <w:webHidden/>
                <w:rStyle w:val="IndexLink"/>
                <w:rtl w:val="true"/>
              </w:rPr>
              <w:t>المذاهب الثلاثة الأخری</w:t>
            </w:r>
            <w:r>
              <w:rPr>
                <w:rStyle w:val="IndexLink"/>
                <w:rtl w:val="true"/>
              </w:rPr>
              <w:tab/>
            </w:r>
            <w:r>
              <w:rPr>
                <w:rStyle w:val="IndexLink"/>
              </w:rPr>
              <w:t>230</w:t>
            </w:r>
          </w:hyperlink>
        </w:p>
        <w:p>
          <w:pPr>
            <w:pStyle w:val="Contents4"/>
            <w:tabs>
              <w:tab w:val="clear" w:pos="8176"/>
              <w:tab w:val="right" w:pos="9026" w:leader="dot"/>
            </w:tabs>
            <w:rPr/>
          </w:pPr>
          <w:hyperlink w:anchor="__RefHeading___Toc363188_581953129">
            <w:r>
              <w:rPr>
                <w:webHidden/>
                <w:rStyle w:val="IndexLink"/>
                <w:rtl w:val="true"/>
              </w:rPr>
              <w:t>منشأ الاختلاف</w:t>
            </w:r>
            <w:r>
              <w:rPr>
                <w:rStyle w:val="IndexLink"/>
                <w:rtl w:val="true"/>
              </w:rPr>
              <w:tab/>
            </w:r>
            <w:r>
              <w:rPr>
                <w:rStyle w:val="IndexLink"/>
              </w:rPr>
              <w:t>230</w:t>
            </w:r>
          </w:hyperlink>
        </w:p>
        <w:p>
          <w:pPr>
            <w:pStyle w:val="Contents3"/>
            <w:tabs>
              <w:tab w:val="clear" w:pos="8459"/>
              <w:tab w:val="right" w:pos="9026" w:leader="dot"/>
            </w:tabs>
            <w:rPr/>
          </w:pPr>
          <w:hyperlink w:anchor="__RefHeading___Toc363190_581953129">
            <w:r>
              <w:rPr>
                <w:webHidden/>
                <w:rStyle w:val="IndexLink"/>
                <w:rtl w:val="true"/>
              </w:rPr>
              <w:t>ما هو مصداق السفر؟</w:t>
            </w:r>
            <w:r>
              <w:rPr>
                <w:rStyle w:val="IndexLink"/>
                <w:rtl w:val="true"/>
              </w:rPr>
              <w:tab/>
            </w:r>
            <w:r>
              <w:rPr>
                <w:rStyle w:val="IndexLink"/>
              </w:rPr>
              <w:t>231</w:t>
            </w:r>
          </w:hyperlink>
        </w:p>
        <w:p>
          <w:pPr>
            <w:pStyle w:val="Contents4"/>
            <w:tabs>
              <w:tab w:val="clear" w:pos="8176"/>
              <w:tab w:val="right" w:pos="9026" w:leader="dot"/>
            </w:tabs>
            <w:rPr/>
          </w:pPr>
          <w:hyperlink w:anchor="__RefHeading___Toc363192_581953129">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363194_581953129">
            <w:r>
              <w:rPr>
                <w:webHidden/>
                <w:rStyle w:val="IndexLink"/>
                <w:rtl w:val="true"/>
              </w:rPr>
              <w:t>المذاهب الاربعة</w:t>
            </w:r>
            <w:r>
              <w:rPr>
                <w:rStyle w:val="IndexLink"/>
                <w:rtl w:val="true"/>
              </w:rPr>
              <w:tab/>
            </w:r>
            <w:r>
              <w:rPr>
                <w:rStyle w:val="IndexLink"/>
              </w:rPr>
              <w:t>231</w:t>
            </w:r>
          </w:hyperlink>
        </w:p>
        <w:p>
          <w:pPr>
            <w:pStyle w:val="Contents4"/>
            <w:tabs>
              <w:tab w:val="clear" w:pos="8176"/>
              <w:tab w:val="right" w:pos="9026" w:leader="dot"/>
            </w:tabs>
            <w:rPr/>
          </w:pPr>
          <w:hyperlink w:anchor="__RefHeading___Toc363196_581953129">
            <w:r>
              <w:rPr>
                <w:webHidden/>
                <w:rStyle w:val="IndexLink"/>
                <w:rtl w:val="true"/>
              </w:rPr>
              <w:t>المذهب الجعفری</w:t>
            </w:r>
            <w:r>
              <w:rPr>
                <w:rStyle w:val="IndexLink"/>
                <w:rtl w:val="true"/>
              </w:rPr>
              <w:tab/>
            </w:r>
            <w:r>
              <w:rPr>
                <w:rStyle w:val="IndexLink"/>
              </w:rPr>
              <w:t>231</w:t>
            </w:r>
          </w:hyperlink>
        </w:p>
        <w:p>
          <w:pPr>
            <w:pStyle w:val="Contents4"/>
            <w:tabs>
              <w:tab w:val="clear" w:pos="8176"/>
              <w:tab w:val="right" w:pos="9026" w:leader="dot"/>
            </w:tabs>
            <w:rPr/>
          </w:pPr>
          <w:hyperlink w:anchor="__RefHeading___Toc363198_581953129">
            <w:r>
              <w:rPr>
                <w:webHidden/>
                <w:rStyle w:val="IndexLink"/>
                <w:rtl w:val="true"/>
              </w:rPr>
              <w:t>منشأ الاختلاف</w:t>
            </w:r>
            <w:r>
              <w:rPr>
                <w:rStyle w:val="IndexLink"/>
                <w:rtl w:val="true"/>
              </w:rPr>
              <w:tab/>
            </w:r>
            <w:r>
              <w:rPr>
                <w:rStyle w:val="IndexLink"/>
              </w:rPr>
              <w:t>232</w:t>
            </w:r>
          </w:hyperlink>
        </w:p>
        <w:p>
          <w:pPr>
            <w:pStyle w:val="Contents3"/>
            <w:tabs>
              <w:tab w:val="clear" w:pos="8459"/>
              <w:tab w:val="right" w:pos="9026" w:leader="dot"/>
            </w:tabs>
            <w:rPr/>
          </w:pPr>
          <w:hyperlink w:anchor="__RefHeading___Toc363200_581953129">
            <w:r>
              <w:rPr>
                <w:webHidden/>
                <w:rStyle w:val="IndexLink"/>
                <w:rtl w:val="true"/>
              </w:rPr>
              <w:t>إباحة السفر</w:t>
            </w:r>
            <w:r>
              <w:rPr>
                <w:rStyle w:val="IndexLink"/>
                <w:rtl w:val="true"/>
              </w:rPr>
              <w:tab/>
            </w:r>
            <w:r>
              <w:rPr>
                <w:rStyle w:val="IndexLink"/>
              </w:rPr>
              <w:t>232</w:t>
            </w:r>
          </w:hyperlink>
        </w:p>
        <w:p>
          <w:pPr>
            <w:pStyle w:val="Contents3"/>
            <w:tabs>
              <w:tab w:val="clear" w:pos="8459"/>
              <w:tab w:val="right" w:pos="9026" w:leader="dot"/>
            </w:tabs>
            <w:rPr/>
          </w:pPr>
          <w:hyperlink w:anchor="__RefHeading___Toc363202_581953129">
            <w:r>
              <w:rPr>
                <w:webHidden/>
                <w:rStyle w:val="IndexLink"/>
                <w:rtl w:val="true"/>
              </w:rPr>
              <w:t>نیة القصر</w:t>
            </w:r>
            <w:r>
              <w:rPr>
                <w:rStyle w:val="IndexLink"/>
                <w:rtl w:val="true"/>
              </w:rPr>
              <w:tab/>
            </w:r>
            <w:r>
              <w:rPr>
                <w:rStyle w:val="IndexLink"/>
              </w:rPr>
              <w:t>233</w:t>
            </w:r>
          </w:hyperlink>
        </w:p>
        <w:p>
          <w:pPr>
            <w:pStyle w:val="Contents4"/>
            <w:tabs>
              <w:tab w:val="clear" w:pos="8176"/>
              <w:tab w:val="right" w:pos="9026" w:leader="dot"/>
            </w:tabs>
            <w:rPr/>
          </w:pPr>
          <w:hyperlink w:anchor="__RefHeading___Toc363204_58195312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363206_581953129">
            <w:r>
              <w:rPr>
                <w:webHidden/>
                <w:rStyle w:val="IndexLink"/>
                <w:rtl w:val="true"/>
              </w:rPr>
              <w:t>المذهب الجعفری</w:t>
            </w:r>
            <w:r>
              <w:rPr>
                <w:rStyle w:val="IndexLink"/>
                <w:rtl w:val="true"/>
              </w:rPr>
              <w:tab/>
            </w:r>
            <w:r>
              <w:rPr>
                <w:rStyle w:val="IndexLink"/>
              </w:rPr>
              <w:t>233</w:t>
            </w:r>
          </w:hyperlink>
        </w:p>
        <w:p>
          <w:pPr>
            <w:pStyle w:val="Contents4"/>
            <w:tabs>
              <w:tab w:val="clear" w:pos="8176"/>
              <w:tab w:val="right" w:pos="9026" w:leader="dot"/>
            </w:tabs>
            <w:rPr/>
          </w:pPr>
          <w:hyperlink w:anchor="__RefHeading___Toc363208_581953129">
            <w:r>
              <w:rPr>
                <w:webHidden/>
                <w:rStyle w:val="IndexLink"/>
                <w:rtl w:val="true"/>
              </w:rPr>
              <w:t>المذهب الحنبلی و الشافعی</w:t>
            </w:r>
            <w:r>
              <w:rPr>
                <w:rStyle w:val="IndexLink"/>
                <w:rtl w:val="true"/>
              </w:rPr>
              <w:tab/>
            </w:r>
            <w:r>
              <w:rPr>
                <w:rStyle w:val="IndexLink"/>
              </w:rPr>
              <w:t>234</w:t>
            </w:r>
          </w:hyperlink>
        </w:p>
        <w:p>
          <w:pPr>
            <w:pStyle w:val="Contents3"/>
            <w:tabs>
              <w:tab w:val="clear" w:pos="8459"/>
              <w:tab w:val="right" w:pos="9026" w:leader="dot"/>
            </w:tabs>
            <w:rPr/>
          </w:pPr>
          <w:hyperlink w:anchor="__RefHeading___Toc363210_581953129">
            <w:r>
              <w:rPr>
                <w:webHidden/>
                <w:rStyle w:val="IndexLink"/>
                <w:rtl w:val="true"/>
              </w:rPr>
              <w:t>نیة الإقامة</w:t>
            </w:r>
            <w:r>
              <w:rPr>
                <w:rStyle w:val="IndexLink"/>
                <w:rtl w:val="true"/>
              </w:rPr>
              <w:tab/>
            </w:r>
            <w:r>
              <w:rPr>
                <w:rStyle w:val="IndexLink"/>
              </w:rPr>
              <w:t>234</w:t>
            </w:r>
          </w:hyperlink>
        </w:p>
        <w:p>
          <w:pPr>
            <w:pStyle w:val="Contents4"/>
            <w:tabs>
              <w:tab w:val="clear" w:pos="8176"/>
              <w:tab w:val="right" w:pos="9026" w:leader="dot"/>
            </w:tabs>
            <w:rPr/>
          </w:pPr>
          <w:hyperlink w:anchor="__RefHeading___Toc363212_581953129">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363214_581953129">
            <w:r>
              <w:rPr>
                <w:webHidden/>
                <w:rStyle w:val="IndexLink"/>
                <w:rtl w:val="true"/>
              </w:rPr>
              <w:t>المذهب الجعفری</w:t>
            </w:r>
            <w:r>
              <w:rPr>
                <w:rStyle w:val="IndexLink"/>
                <w:rtl w:val="true"/>
              </w:rPr>
              <w:tab/>
            </w:r>
            <w:r>
              <w:rPr>
                <w:rStyle w:val="IndexLink"/>
              </w:rPr>
              <w:t>234</w:t>
            </w:r>
          </w:hyperlink>
        </w:p>
        <w:p>
          <w:pPr>
            <w:pStyle w:val="Contents4"/>
            <w:tabs>
              <w:tab w:val="clear" w:pos="8176"/>
              <w:tab w:val="right" w:pos="9026" w:leader="dot"/>
            </w:tabs>
            <w:rPr/>
          </w:pPr>
          <w:hyperlink w:anchor="__RefHeading___Toc363216_581953129">
            <w:r>
              <w:rPr>
                <w:webHidden/>
                <w:rStyle w:val="IndexLink"/>
                <w:rtl w:val="true"/>
              </w:rPr>
              <w:t>المذهب الحنبلی</w:t>
            </w:r>
            <w:r>
              <w:rPr>
                <w:rStyle w:val="IndexLink"/>
                <w:rtl w:val="true"/>
              </w:rPr>
              <w:tab/>
            </w:r>
            <w:r>
              <w:rPr>
                <w:rStyle w:val="IndexLink"/>
              </w:rPr>
              <w:t>235</w:t>
            </w:r>
          </w:hyperlink>
        </w:p>
        <w:p>
          <w:pPr>
            <w:pStyle w:val="Contents4"/>
            <w:tabs>
              <w:tab w:val="clear" w:pos="8176"/>
              <w:tab w:val="right" w:pos="9026" w:leader="dot"/>
            </w:tabs>
            <w:rPr/>
          </w:pPr>
          <w:hyperlink w:anchor="__RefHeading___Toc363218_581953129">
            <w:r>
              <w:rPr>
                <w:webHidden/>
                <w:rStyle w:val="IndexLink"/>
                <w:rtl w:val="true"/>
              </w:rPr>
              <w:t>المذهب الحنفی</w:t>
            </w:r>
            <w:r>
              <w:rPr>
                <w:rStyle w:val="IndexLink"/>
                <w:rtl w:val="true"/>
              </w:rPr>
              <w:tab/>
            </w:r>
            <w:r>
              <w:rPr>
                <w:rStyle w:val="IndexLink"/>
              </w:rPr>
              <w:t>235</w:t>
            </w:r>
          </w:hyperlink>
        </w:p>
        <w:p>
          <w:pPr>
            <w:pStyle w:val="Contents3"/>
            <w:tabs>
              <w:tab w:val="clear" w:pos="8459"/>
              <w:tab w:val="right" w:pos="9026" w:leader="dot"/>
            </w:tabs>
            <w:rPr/>
          </w:pPr>
          <w:hyperlink w:anchor="__RefHeading___Toc363220_581953129">
            <w:r>
              <w:rPr>
                <w:webHidden/>
                <w:rStyle w:val="IndexLink"/>
                <w:rtl w:val="true"/>
              </w:rPr>
              <w:t>التردّد فی البقاء</w:t>
            </w:r>
            <w:r>
              <w:rPr>
                <w:rStyle w:val="IndexLink"/>
                <w:rtl w:val="true"/>
              </w:rPr>
              <w:tab/>
            </w:r>
            <w:r>
              <w:rPr>
                <w:rStyle w:val="IndexLink"/>
              </w:rPr>
              <w:t>235</w:t>
            </w:r>
          </w:hyperlink>
        </w:p>
        <w:p>
          <w:pPr>
            <w:pStyle w:val="Contents4"/>
            <w:tabs>
              <w:tab w:val="clear" w:pos="8176"/>
              <w:tab w:val="right" w:pos="9026" w:leader="dot"/>
            </w:tabs>
            <w:rPr/>
          </w:pPr>
          <w:hyperlink w:anchor="__RefHeading___Toc363222_581953129">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363224_581953129">
            <w:r>
              <w:rPr>
                <w:webHidden/>
                <w:rStyle w:val="IndexLink"/>
                <w:rtl w:val="true"/>
              </w:rPr>
              <w:t>منشأ الاختلاف</w:t>
            </w:r>
            <w:r>
              <w:rPr>
                <w:rStyle w:val="IndexLink"/>
                <w:rtl w:val="true"/>
              </w:rPr>
              <w:tab/>
            </w:r>
            <w:r>
              <w:rPr>
                <w:rStyle w:val="IndexLink"/>
              </w:rPr>
              <w:t>236</w:t>
            </w:r>
          </w:hyperlink>
        </w:p>
        <w:p>
          <w:pPr>
            <w:pStyle w:val="Contents3"/>
            <w:tabs>
              <w:tab w:val="clear" w:pos="8459"/>
              <w:tab w:val="right" w:pos="9026" w:leader="dot"/>
            </w:tabs>
            <w:rPr/>
          </w:pPr>
          <w:hyperlink w:anchor="__RefHeading___Toc363226_581953129">
            <w:r>
              <w:rPr>
                <w:webHidden/>
                <w:rStyle w:val="IndexLink"/>
                <w:rtl w:val="true"/>
              </w:rPr>
              <w:t>استمرار السفر</w:t>
            </w:r>
            <w:r>
              <w:rPr>
                <w:rStyle w:val="IndexLink"/>
                <w:rtl w:val="true"/>
              </w:rPr>
              <w:tab/>
            </w:r>
            <w:r>
              <w:rPr>
                <w:rStyle w:val="IndexLink"/>
              </w:rPr>
              <w:t>236</w:t>
            </w:r>
          </w:hyperlink>
        </w:p>
        <w:p>
          <w:pPr>
            <w:pStyle w:val="Contents4"/>
            <w:tabs>
              <w:tab w:val="clear" w:pos="8176"/>
              <w:tab w:val="right" w:pos="9026" w:leader="dot"/>
            </w:tabs>
            <w:rPr/>
          </w:pPr>
          <w:hyperlink w:anchor="__RefHeading___Toc363228_581953129">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363230_581953129">
            <w:r>
              <w:rPr>
                <w:webHidden/>
                <w:rStyle w:val="IndexLink"/>
                <w:rtl w:val="true"/>
              </w:rPr>
              <w:t>منشأ الاختلاف</w:t>
            </w:r>
            <w:r>
              <w:rPr>
                <w:rStyle w:val="IndexLink"/>
                <w:rtl w:val="true"/>
              </w:rPr>
              <w:tab/>
            </w:r>
            <w:r>
              <w:rPr>
                <w:rStyle w:val="IndexLink"/>
              </w:rPr>
              <w:t>237</w:t>
            </w:r>
          </w:hyperlink>
        </w:p>
        <w:p>
          <w:pPr>
            <w:pStyle w:val="Contents3"/>
            <w:tabs>
              <w:tab w:val="clear" w:pos="8459"/>
              <w:tab w:val="right" w:pos="9026" w:leader="dot"/>
            </w:tabs>
            <w:rPr/>
          </w:pPr>
          <w:hyperlink w:anchor="__RefHeading___Toc363232_581953129">
            <w:r>
              <w:rPr>
                <w:webHidden/>
                <w:rStyle w:val="IndexLink"/>
                <w:rtl w:val="true"/>
              </w:rPr>
              <w:t>الخلاصة</w:t>
            </w:r>
            <w:r>
              <w:rPr>
                <w:rStyle w:val="IndexLink"/>
                <w:rtl w:val="true"/>
              </w:rPr>
              <w:tab/>
            </w:r>
            <w:r>
              <w:rPr>
                <w:rStyle w:val="IndexLink"/>
              </w:rPr>
              <w:t>238</w:t>
            </w:r>
          </w:hyperlink>
        </w:p>
        <w:p>
          <w:pPr>
            <w:pStyle w:val="Contents3"/>
            <w:tabs>
              <w:tab w:val="clear" w:pos="8459"/>
              <w:tab w:val="right" w:pos="9026" w:leader="dot"/>
            </w:tabs>
            <w:rPr/>
          </w:pPr>
          <w:hyperlink w:anchor="__RefHeading___Toc363234_581953129">
            <w:r>
              <w:rPr>
                <w:webHidden/>
                <w:rStyle w:val="IndexLink"/>
                <w:rtl w:val="true"/>
              </w:rPr>
              <w:t>الأسئلة</w:t>
            </w:r>
            <w:r>
              <w:rPr>
                <w:rStyle w:val="IndexLink"/>
                <w:rtl w:val="true"/>
              </w:rPr>
              <w:tab/>
            </w:r>
            <w:r>
              <w:rPr>
                <w:rStyle w:val="IndexLink"/>
              </w:rPr>
              <w:t>239</w:t>
            </w:r>
          </w:hyperlink>
        </w:p>
        <w:p>
          <w:pPr>
            <w:pStyle w:val="Contents2"/>
            <w:tabs>
              <w:tab w:val="clear" w:pos="8743"/>
              <w:tab w:val="right" w:pos="9026" w:leader="dot"/>
            </w:tabs>
            <w:rPr/>
          </w:pPr>
          <w:hyperlink w:anchor="__RefHeading___Toc363236_581953129">
            <w:r>
              <w:rPr>
                <w:webHidden/>
                <w:rStyle w:val="IndexLink"/>
              </w:rPr>
              <w:t>17</w:t>
            </w:r>
            <w:r>
              <w:rPr>
                <w:rStyle w:val="IndexLink"/>
                <w:rtl w:val="true"/>
              </w:rPr>
              <w:t xml:space="preserve">- </w:t>
            </w:r>
            <w:r>
              <w:rPr>
                <w:rStyle w:val="IndexLink"/>
                <w:rtl w:val="true"/>
              </w:rPr>
              <w:t>صلاة المیت</w:t>
            </w:r>
            <w:r>
              <w:rPr>
                <w:rStyle w:val="IndexLink"/>
                <w:rtl w:val="true"/>
              </w:rPr>
              <w:tab/>
            </w:r>
            <w:r>
              <w:rPr>
                <w:rStyle w:val="IndexLink"/>
              </w:rPr>
              <w:t>240</w:t>
            </w:r>
          </w:hyperlink>
        </w:p>
        <w:p>
          <w:pPr>
            <w:pStyle w:val="Contents3"/>
            <w:tabs>
              <w:tab w:val="clear" w:pos="8459"/>
              <w:tab w:val="right" w:pos="9026" w:leader="dot"/>
            </w:tabs>
            <w:rPr/>
          </w:pPr>
          <w:hyperlink w:anchor="__RefHeading___Toc363238_581953129">
            <w:r>
              <w:rPr>
                <w:webHidden/>
                <w:rStyle w:val="IndexLink"/>
                <w:rtl w:val="true"/>
              </w:rPr>
              <w:t>الصلاة علی المیت</w:t>
            </w:r>
            <w:r>
              <w:rPr>
                <w:rStyle w:val="IndexLink"/>
                <w:rtl w:val="true"/>
              </w:rPr>
              <w:tab/>
            </w:r>
            <w:r>
              <w:rPr>
                <w:rStyle w:val="IndexLink"/>
              </w:rPr>
              <w:t>240</w:t>
            </w:r>
          </w:hyperlink>
        </w:p>
        <w:p>
          <w:pPr>
            <w:pStyle w:val="Contents3"/>
            <w:tabs>
              <w:tab w:val="clear" w:pos="8459"/>
              <w:tab w:val="right" w:pos="9026" w:leader="dot"/>
            </w:tabs>
            <w:rPr/>
          </w:pPr>
          <w:hyperlink w:anchor="__RefHeading___Toc363240_581953129">
            <w:r>
              <w:rPr>
                <w:webHidden/>
                <w:rStyle w:val="IndexLink"/>
                <w:rtl w:val="true"/>
              </w:rPr>
              <w:t>إقامة الصلاة علی الشهید</w:t>
            </w:r>
            <w:r>
              <w:rPr>
                <w:rStyle w:val="IndexLink"/>
                <w:rtl w:val="true"/>
              </w:rPr>
              <w:tab/>
            </w:r>
            <w:r>
              <w:rPr>
                <w:rStyle w:val="IndexLink"/>
              </w:rPr>
              <w:t>240</w:t>
            </w:r>
          </w:hyperlink>
        </w:p>
        <w:p>
          <w:pPr>
            <w:pStyle w:val="Contents4"/>
            <w:tabs>
              <w:tab w:val="clear" w:pos="8176"/>
              <w:tab w:val="right" w:pos="9026" w:leader="dot"/>
            </w:tabs>
            <w:rPr/>
          </w:pPr>
          <w:hyperlink w:anchor="__RefHeading___Toc363242_581953129">
            <w:r>
              <w:rPr>
                <w:webHidden/>
                <w:rStyle w:val="IndexLink"/>
                <w:rtl w:val="true"/>
              </w:rPr>
              <w:t>المذهب الجعفری</w:t>
            </w:r>
            <w:r>
              <w:rPr>
                <w:rStyle w:val="IndexLink"/>
                <w:rtl w:val="true"/>
              </w:rPr>
              <w:tab/>
            </w:r>
            <w:r>
              <w:rPr>
                <w:rStyle w:val="IndexLink"/>
              </w:rPr>
              <w:t>240</w:t>
            </w:r>
          </w:hyperlink>
        </w:p>
        <w:p>
          <w:pPr>
            <w:pStyle w:val="Contents3"/>
            <w:tabs>
              <w:tab w:val="clear" w:pos="8459"/>
              <w:tab w:val="right" w:pos="9026" w:leader="dot"/>
            </w:tabs>
            <w:rPr/>
          </w:pPr>
          <w:hyperlink w:anchor="__RefHeading___Toc363244_581953129">
            <w:r>
              <w:rPr>
                <w:webHidden/>
                <w:rStyle w:val="IndexLink"/>
                <w:rtl w:val="true"/>
              </w:rPr>
              <w:t>کیفیة الصلاة</w:t>
            </w:r>
            <w:r>
              <w:rPr>
                <w:rStyle w:val="IndexLink"/>
                <w:rtl w:val="true"/>
              </w:rPr>
              <w:tab/>
            </w:r>
            <w:r>
              <w:rPr>
                <w:rStyle w:val="IndexLink"/>
              </w:rPr>
              <w:t>241</w:t>
            </w:r>
          </w:hyperlink>
        </w:p>
        <w:p>
          <w:pPr>
            <w:pStyle w:val="Contents3"/>
            <w:tabs>
              <w:tab w:val="clear" w:pos="8459"/>
              <w:tab w:val="right" w:pos="9026" w:leader="dot"/>
            </w:tabs>
            <w:rPr/>
          </w:pPr>
          <w:hyperlink w:anchor="__RefHeading___Toc363246_581953129">
            <w:r>
              <w:rPr>
                <w:webHidden/>
                <w:rStyle w:val="IndexLink"/>
                <w:rtl w:val="true"/>
              </w:rPr>
              <w:t>اختلاف النصوص فی عدد التکبیرات</w:t>
            </w:r>
            <w:r>
              <w:rPr>
                <w:rStyle w:val="IndexLink"/>
                <w:rtl w:val="true"/>
              </w:rPr>
              <w:tab/>
            </w:r>
            <w:r>
              <w:rPr>
                <w:rStyle w:val="IndexLink"/>
              </w:rPr>
              <w:t>242</w:t>
            </w:r>
          </w:hyperlink>
        </w:p>
        <w:p>
          <w:pPr>
            <w:pStyle w:val="Contents4"/>
            <w:tabs>
              <w:tab w:val="clear" w:pos="8176"/>
              <w:tab w:val="right" w:pos="9026" w:leader="dot"/>
            </w:tabs>
            <w:rPr/>
          </w:pPr>
          <w:hyperlink w:anchor="__RefHeading___Toc363248_581953129">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363250_581953129">
            <w:r>
              <w:rPr>
                <w:webHidden/>
                <w:rStyle w:val="IndexLink"/>
                <w:rtl w:val="true"/>
              </w:rPr>
              <w:t>أربع تکبیرات رأی عمربن الخطاب</w:t>
            </w:r>
            <w:r>
              <w:rPr>
                <w:rStyle w:val="IndexLink"/>
                <w:rtl w:val="true"/>
              </w:rPr>
              <w:tab/>
            </w:r>
            <w:r>
              <w:rPr>
                <w:rStyle w:val="IndexLink"/>
              </w:rPr>
              <w:t>242</w:t>
            </w:r>
          </w:hyperlink>
        </w:p>
        <w:p>
          <w:pPr>
            <w:pStyle w:val="Contents4"/>
            <w:tabs>
              <w:tab w:val="clear" w:pos="8176"/>
              <w:tab w:val="right" w:pos="9026" w:leader="dot"/>
            </w:tabs>
            <w:rPr/>
          </w:pPr>
          <w:hyperlink w:anchor="__RefHeading___Toc363252_581953129">
            <w:r>
              <w:rPr>
                <w:webHidden/>
                <w:rStyle w:val="IndexLink"/>
                <w:rtl w:val="true"/>
              </w:rPr>
              <w:t>طریقة آل البیت علیهم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363254_581953129">
            <w:r>
              <w:rPr>
                <w:webHidden/>
                <w:rStyle w:val="IndexLink"/>
                <w:rtl w:val="true"/>
              </w:rPr>
              <w:t>المذاهب الاربعة</w:t>
            </w:r>
            <w:r>
              <w:rPr>
                <w:rStyle w:val="IndexLink"/>
                <w:rtl w:val="true"/>
              </w:rPr>
              <w:tab/>
            </w:r>
            <w:r>
              <w:rPr>
                <w:rStyle w:val="IndexLink"/>
              </w:rPr>
              <w:t>243</w:t>
            </w:r>
          </w:hyperlink>
        </w:p>
        <w:p>
          <w:pPr>
            <w:pStyle w:val="Contents3"/>
            <w:tabs>
              <w:tab w:val="clear" w:pos="8459"/>
              <w:tab w:val="right" w:pos="9026" w:leader="dot"/>
            </w:tabs>
            <w:rPr/>
          </w:pPr>
          <w:hyperlink w:anchor="__RefHeading___Toc363256_581953129">
            <w:r>
              <w:rPr>
                <w:webHidden/>
                <w:rStyle w:val="IndexLink"/>
                <w:rtl w:val="true"/>
              </w:rPr>
              <w:t>من أحق بالإمامة</w:t>
            </w:r>
            <w:r>
              <w:rPr>
                <w:rStyle w:val="IndexLink"/>
                <w:rtl w:val="true"/>
              </w:rPr>
              <w:tab/>
            </w:r>
            <w:r>
              <w:rPr>
                <w:rStyle w:val="IndexLink"/>
              </w:rPr>
              <w:t>244</w:t>
            </w:r>
          </w:hyperlink>
        </w:p>
        <w:p>
          <w:pPr>
            <w:pStyle w:val="Contents4"/>
            <w:tabs>
              <w:tab w:val="clear" w:pos="8176"/>
              <w:tab w:val="right" w:pos="9026" w:leader="dot"/>
            </w:tabs>
            <w:rPr/>
          </w:pPr>
          <w:hyperlink w:anchor="__RefHeading___Toc363258_581953129">
            <w:r>
              <w:rPr>
                <w:webHidden/>
                <w:rStyle w:val="IndexLink"/>
                <w:rtl w:val="true"/>
              </w:rPr>
              <w:t>المذهب الجعفری</w:t>
            </w:r>
            <w:r>
              <w:rPr>
                <w:rStyle w:val="IndexLink"/>
                <w:rtl w:val="true"/>
              </w:rPr>
              <w:tab/>
            </w:r>
            <w:r>
              <w:rPr>
                <w:rStyle w:val="IndexLink"/>
              </w:rPr>
              <w:t>244</w:t>
            </w:r>
          </w:hyperlink>
        </w:p>
        <w:p>
          <w:pPr>
            <w:pStyle w:val="Contents4"/>
            <w:tabs>
              <w:tab w:val="clear" w:pos="8176"/>
              <w:tab w:val="right" w:pos="9026" w:leader="dot"/>
            </w:tabs>
            <w:rPr/>
          </w:pPr>
          <w:hyperlink w:anchor="__RefHeading___Toc363260_581953129">
            <w:r>
              <w:rPr>
                <w:webHidden/>
                <w:rStyle w:val="IndexLink"/>
                <w:rtl w:val="true"/>
              </w:rPr>
              <w:t>المذاهب الاربعة</w:t>
            </w:r>
            <w:r>
              <w:rPr>
                <w:rStyle w:val="IndexLink"/>
                <w:rtl w:val="true"/>
              </w:rPr>
              <w:tab/>
            </w:r>
            <w:r>
              <w:rPr>
                <w:rStyle w:val="IndexLink"/>
              </w:rPr>
              <w:t>244</w:t>
            </w:r>
          </w:hyperlink>
        </w:p>
        <w:p>
          <w:pPr>
            <w:pStyle w:val="Contents4"/>
            <w:tabs>
              <w:tab w:val="clear" w:pos="8176"/>
              <w:tab w:val="right" w:pos="9026" w:leader="dot"/>
            </w:tabs>
            <w:rPr/>
          </w:pPr>
          <w:hyperlink w:anchor="__RefHeading___Toc363262_581953129">
            <w:r>
              <w:rPr>
                <w:webHidden/>
                <w:rStyle w:val="IndexLink"/>
                <w:rtl w:val="true"/>
              </w:rPr>
              <w:t>منشأ الاختلاف</w:t>
            </w:r>
            <w:r>
              <w:rPr>
                <w:rStyle w:val="IndexLink"/>
                <w:rtl w:val="true"/>
              </w:rPr>
              <w:tab/>
            </w:r>
            <w:r>
              <w:rPr>
                <w:rStyle w:val="IndexLink"/>
              </w:rPr>
              <w:t>245</w:t>
            </w:r>
          </w:hyperlink>
        </w:p>
        <w:p>
          <w:pPr>
            <w:pStyle w:val="Contents3"/>
            <w:tabs>
              <w:tab w:val="clear" w:pos="8459"/>
              <w:tab w:val="right" w:pos="9026" w:leader="dot"/>
            </w:tabs>
            <w:rPr/>
          </w:pPr>
          <w:hyperlink w:anchor="__RefHeading___Toc363264_581953129">
            <w:r>
              <w:rPr>
                <w:webHidden/>
                <w:rStyle w:val="IndexLink"/>
                <w:rtl w:val="true"/>
              </w:rPr>
              <w:t>وضع الجرید تین فی القبر</w:t>
            </w:r>
            <w:r>
              <w:rPr>
                <w:rStyle w:val="IndexLink"/>
                <w:rtl w:val="true"/>
              </w:rPr>
              <w:tab/>
            </w:r>
            <w:r>
              <w:rPr>
                <w:rStyle w:val="IndexLink"/>
              </w:rPr>
              <w:t>245</w:t>
            </w:r>
          </w:hyperlink>
        </w:p>
        <w:p>
          <w:pPr>
            <w:pStyle w:val="Contents4"/>
            <w:tabs>
              <w:tab w:val="clear" w:pos="8176"/>
              <w:tab w:val="right" w:pos="9026" w:leader="dot"/>
            </w:tabs>
            <w:rPr/>
          </w:pPr>
          <w:hyperlink w:anchor="__RefHeading___Toc363266_581953129">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363268_581953129">
            <w:r>
              <w:rPr>
                <w:webHidden/>
                <w:rStyle w:val="IndexLink"/>
                <w:rtl w:val="true"/>
              </w:rPr>
              <w:t>المذهب الجعفری</w:t>
            </w:r>
            <w:r>
              <w:rPr>
                <w:rStyle w:val="IndexLink"/>
                <w:rtl w:val="true"/>
              </w:rPr>
              <w:tab/>
            </w:r>
            <w:r>
              <w:rPr>
                <w:rStyle w:val="IndexLink"/>
              </w:rPr>
              <w:t>245</w:t>
            </w:r>
          </w:hyperlink>
        </w:p>
        <w:p>
          <w:pPr>
            <w:pStyle w:val="Contents4"/>
            <w:tabs>
              <w:tab w:val="clear" w:pos="8176"/>
              <w:tab w:val="right" w:pos="9026" w:leader="dot"/>
            </w:tabs>
            <w:rPr/>
          </w:pPr>
          <w:hyperlink w:anchor="__RefHeading___Toc363270_581953129">
            <w:r>
              <w:rPr>
                <w:webHidden/>
                <w:rStyle w:val="IndexLink"/>
                <w:rtl w:val="true"/>
              </w:rPr>
              <w:t>المذاهب الاربعة</w:t>
            </w:r>
            <w:r>
              <w:rPr>
                <w:rStyle w:val="IndexLink"/>
                <w:rtl w:val="true"/>
              </w:rPr>
              <w:tab/>
            </w:r>
            <w:r>
              <w:rPr>
                <w:rStyle w:val="IndexLink"/>
              </w:rPr>
              <w:t>246</w:t>
            </w:r>
          </w:hyperlink>
        </w:p>
        <w:p>
          <w:pPr>
            <w:pStyle w:val="Contents3"/>
            <w:tabs>
              <w:tab w:val="clear" w:pos="8459"/>
              <w:tab w:val="right" w:pos="9026" w:leader="dot"/>
            </w:tabs>
            <w:rPr/>
          </w:pPr>
          <w:hyperlink w:anchor="__RefHeading___Toc363272_581953129">
            <w:r>
              <w:rPr>
                <w:webHidden/>
                <w:rStyle w:val="IndexLink"/>
                <w:rtl w:val="true"/>
              </w:rPr>
              <w:t>وضع الجرید علی القبر</w:t>
            </w:r>
            <w:r>
              <w:rPr>
                <w:rStyle w:val="IndexLink"/>
                <w:rtl w:val="true"/>
              </w:rPr>
              <w:tab/>
            </w:r>
            <w:r>
              <w:rPr>
                <w:rStyle w:val="IndexLink"/>
              </w:rPr>
              <w:t>246</w:t>
            </w:r>
          </w:hyperlink>
        </w:p>
        <w:p>
          <w:pPr>
            <w:pStyle w:val="Contents4"/>
            <w:tabs>
              <w:tab w:val="clear" w:pos="8176"/>
              <w:tab w:val="right" w:pos="9026" w:leader="dot"/>
            </w:tabs>
            <w:rPr/>
          </w:pPr>
          <w:hyperlink w:anchor="__RefHeading___Toc363274_581953129">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363276_581953129">
            <w:r>
              <w:rPr>
                <w:webHidden/>
                <w:rStyle w:val="IndexLink"/>
                <w:rtl w:val="true"/>
              </w:rPr>
              <w:t>منشأ الاختلاف</w:t>
            </w:r>
            <w:r>
              <w:rPr>
                <w:rStyle w:val="IndexLink"/>
                <w:rtl w:val="true"/>
              </w:rPr>
              <w:tab/>
            </w:r>
            <w:r>
              <w:rPr>
                <w:rStyle w:val="IndexLink"/>
              </w:rPr>
              <w:t>248</w:t>
            </w:r>
          </w:hyperlink>
        </w:p>
        <w:p>
          <w:pPr>
            <w:pStyle w:val="Contents3"/>
            <w:tabs>
              <w:tab w:val="clear" w:pos="8459"/>
              <w:tab w:val="right" w:pos="9026" w:leader="dot"/>
            </w:tabs>
            <w:rPr/>
          </w:pPr>
          <w:hyperlink w:anchor="__RefHeading___Toc363278_581953129">
            <w:r>
              <w:rPr>
                <w:webHidden/>
                <w:rStyle w:val="IndexLink"/>
                <w:rtl w:val="true"/>
              </w:rPr>
              <w:t>الخلاصة</w:t>
            </w:r>
            <w:r>
              <w:rPr>
                <w:rStyle w:val="IndexLink"/>
                <w:rtl w:val="true"/>
              </w:rPr>
              <w:tab/>
            </w:r>
            <w:r>
              <w:rPr>
                <w:rStyle w:val="IndexLink"/>
              </w:rPr>
              <w:t>249</w:t>
            </w:r>
          </w:hyperlink>
        </w:p>
        <w:p>
          <w:pPr>
            <w:pStyle w:val="Contents3"/>
            <w:tabs>
              <w:tab w:val="clear" w:pos="8459"/>
              <w:tab w:val="right" w:pos="9026" w:leader="dot"/>
            </w:tabs>
            <w:rPr/>
          </w:pPr>
          <w:hyperlink w:anchor="__RefHeading___Toc363280_581953129">
            <w:r>
              <w:rPr>
                <w:webHidden/>
                <w:rStyle w:val="IndexLink"/>
                <w:rtl w:val="true"/>
              </w:rPr>
              <w:t>الأسئلة</w:t>
            </w:r>
            <w:r>
              <w:rPr>
                <w:rStyle w:val="IndexLink"/>
                <w:rtl w:val="true"/>
              </w:rPr>
              <w:tab/>
            </w:r>
            <w:r>
              <w:rPr>
                <w:rStyle w:val="IndexLink"/>
              </w:rPr>
              <w:t>250</w:t>
            </w:r>
          </w:hyperlink>
        </w:p>
        <w:p>
          <w:pPr>
            <w:pStyle w:val="Contents2"/>
            <w:tabs>
              <w:tab w:val="clear" w:pos="8743"/>
              <w:tab w:val="right" w:pos="9026" w:leader="dot"/>
            </w:tabs>
            <w:rPr/>
          </w:pPr>
          <w:hyperlink w:anchor="__RefHeading___Toc363282_581953129">
            <w:r>
              <w:rPr>
                <w:webHidden/>
                <w:rStyle w:val="IndexLink"/>
              </w:rPr>
              <w:t>18</w:t>
            </w:r>
            <w:r>
              <w:rPr>
                <w:rStyle w:val="IndexLink"/>
                <w:rtl w:val="true"/>
              </w:rPr>
              <w:t xml:space="preserve">- </w:t>
            </w:r>
            <w:r>
              <w:rPr>
                <w:rStyle w:val="IndexLink"/>
                <w:rtl w:val="true"/>
              </w:rPr>
              <w:t>کتاب الصوم</w:t>
            </w:r>
            <w:r>
              <w:rPr>
                <w:rStyle w:val="IndexLink"/>
                <w:rtl w:val="true"/>
              </w:rPr>
              <w:tab/>
            </w:r>
            <w:r>
              <w:rPr>
                <w:rStyle w:val="IndexLink"/>
              </w:rPr>
              <w:t>251</w:t>
            </w:r>
          </w:hyperlink>
        </w:p>
        <w:p>
          <w:pPr>
            <w:pStyle w:val="Contents3"/>
            <w:tabs>
              <w:tab w:val="clear" w:pos="8459"/>
              <w:tab w:val="right" w:pos="9026" w:leader="dot"/>
            </w:tabs>
            <w:rPr/>
          </w:pPr>
          <w:hyperlink w:anchor="__RefHeading___Toc363284_581953129">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363286_581953129">
            <w:r>
              <w:rPr>
                <w:webHidden/>
                <w:rStyle w:val="IndexLink"/>
                <w:rtl w:val="true"/>
              </w:rPr>
              <w:t>الإشتراط بالعقل</w:t>
            </w:r>
            <w:r>
              <w:rPr>
                <w:rStyle w:val="IndexLink"/>
                <w:rtl w:val="true"/>
              </w:rPr>
              <w:tab/>
            </w:r>
            <w:r>
              <w:rPr>
                <w:rStyle w:val="IndexLink"/>
              </w:rPr>
              <w:t>251</w:t>
            </w:r>
          </w:hyperlink>
        </w:p>
        <w:p>
          <w:pPr>
            <w:pStyle w:val="Contents4"/>
            <w:tabs>
              <w:tab w:val="clear" w:pos="8176"/>
              <w:tab w:val="right" w:pos="9026" w:leader="dot"/>
            </w:tabs>
            <w:rPr/>
          </w:pPr>
          <w:hyperlink w:anchor="__RefHeading___Toc363288_581953129">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363290_581953129">
            <w:r>
              <w:rPr>
                <w:webHidden/>
                <w:rStyle w:val="IndexLink"/>
                <w:rtl w:val="true"/>
              </w:rPr>
              <w:t>المذهب الجعفری</w:t>
            </w:r>
            <w:r>
              <w:rPr>
                <w:rStyle w:val="IndexLink"/>
                <w:rtl w:val="true"/>
              </w:rPr>
              <w:tab/>
            </w:r>
            <w:r>
              <w:rPr>
                <w:rStyle w:val="IndexLink"/>
              </w:rPr>
              <w:t>251</w:t>
            </w:r>
          </w:hyperlink>
        </w:p>
        <w:p>
          <w:pPr>
            <w:pStyle w:val="Contents4"/>
            <w:tabs>
              <w:tab w:val="clear" w:pos="8176"/>
              <w:tab w:val="right" w:pos="9026" w:leader="dot"/>
            </w:tabs>
            <w:rPr/>
          </w:pPr>
          <w:hyperlink w:anchor="__RefHeading___Toc363292_581953129">
            <w:r>
              <w:rPr>
                <w:webHidden/>
                <w:rStyle w:val="IndexLink"/>
                <w:rtl w:val="true"/>
              </w:rPr>
              <w:t>المذهب الحنبلی</w:t>
            </w:r>
            <w:r>
              <w:rPr>
                <w:rStyle w:val="IndexLink"/>
                <w:rtl w:val="true"/>
              </w:rPr>
              <w:tab/>
            </w:r>
            <w:r>
              <w:rPr>
                <w:rStyle w:val="IndexLink"/>
              </w:rPr>
              <w:t>252</w:t>
            </w:r>
          </w:hyperlink>
        </w:p>
        <w:p>
          <w:pPr>
            <w:pStyle w:val="Contents4"/>
            <w:tabs>
              <w:tab w:val="clear" w:pos="8176"/>
              <w:tab w:val="right" w:pos="9026" w:leader="dot"/>
            </w:tabs>
            <w:rPr/>
          </w:pPr>
          <w:hyperlink w:anchor="__RefHeading___Toc363294_581953129">
            <w:r>
              <w:rPr>
                <w:webHidden/>
                <w:rStyle w:val="IndexLink"/>
                <w:rtl w:val="true"/>
              </w:rPr>
              <w:t>المذهب الحنفی</w:t>
            </w:r>
            <w:r>
              <w:rPr>
                <w:rStyle w:val="IndexLink"/>
                <w:rtl w:val="true"/>
              </w:rPr>
              <w:tab/>
            </w:r>
            <w:r>
              <w:rPr>
                <w:rStyle w:val="IndexLink"/>
              </w:rPr>
              <w:t>253</w:t>
            </w:r>
          </w:hyperlink>
        </w:p>
        <w:p>
          <w:pPr>
            <w:pStyle w:val="Contents4"/>
            <w:tabs>
              <w:tab w:val="clear" w:pos="8176"/>
              <w:tab w:val="right" w:pos="9026" w:leader="dot"/>
            </w:tabs>
            <w:rPr/>
          </w:pPr>
          <w:hyperlink w:anchor="__RefHeading___Toc363296_581953129">
            <w:r>
              <w:rPr>
                <w:webHidden/>
                <w:rStyle w:val="IndexLink"/>
                <w:rtl w:val="true"/>
              </w:rPr>
              <w:t>المذهب الشافعی</w:t>
            </w:r>
            <w:r>
              <w:rPr>
                <w:rStyle w:val="IndexLink"/>
                <w:rtl w:val="true"/>
              </w:rPr>
              <w:tab/>
            </w:r>
            <w:r>
              <w:rPr>
                <w:rStyle w:val="IndexLink"/>
              </w:rPr>
              <w:t>253</w:t>
            </w:r>
          </w:hyperlink>
        </w:p>
        <w:p>
          <w:pPr>
            <w:pStyle w:val="Contents4"/>
            <w:tabs>
              <w:tab w:val="clear" w:pos="8176"/>
              <w:tab w:val="right" w:pos="9026" w:leader="dot"/>
            </w:tabs>
            <w:rPr/>
          </w:pPr>
          <w:hyperlink w:anchor="__RefHeading___Toc363298_581953129">
            <w:r>
              <w:rPr>
                <w:webHidden/>
                <w:rStyle w:val="IndexLink"/>
                <w:rtl w:val="true"/>
              </w:rPr>
              <w:t>المذهب المالکی</w:t>
            </w:r>
            <w:r>
              <w:rPr>
                <w:rStyle w:val="IndexLink"/>
                <w:rtl w:val="true"/>
              </w:rPr>
              <w:tab/>
            </w:r>
            <w:r>
              <w:rPr>
                <w:rStyle w:val="IndexLink"/>
              </w:rPr>
              <w:t>254</w:t>
            </w:r>
          </w:hyperlink>
        </w:p>
        <w:p>
          <w:pPr>
            <w:pStyle w:val="Contents4"/>
            <w:tabs>
              <w:tab w:val="clear" w:pos="8176"/>
              <w:tab w:val="right" w:pos="9026" w:leader="dot"/>
            </w:tabs>
            <w:rPr/>
          </w:pPr>
          <w:hyperlink w:anchor="__RefHeading___Toc363300_581953129">
            <w:r>
              <w:rPr>
                <w:webHidden/>
                <w:rStyle w:val="IndexLink"/>
                <w:rtl w:val="true"/>
              </w:rPr>
              <w:t>منشأ الاختلاف</w:t>
            </w:r>
            <w:r>
              <w:rPr>
                <w:rStyle w:val="IndexLink"/>
                <w:rtl w:val="true"/>
              </w:rPr>
              <w:tab/>
            </w:r>
            <w:r>
              <w:rPr>
                <w:rStyle w:val="IndexLink"/>
              </w:rPr>
              <w:t>255</w:t>
            </w:r>
          </w:hyperlink>
        </w:p>
        <w:p>
          <w:pPr>
            <w:pStyle w:val="Contents3"/>
            <w:tabs>
              <w:tab w:val="clear" w:pos="8459"/>
              <w:tab w:val="right" w:pos="9026" w:leader="dot"/>
            </w:tabs>
            <w:rPr/>
          </w:pPr>
          <w:hyperlink w:anchor="__RefHeading___Toc363302_581953129">
            <w:r>
              <w:rPr>
                <w:webHidden/>
                <w:rStyle w:val="IndexLink"/>
                <w:rtl w:val="true"/>
              </w:rPr>
              <w:t>سلامة البدن من المرض</w:t>
            </w:r>
            <w:r>
              <w:rPr>
                <w:rStyle w:val="IndexLink"/>
                <w:rtl w:val="true"/>
              </w:rPr>
              <w:tab/>
            </w:r>
            <w:r>
              <w:rPr>
                <w:rStyle w:val="IndexLink"/>
              </w:rPr>
              <w:t>256</w:t>
            </w:r>
          </w:hyperlink>
        </w:p>
        <w:p>
          <w:pPr>
            <w:pStyle w:val="Contents4"/>
            <w:tabs>
              <w:tab w:val="clear" w:pos="8176"/>
              <w:tab w:val="right" w:pos="9026" w:leader="dot"/>
            </w:tabs>
            <w:rPr/>
          </w:pPr>
          <w:hyperlink w:anchor="__RefHeading___Toc363304_58195312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363306_581953129">
            <w:r>
              <w:rPr>
                <w:webHidden/>
                <w:rStyle w:val="IndexLink"/>
                <w:rtl w:val="true"/>
              </w:rPr>
              <w:t>المذهب الجعفری</w:t>
            </w:r>
            <w:r>
              <w:rPr>
                <w:rStyle w:val="IndexLink"/>
                <w:rtl w:val="true"/>
              </w:rPr>
              <w:tab/>
            </w:r>
            <w:r>
              <w:rPr>
                <w:rStyle w:val="IndexLink"/>
              </w:rPr>
              <w:t>256</w:t>
            </w:r>
          </w:hyperlink>
        </w:p>
        <w:p>
          <w:pPr>
            <w:pStyle w:val="Contents4"/>
            <w:tabs>
              <w:tab w:val="clear" w:pos="8176"/>
              <w:tab w:val="right" w:pos="9026" w:leader="dot"/>
            </w:tabs>
            <w:rPr/>
          </w:pPr>
          <w:hyperlink w:anchor="__RefHeading___Toc363308_581953129">
            <w:r>
              <w:rPr>
                <w:webHidden/>
                <w:rStyle w:val="IndexLink"/>
                <w:rtl w:val="true"/>
              </w:rPr>
              <w:t>المذاهب الاربعة</w:t>
            </w:r>
            <w:r>
              <w:rPr>
                <w:rStyle w:val="IndexLink"/>
                <w:rtl w:val="true"/>
              </w:rPr>
              <w:tab/>
            </w:r>
            <w:r>
              <w:rPr>
                <w:rStyle w:val="IndexLink"/>
              </w:rPr>
              <w:t>258</w:t>
            </w:r>
          </w:hyperlink>
        </w:p>
        <w:p>
          <w:pPr>
            <w:pStyle w:val="Contents4"/>
            <w:tabs>
              <w:tab w:val="clear" w:pos="8176"/>
              <w:tab w:val="right" w:pos="9026" w:leader="dot"/>
            </w:tabs>
            <w:rPr/>
          </w:pPr>
          <w:hyperlink w:anchor="__RefHeading___Toc363310_581953129">
            <w:r>
              <w:rPr>
                <w:webHidden/>
                <w:rStyle w:val="IndexLink"/>
                <w:rtl w:val="true"/>
              </w:rPr>
              <w:t>منشأ الاختلاف</w:t>
            </w:r>
            <w:r>
              <w:rPr>
                <w:rStyle w:val="IndexLink"/>
                <w:rtl w:val="true"/>
              </w:rPr>
              <w:tab/>
            </w:r>
            <w:r>
              <w:rPr>
                <w:rStyle w:val="IndexLink"/>
              </w:rPr>
              <w:t>258</w:t>
            </w:r>
          </w:hyperlink>
        </w:p>
        <w:p>
          <w:pPr>
            <w:pStyle w:val="Contents3"/>
            <w:tabs>
              <w:tab w:val="clear" w:pos="8459"/>
              <w:tab w:val="right" w:pos="9026" w:leader="dot"/>
            </w:tabs>
            <w:rPr/>
          </w:pPr>
          <w:hyperlink w:anchor="__RefHeading___Toc363312_581953129">
            <w:r>
              <w:rPr>
                <w:webHidden/>
                <w:rStyle w:val="IndexLink"/>
                <w:rtl w:val="true"/>
              </w:rPr>
              <w:t>السفر الّذی یوجب الإفطار</w:t>
            </w:r>
            <w:r>
              <w:rPr>
                <w:rStyle w:val="IndexLink"/>
                <w:rtl w:val="true"/>
              </w:rPr>
              <w:tab/>
            </w:r>
            <w:r>
              <w:rPr>
                <w:rStyle w:val="IndexLink"/>
              </w:rPr>
              <w:t>259</w:t>
            </w:r>
          </w:hyperlink>
        </w:p>
        <w:p>
          <w:pPr>
            <w:pStyle w:val="Contents4"/>
            <w:tabs>
              <w:tab w:val="clear" w:pos="8176"/>
              <w:tab w:val="right" w:pos="9026" w:leader="dot"/>
            </w:tabs>
            <w:rPr/>
          </w:pPr>
          <w:hyperlink w:anchor="__RefHeading___Toc363314_581953129">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363316_581953129">
            <w:r>
              <w:rPr>
                <w:webHidden/>
                <w:rStyle w:val="IndexLink"/>
                <w:rtl w:val="true"/>
              </w:rPr>
              <w:t>المذهب الجعفری</w:t>
            </w:r>
            <w:r>
              <w:rPr>
                <w:rStyle w:val="IndexLink"/>
                <w:rtl w:val="true"/>
              </w:rPr>
              <w:tab/>
            </w:r>
            <w:r>
              <w:rPr>
                <w:rStyle w:val="IndexLink"/>
              </w:rPr>
              <w:t>259</w:t>
            </w:r>
          </w:hyperlink>
        </w:p>
        <w:p>
          <w:pPr>
            <w:pStyle w:val="Contents4"/>
            <w:tabs>
              <w:tab w:val="clear" w:pos="8176"/>
              <w:tab w:val="right" w:pos="9026" w:leader="dot"/>
            </w:tabs>
            <w:rPr/>
          </w:pPr>
          <w:hyperlink w:anchor="__RefHeading___Toc363318_581953129">
            <w:r>
              <w:rPr>
                <w:webHidden/>
                <w:rStyle w:val="IndexLink"/>
                <w:rtl w:val="true"/>
              </w:rPr>
              <w:t>المذاهب الاربعة</w:t>
            </w:r>
            <w:r>
              <w:rPr>
                <w:rStyle w:val="IndexLink"/>
                <w:rtl w:val="true"/>
              </w:rPr>
              <w:tab/>
            </w:r>
            <w:r>
              <w:rPr>
                <w:rStyle w:val="IndexLink"/>
              </w:rPr>
              <w:t>260</w:t>
            </w:r>
          </w:hyperlink>
        </w:p>
        <w:p>
          <w:pPr>
            <w:pStyle w:val="Contents3"/>
            <w:tabs>
              <w:tab w:val="clear" w:pos="8459"/>
              <w:tab w:val="right" w:pos="9026" w:leader="dot"/>
            </w:tabs>
            <w:rPr/>
          </w:pPr>
          <w:hyperlink w:anchor="__RefHeading___Toc363320_581953129">
            <w:r>
              <w:rPr>
                <w:webHidden/>
                <w:rStyle w:val="IndexLink"/>
                <w:rtl w:val="true"/>
              </w:rPr>
              <w:t>شرط السفر</w:t>
            </w:r>
            <w:r>
              <w:rPr>
                <w:rStyle w:val="IndexLink"/>
                <w:rtl w:val="true"/>
              </w:rPr>
              <w:tab/>
            </w:r>
            <w:r>
              <w:rPr>
                <w:rStyle w:val="IndexLink"/>
              </w:rPr>
              <w:t>260</w:t>
            </w:r>
          </w:hyperlink>
        </w:p>
        <w:p>
          <w:pPr>
            <w:pStyle w:val="Contents3"/>
            <w:tabs>
              <w:tab w:val="clear" w:pos="8459"/>
              <w:tab w:val="right" w:pos="9026" w:leader="dot"/>
            </w:tabs>
            <w:rPr/>
          </w:pPr>
          <w:hyperlink w:anchor="__RefHeading___Toc363322_581953129">
            <w:r>
              <w:rPr>
                <w:webHidden/>
                <w:rStyle w:val="IndexLink"/>
                <w:rtl w:val="true"/>
              </w:rPr>
              <w:t>استمرار السفر</w:t>
            </w:r>
            <w:r>
              <w:rPr>
                <w:rStyle w:val="IndexLink"/>
                <w:rtl w:val="true"/>
              </w:rPr>
              <w:tab/>
            </w:r>
            <w:r>
              <w:rPr>
                <w:rStyle w:val="IndexLink"/>
              </w:rPr>
              <w:t>261</w:t>
            </w:r>
          </w:hyperlink>
        </w:p>
        <w:p>
          <w:pPr>
            <w:pStyle w:val="Contents3"/>
            <w:tabs>
              <w:tab w:val="clear" w:pos="8459"/>
              <w:tab w:val="right" w:pos="9026" w:leader="dot"/>
            </w:tabs>
            <w:rPr/>
          </w:pPr>
          <w:hyperlink w:anchor="__RefHeading___Toc363324_581953129">
            <w:r>
              <w:rPr>
                <w:webHidden/>
                <w:rStyle w:val="IndexLink"/>
                <w:rtl w:val="true"/>
              </w:rPr>
              <w:t>الخلاصة</w:t>
            </w:r>
            <w:r>
              <w:rPr>
                <w:rStyle w:val="IndexLink"/>
                <w:rtl w:val="true"/>
              </w:rPr>
              <w:tab/>
            </w:r>
            <w:r>
              <w:rPr>
                <w:rStyle w:val="IndexLink"/>
              </w:rPr>
              <w:t>262</w:t>
            </w:r>
          </w:hyperlink>
        </w:p>
        <w:p>
          <w:pPr>
            <w:pStyle w:val="Contents3"/>
            <w:tabs>
              <w:tab w:val="clear" w:pos="8459"/>
              <w:tab w:val="right" w:pos="9026" w:leader="dot"/>
            </w:tabs>
            <w:rPr/>
          </w:pPr>
          <w:hyperlink w:anchor="__RefHeading___Toc363326_581953129">
            <w:r>
              <w:rPr>
                <w:webHidden/>
                <w:rStyle w:val="IndexLink"/>
                <w:rtl w:val="true"/>
              </w:rPr>
              <w:t>الأسئلة</w:t>
            </w:r>
            <w:r>
              <w:rPr>
                <w:rStyle w:val="IndexLink"/>
                <w:rtl w:val="true"/>
              </w:rPr>
              <w:tab/>
            </w:r>
            <w:r>
              <w:rPr>
                <w:rStyle w:val="IndexLink"/>
              </w:rPr>
              <w:t>263</w:t>
            </w:r>
          </w:hyperlink>
        </w:p>
        <w:p>
          <w:pPr>
            <w:pStyle w:val="Contents2"/>
            <w:tabs>
              <w:tab w:val="clear" w:pos="8743"/>
              <w:tab w:val="right" w:pos="9026" w:leader="dot"/>
            </w:tabs>
            <w:rPr/>
          </w:pPr>
          <w:hyperlink w:anchor="__RefHeading___Toc363328_581953129">
            <w:r>
              <w:rPr>
                <w:webHidden/>
                <w:rStyle w:val="IndexLink"/>
              </w:rPr>
              <w:t>19</w:t>
            </w:r>
            <w:r>
              <w:rPr>
                <w:rStyle w:val="IndexLink"/>
                <w:rtl w:val="true"/>
              </w:rPr>
              <w:t xml:space="preserve">- </w:t>
            </w:r>
            <w:r>
              <w:rPr>
                <w:rStyle w:val="IndexLink"/>
                <w:rtl w:val="true"/>
              </w:rPr>
              <w:t>المفطرات</w:t>
            </w:r>
            <w:r>
              <w:rPr>
                <w:rStyle w:val="IndexLink"/>
                <w:rtl w:val="true"/>
              </w:rPr>
              <w:tab/>
            </w:r>
            <w:r>
              <w:rPr>
                <w:rStyle w:val="IndexLink"/>
              </w:rPr>
              <w:t>264</w:t>
            </w:r>
          </w:hyperlink>
        </w:p>
        <w:p>
          <w:pPr>
            <w:pStyle w:val="Contents3"/>
            <w:tabs>
              <w:tab w:val="clear" w:pos="8459"/>
              <w:tab w:val="right" w:pos="9026" w:leader="dot"/>
            </w:tabs>
            <w:rPr/>
          </w:pPr>
          <w:hyperlink w:anchor="__RefHeading___Toc363330_581953129">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363332_581953129">
            <w:r>
              <w:rPr>
                <w:webHidden/>
                <w:rStyle w:val="IndexLink"/>
                <w:rtl w:val="true"/>
              </w:rPr>
              <w:t>الإفطار عن سهو</w:t>
            </w:r>
            <w:r>
              <w:rPr>
                <w:rStyle w:val="IndexLink"/>
                <w:rtl w:val="true"/>
              </w:rPr>
              <w:tab/>
            </w:r>
            <w:r>
              <w:rPr>
                <w:rStyle w:val="IndexLink"/>
              </w:rPr>
              <w:t>264</w:t>
            </w:r>
          </w:hyperlink>
        </w:p>
        <w:p>
          <w:pPr>
            <w:pStyle w:val="Contents3"/>
            <w:tabs>
              <w:tab w:val="clear" w:pos="8459"/>
              <w:tab w:val="right" w:pos="9026" w:leader="dot"/>
            </w:tabs>
            <w:rPr/>
          </w:pPr>
          <w:hyperlink w:anchor="__RefHeading___Toc363334_581953129">
            <w:r>
              <w:rPr>
                <w:webHidden/>
                <w:rStyle w:val="IndexLink"/>
                <w:rtl w:val="true"/>
              </w:rPr>
              <w:t>تعمّد القیء</w:t>
            </w:r>
            <w:r>
              <w:rPr>
                <w:rStyle w:val="IndexLink"/>
                <w:rtl w:val="true"/>
              </w:rPr>
              <w:tab/>
            </w:r>
            <w:r>
              <w:rPr>
                <w:rStyle w:val="IndexLink"/>
              </w:rPr>
              <w:t>264</w:t>
            </w:r>
          </w:hyperlink>
        </w:p>
        <w:p>
          <w:pPr>
            <w:pStyle w:val="Contents3"/>
            <w:tabs>
              <w:tab w:val="clear" w:pos="8459"/>
              <w:tab w:val="right" w:pos="9026" w:leader="dot"/>
            </w:tabs>
            <w:rPr/>
          </w:pPr>
          <w:hyperlink w:anchor="__RefHeading___Toc363336_581953129">
            <w:r>
              <w:rPr>
                <w:webHidden/>
                <w:rStyle w:val="IndexLink"/>
                <w:rtl w:val="true"/>
              </w:rPr>
              <w:t>الغبار الغلیظ</w:t>
            </w:r>
            <w:r>
              <w:rPr>
                <w:rStyle w:val="IndexLink"/>
                <w:rtl w:val="true"/>
              </w:rPr>
              <w:tab/>
            </w:r>
            <w:r>
              <w:rPr>
                <w:rStyle w:val="IndexLink"/>
              </w:rPr>
              <w:t>265</w:t>
            </w:r>
          </w:hyperlink>
        </w:p>
        <w:p>
          <w:pPr>
            <w:pStyle w:val="Contents3"/>
            <w:tabs>
              <w:tab w:val="clear" w:pos="8459"/>
              <w:tab w:val="right" w:pos="9026" w:leader="dot"/>
            </w:tabs>
            <w:rPr/>
          </w:pPr>
          <w:hyperlink w:anchor="__RefHeading___Toc363338_581953129">
            <w:r>
              <w:rPr>
                <w:webHidden/>
                <w:rStyle w:val="IndexLink"/>
                <w:rtl w:val="true"/>
              </w:rPr>
              <w:t>الاکتحال</w:t>
            </w:r>
            <w:r>
              <w:rPr>
                <w:rStyle w:val="IndexLink"/>
                <w:rtl w:val="true"/>
              </w:rPr>
              <w:tab/>
            </w:r>
            <w:r>
              <w:rPr>
                <w:rStyle w:val="IndexLink"/>
              </w:rPr>
              <w:t>265</w:t>
            </w:r>
          </w:hyperlink>
        </w:p>
        <w:p>
          <w:pPr>
            <w:pStyle w:val="Contents3"/>
            <w:tabs>
              <w:tab w:val="clear" w:pos="8459"/>
              <w:tab w:val="right" w:pos="9026" w:leader="dot"/>
            </w:tabs>
            <w:rPr/>
          </w:pPr>
          <w:hyperlink w:anchor="__RefHeading___Toc363340_581953129">
            <w:r>
              <w:rPr>
                <w:webHidden/>
                <w:rStyle w:val="IndexLink"/>
                <w:rtl w:val="true"/>
              </w:rPr>
              <w:t>الحجامة</w:t>
            </w:r>
            <w:r>
              <w:rPr>
                <w:rStyle w:val="IndexLink"/>
                <w:rtl w:val="true"/>
              </w:rPr>
              <w:tab/>
            </w:r>
            <w:r>
              <w:rPr>
                <w:rStyle w:val="IndexLink"/>
              </w:rPr>
              <w:t>266</w:t>
            </w:r>
          </w:hyperlink>
        </w:p>
        <w:p>
          <w:pPr>
            <w:pStyle w:val="Contents3"/>
            <w:tabs>
              <w:tab w:val="clear" w:pos="8459"/>
              <w:tab w:val="right" w:pos="9026" w:leader="dot"/>
            </w:tabs>
            <w:rPr/>
          </w:pPr>
          <w:hyperlink w:anchor="__RefHeading___Toc363342_581953129">
            <w:r>
              <w:rPr>
                <w:webHidden/>
                <w:rStyle w:val="IndexLink"/>
                <w:rtl w:val="true"/>
              </w:rPr>
              <w:t>قطع نیة الصوم</w:t>
            </w:r>
            <w:r>
              <w:rPr>
                <w:rStyle w:val="IndexLink"/>
                <w:rtl w:val="true"/>
              </w:rPr>
              <w:tab/>
            </w:r>
            <w:r>
              <w:rPr>
                <w:rStyle w:val="IndexLink"/>
              </w:rPr>
              <w:t>266</w:t>
            </w:r>
          </w:hyperlink>
        </w:p>
        <w:p>
          <w:pPr>
            <w:pStyle w:val="Contents3"/>
            <w:tabs>
              <w:tab w:val="clear" w:pos="8459"/>
              <w:tab w:val="right" w:pos="9026" w:leader="dot"/>
            </w:tabs>
            <w:rPr/>
          </w:pPr>
          <w:hyperlink w:anchor="__RefHeading___Toc363344_581953129">
            <w:r>
              <w:rPr>
                <w:webHidden/>
                <w:rStyle w:val="IndexLink"/>
                <w:rtl w:val="true"/>
              </w:rPr>
              <w:t>الارتماس بالماء</w:t>
            </w:r>
            <w:r>
              <w:rPr>
                <w:rStyle w:val="IndexLink"/>
                <w:rtl w:val="true"/>
              </w:rPr>
              <w:tab/>
            </w:r>
            <w:r>
              <w:rPr>
                <w:rStyle w:val="IndexLink"/>
              </w:rPr>
              <w:t>267</w:t>
            </w:r>
          </w:hyperlink>
        </w:p>
        <w:p>
          <w:pPr>
            <w:pStyle w:val="Contents3"/>
            <w:tabs>
              <w:tab w:val="clear" w:pos="8459"/>
              <w:tab w:val="right" w:pos="9026" w:leader="dot"/>
            </w:tabs>
            <w:rPr/>
          </w:pPr>
          <w:hyperlink w:anchor="__RefHeading___Toc363346_581953129">
            <w:r>
              <w:rPr>
                <w:webHidden/>
                <w:rStyle w:val="IndexLink"/>
                <w:rtl w:val="true"/>
              </w:rPr>
              <w:t>البقاء علی الجنابة</w:t>
            </w:r>
            <w:r>
              <w:rPr>
                <w:rStyle w:val="IndexLink"/>
                <w:rtl w:val="true"/>
              </w:rPr>
              <w:tab/>
            </w:r>
            <w:r>
              <w:rPr>
                <w:rStyle w:val="IndexLink"/>
              </w:rPr>
              <w:t>267</w:t>
            </w:r>
          </w:hyperlink>
        </w:p>
        <w:p>
          <w:pPr>
            <w:pStyle w:val="Contents3"/>
            <w:tabs>
              <w:tab w:val="clear" w:pos="8459"/>
              <w:tab w:val="right" w:pos="9026" w:leader="dot"/>
            </w:tabs>
            <w:rPr/>
          </w:pPr>
          <w:hyperlink w:anchor="__RefHeading___Toc363348_581953129">
            <w:r>
              <w:rPr>
                <w:webHidden/>
                <w:rStyle w:val="IndexLink"/>
                <w:rtl w:val="true"/>
              </w:rPr>
              <w:t>تعمد الکذب علی الله</w:t>
            </w:r>
            <w:r>
              <w:rPr>
                <w:rStyle w:val="IndexLink"/>
                <w:rtl w:val="true"/>
              </w:rPr>
              <w:tab/>
            </w:r>
            <w:r>
              <w:rPr>
                <w:rStyle w:val="IndexLink"/>
              </w:rPr>
              <w:t>268</w:t>
            </w:r>
          </w:hyperlink>
        </w:p>
        <w:p>
          <w:pPr>
            <w:pStyle w:val="Contents3"/>
            <w:tabs>
              <w:tab w:val="clear" w:pos="8459"/>
              <w:tab w:val="right" w:pos="9026" w:leader="dot"/>
            </w:tabs>
            <w:rPr/>
          </w:pPr>
          <w:hyperlink w:anchor="__RefHeading___Toc363350_581953129">
            <w:r>
              <w:rPr>
                <w:webHidden/>
                <w:rStyle w:val="IndexLink"/>
                <w:rtl w:val="true"/>
              </w:rPr>
              <w:t>الکفارة</w:t>
            </w:r>
            <w:r>
              <w:rPr>
                <w:rStyle w:val="IndexLink"/>
                <w:rtl w:val="true"/>
              </w:rPr>
              <w:tab/>
            </w:r>
            <w:r>
              <w:rPr>
                <w:rStyle w:val="IndexLink"/>
              </w:rPr>
              <w:t>268</w:t>
            </w:r>
          </w:hyperlink>
        </w:p>
        <w:p>
          <w:pPr>
            <w:pStyle w:val="Contents3"/>
            <w:tabs>
              <w:tab w:val="clear" w:pos="8459"/>
              <w:tab w:val="right" w:pos="9026" w:leader="dot"/>
            </w:tabs>
            <w:rPr/>
          </w:pPr>
          <w:hyperlink w:anchor="__RefHeading___Toc363352_581953129">
            <w:r>
              <w:rPr>
                <w:webHidden/>
                <w:rStyle w:val="IndexLink"/>
                <w:rtl w:val="true"/>
              </w:rPr>
              <w:t>موجبات الکفّارة</w:t>
            </w:r>
            <w:r>
              <w:rPr>
                <w:rStyle w:val="IndexLink"/>
                <w:rtl w:val="true"/>
              </w:rPr>
              <w:tab/>
            </w:r>
            <w:r>
              <w:rPr>
                <w:rStyle w:val="IndexLink"/>
              </w:rPr>
              <w:t>269</w:t>
            </w:r>
          </w:hyperlink>
        </w:p>
        <w:p>
          <w:pPr>
            <w:pStyle w:val="Contents4"/>
            <w:tabs>
              <w:tab w:val="clear" w:pos="8176"/>
              <w:tab w:val="right" w:pos="9026" w:leader="dot"/>
            </w:tabs>
            <w:rPr/>
          </w:pPr>
          <w:hyperlink w:anchor="__RefHeading___Toc363354_581953129">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363356_581953129">
            <w:r>
              <w:rPr>
                <w:webHidden/>
                <w:rStyle w:val="IndexLink"/>
                <w:rtl w:val="true"/>
              </w:rPr>
              <w:t>المذهب الجعفری</w:t>
            </w:r>
            <w:r>
              <w:rPr>
                <w:rStyle w:val="IndexLink"/>
                <w:rtl w:val="true"/>
              </w:rPr>
              <w:tab/>
            </w:r>
            <w:r>
              <w:rPr>
                <w:rStyle w:val="IndexLink"/>
              </w:rPr>
              <w:t>269</w:t>
            </w:r>
          </w:hyperlink>
        </w:p>
        <w:p>
          <w:pPr>
            <w:pStyle w:val="Contents4"/>
            <w:tabs>
              <w:tab w:val="clear" w:pos="8176"/>
              <w:tab w:val="right" w:pos="9026" w:leader="dot"/>
            </w:tabs>
            <w:rPr/>
          </w:pPr>
          <w:hyperlink w:anchor="__RefHeading___Toc363358_581953129">
            <w:r>
              <w:rPr>
                <w:webHidden/>
                <w:rStyle w:val="IndexLink"/>
                <w:rtl w:val="true"/>
              </w:rPr>
              <w:t>المذهب الحنفی و الشافعی</w:t>
            </w:r>
            <w:r>
              <w:rPr>
                <w:rStyle w:val="IndexLink"/>
                <w:rtl w:val="true"/>
              </w:rPr>
              <w:tab/>
            </w:r>
            <w:r>
              <w:rPr>
                <w:rStyle w:val="IndexLink"/>
              </w:rPr>
              <w:t>270</w:t>
            </w:r>
          </w:hyperlink>
        </w:p>
        <w:p>
          <w:pPr>
            <w:pStyle w:val="Contents4"/>
            <w:tabs>
              <w:tab w:val="clear" w:pos="8176"/>
              <w:tab w:val="right" w:pos="9026" w:leader="dot"/>
            </w:tabs>
            <w:rPr/>
          </w:pPr>
          <w:hyperlink w:anchor="__RefHeading___Toc363360_581953129">
            <w:r>
              <w:rPr>
                <w:webHidden/>
                <w:rStyle w:val="IndexLink"/>
                <w:rtl w:val="true"/>
              </w:rPr>
              <w:t>المذهب الحنفی</w:t>
            </w:r>
            <w:r>
              <w:rPr>
                <w:rStyle w:val="IndexLink"/>
                <w:rtl w:val="true"/>
              </w:rPr>
              <w:tab/>
            </w:r>
            <w:r>
              <w:rPr>
                <w:rStyle w:val="IndexLink"/>
              </w:rPr>
              <w:t>270</w:t>
            </w:r>
          </w:hyperlink>
        </w:p>
        <w:p>
          <w:pPr>
            <w:pStyle w:val="Contents4"/>
            <w:tabs>
              <w:tab w:val="clear" w:pos="8176"/>
              <w:tab w:val="right" w:pos="9026" w:leader="dot"/>
            </w:tabs>
            <w:rPr/>
          </w:pPr>
          <w:hyperlink w:anchor="__RefHeading___Toc363362_581953129">
            <w:r>
              <w:rPr>
                <w:webHidden/>
                <w:rStyle w:val="IndexLink"/>
                <w:rtl w:val="true"/>
              </w:rPr>
              <w:t>المذاهب الأخری</w:t>
            </w:r>
            <w:r>
              <w:rPr>
                <w:rStyle w:val="IndexLink"/>
                <w:rtl w:val="true"/>
              </w:rPr>
              <w:tab/>
            </w:r>
            <w:r>
              <w:rPr>
                <w:rStyle w:val="IndexLink"/>
              </w:rPr>
              <w:t>270</w:t>
            </w:r>
          </w:hyperlink>
        </w:p>
        <w:p>
          <w:pPr>
            <w:pStyle w:val="Contents3"/>
            <w:tabs>
              <w:tab w:val="clear" w:pos="8459"/>
              <w:tab w:val="right" w:pos="9026" w:leader="dot"/>
            </w:tabs>
            <w:rPr/>
          </w:pPr>
          <w:hyperlink w:anchor="__RefHeading___Toc363364_581953129">
            <w:r>
              <w:rPr>
                <w:webHidden/>
                <w:rStyle w:val="IndexLink"/>
                <w:rtl w:val="true"/>
              </w:rPr>
              <w:t>العجز عن القضاء</w:t>
            </w:r>
            <w:r>
              <w:rPr>
                <w:rStyle w:val="IndexLink"/>
                <w:rtl w:val="true"/>
              </w:rPr>
              <w:tab/>
            </w:r>
            <w:r>
              <w:rPr>
                <w:rStyle w:val="IndexLink"/>
              </w:rPr>
              <w:t>270</w:t>
            </w:r>
          </w:hyperlink>
        </w:p>
        <w:p>
          <w:pPr>
            <w:pStyle w:val="Contents3"/>
            <w:tabs>
              <w:tab w:val="clear" w:pos="8459"/>
              <w:tab w:val="right" w:pos="9026" w:leader="dot"/>
            </w:tabs>
            <w:rPr/>
          </w:pPr>
          <w:hyperlink w:anchor="__RefHeading___Toc363366_581953129">
            <w:r>
              <w:rPr>
                <w:webHidden/>
                <w:rStyle w:val="IndexLink"/>
                <w:rtl w:val="true"/>
              </w:rPr>
              <w:t>إفطار قضاء رمضان</w:t>
            </w:r>
            <w:r>
              <w:rPr>
                <w:rStyle w:val="IndexLink"/>
                <w:rtl w:val="true"/>
              </w:rPr>
              <w:tab/>
            </w:r>
            <w:r>
              <w:rPr>
                <w:rStyle w:val="IndexLink"/>
              </w:rPr>
              <w:t>271</w:t>
            </w:r>
          </w:hyperlink>
        </w:p>
        <w:p>
          <w:pPr>
            <w:pStyle w:val="Contents3"/>
            <w:tabs>
              <w:tab w:val="clear" w:pos="8459"/>
              <w:tab w:val="right" w:pos="9026" w:leader="dot"/>
            </w:tabs>
            <w:rPr/>
          </w:pPr>
          <w:hyperlink w:anchor="__RefHeading___Toc363368_581953129">
            <w:r>
              <w:rPr>
                <w:webHidden/>
                <w:rStyle w:val="IndexLink"/>
                <w:rtl w:val="true"/>
              </w:rPr>
              <w:t>التارک لقضاء رمضان</w:t>
            </w:r>
            <w:r>
              <w:rPr>
                <w:rStyle w:val="IndexLink"/>
                <w:rtl w:val="true"/>
              </w:rPr>
              <w:tab/>
            </w:r>
            <w:r>
              <w:rPr>
                <w:rStyle w:val="IndexLink"/>
              </w:rPr>
              <w:t>271</w:t>
            </w:r>
          </w:hyperlink>
        </w:p>
        <w:p>
          <w:pPr>
            <w:pStyle w:val="Contents4"/>
            <w:tabs>
              <w:tab w:val="clear" w:pos="8176"/>
              <w:tab w:val="right" w:pos="9026" w:leader="dot"/>
            </w:tabs>
            <w:rPr/>
          </w:pPr>
          <w:hyperlink w:anchor="__RefHeading___Toc363370_581953129">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363372_581953129">
            <w:r>
              <w:rPr>
                <w:webHidden/>
                <w:rStyle w:val="IndexLink"/>
                <w:rtl w:val="true"/>
              </w:rPr>
              <w:t>المذاهب الاربعة</w:t>
            </w:r>
            <w:r>
              <w:rPr>
                <w:rStyle w:val="IndexLink"/>
                <w:rtl w:val="true"/>
              </w:rPr>
              <w:tab/>
            </w:r>
            <w:r>
              <w:rPr>
                <w:rStyle w:val="IndexLink"/>
              </w:rPr>
              <w:t>272</w:t>
            </w:r>
          </w:hyperlink>
        </w:p>
        <w:p>
          <w:pPr>
            <w:pStyle w:val="Contents3"/>
            <w:tabs>
              <w:tab w:val="clear" w:pos="8459"/>
              <w:tab w:val="right" w:pos="9026" w:leader="dot"/>
            </w:tabs>
            <w:rPr/>
          </w:pPr>
          <w:hyperlink w:anchor="__RefHeading___Toc363374_581953129">
            <w:r>
              <w:rPr>
                <w:webHidden/>
                <w:rStyle w:val="IndexLink"/>
                <w:rtl w:val="true"/>
              </w:rPr>
              <w:t>تعدّد الکفّارة بتعدّد الجماع</w:t>
            </w:r>
            <w:r>
              <w:rPr>
                <w:rStyle w:val="IndexLink"/>
                <w:rtl w:val="true"/>
              </w:rPr>
              <w:tab/>
            </w:r>
            <w:r>
              <w:rPr>
                <w:rStyle w:val="IndexLink"/>
              </w:rPr>
              <w:t>272</w:t>
            </w:r>
          </w:hyperlink>
        </w:p>
        <w:p>
          <w:pPr>
            <w:pStyle w:val="Contents4"/>
            <w:tabs>
              <w:tab w:val="clear" w:pos="8176"/>
              <w:tab w:val="right" w:pos="9026" w:leader="dot"/>
            </w:tabs>
            <w:rPr/>
          </w:pPr>
          <w:hyperlink w:anchor="__RefHeading___Toc363376_581953129">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363378_581953129">
            <w:r>
              <w:rPr>
                <w:webHidden/>
                <w:rStyle w:val="IndexLink"/>
                <w:rtl w:val="true"/>
              </w:rPr>
              <w:t>المذهب الجعفری</w:t>
            </w:r>
            <w:r>
              <w:rPr>
                <w:rStyle w:val="IndexLink"/>
                <w:rtl w:val="true"/>
              </w:rPr>
              <w:tab/>
            </w:r>
            <w:r>
              <w:rPr>
                <w:rStyle w:val="IndexLink"/>
              </w:rPr>
              <w:t>272</w:t>
            </w:r>
          </w:hyperlink>
        </w:p>
        <w:p>
          <w:pPr>
            <w:pStyle w:val="Contents3"/>
            <w:tabs>
              <w:tab w:val="clear" w:pos="8459"/>
              <w:tab w:val="right" w:pos="9026" w:leader="dot"/>
            </w:tabs>
            <w:rPr/>
          </w:pPr>
          <w:hyperlink w:anchor="__RefHeading___Toc363380_581953129">
            <w:r>
              <w:rPr>
                <w:webHidden/>
                <w:rStyle w:val="IndexLink"/>
                <w:rtl w:val="true"/>
              </w:rPr>
              <w:t>العجز عن الکفّارة</w:t>
            </w:r>
            <w:r>
              <w:rPr>
                <w:rStyle w:val="IndexLink"/>
                <w:rtl w:val="true"/>
              </w:rPr>
              <w:tab/>
            </w:r>
            <w:r>
              <w:rPr>
                <w:rStyle w:val="IndexLink"/>
              </w:rPr>
              <w:t>273</w:t>
            </w:r>
          </w:hyperlink>
        </w:p>
        <w:p>
          <w:pPr>
            <w:pStyle w:val="Contents3"/>
            <w:tabs>
              <w:tab w:val="clear" w:pos="8459"/>
              <w:tab w:val="right" w:pos="9026" w:leader="dot"/>
            </w:tabs>
            <w:rPr/>
          </w:pPr>
          <w:hyperlink w:anchor="__RefHeading___Toc363382_581953129">
            <w:r>
              <w:rPr>
                <w:webHidden/>
                <w:rStyle w:val="IndexLink"/>
                <w:rtl w:val="true"/>
              </w:rPr>
              <w:t>تتابع الشهرین</w:t>
            </w:r>
            <w:r>
              <w:rPr>
                <w:rStyle w:val="IndexLink"/>
                <w:rtl w:val="true"/>
              </w:rPr>
              <w:tab/>
            </w:r>
            <w:r>
              <w:rPr>
                <w:rStyle w:val="IndexLink"/>
              </w:rPr>
              <w:t>273</w:t>
            </w:r>
          </w:hyperlink>
        </w:p>
        <w:p>
          <w:pPr>
            <w:pStyle w:val="Contents4"/>
            <w:tabs>
              <w:tab w:val="clear" w:pos="8176"/>
              <w:tab w:val="right" w:pos="9026" w:leader="dot"/>
            </w:tabs>
            <w:rPr/>
          </w:pPr>
          <w:hyperlink w:anchor="__RefHeading___Toc363384_581953129">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363386_581953129">
            <w:r>
              <w:rPr>
                <w:webHidden/>
                <w:rStyle w:val="IndexLink"/>
                <w:rtl w:val="true"/>
              </w:rPr>
              <w:t>منشأ الاختلاف</w:t>
            </w:r>
            <w:r>
              <w:rPr>
                <w:rStyle w:val="IndexLink"/>
                <w:rtl w:val="true"/>
              </w:rPr>
              <w:tab/>
            </w:r>
            <w:r>
              <w:rPr>
                <w:rStyle w:val="IndexLink"/>
              </w:rPr>
              <w:t>274</w:t>
            </w:r>
          </w:hyperlink>
        </w:p>
        <w:p>
          <w:pPr>
            <w:pStyle w:val="Contents3"/>
            <w:tabs>
              <w:tab w:val="clear" w:pos="8459"/>
              <w:tab w:val="right" w:pos="9026" w:leader="dot"/>
            </w:tabs>
            <w:rPr/>
          </w:pPr>
          <w:hyperlink w:anchor="__RefHeading___Toc363388_581953129">
            <w:r>
              <w:rPr>
                <w:webHidden/>
                <w:rStyle w:val="IndexLink"/>
                <w:rtl w:val="true"/>
              </w:rPr>
              <w:t>الخلاصة</w:t>
            </w:r>
            <w:r>
              <w:rPr>
                <w:rStyle w:val="IndexLink"/>
                <w:rtl w:val="true"/>
              </w:rPr>
              <w:tab/>
            </w:r>
            <w:r>
              <w:rPr>
                <w:rStyle w:val="IndexLink"/>
              </w:rPr>
              <w:t>275</w:t>
            </w:r>
          </w:hyperlink>
        </w:p>
        <w:p>
          <w:pPr>
            <w:pStyle w:val="Contents3"/>
            <w:tabs>
              <w:tab w:val="clear" w:pos="8459"/>
              <w:tab w:val="right" w:pos="9026" w:leader="dot"/>
            </w:tabs>
            <w:rPr/>
          </w:pPr>
          <w:hyperlink w:anchor="__RefHeading___Toc363390_581953129">
            <w:r>
              <w:rPr>
                <w:webHidden/>
                <w:rStyle w:val="IndexLink"/>
                <w:rtl w:val="true"/>
              </w:rPr>
              <w:t>الأسئلة</w:t>
            </w:r>
            <w:r>
              <w:rPr>
                <w:rStyle w:val="IndexLink"/>
                <w:rtl w:val="true"/>
              </w:rPr>
              <w:tab/>
            </w:r>
            <w:r>
              <w:rPr>
                <w:rStyle w:val="IndexLink"/>
              </w:rPr>
              <w:t>277</w:t>
            </w:r>
          </w:hyperlink>
        </w:p>
        <w:p>
          <w:pPr>
            <w:pStyle w:val="Contents2"/>
            <w:tabs>
              <w:tab w:val="clear" w:pos="8743"/>
              <w:tab w:val="right" w:pos="9026" w:leader="dot"/>
            </w:tabs>
            <w:rPr/>
          </w:pPr>
          <w:hyperlink w:anchor="__RefHeading___Toc363392_581953129">
            <w:r>
              <w:rPr>
                <w:webHidden/>
                <w:rStyle w:val="IndexLink"/>
              </w:rPr>
              <w:t>20</w:t>
            </w:r>
            <w:r>
              <w:rPr>
                <w:rStyle w:val="IndexLink"/>
                <w:rtl w:val="true"/>
              </w:rPr>
              <w:t xml:space="preserve">- </w:t>
            </w:r>
            <w:r>
              <w:rPr>
                <w:rStyle w:val="IndexLink"/>
                <w:rtl w:val="true"/>
              </w:rPr>
              <w:t>حول رؤیة الهلال</w:t>
            </w:r>
            <w:r>
              <w:rPr>
                <w:rStyle w:val="IndexLink"/>
                <w:rtl w:val="true"/>
              </w:rPr>
              <w:tab/>
            </w:r>
            <w:r>
              <w:rPr>
                <w:rStyle w:val="IndexLink"/>
              </w:rPr>
              <w:t>278</w:t>
            </w:r>
          </w:hyperlink>
        </w:p>
        <w:p>
          <w:pPr>
            <w:pStyle w:val="Contents3"/>
            <w:tabs>
              <w:tab w:val="clear" w:pos="8459"/>
              <w:tab w:val="right" w:pos="9026" w:leader="dot"/>
            </w:tabs>
            <w:rPr/>
          </w:pPr>
          <w:hyperlink w:anchor="__RefHeading___Toc363394_581953129">
            <w:r>
              <w:rPr>
                <w:webHidden/>
                <w:rStyle w:val="IndexLink"/>
                <w:rtl w:val="true"/>
              </w:rPr>
              <w:t>ثبوت الهلال</w:t>
            </w:r>
            <w:r>
              <w:rPr>
                <w:rStyle w:val="IndexLink"/>
                <w:rtl w:val="true"/>
              </w:rPr>
              <w:tab/>
            </w:r>
            <w:r>
              <w:rPr>
                <w:rStyle w:val="IndexLink"/>
              </w:rPr>
              <w:t>278</w:t>
            </w:r>
          </w:hyperlink>
        </w:p>
        <w:p>
          <w:pPr>
            <w:pStyle w:val="Contents4"/>
            <w:tabs>
              <w:tab w:val="clear" w:pos="8176"/>
              <w:tab w:val="right" w:pos="9026" w:leader="dot"/>
            </w:tabs>
            <w:rPr/>
          </w:pPr>
          <w:hyperlink w:anchor="__RefHeading___Toc363396_581953129">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363398_581953129">
            <w:r>
              <w:rPr>
                <w:webHidden/>
                <w:rStyle w:val="IndexLink"/>
                <w:rtl w:val="true"/>
              </w:rPr>
              <w:t>المذهب الجعفری</w:t>
            </w:r>
            <w:r>
              <w:rPr>
                <w:rStyle w:val="IndexLink"/>
                <w:rtl w:val="true"/>
              </w:rPr>
              <w:tab/>
            </w:r>
            <w:r>
              <w:rPr>
                <w:rStyle w:val="IndexLink"/>
              </w:rPr>
              <w:t>278</w:t>
            </w:r>
          </w:hyperlink>
        </w:p>
        <w:p>
          <w:pPr>
            <w:pStyle w:val="Contents4"/>
            <w:tabs>
              <w:tab w:val="clear" w:pos="8176"/>
              <w:tab w:val="right" w:pos="9026" w:leader="dot"/>
            </w:tabs>
            <w:rPr/>
          </w:pPr>
          <w:hyperlink w:anchor="__RefHeading___Toc363400_581953129">
            <w:r>
              <w:rPr>
                <w:webHidden/>
                <w:rStyle w:val="IndexLink"/>
                <w:rtl w:val="true"/>
              </w:rPr>
              <w:t>المذهب الثلاثة الأخری</w:t>
            </w:r>
            <w:r>
              <w:rPr>
                <w:rStyle w:val="IndexLink"/>
                <w:rtl w:val="true"/>
              </w:rPr>
              <w:tab/>
            </w:r>
            <w:r>
              <w:rPr>
                <w:rStyle w:val="IndexLink"/>
              </w:rPr>
              <w:t>279</w:t>
            </w:r>
          </w:hyperlink>
        </w:p>
        <w:p>
          <w:pPr>
            <w:pStyle w:val="Contents3"/>
            <w:tabs>
              <w:tab w:val="clear" w:pos="8459"/>
              <w:tab w:val="right" w:pos="9026" w:leader="dot"/>
            </w:tabs>
            <w:rPr/>
          </w:pPr>
          <w:hyperlink w:anchor="__RefHeading___Toc363402_581953129">
            <w:r>
              <w:rPr>
                <w:webHidden/>
                <w:rStyle w:val="IndexLink"/>
                <w:rtl w:val="true"/>
              </w:rPr>
              <w:t>اختلاف الآفاق</w:t>
            </w:r>
            <w:r>
              <w:rPr>
                <w:rStyle w:val="IndexLink"/>
                <w:rtl w:val="true"/>
              </w:rPr>
              <w:tab/>
            </w:r>
            <w:r>
              <w:rPr>
                <w:rStyle w:val="IndexLink"/>
              </w:rPr>
              <w:t>279</w:t>
            </w:r>
          </w:hyperlink>
        </w:p>
        <w:p>
          <w:pPr>
            <w:pStyle w:val="Contents4"/>
            <w:tabs>
              <w:tab w:val="clear" w:pos="8176"/>
              <w:tab w:val="right" w:pos="9026" w:leader="dot"/>
            </w:tabs>
            <w:rPr/>
          </w:pPr>
          <w:hyperlink w:anchor="__RefHeading___Toc363404_581953129">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363406_581953129">
            <w:r>
              <w:rPr>
                <w:webHidden/>
                <w:rStyle w:val="IndexLink"/>
                <w:rtl w:val="true"/>
              </w:rPr>
              <w:t>منشأ الاختلاف</w:t>
            </w:r>
            <w:r>
              <w:rPr>
                <w:rStyle w:val="IndexLink"/>
                <w:rtl w:val="true"/>
              </w:rPr>
              <w:tab/>
            </w:r>
            <w:r>
              <w:rPr>
                <w:rStyle w:val="IndexLink"/>
              </w:rPr>
              <w:t>281</w:t>
            </w:r>
          </w:hyperlink>
        </w:p>
        <w:p>
          <w:pPr>
            <w:pStyle w:val="Contents3"/>
            <w:tabs>
              <w:tab w:val="clear" w:pos="8459"/>
              <w:tab w:val="right" w:pos="9026" w:leader="dot"/>
            </w:tabs>
            <w:rPr/>
          </w:pPr>
          <w:hyperlink w:anchor="__RefHeading___Toc363408_581953129">
            <w:r>
              <w:rPr>
                <w:webHidden/>
                <w:rStyle w:val="IndexLink"/>
                <w:rtl w:val="true"/>
              </w:rPr>
              <w:t>یوم الشکّ</w:t>
            </w:r>
            <w:r>
              <w:rPr>
                <w:rStyle w:val="IndexLink"/>
                <w:rtl w:val="true"/>
              </w:rPr>
              <w:tab/>
            </w:r>
            <w:r>
              <w:rPr>
                <w:rStyle w:val="IndexLink"/>
              </w:rPr>
              <w:t>281</w:t>
            </w:r>
          </w:hyperlink>
        </w:p>
        <w:p>
          <w:pPr>
            <w:pStyle w:val="Contents4"/>
            <w:tabs>
              <w:tab w:val="clear" w:pos="8176"/>
              <w:tab w:val="right" w:pos="9026" w:leader="dot"/>
            </w:tabs>
            <w:rPr/>
          </w:pPr>
          <w:hyperlink w:anchor="__RefHeading___Toc363410_581953129">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363412_581953129">
            <w:r>
              <w:rPr>
                <w:webHidden/>
                <w:rStyle w:val="IndexLink"/>
                <w:rtl w:val="true"/>
              </w:rPr>
              <w:t>المذهب الجعفری</w:t>
            </w:r>
            <w:r>
              <w:rPr>
                <w:rStyle w:val="IndexLink"/>
                <w:rtl w:val="true"/>
              </w:rPr>
              <w:tab/>
            </w:r>
            <w:r>
              <w:rPr>
                <w:rStyle w:val="IndexLink"/>
              </w:rPr>
              <w:t>281</w:t>
            </w:r>
          </w:hyperlink>
        </w:p>
        <w:p>
          <w:pPr>
            <w:pStyle w:val="Contents4"/>
            <w:tabs>
              <w:tab w:val="clear" w:pos="8176"/>
              <w:tab w:val="right" w:pos="9026" w:leader="dot"/>
            </w:tabs>
            <w:rPr/>
          </w:pPr>
          <w:hyperlink w:anchor="__RefHeading___Toc363414_581953129">
            <w:r>
              <w:rPr>
                <w:webHidden/>
                <w:rStyle w:val="IndexLink"/>
                <w:rtl w:val="true"/>
              </w:rPr>
              <w:t>المذاهب الثلاثة الأخری</w:t>
            </w:r>
            <w:r>
              <w:rPr>
                <w:rStyle w:val="IndexLink"/>
                <w:rtl w:val="true"/>
              </w:rPr>
              <w:tab/>
            </w:r>
            <w:r>
              <w:rPr>
                <w:rStyle w:val="IndexLink"/>
              </w:rPr>
              <w:t>282</w:t>
            </w:r>
          </w:hyperlink>
        </w:p>
        <w:p>
          <w:pPr>
            <w:pStyle w:val="Contents4"/>
            <w:tabs>
              <w:tab w:val="clear" w:pos="8176"/>
              <w:tab w:val="right" w:pos="9026" w:leader="dot"/>
            </w:tabs>
            <w:rPr/>
          </w:pPr>
          <w:hyperlink w:anchor="__RefHeading___Toc363416_581953129">
            <w:r>
              <w:rPr>
                <w:webHidden/>
                <w:rStyle w:val="IndexLink"/>
                <w:rtl w:val="true"/>
              </w:rPr>
              <w:t>منشأ الاختلاف</w:t>
            </w:r>
            <w:r>
              <w:rPr>
                <w:rStyle w:val="IndexLink"/>
                <w:rtl w:val="true"/>
              </w:rPr>
              <w:tab/>
            </w:r>
            <w:r>
              <w:rPr>
                <w:rStyle w:val="IndexLink"/>
              </w:rPr>
              <w:t>282</w:t>
            </w:r>
          </w:hyperlink>
        </w:p>
        <w:p>
          <w:pPr>
            <w:pStyle w:val="Contents3"/>
            <w:tabs>
              <w:tab w:val="clear" w:pos="8459"/>
              <w:tab w:val="right" w:pos="9026" w:leader="dot"/>
            </w:tabs>
            <w:rPr/>
          </w:pPr>
          <w:hyperlink w:anchor="__RefHeading___Toc363418_581953129">
            <w:r>
              <w:rPr>
                <w:webHidden/>
                <w:rStyle w:val="IndexLink"/>
                <w:rtl w:val="true"/>
              </w:rPr>
              <w:t>ترخیص الإفطار</w:t>
            </w:r>
            <w:r>
              <w:rPr>
                <w:rStyle w:val="IndexLink"/>
                <w:rtl w:val="true"/>
              </w:rPr>
              <w:tab/>
            </w:r>
            <w:r>
              <w:rPr>
                <w:rStyle w:val="IndexLink"/>
              </w:rPr>
              <w:t>283</w:t>
            </w:r>
          </w:hyperlink>
        </w:p>
        <w:p>
          <w:pPr>
            <w:pStyle w:val="Contents4"/>
            <w:tabs>
              <w:tab w:val="clear" w:pos="8176"/>
              <w:tab w:val="right" w:pos="9026" w:leader="dot"/>
            </w:tabs>
            <w:rPr/>
          </w:pPr>
          <w:hyperlink w:anchor="__RefHeading___Toc363420_581953129">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363422_581953129">
            <w:r>
              <w:rPr>
                <w:webHidden/>
                <w:rStyle w:val="IndexLink"/>
                <w:rtl w:val="true"/>
              </w:rPr>
              <w:t>المذاهب الاربعة</w:t>
            </w:r>
            <w:r>
              <w:rPr>
                <w:rStyle w:val="IndexLink"/>
                <w:rtl w:val="true"/>
              </w:rPr>
              <w:tab/>
            </w:r>
            <w:r>
              <w:rPr>
                <w:rStyle w:val="IndexLink"/>
              </w:rPr>
              <w:t>285</w:t>
            </w:r>
          </w:hyperlink>
        </w:p>
        <w:p>
          <w:pPr>
            <w:pStyle w:val="Contents3"/>
            <w:tabs>
              <w:tab w:val="clear" w:pos="8459"/>
              <w:tab w:val="right" w:pos="9026" w:leader="dot"/>
            </w:tabs>
            <w:rPr/>
          </w:pPr>
          <w:hyperlink w:anchor="__RefHeading___Toc363424_581953129">
            <w:r>
              <w:rPr>
                <w:webHidden/>
                <w:rStyle w:val="IndexLink"/>
                <w:rtl w:val="true"/>
              </w:rPr>
              <w:t>زوال العذر</w:t>
            </w:r>
            <w:r>
              <w:rPr>
                <w:rStyle w:val="IndexLink"/>
                <w:rtl w:val="true"/>
              </w:rPr>
              <w:tab/>
            </w:r>
            <w:r>
              <w:rPr>
                <w:rStyle w:val="IndexLink"/>
              </w:rPr>
              <w:t>286</w:t>
            </w:r>
          </w:hyperlink>
        </w:p>
        <w:p>
          <w:pPr>
            <w:pStyle w:val="Contents4"/>
            <w:tabs>
              <w:tab w:val="clear" w:pos="8176"/>
              <w:tab w:val="right" w:pos="9026" w:leader="dot"/>
            </w:tabs>
            <w:rPr/>
          </w:pPr>
          <w:hyperlink w:anchor="__RefHeading___Toc363426_581953129">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363428_581953129">
            <w:r>
              <w:rPr>
                <w:webHidden/>
                <w:rStyle w:val="IndexLink"/>
                <w:rtl w:val="true"/>
              </w:rPr>
              <w:t>منشأ الاختلاف</w:t>
            </w:r>
            <w:r>
              <w:rPr>
                <w:rStyle w:val="IndexLink"/>
                <w:rtl w:val="true"/>
              </w:rPr>
              <w:tab/>
            </w:r>
            <w:r>
              <w:rPr>
                <w:rStyle w:val="IndexLink"/>
              </w:rPr>
              <w:t>287</w:t>
            </w:r>
          </w:hyperlink>
        </w:p>
        <w:p>
          <w:pPr>
            <w:pStyle w:val="Contents3"/>
            <w:tabs>
              <w:tab w:val="clear" w:pos="8459"/>
              <w:tab w:val="right" w:pos="9026" w:leader="dot"/>
            </w:tabs>
            <w:rPr/>
          </w:pPr>
          <w:hyperlink w:anchor="__RefHeading___Toc363430_581953129">
            <w:r>
              <w:rPr>
                <w:webHidden/>
                <w:rStyle w:val="IndexLink"/>
                <w:rtl w:val="true"/>
              </w:rPr>
              <w:t>الخلاصة</w:t>
            </w:r>
            <w:r>
              <w:rPr>
                <w:rStyle w:val="IndexLink"/>
                <w:rtl w:val="true"/>
              </w:rPr>
              <w:tab/>
            </w:r>
            <w:r>
              <w:rPr>
                <w:rStyle w:val="IndexLink"/>
              </w:rPr>
              <w:t>288</w:t>
            </w:r>
          </w:hyperlink>
        </w:p>
        <w:p>
          <w:pPr>
            <w:pStyle w:val="Contents3"/>
            <w:tabs>
              <w:tab w:val="clear" w:pos="8459"/>
              <w:tab w:val="right" w:pos="9026" w:leader="dot"/>
            </w:tabs>
            <w:rPr/>
          </w:pPr>
          <w:hyperlink w:anchor="__RefHeading___Toc363432_581953129">
            <w:r>
              <w:rPr>
                <w:webHidden/>
                <w:rStyle w:val="IndexLink"/>
                <w:rtl w:val="true"/>
              </w:rPr>
              <w:t>الأسئلة</w:t>
            </w:r>
            <w:r>
              <w:rPr>
                <w:rStyle w:val="IndexLink"/>
                <w:rtl w:val="true"/>
              </w:rPr>
              <w:tab/>
            </w:r>
            <w:r>
              <w:rPr>
                <w:rStyle w:val="IndexLink"/>
              </w:rPr>
              <w:t>289</w:t>
            </w:r>
          </w:hyperlink>
        </w:p>
        <w:p>
          <w:pPr>
            <w:pStyle w:val="Contents2"/>
            <w:tabs>
              <w:tab w:val="clear" w:pos="8743"/>
              <w:tab w:val="right" w:pos="9026" w:leader="dot"/>
            </w:tabs>
            <w:rPr/>
          </w:pPr>
          <w:hyperlink w:anchor="__RefHeading___Toc363434_581953129">
            <w:r>
              <w:rPr>
                <w:webHidden/>
                <w:rStyle w:val="IndexLink"/>
              </w:rPr>
              <w:t>21</w:t>
            </w:r>
            <w:r>
              <w:rPr>
                <w:rStyle w:val="IndexLink"/>
                <w:rtl w:val="true"/>
              </w:rPr>
              <w:t xml:space="preserve">- </w:t>
            </w:r>
            <w:r>
              <w:rPr>
                <w:rStyle w:val="IndexLink"/>
                <w:rtl w:val="true"/>
              </w:rPr>
              <w:t>الزکاة</w:t>
            </w:r>
            <w:r>
              <w:rPr>
                <w:rStyle w:val="IndexLink"/>
                <w:rtl w:val="true"/>
              </w:rPr>
              <w:tab/>
            </w:r>
            <w:r>
              <w:rPr>
                <w:rStyle w:val="IndexLink"/>
              </w:rPr>
              <w:t>290</w:t>
            </w:r>
          </w:hyperlink>
        </w:p>
        <w:p>
          <w:pPr>
            <w:pStyle w:val="Contents3"/>
            <w:tabs>
              <w:tab w:val="clear" w:pos="8459"/>
              <w:tab w:val="right" w:pos="9026" w:leader="dot"/>
            </w:tabs>
            <w:rPr/>
          </w:pPr>
          <w:hyperlink w:anchor="__RefHeading___Toc363436_581953129">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363438_581953129">
            <w:r>
              <w:rPr>
                <w:webHidden/>
                <w:rStyle w:val="IndexLink"/>
                <w:rtl w:val="true"/>
              </w:rPr>
              <w:t>الشروط</w:t>
            </w:r>
            <w:r>
              <w:rPr>
                <w:rStyle w:val="IndexLink"/>
                <w:rtl w:val="true"/>
              </w:rPr>
              <w:tab/>
            </w:r>
            <w:r>
              <w:rPr>
                <w:rStyle w:val="IndexLink"/>
              </w:rPr>
              <w:t>290</w:t>
            </w:r>
          </w:hyperlink>
        </w:p>
        <w:p>
          <w:pPr>
            <w:pStyle w:val="Contents4"/>
            <w:tabs>
              <w:tab w:val="clear" w:pos="8176"/>
              <w:tab w:val="right" w:pos="9026" w:leader="dot"/>
            </w:tabs>
            <w:rPr/>
          </w:pPr>
          <w:hyperlink w:anchor="__RefHeading___Toc363440_581953129">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363442_581953129">
            <w:r>
              <w:rPr>
                <w:webHidden/>
                <w:rStyle w:val="IndexLink"/>
                <w:rtl w:val="true"/>
              </w:rPr>
              <w:t>المذهب الجعفری</w:t>
            </w:r>
            <w:r>
              <w:rPr>
                <w:rStyle w:val="IndexLink"/>
                <w:rtl w:val="true"/>
              </w:rPr>
              <w:tab/>
            </w:r>
            <w:r>
              <w:rPr>
                <w:rStyle w:val="IndexLink"/>
              </w:rPr>
              <w:t>290</w:t>
            </w:r>
          </w:hyperlink>
        </w:p>
        <w:p>
          <w:pPr>
            <w:pStyle w:val="Contents4"/>
            <w:tabs>
              <w:tab w:val="clear" w:pos="8176"/>
              <w:tab w:val="right" w:pos="9026" w:leader="dot"/>
            </w:tabs>
            <w:rPr/>
          </w:pPr>
          <w:hyperlink w:anchor="__RefHeading___Toc363444_581953129">
            <w:r>
              <w:rPr>
                <w:webHidden/>
                <w:rStyle w:val="IndexLink"/>
                <w:rtl w:val="true"/>
              </w:rPr>
              <w:t>المذاهب الثلاثة الأخری</w:t>
            </w:r>
            <w:r>
              <w:rPr>
                <w:rStyle w:val="IndexLink"/>
                <w:rtl w:val="true"/>
              </w:rPr>
              <w:tab/>
            </w:r>
            <w:r>
              <w:rPr>
                <w:rStyle w:val="IndexLink"/>
              </w:rPr>
              <w:t>291</w:t>
            </w:r>
          </w:hyperlink>
        </w:p>
        <w:p>
          <w:pPr>
            <w:pStyle w:val="Contents4"/>
            <w:tabs>
              <w:tab w:val="clear" w:pos="8176"/>
              <w:tab w:val="right" w:pos="9026" w:leader="dot"/>
            </w:tabs>
            <w:rPr/>
          </w:pPr>
          <w:hyperlink w:anchor="__RefHeading___Toc363446_581953129">
            <w:r>
              <w:rPr>
                <w:webHidden/>
                <w:rStyle w:val="IndexLink"/>
                <w:rtl w:val="true"/>
              </w:rPr>
              <w:t>منشأ الاختلاف</w:t>
            </w:r>
            <w:r>
              <w:rPr>
                <w:rStyle w:val="IndexLink"/>
                <w:rtl w:val="true"/>
              </w:rPr>
              <w:tab/>
            </w:r>
            <w:r>
              <w:rPr>
                <w:rStyle w:val="IndexLink"/>
              </w:rPr>
              <w:t>291</w:t>
            </w:r>
          </w:hyperlink>
        </w:p>
        <w:p>
          <w:pPr>
            <w:pStyle w:val="Contents3"/>
            <w:tabs>
              <w:tab w:val="clear" w:pos="8459"/>
              <w:tab w:val="right" w:pos="9026" w:leader="dot"/>
            </w:tabs>
            <w:rPr/>
          </w:pPr>
          <w:hyperlink w:anchor="__RefHeading___Toc363448_581953129">
            <w:r>
              <w:rPr>
                <w:webHidden/>
                <w:rStyle w:val="IndexLink"/>
                <w:rtl w:val="true"/>
              </w:rPr>
              <w:t>نصاب الإبل</w:t>
            </w:r>
            <w:r>
              <w:rPr>
                <w:rStyle w:val="IndexLink"/>
                <w:rtl w:val="true"/>
              </w:rPr>
              <w:tab/>
            </w:r>
            <w:r>
              <w:rPr>
                <w:rStyle w:val="IndexLink"/>
              </w:rPr>
              <w:t>292</w:t>
            </w:r>
          </w:hyperlink>
        </w:p>
        <w:p>
          <w:pPr>
            <w:pStyle w:val="Contents4"/>
            <w:tabs>
              <w:tab w:val="clear" w:pos="8176"/>
              <w:tab w:val="right" w:pos="9026" w:leader="dot"/>
            </w:tabs>
            <w:rPr/>
          </w:pPr>
          <w:hyperlink w:anchor="__RefHeading___Toc363450_581953129">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363452_581953129">
            <w:r>
              <w:rPr>
                <w:webHidden/>
                <w:rStyle w:val="IndexLink"/>
                <w:rtl w:val="true"/>
              </w:rPr>
              <w:t>منشأ الاختلاف</w:t>
            </w:r>
            <w:r>
              <w:rPr>
                <w:rStyle w:val="IndexLink"/>
                <w:rtl w:val="true"/>
              </w:rPr>
              <w:tab/>
            </w:r>
            <w:r>
              <w:rPr>
                <w:rStyle w:val="IndexLink"/>
              </w:rPr>
              <w:t>292</w:t>
            </w:r>
          </w:hyperlink>
        </w:p>
        <w:p>
          <w:pPr>
            <w:pStyle w:val="Contents3"/>
            <w:tabs>
              <w:tab w:val="clear" w:pos="8459"/>
              <w:tab w:val="right" w:pos="9026" w:leader="dot"/>
            </w:tabs>
            <w:rPr/>
          </w:pPr>
          <w:hyperlink w:anchor="__RefHeading___Toc363454_581953129">
            <w:r>
              <w:rPr>
                <w:webHidden/>
                <w:rStyle w:val="IndexLink"/>
                <w:rtl w:val="true"/>
              </w:rPr>
              <w:t>نصاب الغنم</w:t>
            </w:r>
            <w:r>
              <w:rPr>
                <w:rStyle w:val="IndexLink"/>
                <w:rtl w:val="true"/>
              </w:rPr>
              <w:tab/>
            </w:r>
            <w:r>
              <w:rPr>
                <w:rStyle w:val="IndexLink"/>
              </w:rPr>
              <w:t>293</w:t>
            </w:r>
          </w:hyperlink>
        </w:p>
        <w:p>
          <w:pPr>
            <w:pStyle w:val="Contents4"/>
            <w:tabs>
              <w:tab w:val="clear" w:pos="8176"/>
              <w:tab w:val="right" w:pos="9026" w:leader="dot"/>
            </w:tabs>
            <w:rPr/>
          </w:pPr>
          <w:hyperlink w:anchor="__RefHeading___Toc363456_581953129">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363458_581953129">
            <w:r>
              <w:rPr>
                <w:webHidden/>
                <w:rStyle w:val="IndexLink"/>
                <w:rtl w:val="true"/>
              </w:rPr>
              <w:t>المذاهب الاربعة</w:t>
            </w:r>
            <w:r>
              <w:rPr>
                <w:rStyle w:val="IndexLink"/>
                <w:rtl w:val="true"/>
              </w:rPr>
              <w:tab/>
            </w:r>
            <w:r>
              <w:rPr>
                <w:rStyle w:val="IndexLink"/>
              </w:rPr>
              <w:t>293</w:t>
            </w:r>
          </w:hyperlink>
        </w:p>
        <w:p>
          <w:pPr>
            <w:pStyle w:val="Contents4"/>
            <w:tabs>
              <w:tab w:val="clear" w:pos="8176"/>
              <w:tab w:val="right" w:pos="9026" w:leader="dot"/>
            </w:tabs>
            <w:rPr/>
          </w:pPr>
          <w:hyperlink w:anchor="__RefHeading___Toc363460_581953129">
            <w:r>
              <w:rPr>
                <w:webHidden/>
                <w:rStyle w:val="IndexLink"/>
                <w:rtl w:val="true"/>
              </w:rPr>
              <w:t>المذهب الجعفری</w:t>
            </w:r>
            <w:r>
              <w:rPr>
                <w:rStyle w:val="IndexLink"/>
                <w:rtl w:val="true"/>
              </w:rPr>
              <w:tab/>
            </w:r>
            <w:r>
              <w:rPr>
                <w:rStyle w:val="IndexLink"/>
              </w:rPr>
              <w:t>293</w:t>
            </w:r>
          </w:hyperlink>
        </w:p>
        <w:p>
          <w:pPr>
            <w:pStyle w:val="Contents4"/>
            <w:tabs>
              <w:tab w:val="clear" w:pos="8176"/>
              <w:tab w:val="right" w:pos="9026" w:leader="dot"/>
            </w:tabs>
            <w:rPr/>
          </w:pPr>
          <w:hyperlink w:anchor="__RefHeading___Toc363462_581953129">
            <w:r>
              <w:rPr>
                <w:webHidden/>
                <w:rStyle w:val="IndexLink"/>
                <w:rtl w:val="true"/>
              </w:rPr>
              <w:t>منشأ الاختلاف</w:t>
            </w:r>
            <w:r>
              <w:rPr>
                <w:rStyle w:val="IndexLink"/>
                <w:rtl w:val="true"/>
              </w:rPr>
              <w:tab/>
            </w:r>
            <w:r>
              <w:rPr>
                <w:rStyle w:val="IndexLink"/>
              </w:rPr>
              <w:t>294</w:t>
            </w:r>
          </w:hyperlink>
        </w:p>
        <w:p>
          <w:pPr>
            <w:pStyle w:val="Contents3"/>
            <w:tabs>
              <w:tab w:val="clear" w:pos="8459"/>
              <w:tab w:val="right" w:pos="9026" w:leader="dot"/>
            </w:tabs>
            <w:rPr/>
          </w:pPr>
          <w:hyperlink w:anchor="__RefHeading___Toc363464_581953129">
            <w:r>
              <w:rPr>
                <w:webHidden/>
                <w:rStyle w:val="IndexLink"/>
                <w:rtl w:val="true"/>
              </w:rPr>
              <w:t>شروط زکاة الأنعام</w:t>
            </w:r>
            <w:r>
              <w:rPr>
                <w:rStyle w:val="IndexLink"/>
                <w:rtl w:val="true"/>
              </w:rPr>
              <w:tab/>
            </w:r>
            <w:r>
              <w:rPr>
                <w:rStyle w:val="IndexLink"/>
              </w:rPr>
              <w:t>294</w:t>
            </w:r>
          </w:hyperlink>
        </w:p>
        <w:p>
          <w:pPr>
            <w:pStyle w:val="Contents3"/>
            <w:tabs>
              <w:tab w:val="clear" w:pos="8459"/>
              <w:tab w:val="right" w:pos="9026" w:leader="dot"/>
            </w:tabs>
            <w:rPr/>
          </w:pPr>
          <w:hyperlink w:anchor="__RefHeading___Toc363466_581953129">
            <w:r>
              <w:rPr>
                <w:webHidden/>
                <w:rStyle w:val="IndexLink"/>
                <w:rtl w:val="true"/>
              </w:rPr>
              <w:t>زکاة النقدین</w:t>
            </w:r>
            <w:r>
              <w:rPr>
                <w:rStyle w:val="IndexLink"/>
                <w:rtl w:val="true"/>
              </w:rPr>
              <w:tab/>
            </w:r>
            <w:r>
              <w:rPr>
                <w:rStyle w:val="IndexLink"/>
              </w:rPr>
              <w:t>294</w:t>
            </w:r>
          </w:hyperlink>
        </w:p>
        <w:p>
          <w:pPr>
            <w:pStyle w:val="Contents4"/>
            <w:tabs>
              <w:tab w:val="clear" w:pos="8176"/>
              <w:tab w:val="right" w:pos="9026" w:leader="dot"/>
            </w:tabs>
            <w:rPr/>
          </w:pPr>
          <w:hyperlink w:anchor="__RefHeading___Toc363468_581953129">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363470_581953129">
            <w:r>
              <w:rPr>
                <w:webHidden/>
                <w:rStyle w:val="IndexLink"/>
                <w:rtl w:val="true"/>
              </w:rPr>
              <w:t>المذهب الجعفری</w:t>
            </w:r>
            <w:r>
              <w:rPr>
                <w:rStyle w:val="IndexLink"/>
                <w:rtl w:val="true"/>
              </w:rPr>
              <w:tab/>
            </w:r>
            <w:r>
              <w:rPr>
                <w:rStyle w:val="IndexLink"/>
              </w:rPr>
              <w:t>294</w:t>
            </w:r>
          </w:hyperlink>
        </w:p>
        <w:p>
          <w:pPr>
            <w:pStyle w:val="Contents4"/>
            <w:tabs>
              <w:tab w:val="clear" w:pos="8176"/>
              <w:tab w:val="right" w:pos="9026" w:leader="dot"/>
            </w:tabs>
            <w:rPr/>
          </w:pPr>
          <w:hyperlink w:anchor="__RefHeading___Toc363472_581953129">
            <w:r>
              <w:rPr>
                <w:webHidden/>
                <w:rStyle w:val="IndexLink"/>
                <w:rtl w:val="true"/>
              </w:rPr>
              <w:t>المذاهب الاربعة</w:t>
            </w:r>
            <w:r>
              <w:rPr>
                <w:rStyle w:val="IndexLink"/>
                <w:rtl w:val="true"/>
              </w:rPr>
              <w:tab/>
            </w:r>
            <w:r>
              <w:rPr>
                <w:rStyle w:val="IndexLink"/>
              </w:rPr>
              <w:t>295</w:t>
            </w:r>
          </w:hyperlink>
        </w:p>
        <w:p>
          <w:pPr>
            <w:pStyle w:val="Contents3"/>
            <w:tabs>
              <w:tab w:val="clear" w:pos="8459"/>
              <w:tab w:val="right" w:pos="9026" w:leader="dot"/>
            </w:tabs>
            <w:rPr/>
          </w:pPr>
          <w:hyperlink w:anchor="__RefHeading___Toc363474_581953129">
            <w:r>
              <w:rPr>
                <w:webHidden/>
                <w:rStyle w:val="IndexLink"/>
                <w:rtl w:val="true"/>
              </w:rPr>
              <w:t>نصاب زکاة الغلاة</w:t>
            </w:r>
            <w:r>
              <w:rPr>
                <w:rStyle w:val="IndexLink"/>
                <w:rtl w:val="true"/>
              </w:rPr>
              <w:tab/>
            </w:r>
            <w:r>
              <w:rPr>
                <w:rStyle w:val="IndexLink"/>
              </w:rPr>
              <w:t>296</w:t>
            </w:r>
          </w:hyperlink>
        </w:p>
        <w:p>
          <w:pPr>
            <w:pStyle w:val="Contents3"/>
            <w:tabs>
              <w:tab w:val="clear" w:pos="8459"/>
              <w:tab w:val="right" w:pos="9026" w:leader="dot"/>
            </w:tabs>
            <w:rPr/>
          </w:pPr>
          <w:hyperlink w:anchor="__RefHeading___Toc363476_581953129">
            <w:r>
              <w:rPr>
                <w:webHidden/>
                <w:rStyle w:val="IndexLink"/>
                <w:rtl w:val="true"/>
              </w:rPr>
              <w:t>فیما یتعلّق به الزکاة،من الغلاّت</w:t>
            </w:r>
            <w:r>
              <w:rPr>
                <w:rStyle w:val="IndexLink"/>
                <w:rtl w:val="true"/>
              </w:rPr>
              <w:tab/>
            </w:r>
            <w:r>
              <w:rPr>
                <w:rStyle w:val="IndexLink"/>
              </w:rPr>
              <w:t>296</w:t>
            </w:r>
          </w:hyperlink>
        </w:p>
        <w:p>
          <w:pPr>
            <w:pStyle w:val="Contents4"/>
            <w:tabs>
              <w:tab w:val="clear" w:pos="8176"/>
              <w:tab w:val="right" w:pos="9026" w:leader="dot"/>
            </w:tabs>
            <w:rPr/>
          </w:pPr>
          <w:hyperlink w:anchor="__RefHeading___Toc363478_581953129">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363480_581953129">
            <w:r>
              <w:rPr>
                <w:webHidden/>
                <w:rStyle w:val="IndexLink"/>
                <w:rtl w:val="true"/>
              </w:rPr>
              <w:t>المذاهب الاربعة</w:t>
            </w:r>
            <w:r>
              <w:rPr>
                <w:rStyle w:val="IndexLink"/>
                <w:rtl w:val="true"/>
              </w:rPr>
              <w:tab/>
            </w:r>
            <w:r>
              <w:rPr>
                <w:rStyle w:val="IndexLink"/>
              </w:rPr>
              <w:t>296</w:t>
            </w:r>
          </w:hyperlink>
        </w:p>
        <w:p>
          <w:pPr>
            <w:pStyle w:val="Contents4"/>
            <w:tabs>
              <w:tab w:val="clear" w:pos="8176"/>
              <w:tab w:val="right" w:pos="9026" w:leader="dot"/>
            </w:tabs>
            <w:rPr/>
          </w:pPr>
          <w:hyperlink w:anchor="__RefHeading___Toc363482_581953129">
            <w:r>
              <w:rPr>
                <w:webHidden/>
                <w:rStyle w:val="IndexLink"/>
                <w:rtl w:val="true"/>
              </w:rPr>
              <w:t>المذهب الجعفری</w:t>
            </w:r>
            <w:r>
              <w:rPr>
                <w:rStyle w:val="IndexLink"/>
                <w:rtl w:val="true"/>
              </w:rPr>
              <w:tab/>
            </w:r>
            <w:r>
              <w:rPr>
                <w:rStyle w:val="IndexLink"/>
              </w:rPr>
              <w:t>297</w:t>
            </w:r>
          </w:hyperlink>
        </w:p>
        <w:p>
          <w:pPr>
            <w:pStyle w:val="Contents4"/>
            <w:tabs>
              <w:tab w:val="clear" w:pos="8176"/>
              <w:tab w:val="right" w:pos="9026" w:leader="dot"/>
            </w:tabs>
            <w:rPr/>
          </w:pPr>
          <w:hyperlink w:anchor="__RefHeading___Toc363484_581953129">
            <w:r>
              <w:rPr>
                <w:webHidden/>
                <w:rStyle w:val="IndexLink"/>
                <w:rtl w:val="true"/>
              </w:rPr>
              <w:t>منشأ الاختلاف</w:t>
            </w:r>
            <w:r>
              <w:rPr>
                <w:rStyle w:val="IndexLink"/>
                <w:rtl w:val="true"/>
              </w:rPr>
              <w:tab/>
            </w:r>
            <w:r>
              <w:rPr>
                <w:rStyle w:val="IndexLink"/>
              </w:rPr>
              <w:t>298</w:t>
            </w:r>
          </w:hyperlink>
        </w:p>
        <w:p>
          <w:pPr>
            <w:pStyle w:val="Contents3"/>
            <w:tabs>
              <w:tab w:val="clear" w:pos="8459"/>
              <w:tab w:val="right" w:pos="9026" w:leader="dot"/>
            </w:tabs>
            <w:rPr/>
          </w:pPr>
          <w:hyperlink w:anchor="__RefHeading___Toc363486_581953129">
            <w:r>
              <w:rPr>
                <w:webHidden/>
                <w:rStyle w:val="IndexLink"/>
                <w:rtl w:val="true"/>
              </w:rPr>
              <w:t>زکاة مال التجارة</w:t>
            </w:r>
            <w:r>
              <w:rPr>
                <w:rStyle w:val="IndexLink"/>
                <w:rtl w:val="true"/>
              </w:rPr>
              <w:tab/>
            </w:r>
            <w:r>
              <w:rPr>
                <w:rStyle w:val="IndexLink"/>
              </w:rPr>
              <w:t>298</w:t>
            </w:r>
          </w:hyperlink>
        </w:p>
        <w:p>
          <w:pPr>
            <w:pStyle w:val="Contents4"/>
            <w:tabs>
              <w:tab w:val="clear" w:pos="8176"/>
              <w:tab w:val="right" w:pos="9026" w:leader="dot"/>
            </w:tabs>
            <w:rPr/>
          </w:pPr>
          <w:hyperlink w:anchor="__RefHeading___Toc363488_581953129">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363490_581953129">
            <w:r>
              <w:rPr>
                <w:webHidden/>
                <w:rStyle w:val="IndexLink"/>
                <w:rtl w:val="true"/>
              </w:rPr>
              <w:t>المذاهب الاربعة</w:t>
            </w:r>
            <w:r>
              <w:rPr>
                <w:rStyle w:val="IndexLink"/>
                <w:rtl w:val="true"/>
              </w:rPr>
              <w:tab/>
            </w:r>
            <w:r>
              <w:rPr>
                <w:rStyle w:val="IndexLink"/>
              </w:rPr>
              <w:t>298</w:t>
            </w:r>
          </w:hyperlink>
        </w:p>
        <w:p>
          <w:pPr>
            <w:pStyle w:val="Contents4"/>
            <w:tabs>
              <w:tab w:val="clear" w:pos="8176"/>
              <w:tab w:val="right" w:pos="9026" w:leader="dot"/>
            </w:tabs>
            <w:rPr/>
          </w:pPr>
          <w:hyperlink w:anchor="__RefHeading___Toc363492_581953129">
            <w:r>
              <w:rPr>
                <w:webHidden/>
                <w:rStyle w:val="IndexLink"/>
                <w:rtl w:val="true"/>
              </w:rPr>
              <w:t>المذهب الجعفری</w:t>
            </w:r>
            <w:r>
              <w:rPr>
                <w:rStyle w:val="IndexLink"/>
                <w:rtl w:val="true"/>
              </w:rPr>
              <w:tab/>
            </w:r>
            <w:r>
              <w:rPr>
                <w:rStyle w:val="IndexLink"/>
              </w:rPr>
              <w:t>299</w:t>
            </w:r>
          </w:hyperlink>
        </w:p>
        <w:p>
          <w:pPr>
            <w:pStyle w:val="Contents3"/>
            <w:tabs>
              <w:tab w:val="clear" w:pos="8459"/>
              <w:tab w:val="right" w:pos="9026" w:leader="dot"/>
            </w:tabs>
            <w:rPr/>
          </w:pPr>
          <w:hyperlink w:anchor="__RefHeading___Toc363494_581953129">
            <w:r>
              <w:rPr>
                <w:webHidden/>
                <w:rStyle w:val="IndexLink"/>
                <w:rtl w:val="true"/>
              </w:rPr>
              <w:t>نصاب المال المشترک</w:t>
            </w:r>
            <w:r>
              <w:rPr>
                <w:rStyle w:val="IndexLink"/>
                <w:rtl w:val="true"/>
              </w:rPr>
              <w:tab/>
            </w:r>
            <w:r>
              <w:rPr>
                <w:rStyle w:val="IndexLink"/>
              </w:rPr>
              <w:t>299</w:t>
            </w:r>
          </w:hyperlink>
        </w:p>
        <w:p>
          <w:pPr>
            <w:pStyle w:val="Contents4"/>
            <w:tabs>
              <w:tab w:val="clear" w:pos="8176"/>
              <w:tab w:val="right" w:pos="9026" w:leader="dot"/>
            </w:tabs>
            <w:rPr/>
          </w:pPr>
          <w:hyperlink w:anchor="__RefHeading___Toc363496_581953129">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363498_581953129">
            <w:r>
              <w:rPr>
                <w:webHidden/>
                <w:rStyle w:val="IndexLink"/>
                <w:rtl w:val="true"/>
              </w:rPr>
              <w:t>المذهب الجعفری</w:t>
            </w:r>
            <w:r>
              <w:rPr>
                <w:rStyle w:val="IndexLink"/>
                <w:rtl w:val="true"/>
              </w:rPr>
              <w:tab/>
            </w:r>
            <w:r>
              <w:rPr>
                <w:rStyle w:val="IndexLink"/>
              </w:rPr>
              <w:t>299</w:t>
            </w:r>
          </w:hyperlink>
        </w:p>
        <w:p>
          <w:pPr>
            <w:pStyle w:val="Contents4"/>
            <w:tabs>
              <w:tab w:val="clear" w:pos="8176"/>
              <w:tab w:val="right" w:pos="9026" w:leader="dot"/>
            </w:tabs>
            <w:rPr/>
          </w:pPr>
          <w:hyperlink w:anchor="__RefHeading___Toc363500_581953129">
            <w:r>
              <w:rPr>
                <w:webHidden/>
                <w:rStyle w:val="IndexLink"/>
                <w:rtl w:val="true"/>
              </w:rPr>
              <w:t>المذهب الشافعی</w:t>
            </w:r>
            <w:r>
              <w:rPr>
                <w:rStyle w:val="IndexLink"/>
                <w:rtl w:val="true"/>
              </w:rPr>
              <w:tab/>
            </w:r>
            <w:r>
              <w:rPr>
                <w:rStyle w:val="IndexLink"/>
              </w:rPr>
              <w:t>299</w:t>
            </w:r>
          </w:hyperlink>
        </w:p>
        <w:p>
          <w:pPr>
            <w:pStyle w:val="Contents4"/>
            <w:tabs>
              <w:tab w:val="clear" w:pos="8176"/>
              <w:tab w:val="right" w:pos="9026" w:leader="dot"/>
            </w:tabs>
            <w:rPr/>
          </w:pPr>
          <w:hyperlink w:anchor="__RefHeading___Toc363502_581953129">
            <w:r>
              <w:rPr>
                <w:webHidden/>
                <w:rStyle w:val="IndexLink"/>
                <w:rtl w:val="true"/>
              </w:rPr>
              <w:t>منشأ الاختلاف</w:t>
            </w:r>
            <w:r>
              <w:rPr>
                <w:rStyle w:val="IndexLink"/>
                <w:rtl w:val="true"/>
              </w:rPr>
              <w:tab/>
            </w:r>
            <w:r>
              <w:rPr>
                <w:rStyle w:val="IndexLink"/>
              </w:rPr>
              <w:t>300</w:t>
            </w:r>
          </w:hyperlink>
        </w:p>
        <w:p>
          <w:pPr>
            <w:pStyle w:val="Contents3"/>
            <w:tabs>
              <w:tab w:val="clear" w:pos="8459"/>
              <w:tab w:val="right" w:pos="9026" w:leader="dot"/>
            </w:tabs>
            <w:rPr/>
          </w:pPr>
          <w:hyperlink w:anchor="__RefHeading___Toc363504_581953129">
            <w:r>
              <w:rPr>
                <w:webHidden/>
                <w:rStyle w:val="IndexLink"/>
                <w:rtl w:val="true"/>
              </w:rPr>
              <w:t>مانعیة الدین عن الزکاة</w:t>
            </w:r>
            <w:r>
              <w:rPr>
                <w:rStyle w:val="IndexLink"/>
                <w:rtl w:val="true"/>
              </w:rPr>
              <w:tab/>
            </w:r>
            <w:r>
              <w:rPr>
                <w:rStyle w:val="IndexLink"/>
              </w:rPr>
              <w:t>300</w:t>
            </w:r>
          </w:hyperlink>
        </w:p>
        <w:p>
          <w:pPr>
            <w:pStyle w:val="Contents4"/>
            <w:tabs>
              <w:tab w:val="clear" w:pos="8176"/>
              <w:tab w:val="right" w:pos="9026" w:leader="dot"/>
            </w:tabs>
            <w:rPr/>
          </w:pPr>
          <w:hyperlink w:anchor="__RefHeading___Toc363506_581953129">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363508_581953129">
            <w:r>
              <w:rPr>
                <w:webHidden/>
                <w:rStyle w:val="IndexLink"/>
                <w:rtl w:val="true"/>
              </w:rPr>
              <w:t>المذهب الجعفری</w:t>
            </w:r>
            <w:r>
              <w:rPr>
                <w:rStyle w:val="IndexLink"/>
                <w:rtl w:val="true"/>
              </w:rPr>
              <w:tab/>
            </w:r>
            <w:r>
              <w:rPr>
                <w:rStyle w:val="IndexLink"/>
              </w:rPr>
              <w:t>300</w:t>
            </w:r>
          </w:hyperlink>
        </w:p>
        <w:p>
          <w:pPr>
            <w:pStyle w:val="Contents4"/>
            <w:tabs>
              <w:tab w:val="clear" w:pos="8176"/>
              <w:tab w:val="right" w:pos="9026" w:leader="dot"/>
            </w:tabs>
            <w:rPr/>
          </w:pPr>
          <w:hyperlink w:anchor="__RefHeading___Toc363510_581953129">
            <w:r>
              <w:rPr>
                <w:webHidden/>
                <w:rStyle w:val="IndexLink"/>
                <w:rtl w:val="true"/>
              </w:rPr>
              <w:t>المذاهب الثلاثة الأخری</w:t>
            </w:r>
            <w:r>
              <w:rPr>
                <w:rStyle w:val="IndexLink"/>
                <w:rtl w:val="true"/>
              </w:rPr>
              <w:tab/>
            </w:r>
            <w:r>
              <w:rPr>
                <w:rStyle w:val="IndexLink"/>
              </w:rPr>
              <w:t>300</w:t>
            </w:r>
          </w:hyperlink>
        </w:p>
        <w:p>
          <w:pPr>
            <w:pStyle w:val="Contents4"/>
            <w:tabs>
              <w:tab w:val="clear" w:pos="8176"/>
              <w:tab w:val="right" w:pos="9026" w:leader="dot"/>
            </w:tabs>
            <w:rPr/>
          </w:pPr>
          <w:hyperlink w:anchor="__RefHeading___Toc363512_581953129">
            <w:r>
              <w:rPr>
                <w:webHidden/>
                <w:rStyle w:val="IndexLink"/>
                <w:rtl w:val="true"/>
              </w:rPr>
              <w:t>منشأ الاختلاف</w:t>
            </w:r>
            <w:r>
              <w:rPr>
                <w:rStyle w:val="IndexLink"/>
                <w:rtl w:val="true"/>
              </w:rPr>
              <w:tab/>
            </w:r>
            <w:r>
              <w:rPr>
                <w:rStyle w:val="IndexLink"/>
              </w:rPr>
              <w:t>301</w:t>
            </w:r>
          </w:hyperlink>
        </w:p>
        <w:p>
          <w:pPr>
            <w:pStyle w:val="Contents3"/>
            <w:tabs>
              <w:tab w:val="clear" w:pos="8459"/>
              <w:tab w:val="right" w:pos="9026" w:leader="dot"/>
            </w:tabs>
            <w:rPr/>
          </w:pPr>
          <w:hyperlink w:anchor="__RefHeading___Toc363514_581953129">
            <w:r>
              <w:rPr>
                <w:webHidden/>
                <w:rStyle w:val="IndexLink"/>
                <w:rtl w:val="true"/>
              </w:rPr>
              <w:t>الخلاصة</w:t>
            </w:r>
            <w:r>
              <w:rPr>
                <w:rStyle w:val="IndexLink"/>
                <w:rtl w:val="true"/>
              </w:rPr>
              <w:tab/>
            </w:r>
            <w:r>
              <w:rPr>
                <w:rStyle w:val="IndexLink"/>
              </w:rPr>
              <w:t>302</w:t>
            </w:r>
          </w:hyperlink>
        </w:p>
        <w:p>
          <w:pPr>
            <w:pStyle w:val="Contents3"/>
            <w:tabs>
              <w:tab w:val="clear" w:pos="8459"/>
              <w:tab w:val="right" w:pos="9026" w:leader="dot"/>
            </w:tabs>
            <w:rPr/>
          </w:pPr>
          <w:hyperlink w:anchor="__RefHeading___Toc363516_581953129">
            <w:r>
              <w:rPr>
                <w:webHidden/>
                <w:rStyle w:val="IndexLink"/>
                <w:rtl w:val="true"/>
              </w:rPr>
              <w:t>الأسئلة</w:t>
            </w:r>
            <w:r>
              <w:rPr>
                <w:rStyle w:val="IndexLink"/>
                <w:rtl w:val="true"/>
              </w:rPr>
              <w:tab/>
            </w:r>
            <w:r>
              <w:rPr>
                <w:rStyle w:val="IndexLink"/>
              </w:rPr>
              <w:t>303</w:t>
            </w:r>
          </w:hyperlink>
        </w:p>
        <w:p>
          <w:pPr>
            <w:pStyle w:val="Contents2"/>
            <w:tabs>
              <w:tab w:val="clear" w:pos="8743"/>
              <w:tab w:val="right" w:pos="9026" w:leader="dot"/>
            </w:tabs>
            <w:rPr/>
          </w:pPr>
          <w:hyperlink w:anchor="__RefHeading___Toc363518_581953129">
            <w:r>
              <w:rPr>
                <w:webHidden/>
                <w:rStyle w:val="IndexLink"/>
              </w:rPr>
              <w:t>22</w:t>
            </w:r>
            <w:r>
              <w:rPr>
                <w:rStyle w:val="IndexLink"/>
                <w:rtl w:val="true"/>
              </w:rPr>
              <w:t xml:space="preserve">- </w:t>
            </w:r>
            <w:r>
              <w:rPr>
                <w:rStyle w:val="IndexLink"/>
                <w:rtl w:val="true"/>
              </w:rPr>
              <w:t>أصناف المستحقین</w:t>
            </w:r>
            <w:r>
              <w:rPr>
                <w:rStyle w:val="IndexLink"/>
                <w:rtl w:val="true"/>
              </w:rPr>
              <w:tab/>
            </w:r>
            <w:r>
              <w:rPr>
                <w:rStyle w:val="IndexLink"/>
              </w:rPr>
              <w:t>304</w:t>
            </w:r>
          </w:hyperlink>
        </w:p>
        <w:p>
          <w:pPr>
            <w:pStyle w:val="Contents3"/>
            <w:tabs>
              <w:tab w:val="clear" w:pos="8459"/>
              <w:tab w:val="right" w:pos="9026" w:leader="dot"/>
            </w:tabs>
            <w:rPr/>
          </w:pPr>
          <w:hyperlink w:anchor="__RefHeading___Toc363520_581953129">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363522_581953129">
            <w:r>
              <w:rPr>
                <w:webHidden/>
                <w:rStyle w:val="IndexLink"/>
                <w:rtl w:val="true"/>
              </w:rPr>
              <w:t>مصداق الفقیر</w:t>
            </w:r>
            <w:r>
              <w:rPr>
                <w:rStyle w:val="IndexLink"/>
                <w:rtl w:val="true"/>
              </w:rPr>
              <w:tab/>
            </w:r>
            <w:r>
              <w:rPr>
                <w:rStyle w:val="IndexLink"/>
              </w:rPr>
              <w:t>304</w:t>
            </w:r>
          </w:hyperlink>
        </w:p>
        <w:p>
          <w:pPr>
            <w:pStyle w:val="Contents4"/>
            <w:tabs>
              <w:tab w:val="clear" w:pos="8176"/>
              <w:tab w:val="right" w:pos="9026" w:leader="dot"/>
            </w:tabs>
            <w:rPr/>
          </w:pPr>
          <w:hyperlink w:anchor="__RefHeading___Toc363524_581953129">
            <w:r>
              <w:rPr>
                <w:webHidden/>
                <w:rStyle w:val="IndexLink"/>
                <w:rtl w:val="true"/>
              </w:rPr>
              <w:t>المذهب الجعفری</w:t>
            </w:r>
            <w:r>
              <w:rPr>
                <w:rStyle w:val="IndexLink"/>
                <w:rtl w:val="true"/>
              </w:rPr>
              <w:tab/>
            </w:r>
            <w:r>
              <w:rPr>
                <w:rStyle w:val="IndexLink"/>
              </w:rPr>
              <w:t>304</w:t>
            </w:r>
          </w:hyperlink>
        </w:p>
        <w:p>
          <w:pPr>
            <w:pStyle w:val="Contents4"/>
            <w:tabs>
              <w:tab w:val="clear" w:pos="8176"/>
              <w:tab w:val="right" w:pos="9026" w:leader="dot"/>
            </w:tabs>
            <w:rPr/>
          </w:pPr>
          <w:hyperlink w:anchor="__RefHeading___Toc363526_581953129">
            <w:r>
              <w:rPr>
                <w:webHidden/>
                <w:rStyle w:val="IndexLink"/>
                <w:rtl w:val="true"/>
              </w:rPr>
              <w:t>المذهب الحنبلی</w:t>
            </w:r>
            <w:r>
              <w:rPr>
                <w:rStyle w:val="IndexLink"/>
                <w:rtl w:val="true"/>
              </w:rPr>
              <w:t>:</w:t>
              <w:tab/>
            </w:r>
            <w:r>
              <w:rPr>
                <w:rStyle w:val="IndexLink"/>
              </w:rPr>
              <w:t>304</w:t>
            </w:r>
          </w:hyperlink>
        </w:p>
        <w:p>
          <w:pPr>
            <w:pStyle w:val="Contents4"/>
            <w:tabs>
              <w:tab w:val="clear" w:pos="8176"/>
              <w:tab w:val="right" w:pos="9026" w:leader="dot"/>
            </w:tabs>
            <w:rPr/>
          </w:pPr>
          <w:hyperlink w:anchor="__RefHeading___Toc363528_581953129">
            <w:r>
              <w:rPr>
                <w:webHidden/>
                <w:rStyle w:val="IndexLink"/>
                <w:rtl w:val="true"/>
              </w:rPr>
              <w:t>المذهب الحنفی</w:t>
            </w:r>
            <w:r>
              <w:rPr>
                <w:rStyle w:val="IndexLink"/>
                <w:rtl w:val="true"/>
              </w:rPr>
              <w:t>:</w:t>
              <w:tab/>
            </w:r>
            <w:r>
              <w:rPr>
                <w:rStyle w:val="IndexLink"/>
              </w:rPr>
              <w:t>305</w:t>
            </w:r>
          </w:hyperlink>
        </w:p>
        <w:p>
          <w:pPr>
            <w:pStyle w:val="Contents4"/>
            <w:tabs>
              <w:tab w:val="clear" w:pos="8176"/>
              <w:tab w:val="right" w:pos="9026" w:leader="dot"/>
            </w:tabs>
            <w:rPr/>
          </w:pPr>
          <w:hyperlink w:anchor="__RefHeading___Toc363530_581953129">
            <w:r>
              <w:rPr>
                <w:webHidden/>
                <w:rStyle w:val="IndexLink"/>
                <w:rtl w:val="true"/>
              </w:rPr>
              <w:t>المذهب المالکی</w:t>
            </w:r>
            <w:r>
              <w:rPr>
                <w:rStyle w:val="IndexLink"/>
                <w:rtl w:val="true"/>
              </w:rPr>
              <w:t>:</w:t>
              <w:tab/>
            </w:r>
            <w:r>
              <w:rPr>
                <w:rStyle w:val="IndexLink"/>
              </w:rPr>
              <w:t>305</w:t>
            </w:r>
          </w:hyperlink>
        </w:p>
        <w:p>
          <w:pPr>
            <w:pStyle w:val="Contents3"/>
            <w:tabs>
              <w:tab w:val="clear" w:pos="8459"/>
              <w:tab w:val="right" w:pos="9026" w:leader="dot"/>
            </w:tabs>
            <w:rPr/>
          </w:pPr>
          <w:hyperlink w:anchor="__RefHeading___Toc363532_581953129">
            <w:r>
              <w:rPr>
                <w:webHidden/>
                <w:rStyle w:val="IndexLink"/>
                <w:rtl w:val="true"/>
              </w:rPr>
              <w:t>الأقرب یمنع الأبعد</w:t>
            </w:r>
            <w:r>
              <w:rPr>
                <w:rStyle w:val="IndexLink"/>
                <w:rtl w:val="true"/>
              </w:rPr>
              <w:tab/>
            </w:r>
            <w:r>
              <w:rPr>
                <w:rStyle w:val="IndexLink"/>
              </w:rPr>
              <w:t>305</w:t>
            </w:r>
          </w:hyperlink>
        </w:p>
        <w:p>
          <w:pPr>
            <w:pStyle w:val="Contents3"/>
            <w:tabs>
              <w:tab w:val="clear" w:pos="8459"/>
              <w:tab w:val="right" w:pos="9026" w:leader="dot"/>
            </w:tabs>
            <w:rPr/>
          </w:pPr>
          <w:hyperlink w:anchor="__RefHeading___Toc363534_581953129">
            <w:r>
              <w:rPr>
                <w:webHidden/>
                <w:rStyle w:val="IndexLink"/>
                <w:rtl w:val="true"/>
              </w:rPr>
              <w:t>معنی فی سبیل الله</w:t>
            </w:r>
            <w:r>
              <w:rPr>
                <w:rStyle w:val="IndexLink"/>
                <w:rtl w:val="true"/>
              </w:rPr>
              <w:tab/>
            </w:r>
            <w:r>
              <w:rPr>
                <w:rStyle w:val="IndexLink"/>
              </w:rPr>
              <w:t>306</w:t>
            </w:r>
          </w:hyperlink>
        </w:p>
        <w:p>
          <w:pPr>
            <w:pStyle w:val="Contents4"/>
            <w:tabs>
              <w:tab w:val="clear" w:pos="8176"/>
              <w:tab w:val="right" w:pos="9026" w:leader="dot"/>
            </w:tabs>
            <w:rPr/>
          </w:pPr>
          <w:hyperlink w:anchor="__RefHeading___Toc363536_581953129">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363538_581953129">
            <w:r>
              <w:rPr>
                <w:webHidden/>
                <w:rStyle w:val="IndexLink"/>
                <w:rtl w:val="true"/>
              </w:rPr>
              <w:t>المذاهب الاربعة</w:t>
            </w:r>
            <w:r>
              <w:rPr>
                <w:rStyle w:val="IndexLink"/>
                <w:rtl w:val="true"/>
              </w:rPr>
              <w:tab/>
            </w:r>
            <w:r>
              <w:rPr>
                <w:rStyle w:val="IndexLink"/>
              </w:rPr>
              <w:t>306</w:t>
            </w:r>
          </w:hyperlink>
        </w:p>
        <w:p>
          <w:pPr>
            <w:pStyle w:val="Contents4"/>
            <w:tabs>
              <w:tab w:val="clear" w:pos="8176"/>
              <w:tab w:val="right" w:pos="9026" w:leader="dot"/>
            </w:tabs>
            <w:rPr/>
          </w:pPr>
          <w:hyperlink w:anchor="__RefHeading___Toc363540_581953129">
            <w:r>
              <w:rPr>
                <w:webHidden/>
                <w:rStyle w:val="IndexLink"/>
                <w:rtl w:val="true"/>
              </w:rPr>
              <w:t>المذهب الجعفری</w:t>
            </w:r>
            <w:r>
              <w:rPr>
                <w:rStyle w:val="IndexLink"/>
                <w:rtl w:val="true"/>
              </w:rPr>
              <w:tab/>
            </w:r>
            <w:r>
              <w:rPr>
                <w:rStyle w:val="IndexLink"/>
              </w:rPr>
              <w:t>306</w:t>
            </w:r>
          </w:hyperlink>
        </w:p>
        <w:p>
          <w:pPr>
            <w:pStyle w:val="Contents3"/>
            <w:tabs>
              <w:tab w:val="clear" w:pos="8459"/>
              <w:tab w:val="right" w:pos="9026" w:leader="dot"/>
            </w:tabs>
            <w:rPr/>
          </w:pPr>
          <w:hyperlink w:anchor="__RefHeading___Toc363542_581953129">
            <w:r>
              <w:rPr>
                <w:webHidden/>
                <w:rStyle w:val="IndexLink"/>
                <w:rtl w:val="true"/>
              </w:rPr>
              <w:t>حول إعطاء الزکاة لمستحقّ واحد</w:t>
            </w:r>
            <w:r>
              <w:rPr>
                <w:rStyle w:val="IndexLink"/>
                <w:rtl w:val="true"/>
              </w:rPr>
              <w:tab/>
            </w:r>
            <w:r>
              <w:rPr>
                <w:rStyle w:val="IndexLink"/>
              </w:rPr>
              <w:t>306</w:t>
            </w:r>
          </w:hyperlink>
        </w:p>
        <w:p>
          <w:pPr>
            <w:pStyle w:val="Contents3"/>
            <w:tabs>
              <w:tab w:val="clear" w:pos="8459"/>
              <w:tab w:val="right" w:pos="9026" w:leader="dot"/>
            </w:tabs>
            <w:rPr/>
          </w:pPr>
          <w:hyperlink w:anchor="__RefHeading___Toc363544_581953129">
            <w:r>
              <w:rPr>
                <w:webHidden/>
                <w:rStyle w:val="IndexLink"/>
                <w:rtl w:val="true"/>
              </w:rPr>
              <w:t>شروط زکاة الفطرة</w:t>
            </w:r>
            <w:r>
              <w:rPr>
                <w:rStyle w:val="IndexLink"/>
                <w:rtl w:val="true"/>
              </w:rPr>
              <w:tab/>
            </w:r>
            <w:r>
              <w:rPr>
                <w:rStyle w:val="IndexLink"/>
              </w:rPr>
              <w:t>307</w:t>
            </w:r>
          </w:hyperlink>
        </w:p>
        <w:p>
          <w:pPr>
            <w:pStyle w:val="Contents4"/>
            <w:tabs>
              <w:tab w:val="clear" w:pos="8176"/>
              <w:tab w:val="right" w:pos="9026" w:leader="dot"/>
            </w:tabs>
            <w:rPr/>
          </w:pPr>
          <w:hyperlink w:anchor="__RefHeading___Toc363546_581953129">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363548_581953129">
            <w:r>
              <w:rPr>
                <w:webHidden/>
                <w:rStyle w:val="IndexLink"/>
                <w:rtl w:val="true"/>
              </w:rPr>
              <w:t>المذهب الجعفری</w:t>
            </w:r>
            <w:r>
              <w:rPr>
                <w:rStyle w:val="IndexLink"/>
                <w:rtl w:val="true"/>
              </w:rPr>
              <w:tab/>
            </w:r>
            <w:r>
              <w:rPr>
                <w:rStyle w:val="IndexLink"/>
              </w:rPr>
              <w:t>307</w:t>
            </w:r>
          </w:hyperlink>
        </w:p>
        <w:p>
          <w:pPr>
            <w:pStyle w:val="Contents4"/>
            <w:tabs>
              <w:tab w:val="clear" w:pos="8176"/>
              <w:tab w:val="right" w:pos="9026" w:leader="dot"/>
            </w:tabs>
            <w:rPr/>
          </w:pPr>
          <w:hyperlink w:anchor="__RefHeading___Toc363550_581953129">
            <w:r>
              <w:rPr>
                <w:webHidden/>
                <w:rStyle w:val="IndexLink"/>
                <w:rtl w:val="true"/>
              </w:rPr>
              <w:t>منشأ الاختلاف</w:t>
            </w:r>
            <w:r>
              <w:rPr>
                <w:rStyle w:val="IndexLink"/>
                <w:rtl w:val="true"/>
              </w:rPr>
              <w:tab/>
            </w:r>
            <w:r>
              <w:rPr>
                <w:rStyle w:val="IndexLink"/>
              </w:rPr>
              <w:t>308</w:t>
            </w:r>
          </w:hyperlink>
        </w:p>
        <w:p>
          <w:pPr>
            <w:pStyle w:val="Contents3"/>
            <w:tabs>
              <w:tab w:val="clear" w:pos="8459"/>
              <w:tab w:val="right" w:pos="9026" w:leader="dot"/>
            </w:tabs>
            <w:rPr/>
          </w:pPr>
          <w:hyperlink w:anchor="__RefHeading___Toc363552_581953129">
            <w:r>
              <w:rPr>
                <w:webHidden/>
                <w:rStyle w:val="IndexLink"/>
                <w:rtl w:val="true"/>
              </w:rPr>
              <w:t>نطاق وجوب الفطرة</w:t>
            </w:r>
            <w:r>
              <w:rPr>
                <w:rStyle w:val="IndexLink"/>
                <w:rtl w:val="true"/>
              </w:rPr>
              <w:tab/>
            </w:r>
            <w:r>
              <w:rPr>
                <w:rStyle w:val="IndexLink"/>
              </w:rPr>
              <w:t>308</w:t>
            </w:r>
          </w:hyperlink>
        </w:p>
        <w:p>
          <w:pPr>
            <w:pStyle w:val="Contents4"/>
            <w:tabs>
              <w:tab w:val="clear" w:pos="8176"/>
              <w:tab w:val="right" w:pos="9026" w:leader="dot"/>
            </w:tabs>
            <w:rPr/>
          </w:pPr>
          <w:hyperlink w:anchor="__RefHeading___Toc363554_581953129">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363556_581953129">
            <w:r>
              <w:rPr>
                <w:webHidden/>
                <w:rStyle w:val="IndexLink"/>
                <w:rtl w:val="true"/>
              </w:rPr>
              <w:t>المذهب الجعفری</w:t>
            </w:r>
            <w:r>
              <w:rPr>
                <w:rStyle w:val="IndexLink"/>
                <w:rtl w:val="true"/>
              </w:rPr>
              <w:tab/>
            </w:r>
            <w:r>
              <w:rPr>
                <w:rStyle w:val="IndexLink"/>
              </w:rPr>
              <w:t>308</w:t>
            </w:r>
          </w:hyperlink>
        </w:p>
        <w:p>
          <w:pPr>
            <w:pStyle w:val="Contents4"/>
            <w:tabs>
              <w:tab w:val="clear" w:pos="8176"/>
              <w:tab w:val="right" w:pos="9026" w:leader="dot"/>
            </w:tabs>
            <w:rPr/>
          </w:pPr>
          <w:hyperlink w:anchor="__RefHeading___Toc363558_581953129">
            <w:r>
              <w:rPr>
                <w:webHidden/>
                <w:rStyle w:val="IndexLink"/>
                <w:rtl w:val="true"/>
              </w:rPr>
              <w:t>المذاهب الاربعة</w:t>
            </w:r>
            <w:r>
              <w:rPr>
                <w:rStyle w:val="IndexLink"/>
                <w:rtl w:val="true"/>
              </w:rPr>
              <w:tab/>
            </w:r>
            <w:r>
              <w:rPr>
                <w:rStyle w:val="IndexLink"/>
              </w:rPr>
              <w:t>308</w:t>
            </w:r>
          </w:hyperlink>
        </w:p>
        <w:p>
          <w:pPr>
            <w:pStyle w:val="Contents4"/>
            <w:tabs>
              <w:tab w:val="clear" w:pos="8176"/>
              <w:tab w:val="right" w:pos="9026" w:leader="dot"/>
            </w:tabs>
            <w:rPr/>
          </w:pPr>
          <w:hyperlink w:anchor="__RefHeading___Toc363560_581953129">
            <w:r>
              <w:rPr>
                <w:webHidden/>
                <w:rStyle w:val="IndexLink"/>
                <w:rtl w:val="true"/>
              </w:rPr>
              <w:t>منشأ الاختلاف</w:t>
            </w:r>
            <w:r>
              <w:rPr>
                <w:rStyle w:val="IndexLink"/>
                <w:rtl w:val="true"/>
              </w:rPr>
              <w:tab/>
            </w:r>
            <w:r>
              <w:rPr>
                <w:rStyle w:val="IndexLink"/>
              </w:rPr>
              <w:t>309</w:t>
            </w:r>
          </w:hyperlink>
        </w:p>
        <w:p>
          <w:pPr>
            <w:pStyle w:val="Contents3"/>
            <w:tabs>
              <w:tab w:val="clear" w:pos="8459"/>
              <w:tab w:val="right" w:pos="9026" w:leader="dot"/>
            </w:tabs>
            <w:rPr/>
          </w:pPr>
          <w:hyperlink w:anchor="__RefHeading___Toc363562_581953129">
            <w:r>
              <w:rPr>
                <w:webHidden/>
                <w:rStyle w:val="IndexLink"/>
                <w:rtl w:val="true"/>
              </w:rPr>
              <w:t>وقت الوجوب</w:t>
            </w:r>
            <w:r>
              <w:rPr>
                <w:rStyle w:val="IndexLink"/>
                <w:rtl w:val="true"/>
              </w:rPr>
              <w:tab/>
            </w:r>
            <w:r>
              <w:rPr>
                <w:rStyle w:val="IndexLink"/>
              </w:rPr>
              <w:t>309</w:t>
            </w:r>
          </w:hyperlink>
        </w:p>
        <w:p>
          <w:pPr>
            <w:pStyle w:val="Contents4"/>
            <w:tabs>
              <w:tab w:val="clear" w:pos="8176"/>
              <w:tab w:val="right" w:pos="9026" w:leader="dot"/>
            </w:tabs>
            <w:rPr/>
          </w:pPr>
          <w:hyperlink w:anchor="__RefHeading___Toc363564_581953129">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363566_581953129">
            <w:r>
              <w:rPr>
                <w:webHidden/>
                <w:rStyle w:val="IndexLink"/>
                <w:rtl w:val="true"/>
              </w:rPr>
              <w:t>المذهب الجعفری</w:t>
            </w:r>
            <w:r>
              <w:rPr>
                <w:rStyle w:val="IndexLink"/>
                <w:rtl w:val="true"/>
              </w:rPr>
              <w:tab/>
            </w:r>
            <w:r>
              <w:rPr>
                <w:rStyle w:val="IndexLink"/>
              </w:rPr>
              <w:t>309</w:t>
            </w:r>
          </w:hyperlink>
        </w:p>
        <w:p>
          <w:pPr>
            <w:pStyle w:val="Contents4"/>
            <w:tabs>
              <w:tab w:val="clear" w:pos="8176"/>
              <w:tab w:val="right" w:pos="9026" w:leader="dot"/>
            </w:tabs>
            <w:rPr/>
          </w:pPr>
          <w:hyperlink w:anchor="__RefHeading___Toc363568_581953129">
            <w:r>
              <w:rPr>
                <w:webHidden/>
                <w:rStyle w:val="IndexLink"/>
                <w:rtl w:val="true"/>
              </w:rPr>
              <w:t>المذهب الحنفی</w:t>
            </w:r>
            <w:r>
              <w:rPr>
                <w:rStyle w:val="IndexLink"/>
                <w:rtl w:val="true"/>
              </w:rPr>
              <w:tab/>
            </w:r>
            <w:r>
              <w:rPr>
                <w:rStyle w:val="IndexLink"/>
              </w:rPr>
              <w:t>309</w:t>
            </w:r>
          </w:hyperlink>
        </w:p>
        <w:p>
          <w:pPr>
            <w:pStyle w:val="Contents3"/>
            <w:tabs>
              <w:tab w:val="clear" w:pos="8459"/>
              <w:tab w:val="right" w:pos="9026" w:leader="dot"/>
            </w:tabs>
            <w:rPr/>
          </w:pPr>
          <w:hyperlink w:anchor="__RefHeading___Toc363570_581953129">
            <w:r>
              <w:rPr>
                <w:webHidden/>
                <w:rStyle w:val="IndexLink"/>
                <w:rtl w:val="true"/>
              </w:rPr>
              <w:t>وقت الأداء</w:t>
            </w:r>
            <w:r>
              <w:rPr>
                <w:rStyle w:val="IndexLink"/>
                <w:rtl w:val="true"/>
              </w:rPr>
              <w:tab/>
            </w:r>
            <w:r>
              <w:rPr>
                <w:rStyle w:val="IndexLink"/>
              </w:rPr>
              <w:t>310</w:t>
            </w:r>
          </w:hyperlink>
        </w:p>
        <w:p>
          <w:pPr>
            <w:pStyle w:val="Contents4"/>
            <w:tabs>
              <w:tab w:val="clear" w:pos="8176"/>
              <w:tab w:val="right" w:pos="9026" w:leader="dot"/>
            </w:tabs>
            <w:rPr/>
          </w:pPr>
          <w:hyperlink w:anchor="__RefHeading___Toc363572_581953129">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363574_581953129">
            <w:r>
              <w:rPr>
                <w:webHidden/>
                <w:rStyle w:val="IndexLink"/>
                <w:rtl w:val="true"/>
              </w:rPr>
              <w:t>المذهب الجعفری</w:t>
            </w:r>
            <w:r>
              <w:rPr>
                <w:rStyle w:val="IndexLink"/>
                <w:rtl w:val="true"/>
              </w:rPr>
              <w:tab/>
            </w:r>
            <w:r>
              <w:rPr>
                <w:rStyle w:val="IndexLink"/>
              </w:rPr>
              <w:t>310</w:t>
            </w:r>
          </w:hyperlink>
        </w:p>
        <w:p>
          <w:pPr>
            <w:pStyle w:val="Contents4"/>
            <w:tabs>
              <w:tab w:val="clear" w:pos="8176"/>
              <w:tab w:val="right" w:pos="9026" w:leader="dot"/>
            </w:tabs>
            <w:rPr/>
          </w:pPr>
          <w:hyperlink w:anchor="__RefHeading___Toc363576_581953129">
            <w:r>
              <w:rPr>
                <w:webHidden/>
                <w:rStyle w:val="IndexLink"/>
                <w:rtl w:val="true"/>
              </w:rPr>
              <w:t>المذهب الحنبلی</w:t>
            </w:r>
            <w:r>
              <w:rPr>
                <w:rStyle w:val="IndexLink"/>
                <w:rtl w:val="true"/>
              </w:rPr>
              <w:tab/>
            </w:r>
            <w:r>
              <w:rPr>
                <w:rStyle w:val="IndexLink"/>
              </w:rPr>
              <w:t>310</w:t>
            </w:r>
          </w:hyperlink>
        </w:p>
        <w:p>
          <w:pPr>
            <w:pStyle w:val="Contents4"/>
            <w:tabs>
              <w:tab w:val="clear" w:pos="8176"/>
              <w:tab w:val="right" w:pos="9026" w:leader="dot"/>
            </w:tabs>
            <w:rPr/>
          </w:pPr>
          <w:hyperlink w:anchor="__RefHeading___Toc363578_581953129">
            <w:r>
              <w:rPr>
                <w:webHidden/>
                <w:rStyle w:val="IndexLink"/>
                <w:rtl w:val="true"/>
              </w:rPr>
              <w:t>المذهب الحنفی</w:t>
            </w:r>
            <w:r>
              <w:rPr>
                <w:rStyle w:val="IndexLink"/>
                <w:rtl w:val="true"/>
              </w:rPr>
              <w:tab/>
            </w:r>
            <w:r>
              <w:rPr>
                <w:rStyle w:val="IndexLink"/>
              </w:rPr>
              <w:t>311</w:t>
            </w:r>
          </w:hyperlink>
        </w:p>
        <w:p>
          <w:pPr>
            <w:pStyle w:val="Contents4"/>
            <w:tabs>
              <w:tab w:val="clear" w:pos="8176"/>
              <w:tab w:val="right" w:pos="9026" w:leader="dot"/>
            </w:tabs>
            <w:rPr/>
          </w:pPr>
          <w:hyperlink w:anchor="__RefHeading___Toc363580_581953129">
            <w:r>
              <w:rPr>
                <w:webHidden/>
                <w:rStyle w:val="IndexLink"/>
                <w:rtl w:val="true"/>
              </w:rPr>
              <w:t>المذهب الشافعی</w:t>
            </w:r>
            <w:r>
              <w:rPr>
                <w:rStyle w:val="IndexLink"/>
                <w:rtl w:val="true"/>
              </w:rPr>
              <w:tab/>
            </w:r>
            <w:r>
              <w:rPr>
                <w:rStyle w:val="IndexLink"/>
              </w:rPr>
              <w:t>311</w:t>
            </w:r>
          </w:hyperlink>
        </w:p>
        <w:p>
          <w:pPr>
            <w:pStyle w:val="Contents4"/>
            <w:tabs>
              <w:tab w:val="clear" w:pos="8176"/>
              <w:tab w:val="right" w:pos="9026" w:leader="dot"/>
            </w:tabs>
            <w:rPr/>
          </w:pPr>
          <w:hyperlink w:anchor="__RefHeading___Toc363582_581953129">
            <w:r>
              <w:rPr>
                <w:webHidden/>
                <w:rStyle w:val="IndexLink"/>
                <w:rtl w:val="true"/>
              </w:rPr>
              <w:t>المذهب المالکی</w:t>
            </w:r>
            <w:r>
              <w:rPr>
                <w:rStyle w:val="IndexLink"/>
                <w:rtl w:val="true"/>
              </w:rPr>
              <w:tab/>
            </w:r>
            <w:r>
              <w:rPr>
                <w:rStyle w:val="IndexLink"/>
              </w:rPr>
              <w:t>311</w:t>
            </w:r>
          </w:hyperlink>
        </w:p>
        <w:p>
          <w:pPr>
            <w:pStyle w:val="Contents4"/>
            <w:tabs>
              <w:tab w:val="clear" w:pos="8176"/>
              <w:tab w:val="right" w:pos="9026" w:leader="dot"/>
            </w:tabs>
            <w:rPr/>
          </w:pPr>
          <w:hyperlink w:anchor="__RefHeading___Toc363584_581953129">
            <w:r>
              <w:rPr>
                <w:webHidden/>
                <w:rStyle w:val="IndexLink"/>
                <w:rtl w:val="true"/>
              </w:rPr>
              <w:t>منشأ الاختلاف</w:t>
            </w:r>
            <w:r>
              <w:rPr>
                <w:rStyle w:val="IndexLink"/>
                <w:rtl w:val="true"/>
              </w:rPr>
              <w:tab/>
            </w:r>
            <w:r>
              <w:rPr>
                <w:rStyle w:val="IndexLink"/>
              </w:rPr>
              <w:t>311</w:t>
            </w:r>
          </w:hyperlink>
        </w:p>
        <w:p>
          <w:pPr>
            <w:pStyle w:val="Contents3"/>
            <w:tabs>
              <w:tab w:val="clear" w:pos="8459"/>
              <w:tab w:val="right" w:pos="9026" w:leader="dot"/>
            </w:tabs>
            <w:rPr/>
          </w:pPr>
          <w:hyperlink w:anchor="__RefHeading___Toc363586_581953129">
            <w:r>
              <w:rPr>
                <w:webHidden/>
                <w:rStyle w:val="IndexLink"/>
                <w:rtl w:val="true"/>
              </w:rPr>
              <w:t>الخلاصة</w:t>
            </w:r>
            <w:r>
              <w:rPr>
                <w:rStyle w:val="IndexLink"/>
                <w:rtl w:val="true"/>
              </w:rPr>
              <w:tab/>
            </w:r>
            <w:r>
              <w:rPr>
                <w:rStyle w:val="IndexLink"/>
              </w:rPr>
              <w:t>312</w:t>
            </w:r>
          </w:hyperlink>
        </w:p>
        <w:p>
          <w:pPr>
            <w:pStyle w:val="Contents3"/>
            <w:tabs>
              <w:tab w:val="clear" w:pos="8459"/>
              <w:tab w:val="right" w:pos="9026" w:leader="dot"/>
            </w:tabs>
            <w:rPr/>
          </w:pPr>
          <w:hyperlink w:anchor="__RefHeading___Toc363588_581953129">
            <w:r>
              <w:rPr>
                <w:webHidden/>
                <w:rStyle w:val="IndexLink"/>
                <w:rtl w:val="true"/>
              </w:rPr>
              <w:t>الأسئلة</w:t>
            </w:r>
            <w:r>
              <w:rPr>
                <w:rStyle w:val="IndexLink"/>
                <w:rtl w:val="true"/>
              </w:rPr>
              <w:tab/>
            </w:r>
            <w:r>
              <w:rPr>
                <w:rStyle w:val="IndexLink"/>
              </w:rPr>
              <w:t>313</w:t>
            </w:r>
          </w:hyperlink>
        </w:p>
        <w:p>
          <w:pPr>
            <w:pStyle w:val="Contents2"/>
            <w:tabs>
              <w:tab w:val="clear" w:pos="8743"/>
              <w:tab w:val="right" w:pos="9026" w:leader="dot"/>
            </w:tabs>
            <w:rPr/>
          </w:pPr>
          <w:hyperlink w:anchor="__RefHeading___Toc363590_581953129">
            <w:r>
              <w:rPr>
                <w:webHidden/>
                <w:rStyle w:val="IndexLink"/>
              </w:rPr>
              <w:t>23</w:t>
            </w:r>
            <w:r>
              <w:rPr>
                <w:rStyle w:val="IndexLink"/>
                <w:rtl w:val="true"/>
              </w:rPr>
              <w:t xml:space="preserve">- </w:t>
            </w:r>
            <w:r>
              <w:rPr>
                <w:rStyle w:val="IndexLink"/>
                <w:rtl w:val="true"/>
              </w:rPr>
              <w:t>الخمس</w:t>
            </w:r>
            <w:r>
              <w:rPr>
                <w:rStyle w:val="IndexLink"/>
                <w:rtl w:val="true"/>
              </w:rPr>
              <w:tab/>
            </w:r>
            <w:r>
              <w:rPr>
                <w:rStyle w:val="IndexLink"/>
              </w:rPr>
              <w:t>314</w:t>
            </w:r>
          </w:hyperlink>
        </w:p>
        <w:p>
          <w:pPr>
            <w:pStyle w:val="Contents3"/>
            <w:tabs>
              <w:tab w:val="clear" w:pos="8459"/>
              <w:tab w:val="right" w:pos="9026" w:leader="dot"/>
            </w:tabs>
            <w:rPr/>
          </w:pPr>
          <w:hyperlink w:anchor="__RefHeading___Toc363592_581953129">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363594_581953129">
            <w:r>
              <w:rPr>
                <w:webHidden/>
                <w:rStyle w:val="IndexLink"/>
                <w:rtl w:val="true"/>
              </w:rPr>
              <w:t>خمس مال التجارة</w:t>
            </w:r>
            <w:r>
              <w:rPr>
                <w:rStyle w:val="IndexLink"/>
                <w:rtl w:val="true"/>
              </w:rPr>
              <w:tab/>
            </w:r>
            <w:r>
              <w:rPr>
                <w:rStyle w:val="IndexLink"/>
              </w:rPr>
              <w:t>314</w:t>
            </w:r>
          </w:hyperlink>
        </w:p>
        <w:p>
          <w:pPr>
            <w:pStyle w:val="Contents4"/>
            <w:tabs>
              <w:tab w:val="clear" w:pos="8176"/>
              <w:tab w:val="right" w:pos="9026" w:leader="dot"/>
            </w:tabs>
            <w:rPr/>
          </w:pPr>
          <w:hyperlink w:anchor="__RefHeading___Toc363596_581953129">
            <w:r>
              <w:rPr>
                <w:webHidden/>
                <w:rStyle w:val="IndexLink"/>
                <w:rtl w:val="true"/>
              </w:rPr>
              <w:t>المذهب الجعفری</w:t>
            </w:r>
            <w:r>
              <w:rPr>
                <w:rStyle w:val="IndexLink"/>
                <w:rtl w:val="true"/>
              </w:rPr>
              <w:tab/>
            </w:r>
            <w:r>
              <w:rPr>
                <w:rStyle w:val="IndexLink"/>
              </w:rPr>
              <w:t>314</w:t>
            </w:r>
          </w:hyperlink>
        </w:p>
        <w:p>
          <w:pPr>
            <w:pStyle w:val="Contents4"/>
            <w:tabs>
              <w:tab w:val="clear" w:pos="8176"/>
              <w:tab w:val="right" w:pos="9026" w:leader="dot"/>
            </w:tabs>
            <w:rPr/>
          </w:pPr>
          <w:hyperlink w:anchor="__RefHeading___Toc363598_581953129">
            <w:r>
              <w:rPr>
                <w:webHidden/>
                <w:rStyle w:val="IndexLink"/>
                <w:rtl w:val="true"/>
              </w:rPr>
              <w:t>المذاهب الاربعة</w:t>
            </w:r>
            <w:r>
              <w:rPr>
                <w:rStyle w:val="IndexLink"/>
                <w:rtl w:val="true"/>
              </w:rPr>
              <w:tab/>
            </w:r>
            <w:r>
              <w:rPr>
                <w:rStyle w:val="IndexLink"/>
              </w:rPr>
              <w:t>315</w:t>
            </w:r>
          </w:hyperlink>
        </w:p>
        <w:p>
          <w:pPr>
            <w:pStyle w:val="Contents3"/>
            <w:tabs>
              <w:tab w:val="clear" w:pos="8459"/>
              <w:tab w:val="right" w:pos="9026" w:leader="dot"/>
            </w:tabs>
            <w:rPr/>
          </w:pPr>
          <w:hyperlink w:anchor="__RefHeading___Toc363600_581953129">
            <w:r>
              <w:rPr>
                <w:webHidden/>
                <w:rStyle w:val="IndexLink"/>
                <w:rtl w:val="true"/>
              </w:rPr>
              <w:t>خمس المعادن و الرکاز</w:t>
            </w:r>
            <w:r>
              <w:rPr>
                <w:rStyle w:val="IndexLink"/>
                <w:rtl w:val="true"/>
              </w:rPr>
              <w:tab/>
            </w:r>
            <w:r>
              <w:rPr>
                <w:rStyle w:val="IndexLink"/>
              </w:rPr>
              <w:t>315</w:t>
            </w:r>
          </w:hyperlink>
        </w:p>
        <w:p>
          <w:pPr>
            <w:pStyle w:val="Contents4"/>
            <w:tabs>
              <w:tab w:val="clear" w:pos="8176"/>
              <w:tab w:val="right" w:pos="9026" w:leader="dot"/>
            </w:tabs>
            <w:rPr/>
          </w:pPr>
          <w:hyperlink w:anchor="__RefHeading___Toc363602_581953129">
            <w:r>
              <w:rPr>
                <w:webHidden/>
                <w:rStyle w:val="IndexLink"/>
                <w:rtl w:val="true"/>
              </w:rPr>
              <w:t>المذاهب الاربعة</w:t>
            </w:r>
            <w:r>
              <w:rPr>
                <w:rStyle w:val="IndexLink"/>
                <w:rtl w:val="true"/>
              </w:rPr>
              <w:tab/>
            </w:r>
            <w:r>
              <w:rPr>
                <w:rStyle w:val="IndexLink"/>
              </w:rPr>
              <w:t>315</w:t>
            </w:r>
          </w:hyperlink>
        </w:p>
        <w:p>
          <w:pPr>
            <w:pStyle w:val="Contents4"/>
            <w:tabs>
              <w:tab w:val="clear" w:pos="8176"/>
              <w:tab w:val="right" w:pos="9026" w:leader="dot"/>
            </w:tabs>
            <w:rPr/>
          </w:pPr>
          <w:hyperlink w:anchor="__RefHeading___Toc363604_581953129">
            <w:r>
              <w:rPr>
                <w:webHidden/>
                <w:rStyle w:val="IndexLink"/>
                <w:rtl w:val="true"/>
              </w:rPr>
              <w:t>المذهب الجعفری</w:t>
            </w:r>
            <w:r>
              <w:rPr>
                <w:rStyle w:val="IndexLink"/>
                <w:rtl w:val="true"/>
              </w:rPr>
              <w:tab/>
            </w:r>
            <w:r>
              <w:rPr>
                <w:rStyle w:val="IndexLink"/>
              </w:rPr>
              <w:t>316</w:t>
            </w:r>
          </w:hyperlink>
        </w:p>
        <w:p>
          <w:pPr>
            <w:pStyle w:val="Contents3"/>
            <w:tabs>
              <w:tab w:val="clear" w:pos="8459"/>
              <w:tab w:val="right" w:pos="9026" w:leader="dot"/>
            </w:tabs>
            <w:rPr/>
          </w:pPr>
          <w:hyperlink w:anchor="__RefHeading___Toc363606_581953129">
            <w:r>
              <w:rPr>
                <w:webHidden/>
                <w:rStyle w:val="IndexLink"/>
                <w:rtl w:val="true"/>
              </w:rPr>
              <w:t>الجواهر المعدنیة</w:t>
            </w:r>
            <w:r>
              <w:rPr>
                <w:rStyle w:val="IndexLink"/>
                <w:rtl w:val="true"/>
              </w:rPr>
              <w:tab/>
            </w:r>
            <w:r>
              <w:rPr>
                <w:rStyle w:val="IndexLink"/>
              </w:rPr>
              <w:t>317</w:t>
            </w:r>
          </w:hyperlink>
        </w:p>
        <w:p>
          <w:pPr>
            <w:pStyle w:val="Contents3"/>
            <w:tabs>
              <w:tab w:val="clear" w:pos="8459"/>
              <w:tab w:val="right" w:pos="9026" w:leader="dot"/>
            </w:tabs>
            <w:rPr/>
          </w:pPr>
          <w:hyperlink w:anchor="__RefHeading___Toc363608_581953129">
            <w:r>
              <w:rPr>
                <w:webHidden/>
                <w:rStyle w:val="IndexLink"/>
                <w:rtl w:val="true"/>
              </w:rPr>
              <w:t>خمس ما یخرج من البحر</w:t>
            </w:r>
            <w:r>
              <w:rPr>
                <w:rStyle w:val="IndexLink"/>
                <w:rtl w:val="true"/>
              </w:rPr>
              <w:tab/>
            </w:r>
            <w:r>
              <w:rPr>
                <w:rStyle w:val="IndexLink"/>
              </w:rPr>
              <w:t>318</w:t>
            </w:r>
          </w:hyperlink>
        </w:p>
        <w:p>
          <w:pPr>
            <w:pStyle w:val="Contents4"/>
            <w:tabs>
              <w:tab w:val="clear" w:pos="8176"/>
              <w:tab w:val="right" w:pos="9026" w:leader="dot"/>
            </w:tabs>
            <w:rPr/>
          </w:pPr>
          <w:hyperlink w:anchor="__RefHeading___Toc363610_581953129">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363612_581953129">
            <w:r>
              <w:rPr>
                <w:webHidden/>
                <w:rStyle w:val="IndexLink"/>
                <w:rtl w:val="true"/>
              </w:rPr>
              <w:t>المذهب الجعفری</w:t>
            </w:r>
            <w:r>
              <w:rPr>
                <w:rStyle w:val="IndexLink"/>
                <w:rtl w:val="true"/>
              </w:rPr>
              <w:tab/>
            </w:r>
            <w:r>
              <w:rPr>
                <w:rStyle w:val="IndexLink"/>
              </w:rPr>
              <w:t>318</w:t>
            </w:r>
          </w:hyperlink>
        </w:p>
        <w:p>
          <w:pPr>
            <w:pStyle w:val="Contents4"/>
            <w:tabs>
              <w:tab w:val="clear" w:pos="8176"/>
              <w:tab w:val="right" w:pos="9026" w:leader="dot"/>
            </w:tabs>
            <w:rPr/>
          </w:pPr>
          <w:hyperlink w:anchor="__RefHeading___Toc363614_581953129">
            <w:r>
              <w:rPr>
                <w:webHidden/>
                <w:rStyle w:val="IndexLink"/>
                <w:rtl w:val="true"/>
              </w:rPr>
              <w:t>المذاهب الاربعة</w:t>
            </w:r>
            <w:r>
              <w:rPr>
                <w:rStyle w:val="IndexLink"/>
                <w:rtl w:val="true"/>
              </w:rPr>
              <w:tab/>
            </w:r>
            <w:r>
              <w:rPr>
                <w:rStyle w:val="IndexLink"/>
              </w:rPr>
              <w:t>319</w:t>
            </w:r>
          </w:hyperlink>
        </w:p>
        <w:p>
          <w:pPr>
            <w:pStyle w:val="Contents4"/>
            <w:tabs>
              <w:tab w:val="clear" w:pos="8176"/>
              <w:tab w:val="right" w:pos="9026" w:leader="dot"/>
            </w:tabs>
            <w:rPr/>
          </w:pPr>
          <w:hyperlink w:anchor="__RefHeading___Toc363616_581953129">
            <w:r>
              <w:rPr>
                <w:webHidden/>
                <w:rStyle w:val="IndexLink"/>
                <w:rtl w:val="true"/>
              </w:rPr>
              <w:t>منشأ الاختلاف</w:t>
            </w:r>
            <w:r>
              <w:rPr>
                <w:rStyle w:val="IndexLink"/>
                <w:rtl w:val="true"/>
              </w:rPr>
              <w:tab/>
            </w:r>
            <w:r>
              <w:rPr>
                <w:rStyle w:val="IndexLink"/>
              </w:rPr>
              <w:t>319</w:t>
            </w:r>
          </w:hyperlink>
        </w:p>
        <w:p>
          <w:pPr>
            <w:pStyle w:val="Contents5"/>
            <w:tabs>
              <w:tab w:val="clear" w:pos="7892"/>
              <w:tab w:val="right" w:pos="9026" w:leader="dot"/>
            </w:tabs>
            <w:rPr/>
          </w:pPr>
          <w:hyperlink w:anchor="__RefHeading___Toc363618_581953129">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363620_581953129">
            <w:r>
              <w:rPr>
                <w:webHidden/>
                <w:rStyle w:val="IndexLink"/>
                <w:rtl w:val="true"/>
              </w:rPr>
              <w:t>و تفصیل الاختلاف فی الفهم بما یلی</w:t>
            </w:r>
            <w:r>
              <w:rPr>
                <w:rStyle w:val="IndexLink"/>
                <w:rtl w:val="true"/>
              </w:rPr>
              <w:t>:</w:t>
              <w:tab/>
            </w:r>
            <w:r>
              <w:rPr>
                <w:rStyle w:val="IndexLink"/>
              </w:rPr>
              <w:t>319</w:t>
            </w:r>
          </w:hyperlink>
        </w:p>
        <w:p>
          <w:pPr>
            <w:pStyle w:val="Contents6"/>
            <w:tabs>
              <w:tab w:val="clear" w:pos="7609"/>
              <w:tab w:val="right" w:pos="9026" w:leader="dot"/>
            </w:tabs>
            <w:rPr/>
          </w:pPr>
          <w:hyperlink w:anchor="__RefHeading___Toc363622_581953129">
            <w:r>
              <w:rPr>
                <w:webHidden/>
                <w:rStyle w:val="IndexLink"/>
                <w:rtl w:val="true"/>
              </w:rPr>
              <w:t>المذاهب الاربعة</w:t>
            </w:r>
            <w:r>
              <w:rPr>
                <w:rStyle w:val="IndexLink"/>
                <w:rtl w:val="true"/>
              </w:rPr>
              <w:tab/>
            </w:r>
            <w:r>
              <w:rPr>
                <w:rStyle w:val="IndexLink"/>
              </w:rPr>
              <w:t>319</w:t>
            </w:r>
          </w:hyperlink>
        </w:p>
        <w:p>
          <w:pPr>
            <w:pStyle w:val="Contents6"/>
            <w:tabs>
              <w:tab w:val="clear" w:pos="7609"/>
              <w:tab w:val="right" w:pos="9026" w:leader="dot"/>
            </w:tabs>
            <w:rPr/>
          </w:pPr>
          <w:hyperlink w:anchor="__RefHeading___Toc363624_581953129">
            <w:r>
              <w:rPr>
                <w:webHidden/>
                <w:rStyle w:val="IndexLink"/>
                <w:rtl w:val="true"/>
              </w:rPr>
              <w:t>المذهب الجعفری</w:t>
            </w:r>
            <w:r>
              <w:rPr>
                <w:rStyle w:val="IndexLink"/>
                <w:rtl w:val="true"/>
              </w:rPr>
              <w:tab/>
            </w:r>
            <w:r>
              <w:rPr>
                <w:rStyle w:val="IndexLink"/>
              </w:rPr>
              <w:t>320</w:t>
            </w:r>
          </w:hyperlink>
        </w:p>
        <w:p>
          <w:pPr>
            <w:pStyle w:val="Contents3"/>
            <w:tabs>
              <w:tab w:val="clear" w:pos="8459"/>
              <w:tab w:val="right" w:pos="9026" w:leader="dot"/>
            </w:tabs>
            <w:rPr/>
          </w:pPr>
          <w:hyperlink w:anchor="__RefHeading___Toc363626_581953129">
            <w:r>
              <w:rPr>
                <w:webHidden/>
                <w:rStyle w:val="IndexLink"/>
                <w:rtl w:val="true"/>
              </w:rPr>
              <w:t>مصرف الخمس</w:t>
            </w:r>
            <w:r>
              <w:rPr>
                <w:rStyle w:val="IndexLink"/>
                <w:rtl w:val="true"/>
              </w:rPr>
              <w:tab/>
            </w:r>
            <w:r>
              <w:rPr>
                <w:rStyle w:val="IndexLink"/>
              </w:rPr>
              <w:t>325</w:t>
            </w:r>
          </w:hyperlink>
        </w:p>
        <w:p>
          <w:pPr>
            <w:pStyle w:val="Contents4"/>
            <w:tabs>
              <w:tab w:val="clear" w:pos="8176"/>
              <w:tab w:val="right" w:pos="9026" w:leader="dot"/>
            </w:tabs>
            <w:rPr/>
          </w:pPr>
          <w:hyperlink w:anchor="__RefHeading___Toc363628_581953129">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363630_581953129">
            <w:r>
              <w:rPr>
                <w:webHidden/>
                <w:rStyle w:val="IndexLink"/>
                <w:rtl w:val="true"/>
              </w:rPr>
              <w:t>المذهب الجعفری</w:t>
            </w:r>
            <w:r>
              <w:rPr>
                <w:rStyle w:val="IndexLink"/>
                <w:rtl w:val="true"/>
              </w:rPr>
              <w:tab/>
            </w:r>
            <w:r>
              <w:rPr>
                <w:rStyle w:val="IndexLink"/>
              </w:rPr>
              <w:t>325</w:t>
            </w:r>
          </w:hyperlink>
        </w:p>
        <w:p>
          <w:pPr>
            <w:pStyle w:val="Contents4"/>
            <w:tabs>
              <w:tab w:val="clear" w:pos="8176"/>
              <w:tab w:val="right" w:pos="9026" w:leader="dot"/>
            </w:tabs>
            <w:rPr/>
          </w:pPr>
          <w:hyperlink w:anchor="__RefHeading___Toc363632_581953129">
            <w:r>
              <w:rPr>
                <w:webHidden/>
                <w:rStyle w:val="IndexLink"/>
                <w:rtl w:val="true"/>
              </w:rPr>
              <w:t>المذهب الحنبلی</w:t>
            </w:r>
            <w:r>
              <w:rPr>
                <w:rStyle w:val="IndexLink"/>
                <w:rtl w:val="true"/>
              </w:rPr>
              <w:tab/>
            </w:r>
            <w:r>
              <w:rPr>
                <w:rStyle w:val="IndexLink"/>
              </w:rPr>
              <w:t>326</w:t>
            </w:r>
          </w:hyperlink>
        </w:p>
        <w:p>
          <w:pPr>
            <w:pStyle w:val="Contents4"/>
            <w:tabs>
              <w:tab w:val="clear" w:pos="8176"/>
              <w:tab w:val="right" w:pos="9026" w:leader="dot"/>
            </w:tabs>
            <w:rPr/>
          </w:pPr>
          <w:hyperlink w:anchor="__RefHeading___Toc363634_581953129">
            <w:r>
              <w:rPr>
                <w:webHidden/>
                <w:rStyle w:val="IndexLink"/>
                <w:rtl w:val="true"/>
              </w:rPr>
              <w:t>المذهب الحنفی</w:t>
            </w:r>
            <w:r>
              <w:rPr>
                <w:rStyle w:val="IndexLink"/>
                <w:rtl w:val="true"/>
              </w:rPr>
              <w:tab/>
            </w:r>
            <w:r>
              <w:rPr>
                <w:rStyle w:val="IndexLink"/>
              </w:rPr>
              <w:t>326</w:t>
            </w:r>
          </w:hyperlink>
        </w:p>
        <w:p>
          <w:pPr>
            <w:pStyle w:val="Contents4"/>
            <w:tabs>
              <w:tab w:val="clear" w:pos="8176"/>
              <w:tab w:val="right" w:pos="9026" w:leader="dot"/>
            </w:tabs>
            <w:rPr/>
          </w:pPr>
          <w:hyperlink w:anchor="__RefHeading___Toc363636_581953129">
            <w:r>
              <w:rPr>
                <w:webHidden/>
                <w:rStyle w:val="IndexLink"/>
                <w:rtl w:val="true"/>
              </w:rPr>
              <w:t>المذهب المالکی</w:t>
            </w:r>
            <w:r>
              <w:rPr>
                <w:rStyle w:val="IndexLink"/>
                <w:rtl w:val="true"/>
              </w:rPr>
              <w:tab/>
            </w:r>
            <w:r>
              <w:rPr>
                <w:rStyle w:val="IndexLink"/>
              </w:rPr>
              <w:t>326</w:t>
            </w:r>
          </w:hyperlink>
        </w:p>
        <w:p>
          <w:pPr>
            <w:pStyle w:val="Contents4"/>
            <w:tabs>
              <w:tab w:val="clear" w:pos="8176"/>
              <w:tab w:val="right" w:pos="9026" w:leader="dot"/>
            </w:tabs>
            <w:rPr/>
          </w:pPr>
          <w:hyperlink w:anchor="__RefHeading___Toc363638_581953129">
            <w:r>
              <w:rPr>
                <w:webHidden/>
                <w:rStyle w:val="IndexLink"/>
                <w:rtl w:val="true"/>
              </w:rPr>
              <w:t>منشأ الاختلاف</w:t>
            </w:r>
            <w:r>
              <w:rPr>
                <w:rStyle w:val="IndexLink"/>
                <w:rtl w:val="true"/>
              </w:rPr>
              <w:tab/>
            </w:r>
            <w:r>
              <w:rPr>
                <w:rStyle w:val="IndexLink"/>
              </w:rPr>
              <w:t>326</w:t>
            </w:r>
          </w:hyperlink>
        </w:p>
        <w:p>
          <w:pPr>
            <w:pStyle w:val="Contents3"/>
            <w:tabs>
              <w:tab w:val="clear" w:pos="8459"/>
              <w:tab w:val="right" w:pos="9026" w:leader="dot"/>
            </w:tabs>
            <w:rPr/>
          </w:pPr>
          <w:hyperlink w:anchor="__RefHeading___Toc363640_581953129">
            <w:r>
              <w:rPr>
                <w:webHidden/>
                <w:rStyle w:val="IndexLink"/>
                <w:rtl w:val="true"/>
              </w:rPr>
              <w:t>الخلاصة</w:t>
            </w:r>
            <w:r>
              <w:rPr>
                <w:rStyle w:val="IndexLink"/>
                <w:rtl w:val="true"/>
              </w:rPr>
              <w:tab/>
            </w:r>
            <w:r>
              <w:rPr>
                <w:rStyle w:val="IndexLink"/>
              </w:rPr>
              <w:t>328</w:t>
            </w:r>
          </w:hyperlink>
        </w:p>
        <w:p>
          <w:pPr>
            <w:pStyle w:val="Contents3"/>
            <w:tabs>
              <w:tab w:val="clear" w:pos="8459"/>
              <w:tab w:val="right" w:pos="9026" w:leader="dot"/>
            </w:tabs>
            <w:rPr/>
          </w:pPr>
          <w:hyperlink w:anchor="__RefHeading___Toc363642_581953129">
            <w:r>
              <w:rPr>
                <w:webHidden/>
                <w:rStyle w:val="IndexLink"/>
                <w:rtl w:val="true"/>
              </w:rPr>
              <w:t>الأسئلة</w:t>
            </w:r>
            <w:r>
              <w:rPr>
                <w:rStyle w:val="IndexLink"/>
                <w:rtl w:val="true"/>
              </w:rPr>
              <w:tab/>
            </w:r>
            <w:r>
              <w:rPr>
                <w:rStyle w:val="IndexLink"/>
              </w:rPr>
              <w:t>329</w:t>
            </w:r>
          </w:hyperlink>
        </w:p>
        <w:p>
          <w:pPr>
            <w:pStyle w:val="Contents2"/>
            <w:tabs>
              <w:tab w:val="clear" w:pos="8743"/>
              <w:tab w:val="right" w:pos="9026" w:leader="dot"/>
            </w:tabs>
            <w:rPr/>
          </w:pPr>
          <w:hyperlink w:anchor="__RefHeading___Toc363644_581953129">
            <w:r>
              <w:rPr>
                <w:webHidden/>
                <w:rStyle w:val="IndexLink"/>
              </w:rPr>
              <w:t>24</w:t>
            </w:r>
            <w:r>
              <w:rPr>
                <w:rStyle w:val="IndexLink"/>
                <w:rtl w:val="true"/>
              </w:rPr>
              <w:t xml:space="preserve">- </w:t>
            </w:r>
            <w:r>
              <w:rPr>
                <w:rStyle w:val="IndexLink"/>
                <w:rtl w:val="true"/>
              </w:rPr>
              <w:t>الحجّ</w:t>
            </w:r>
            <w:r>
              <w:rPr>
                <w:rStyle w:val="IndexLink"/>
                <w:rtl w:val="true"/>
              </w:rPr>
              <w:tab/>
            </w:r>
            <w:r>
              <w:rPr>
                <w:rStyle w:val="IndexLink"/>
              </w:rPr>
              <w:t>330</w:t>
            </w:r>
          </w:hyperlink>
        </w:p>
        <w:p>
          <w:pPr>
            <w:pStyle w:val="Contents3"/>
            <w:tabs>
              <w:tab w:val="clear" w:pos="8459"/>
              <w:tab w:val="right" w:pos="9026" w:leader="dot"/>
            </w:tabs>
            <w:rPr/>
          </w:pPr>
          <w:hyperlink w:anchor="__RefHeading___Toc363646_581953129">
            <w:r>
              <w:rPr>
                <w:webHidden/>
                <w:rStyle w:val="IndexLink"/>
                <w:rtl w:val="true"/>
              </w:rPr>
              <w:t>فوریة وجوب الحجّ</w:t>
            </w:r>
            <w:r>
              <w:rPr>
                <w:rStyle w:val="IndexLink"/>
                <w:rtl w:val="true"/>
              </w:rPr>
              <w:tab/>
            </w:r>
            <w:r>
              <w:rPr>
                <w:rStyle w:val="IndexLink"/>
              </w:rPr>
              <w:t>330</w:t>
            </w:r>
          </w:hyperlink>
        </w:p>
        <w:p>
          <w:pPr>
            <w:pStyle w:val="Contents4"/>
            <w:tabs>
              <w:tab w:val="clear" w:pos="8176"/>
              <w:tab w:val="right" w:pos="9026" w:leader="dot"/>
            </w:tabs>
            <w:rPr/>
          </w:pPr>
          <w:hyperlink w:anchor="__RefHeading___Toc363648_581953129">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363650_581953129">
            <w:r>
              <w:rPr>
                <w:webHidden/>
                <w:rStyle w:val="IndexLink"/>
                <w:rtl w:val="true"/>
              </w:rPr>
              <w:t>المذاهب الاربعة</w:t>
            </w:r>
            <w:r>
              <w:rPr>
                <w:rStyle w:val="IndexLink"/>
                <w:rtl w:val="true"/>
              </w:rPr>
              <w:tab/>
            </w:r>
            <w:r>
              <w:rPr>
                <w:rStyle w:val="IndexLink"/>
              </w:rPr>
              <w:t>330</w:t>
            </w:r>
          </w:hyperlink>
        </w:p>
        <w:p>
          <w:pPr>
            <w:pStyle w:val="Contents4"/>
            <w:tabs>
              <w:tab w:val="clear" w:pos="8176"/>
              <w:tab w:val="right" w:pos="9026" w:leader="dot"/>
            </w:tabs>
            <w:rPr/>
          </w:pPr>
          <w:hyperlink w:anchor="__RefHeading___Toc363652_581953129">
            <w:r>
              <w:rPr>
                <w:webHidden/>
                <w:rStyle w:val="IndexLink"/>
                <w:rtl w:val="true"/>
              </w:rPr>
              <w:t>المذهب الجعفری</w:t>
            </w:r>
            <w:r>
              <w:rPr>
                <w:rStyle w:val="IndexLink"/>
                <w:rtl w:val="true"/>
              </w:rPr>
              <w:tab/>
            </w:r>
            <w:r>
              <w:rPr>
                <w:rStyle w:val="IndexLink"/>
              </w:rPr>
              <w:t>331</w:t>
            </w:r>
          </w:hyperlink>
        </w:p>
        <w:p>
          <w:pPr>
            <w:pStyle w:val="Contents3"/>
            <w:tabs>
              <w:tab w:val="clear" w:pos="8459"/>
              <w:tab w:val="right" w:pos="9026" w:leader="dot"/>
            </w:tabs>
            <w:rPr/>
          </w:pPr>
          <w:hyperlink w:anchor="__RefHeading___Toc363654_581953129">
            <w:r>
              <w:rPr>
                <w:webHidden/>
                <w:rStyle w:val="IndexLink"/>
                <w:rtl w:val="true"/>
              </w:rPr>
              <w:t>شرائط وجوب الحجّ</w:t>
            </w:r>
            <w:r>
              <w:rPr>
                <w:rStyle w:val="IndexLink"/>
                <w:rtl w:val="true"/>
              </w:rPr>
              <w:tab/>
            </w:r>
            <w:r>
              <w:rPr>
                <w:rStyle w:val="IndexLink"/>
              </w:rPr>
              <w:t>331</w:t>
            </w:r>
          </w:hyperlink>
        </w:p>
        <w:p>
          <w:pPr>
            <w:pStyle w:val="Contents4"/>
            <w:tabs>
              <w:tab w:val="clear" w:pos="8176"/>
              <w:tab w:val="right" w:pos="9026" w:leader="dot"/>
            </w:tabs>
            <w:rPr/>
          </w:pPr>
          <w:hyperlink w:anchor="__RefHeading___Toc363656_581953129">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363658_581953129">
            <w:r>
              <w:rPr>
                <w:webHidden/>
                <w:rStyle w:val="IndexLink"/>
                <w:rtl w:val="true"/>
              </w:rPr>
              <w:t>الاستطاعة</w:t>
            </w:r>
            <w:r>
              <w:rPr>
                <w:rStyle w:val="IndexLink"/>
                <w:rtl w:val="true"/>
              </w:rPr>
              <w:tab/>
            </w:r>
            <w:r>
              <w:rPr>
                <w:rStyle w:val="IndexLink"/>
              </w:rPr>
              <w:t>332</w:t>
            </w:r>
          </w:hyperlink>
        </w:p>
        <w:p>
          <w:pPr>
            <w:pStyle w:val="Contents5"/>
            <w:tabs>
              <w:tab w:val="clear" w:pos="7892"/>
              <w:tab w:val="right" w:pos="9026" w:leader="dot"/>
            </w:tabs>
            <w:rPr/>
          </w:pPr>
          <w:hyperlink w:anchor="__RefHeading___Toc363660_581953129">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363662_581953129">
            <w:r>
              <w:rPr>
                <w:webHidden/>
                <w:rStyle w:val="IndexLink"/>
                <w:rtl w:val="true"/>
              </w:rPr>
              <w:t>المذهب الجعفری</w:t>
            </w:r>
            <w:r>
              <w:rPr>
                <w:rStyle w:val="IndexLink"/>
                <w:rtl w:val="true"/>
              </w:rPr>
              <w:tab/>
            </w:r>
            <w:r>
              <w:rPr>
                <w:rStyle w:val="IndexLink"/>
              </w:rPr>
              <w:t>332</w:t>
            </w:r>
          </w:hyperlink>
        </w:p>
        <w:p>
          <w:pPr>
            <w:pStyle w:val="Contents5"/>
            <w:tabs>
              <w:tab w:val="clear" w:pos="7892"/>
              <w:tab w:val="right" w:pos="9026" w:leader="dot"/>
            </w:tabs>
            <w:rPr/>
          </w:pPr>
          <w:hyperlink w:anchor="__RefHeading___Toc363664_581953129">
            <w:r>
              <w:rPr>
                <w:webHidden/>
                <w:rStyle w:val="IndexLink"/>
                <w:rtl w:val="true"/>
              </w:rPr>
              <w:t>المذهب الحنفی</w:t>
            </w:r>
            <w:r>
              <w:rPr>
                <w:rStyle w:val="IndexLink"/>
                <w:rtl w:val="true"/>
              </w:rPr>
              <w:tab/>
            </w:r>
            <w:r>
              <w:rPr>
                <w:rStyle w:val="IndexLink"/>
              </w:rPr>
              <w:t>332</w:t>
            </w:r>
          </w:hyperlink>
        </w:p>
        <w:p>
          <w:pPr>
            <w:pStyle w:val="Contents5"/>
            <w:tabs>
              <w:tab w:val="clear" w:pos="7892"/>
              <w:tab w:val="right" w:pos="9026" w:leader="dot"/>
            </w:tabs>
            <w:rPr/>
          </w:pPr>
          <w:hyperlink w:anchor="__RefHeading___Toc363666_581953129">
            <w:r>
              <w:rPr>
                <w:webHidden/>
                <w:rStyle w:val="IndexLink"/>
                <w:rtl w:val="true"/>
              </w:rPr>
              <w:t>المذهب المالکی</w:t>
            </w:r>
            <w:r>
              <w:rPr>
                <w:rStyle w:val="IndexLink"/>
                <w:rtl w:val="true"/>
              </w:rPr>
              <w:tab/>
            </w:r>
            <w:r>
              <w:rPr>
                <w:rStyle w:val="IndexLink"/>
              </w:rPr>
              <w:t>333</w:t>
            </w:r>
          </w:hyperlink>
        </w:p>
        <w:p>
          <w:pPr>
            <w:pStyle w:val="Contents5"/>
            <w:tabs>
              <w:tab w:val="clear" w:pos="7892"/>
              <w:tab w:val="right" w:pos="9026" w:leader="dot"/>
            </w:tabs>
            <w:rPr/>
          </w:pPr>
          <w:hyperlink w:anchor="__RefHeading___Toc363668_581953129">
            <w:r>
              <w:rPr>
                <w:webHidden/>
                <w:rStyle w:val="IndexLink"/>
                <w:rtl w:val="true"/>
              </w:rPr>
              <w:t>المذهب الحنبلی</w:t>
            </w:r>
            <w:r>
              <w:rPr>
                <w:rStyle w:val="IndexLink"/>
                <w:rtl w:val="true"/>
              </w:rPr>
              <w:tab/>
            </w:r>
            <w:r>
              <w:rPr>
                <w:rStyle w:val="IndexLink"/>
              </w:rPr>
              <w:t>333</w:t>
            </w:r>
          </w:hyperlink>
        </w:p>
        <w:p>
          <w:pPr>
            <w:pStyle w:val="Contents4"/>
            <w:tabs>
              <w:tab w:val="clear" w:pos="8176"/>
              <w:tab w:val="right" w:pos="9026" w:leader="dot"/>
            </w:tabs>
            <w:rPr/>
          </w:pPr>
          <w:hyperlink w:anchor="__RefHeading___Toc363670_581953129">
            <w:r>
              <w:rPr>
                <w:webHidden/>
                <w:rStyle w:val="IndexLink"/>
                <w:rtl w:val="true"/>
              </w:rPr>
              <w:t>ما له صلة بالاستطاعة</w:t>
            </w:r>
            <w:r>
              <w:rPr>
                <w:rStyle w:val="IndexLink"/>
                <w:rtl w:val="true"/>
              </w:rPr>
              <w:tab/>
            </w:r>
            <w:r>
              <w:rPr>
                <w:rStyle w:val="IndexLink"/>
              </w:rPr>
              <w:t>334</w:t>
            </w:r>
          </w:hyperlink>
        </w:p>
        <w:p>
          <w:pPr>
            <w:pStyle w:val="Contents4"/>
            <w:tabs>
              <w:tab w:val="clear" w:pos="8176"/>
              <w:tab w:val="right" w:pos="9026" w:leader="dot"/>
            </w:tabs>
            <w:rPr/>
          </w:pPr>
          <w:hyperlink w:anchor="__RefHeading___Toc363672_581953129">
            <w:r>
              <w:rPr>
                <w:webHidden/>
                <w:rStyle w:val="IndexLink"/>
                <w:rtl w:val="true"/>
              </w:rPr>
              <w:t>تحقّق الاستطاعة بالبذل</w:t>
            </w:r>
            <w:r>
              <w:rPr>
                <w:rStyle w:val="IndexLink"/>
                <w:rtl w:val="true"/>
              </w:rPr>
              <w:tab/>
            </w:r>
            <w:r>
              <w:rPr>
                <w:rStyle w:val="IndexLink"/>
              </w:rPr>
              <w:t>335</w:t>
            </w:r>
          </w:hyperlink>
        </w:p>
        <w:p>
          <w:pPr>
            <w:pStyle w:val="Contents5"/>
            <w:tabs>
              <w:tab w:val="clear" w:pos="7892"/>
              <w:tab w:val="right" w:pos="9026" w:leader="dot"/>
            </w:tabs>
            <w:rPr/>
          </w:pPr>
          <w:hyperlink w:anchor="__RefHeading___Toc363674_581953129">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363676_581953129">
            <w:r>
              <w:rPr>
                <w:webHidden/>
                <w:rStyle w:val="IndexLink"/>
                <w:rtl w:val="true"/>
              </w:rPr>
              <w:t>المذهب الجعفری</w:t>
            </w:r>
            <w:r>
              <w:rPr>
                <w:rStyle w:val="IndexLink"/>
                <w:rtl w:val="true"/>
              </w:rPr>
              <w:tab/>
            </w:r>
            <w:r>
              <w:rPr>
                <w:rStyle w:val="IndexLink"/>
              </w:rPr>
              <w:t>335</w:t>
            </w:r>
          </w:hyperlink>
        </w:p>
        <w:p>
          <w:pPr>
            <w:pStyle w:val="Contents5"/>
            <w:tabs>
              <w:tab w:val="clear" w:pos="7892"/>
              <w:tab w:val="right" w:pos="9026" w:leader="dot"/>
            </w:tabs>
            <w:rPr/>
          </w:pPr>
          <w:hyperlink w:anchor="__RefHeading___Toc363678_581953129">
            <w:r>
              <w:rPr>
                <w:webHidden/>
                <w:rStyle w:val="IndexLink"/>
                <w:rtl w:val="true"/>
              </w:rPr>
              <w:t>المذاهب الاربعة</w:t>
            </w:r>
            <w:r>
              <w:rPr>
                <w:rStyle w:val="IndexLink"/>
                <w:rtl w:val="true"/>
              </w:rPr>
              <w:tab/>
            </w:r>
            <w:r>
              <w:rPr>
                <w:rStyle w:val="IndexLink"/>
              </w:rPr>
              <w:t>335</w:t>
            </w:r>
          </w:hyperlink>
        </w:p>
        <w:p>
          <w:pPr>
            <w:pStyle w:val="Contents4"/>
            <w:tabs>
              <w:tab w:val="clear" w:pos="8176"/>
              <w:tab w:val="right" w:pos="9026" w:leader="dot"/>
            </w:tabs>
            <w:rPr/>
          </w:pPr>
          <w:hyperlink w:anchor="__RefHeading___Toc363680_581953129">
            <w:r>
              <w:rPr>
                <w:webHidden/>
                <w:rStyle w:val="IndexLink"/>
                <w:rtl w:val="true"/>
              </w:rPr>
              <w:t>ملکیة الزاد</w:t>
            </w:r>
            <w:r>
              <w:rPr>
                <w:rStyle w:val="IndexLink"/>
                <w:rtl w:val="true"/>
              </w:rPr>
              <w:tab/>
            </w:r>
            <w:r>
              <w:rPr>
                <w:rStyle w:val="IndexLink"/>
              </w:rPr>
              <w:t>335</w:t>
            </w:r>
          </w:hyperlink>
        </w:p>
        <w:p>
          <w:pPr>
            <w:pStyle w:val="Contents5"/>
            <w:tabs>
              <w:tab w:val="clear" w:pos="7892"/>
              <w:tab w:val="right" w:pos="9026" w:leader="dot"/>
            </w:tabs>
            <w:rPr/>
          </w:pPr>
          <w:hyperlink w:anchor="__RefHeading___Toc363682_581953129">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363684_581953129">
            <w:r>
              <w:rPr>
                <w:webHidden/>
                <w:rStyle w:val="IndexLink"/>
                <w:rtl w:val="true"/>
              </w:rPr>
              <w:t>منشأ الاختلاف</w:t>
            </w:r>
            <w:r>
              <w:rPr>
                <w:rStyle w:val="IndexLink"/>
                <w:rtl w:val="true"/>
              </w:rPr>
              <w:tab/>
            </w:r>
            <w:r>
              <w:rPr>
                <w:rStyle w:val="IndexLink"/>
              </w:rPr>
              <w:t>337</w:t>
            </w:r>
          </w:hyperlink>
        </w:p>
        <w:p>
          <w:pPr>
            <w:pStyle w:val="Contents3"/>
            <w:tabs>
              <w:tab w:val="clear" w:pos="8459"/>
              <w:tab w:val="right" w:pos="9026" w:leader="dot"/>
            </w:tabs>
            <w:rPr/>
          </w:pPr>
          <w:hyperlink w:anchor="__RefHeading___Toc363686_581953129">
            <w:r>
              <w:rPr>
                <w:webHidden/>
                <w:rStyle w:val="IndexLink"/>
                <w:rtl w:val="true"/>
              </w:rPr>
              <w:t>الاستنابة عن العاجز فی الحجّ</w:t>
            </w:r>
            <w:r>
              <w:rPr>
                <w:rStyle w:val="IndexLink"/>
                <w:rtl w:val="true"/>
              </w:rPr>
              <w:tab/>
            </w:r>
            <w:r>
              <w:rPr>
                <w:rStyle w:val="IndexLink"/>
              </w:rPr>
              <w:t>337</w:t>
            </w:r>
          </w:hyperlink>
        </w:p>
        <w:p>
          <w:pPr>
            <w:pStyle w:val="Contents3"/>
            <w:tabs>
              <w:tab w:val="clear" w:pos="8459"/>
              <w:tab w:val="right" w:pos="9026" w:leader="dot"/>
            </w:tabs>
            <w:rPr/>
          </w:pPr>
          <w:hyperlink w:anchor="__RefHeading___Toc363688_581953129">
            <w:r>
              <w:rPr>
                <w:webHidden/>
                <w:rStyle w:val="IndexLink"/>
                <w:rtl w:val="true"/>
              </w:rPr>
              <w:t>مکان الاستنابة عن المیت المستطیع</w:t>
            </w:r>
            <w:r>
              <w:rPr>
                <w:rStyle w:val="IndexLink"/>
                <w:rtl w:val="true"/>
              </w:rPr>
              <w:tab/>
            </w:r>
            <w:r>
              <w:rPr>
                <w:rStyle w:val="IndexLink"/>
              </w:rPr>
              <w:t>338</w:t>
            </w:r>
          </w:hyperlink>
        </w:p>
        <w:p>
          <w:pPr>
            <w:pStyle w:val="Contents4"/>
            <w:tabs>
              <w:tab w:val="clear" w:pos="8176"/>
              <w:tab w:val="right" w:pos="9026" w:leader="dot"/>
            </w:tabs>
            <w:rPr/>
          </w:pPr>
          <w:hyperlink w:anchor="__RefHeading___Toc363690_581953129">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363692_581953129">
            <w:r>
              <w:rPr>
                <w:webHidden/>
                <w:rStyle w:val="IndexLink"/>
                <w:rtl w:val="true"/>
              </w:rPr>
              <w:t>المذهب الجعفری</w:t>
            </w:r>
            <w:r>
              <w:rPr>
                <w:rStyle w:val="IndexLink"/>
                <w:rtl w:val="true"/>
              </w:rPr>
              <w:tab/>
            </w:r>
            <w:r>
              <w:rPr>
                <w:rStyle w:val="IndexLink"/>
              </w:rPr>
              <w:t>338</w:t>
            </w:r>
          </w:hyperlink>
        </w:p>
        <w:p>
          <w:pPr>
            <w:pStyle w:val="Contents4"/>
            <w:tabs>
              <w:tab w:val="clear" w:pos="8176"/>
              <w:tab w:val="right" w:pos="9026" w:leader="dot"/>
            </w:tabs>
            <w:rPr/>
          </w:pPr>
          <w:hyperlink w:anchor="__RefHeading___Toc363694_581953129">
            <w:r>
              <w:rPr>
                <w:webHidden/>
                <w:rStyle w:val="IndexLink"/>
                <w:rtl w:val="true"/>
              </w:rPr>
              <w:t>المذهب الحنبلی</w:t>
            </w:r>
            <w:r>
              <w:rPr>
                <w:rStyle w:val="IndexLink"/>
                <w:rtl w:val="true"/>
              </w:rPr>
              <w:tab/>
            </w:r>
            <w:r>
              <w:rPr>
                <w:rStyle w:val="IndexLink"/>
              </w:rPr>
              <w:t>339</w:t>
            </w:r>
          </w:hyperlink>
        </w:p>
        <w:p>
          <w:pPr>
            <w:pStyle w:val="Contents3"/>
            <w:tabs>
              <w:tab w:val="clear" w:pos="8459"/>
              <w:tab w:val="right" w:pos="9026" w:leader="dot"/>
            </w:tabs>
            <w:rPr/>
          </w:pPr>
          <w:hyperlink w:anchor="__RefHeading___Toc363696_581953129">
            <w:r>
              <w:rPr>
                <w:webHidden/>
                <w:rStyle w:val="IndexLink"/>
                <w:rtl w:val="true"/>
              </w:rPr>
              <w:t>حکم فی العمرة المفردة</w:t>
            </w:r>
            <w:r>
              <w:rPr>
                <w:rStyle w:val="IndexLink"/>
                <w:rtl w:val="true"/>
              </w:rPr>
              <w:tab/>
            </w:r>
            <w:r>
              <w:rPr>
                <w:rStyle w:val="IndexLink"/>
              </w:rPr>
              <w:t>339</w:t>
            </w:r>
          </w:hyperlink>
        </w:p>
        <w:p>
          <w:pPr>
            <w:pStyle w:val="Contents4"/>
            <w:tabs>
              <w:tab w:val="clear" w:pos="8176"/>
              <w:tab w:val="right" w:pos="9026" w:leader="dot"/>
            </w:tabs>
            <w:rPr/>
          </w:pPr>
          <w:hyperlink w:anchor="__RefHeading___Toc363698_581953129">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363700_581953129">
            <w:r>
              <w:rPr>
                <w:webHidden/>
                <w:rStyle w:val="IndexLink"/>
                <w:rtl w:val="true"/>
              </w:rPr>
              <w:t>المذهب الجعفری</w:t>
            </w:r>
            <w:r>
              <w:rPr>
                <w:rStyle w:val="IndexLink"/>
                <w:rtl w:val="true"/>
              </w:rPr>
              <w:tab/>
            </w:r>
            <w:r>
              <w:rPr>
                <w:rStyle w:val="IndexLink"/>
              </w:rPr>
              <w:t>339</w:t>
            </w:r>
          </w:hyperlink>
        </w:p>
        <w:p>
          <w:pPr>
            <w:pStyle w:val="Contents4"/>
            <w:tabs>
              <w:tab w:val="clear" w:pos="8176"/>
              <w:tab w:val="right" w:pos="9026" w:leader="dot"/>
            </w:tabs>
            <w:rPr/>
          </w:pPr>
          <w:hyperlink w:anchor="__RefHeading___Toc363702_581953129">
            <w:r>
              <w:rPr>
                <w:webHidden/>
                <w:rStyle w:val="IndexLink"/>
                <w:rtl w:val="true"/>
              </w:rPr>
              <w:t>المذهب الحنفی و المالکی</w:t>
            </w:r>
            <w:r>
              <w:rPr>
                <w:rStyle w:val="IndexLink"/>
                <w:rtl w:val="true"/>
              </w:rPr>
              <w:tab/>
            </w:r>
            <w:r>
              <w:rPr>
                <w:rStyle w:val="IndexLink"/>
              </w:rPr>
              <w:t>340</w:t>
            </w:r>
          </w:hyperlink>
        </w:p>
        <w:p>
          <w:pPr>
            <w:pStyle w:val="Contents4"/>
            <w:tabs>
              <w:tab w:val="clear" w:pos="8176"/>
              <w:tab w:val="right" w:pos="9026" w:leader="dot"/>
            </w:tabs>
            <w:rPr/>
          </w:pPr>
          <w:hyperlink w:anchor="__RefHeading___Toc363704_581953129">
            <w:r>
              <w:rPr>
                <w:webHidden/>
                <w:rStyle w:val="IndexLink"/>
                <w:rtl w:val="true"/>
              </w:rPr>
              <w:t>منشأ الاختلاف</w:t>
            </w:r>
            <w:r>
              <w:rPr>
                <w:rStyle w:val="IndexLink"/>
                <w:rtl w:val="true"/>
              </w:rPr>
              <w:tab/>
            </w:r>
            <w:r>
              <w:rPr>
                <w:rStyle w:val="IndexLink"/>
              </w:rPr>
              <w:t>340</w:t>
            </w:r>
          </w:hyperlink>
        </w:p>
        <w:p>
          <w:pPr>
            <w:pStyle w:val="Contents3"/>
            <w:tabs>
              <w:tab w:val="clear" w:pos="8459"/>
              <w:tab w:val="right" w:pos="9026" w:leader="dot"/>
            </w:tabs>
            <w:rPr/>
          </w:pPr>
          <w:hyperlink w:anchor="__RefHeading___Toc363706_581953129">
            <w:r>
              <w:rPr>
                <w:webHidden/>
                <w:rStyle w:val="IndexLink"/>
                <w:rtl w:val="true"/>
              </w:rPr>
              <w:t>استحباب العمرة زماناً</w:t>
            </w:r>
            <w:r>
              <w:rPr>
                <w:rStyle w:val="IndexLink"/>
                <w:rtl w:val="true"/>
              </w:rPr>
              <w:tab/>
            </w:r>
            <w:r>
              <w:rPr>
                <w:rStyle w:val="IndexLink"/>
              </w:rPr>
              <w:t>340</w:t>
            </w:r>
          </w:hyperlink>
        </w:p>
        <w:p>
          <w:pPr>
            <w:pStyle w:val="Contents4"/>
            <w:tabs>
              <w:tab w:val="clear" w:pos="8176"/>
              <w:tab w:val="right" w:pos="9026" w:leader="dot"/>
            </w:tabs>
            <w:rPr/>
          </w:pPr>
          <w:hyperlink w:anchor="__RefHeading___Toc363708_581953129">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363710_581953129">
            <w:r>
              <w:rPr>
                <w:webHidden/>
                <w:rStyle w:val="IndexLink"/>
                <w:rtl w:val="true"/>
              </w:rPr>
              <w:t>المذاهب الاربعة</w:t>
            </w:r>
            <w:r>
              <w:rPr>
                <w:rStyle w:val="IndexLink"/>
                <w:rtl w:val="true"/>
              </w:rPr>
              <w:tab/>
            </w:r>
            <w:r>
              <w:rPr>
                <w:rStyle w:val="IndexLink"/>
              </w:rPr>
              <w:t>340</w:t>
            </w:r>
          </w:hyperlink>
        </w:p>
        <w:p>
          <w:pPr>
            <w:pStyle w:val="Contents4"/>
            <w:tabs>
              <w:tab w:val="clear" w:pos="8176"/>
              <w:tab w:val="right" w:pos="9026" w:leader="dot"/>
            </w:tabs>
            <w:rPr/>
          </w:pPr>
          <w:hyperlink w:anchor="__RefHeading___Toc363712_581953129">
            <w:r>
              <w:rPr>
                <w:webHidden/>
                <w:rStyle w:val="IndexLink"/>
                <w:rtl w:val="true"/>
              </w:rPr>
              <w:t>المذهب الجعفری</w:t>
            </w:r>
            <w:r>
              <w:rPr>
                <w:rStyle w:val="IndexLink"/>
                <w:rtl w:val="true"/>
              </w:rPr>
              <w:tab/>
            </w:r>
            <w:r>
              <w:rPr>
                <w:rStyle w:val="IndexLink"/>
              </w:rPr>
              <w:t>341</w:t>
            </w:r>
          </w:hyperlink>
        </w:p>
        <w:p>
          <w:pPr>
            <w:pStyle w:val="Contents4"/>
            <w:tabs>
              <w:tab w:val="clear" w:pos="8176"/>
              <w:tab w:val="right" w:pos="9026" w:leader="dot"/>
            </w:tabs>
            <w:rPr/>
          </w:pPr>
          <w:hyperlink w:anchor="__RefHeading___Toc363714_581953129">
            <w:r>
              <w:rPr>
                <w:webHidden/>
                <w:rStyle w:val="IndexLink"/>
                <w:rtl w:val="true"/>
              </w:rPr>
              <w:t>منشأ الاختلاف</w:t>
            </w:r>
            <w:r>
              <w:rPr>
                <w:rStyle w:val="IndexLink"/>
                <w:rtl w:val="true"/>
              </w:rPr>
              <w:tab/>
            </w:r>
            <w:r>
              <w:rPr>
                <w:rStyle w:val="IndexLink"/>
              </w:rPr>
              <w:t>341</w:t>
            </w:r>
          </w:hyperlink>
        </w:p>
        <w:p>
          <w:pPr>
            <w:pStyle w:val="Contents3"/>
            <w:tabs>
              <w:tab w:val="clear" w:pos="8459"/>
              <w:tab w:val="right" w:pos="9026" w:leader="dot"/>
            </w:tabs>
            <w:rPr/>
          </w:pPr>
          <w:hyperlink w:anchor="__RefHeading___Toc363716_581953129">
            <w:r>
              <w:rPr>
                <w:webHidden/>
                <w:rStyle w:val="IndexLink"/>
                <w:rtl w:val="true"/>
              </w:rPr>
              <w:t>الخلاصة</w:t>
            </w:r>
            <w:r>
              <w:rPr>
                <w:rStyle w:val="IndexLink"/>
                <w:rtl w:val="true"/>
              </w:rPr>
              <w:tab/>
            </w:r>
            <w:r>
              <w:rPr>
                <w:rStyle w:val="IndexLink"/>
              </w:rPr>
              <w:t>342</w:t>
            </w:r>
          </w:hyperlink>
        </w:p>
        <w:p>
          <w:pPr>
            <w:pStyle w:val="Contents3"/>
            <w:tabs>
              <w:tab w:val="clear" w:pos="8459"/>
              <w:tab w:val="right" w:pos="9026" w:leader="dot"/>
            </w:tabs>
            <w:rPr/>
          </w:pPr>
          <w:hyperlink w:anchor="__RefHeading___Toc363718_581953129">
            <w:r>
              <w:rPr>
                <w:webHidden/>
                <w:rStyle w:val="IndexLink"/>
                <w:rtl w:val="true"/>
              </w:rPr>
              <w:t>الأسئلة</w:t>
            </w:r>
            <w:r>
              <w:rPr>
                <w:rStyle w:val="IndexLink"/>
                <w:rtl w:val="true"/>
              </w:rPr>
              <w:tab/>
            </w:r>
            <w:r>
              <w:rPr>
                <w:rStyle w:val="IndexLink"/>
              </w:rPr>
              <w:t>343</w:t>
            </w:r>
          </w:hyperlink>
        </w:p>
        <w:p>
          <w:pPr>
            <w:pStyle w:val="Contents2"/>
            <w:tabs>
              <w:tab w:val="clear" w:pos="8743"/>
              <w:tab w:val="right" w:pos="9026" w:leader="dot"/>
            </w:tabs>
            <w:rPr/>
          </w:pPr>
          <w:hyperlink w:anchor="__RefHeading___Toc363720_581953129">
            <w:r>
              <w:rPr>
                <w:webHidden/>
                <w:rStyle w:val="IndexLink"/>
              </w:rPr>
              <w:t>25</w:t>
            </w:r>
            <w:r>
              <w:rPr>
                <w:rStyle w:val="IndexLink"/>
                <w:rtl w:val="true"/>
              </w:rPr>
              <w:t xml:space="preserve">- </w:t>
            </w:r>
            <w:r>
              <w:rPr>
                <w:rStyle w:val="IndexLink"/>
                <w:rtl w:val="true"/>
              </w:rPr>
              <w:t>أقسام الحجّ</w:t>
            </w:r>
            <w:r>
              <w:rPr>
                <w:rStyle w:val="IndexLink"/>
                <w:rtl w:val="true"/>
              </w:rPr>
              <w:tab/>
            </w:r>
            <w:r>
              <w:rPr>
                <w:rStyle w:val="IndexLink"/>
              </w:rPr>
              <w:t>344</w:t>
            </w:r>
          </w:hyperlink>
        </w:p>
        <w:p>
          <w:pPr>
            <w:pStyle w:val="Contents3"/>
            <w:tabs>
              <w:tab w:val="clear" w:pos="8459"/>
              <w:tab w:val="right" w:pos="9026" w:leader="dot"/>
            </w:tabs>
            <w:rPr/>
          </w:pPr>
          <w:hyperlink w:anchor="__RefHeading___Toc363722_581953129">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363724_581953129">
            <w:r>
              <w:rPr>
                <w:webHidden/>
                <w:rStyle w:val="IndexLink"/>
                <w:rtl w:val="true"/>
              </w:rPr>
              <w:t>المذاهب الاربعة</w:t>
            </w:r>
            <w:r>
              <w:rPr>
                <w:rStyle w:val="IndexLink"/>
                <w:rtl w:val="true"/>
              </w:rPr>
              <w:tab/>
            </w:r>
            <w:r>
              <w:rPr>
                <w:rStyle w:val="IndexLink"/>
              </w:rPr>
              <w:t>344</w:t>
            </w:r>
          </w:hyperlink>
        </w:p>
        <w:p>
          <w:pPr>
            <w:pStyle w:val="Contents3"/>
            <w:tabs>
              <w:tab w:val="clear" w:pos="8459"/>
              <w:tab w:val="right" w:pos="9026" w:leader="dot"/>
            </w:tabs>
            <w:rPr/>
          </w:pPr>
          <w:hyperlink w:anchor="__RefHeading___Toc363726_581953129">
            <w:r>
              <w:rPr>
                <w:webHidden/>
                <w:rStyle w:val="IndexLink"/>
                <w:rtl w:val="true"/>
              </w:rPr>
              <w:t>المذهب الجعفری</w:t>
            </w:r>
            <w:r>
              <w:rPr>
                <w:rStyle w:val="IndexLink"/>
                <w:rtl w:val="true"/>
              </w:rPr>
              <w:tab/>
            </w:r>
            <w:r>
              <w:rPr>
                <w:rStyle w:val="IndexLink"/>
              </w:rPr>
              <w:t>344</w:t>
            </w:r>
          </w:hyperlink>
        </w:p>
        <w:p>
          <w:pPr>
            <w:pStyle w:val="Contents3"/>
            <w:tabs>
              <w:tab w:val="clear" w:pos="8459"/>
              <w:tab w:val="right" w:pos="9026" w:leader="dot"/>
            </w:tabs>
            <w:rPr/>
          </w:pPr>
          <w:hyperlink w:anchor="__RefHeading___Toc363728_581953129">
            <w:r>
              <w:rPr>
                <w:webHidden/>
                <w:rStyle w:val="IndexLink"/>
                <w:rtl w:val="true"/>
              </w:rPr>
              <w:t>ترتیب الأقسام</w:t>
            </w:r>
            <w:r>
              <w:rPr>
                <w:rStyle w:val="IndexLink"/>
                <w:rtl w:val="true"/>
              </w:rPr>
              <w:tab/>
            </w:r>
            <w:r>
              <w:rPr>
                <w:rStyle w:val="IndexLink"/>
              </w:rPr>
              <w:t>345</w:t>
            </w:r>
          </w:hyperlink>
        </w:p>
        <w:p>
          <w:pPr>
            <w:pStyle w:val="Contents4"/>
            <w:tabs>
              <w:tab w:val="clear" w:pos="8176"/>
              <w:tab w:val="right" w:pos="9026" w:leader="dot"/>
            </w:tabs>
            <w:rPr/>
          </w:pPr>
          <w:hyperlink w:anchor="__RefHeading___Toc363730_581953129">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363732_581953129">
            <w:r>
              <w:rPr>
                <w:webHidden/>
                <w:rStyle w:val="IndexLink"/>
                <w:rtl w:val="true"/>
              </w:rPr>
              <w:t>المذهب الجعفری</w:t>
            </w:r>
            <w:r>
              <w:rPr>
                <w:rStyle w:val="IndexLink"/>
                <w:rtl w:val="true"/>
              </w:rPr>
              <w:tab/>
            </w:r>
            <w:r>
              <w:rPr>
                <w:rStyle w:val="IndexLink"/>
              </w:rPr>
              <w:t>345</w:t>
            </w:r>
          </w:hyperlink>
        </w:p>
        <w:p>
          <w:pPr>
            <w:pStyle w:val="Contents4"/>
            <w:tabs>
              <w:tab w:val="clear" w:pos="8176"/>
              <w:tab w:val="right" w:pos="9026" w:leader="dot"/>
            </w:tabs>
            <w:rPr/>
          </w:pPr>
          <w:hyperlink w:anchor="__RefHeading___Toc363734_581953129">
            <w:r>
              <w:rPr>
                <w:webHidden/>
                <w:rStyle w:val="IndexLink"/>
                <w:rtl w:val="true"/>
              </w:rPr>
              <w:t>المذاهب الاربعة</w:t>
            </w:r>
            <w:r>
              <w:rPr>
                <w:rStyle w:val="IndexLink"/>
                <w:rtl w:val="true"/>
              </w:rPr>
              <w:tab/>
            </w:r>
            <w:r>
              <w:rPr>
                <w:rStyle w:val="IndexLink"/>
              </w:rPr>
              <w:t>346</w:t>
            </w:r>
          </w:hyperlink>
        </w:p>
        <w:p>
          <w:pPr>
            <w:pStyle w:val="Contents4"/>
            <w:tabs>
              <w:tab w:val="clear" w:pos="8176"/>
              <w:tab w:val="right" w:pos="9026" w:leader="dot"/>
            </w:tabs>
            <w:rPr/>
          </w:pPr>
          <w:hyperlink w:anchor="__RefHeading___Toc363736_581953129">
            <w:r>
              <w:rPr>
                <w:webHidden/>
                <w:rStyle w:val="IndexLink"/>
                <w:rtl w:val="true"/>
              </w:rPr>
              <w:t>منشأ الاختلاف</w:t>
            </w:r>
            <w:r>
              <w:rPr>
                <w:rStyle w:val="IndexLink"/>
                <w:rtl w:val="true"/>
              </w:rPr>
              <w:tab/>
            </w:r>
            <w:r>
              <w:rPr>
                <w:rStyle w:val="IndexLink"/>
              </w:rPr>
              <w:t>346</w:t>
            </w:r>
          </w:hyperlink>
        </w:p>
        <w:p>
          <w:pPr>
            <w:pStyle w:val="Contents5"/>
            <w:tabs>
              <w:tab w:val="clear" w:pos="7892"/>
              <w:tab w:val="right" w:pos="9026" w:leader="dot"/>
            </w:tabs>
            <w:rPr/>
          </w:pPr>
          <w:hyperlink w:anchor="__RefHeading___Toc363738_581953129">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63740_581953129">
            <w:r>
              <w:rPr>
                <w:webHidden/>
                <w:rStyle w:val="IndexLink"/>
                <w:rtl w:val="true"/>
              </w:rPr>
              <w:t>و الاختلاف‌فی الفهم بما یلی</w:t>
            </w:r>
            <w:r>
              <w:rPr>
                <w:rStyle w:val="IndexLink"/>
                <w:rtl w:val="true"/>
              </w:rPr>
              <w:t>:</w:t>
              <w:tab/>
            </w:r>
            <w:r>
              <w:rPr>
                <w:rStyle w:val="IndexLink"/>
              </w:rPr>
              <w:t>347</w:t>
            </w:r>
          </w:hyperlink>
        </w:p>
        <w:p>
          <w:pPr>
            <w:pStyle w:val="Contents6"/>
            <w:tabs>
              <w:tab w:val="clear" w:pos="7609"/>
              <w:tab w:val="right" w:pos="9026" w:leader="dot"/>
            </w:tabs>
            <w:rPr/>
          </w:pPr>
          <w:hyperlink w:anchor="__RefHeading___Toc363742_581953129">
            <w:r>
              <w:rPr>
                <w:webHidden/>
                <w:rStyle w:val="IndexLink"/>
                <w:rtl w:val="true"/>
              </w:rPr>
              <w:t>المذهب الجعفری</w:t>
            </w:r>
            <w:r>
              <w:rPr>
                <w:rStyle w:val="IndexLink"/>
                <w:rtl w:val="true"/>
              </w:rPr>
              <w:tab/>
            </w:r>
            <w:r>
              <w:rPr>
                <w:rStyle w:val="IndexLink"/>
              </w:rPr>
              <w:t>347</w:t>
            </w:r>
          </w:hyperlink>
        </w:p>
        <w:p>
          <w:pPr>
            <w:pStyle w:val="Contents6"/>
            <w:tabs>
              <w:tab w:val="clear" w:pos="7609"/>
              <w:tab w:val="right" w:pos="9026" w:leader="dot"/>
            </w:tabs>
            <w:rPr/>
          </w:pPr>
          <w:hyperlink w:anchor="__RefHeading___Toc363744_581953129">
            <w:r>
              <w:rPr>
                <w:webHidden/>
                <w:rStyle w:val="IndexLink"/>
                <w:rtl w:val="true"/>
              </w:rPr>
              <w:t>المذاهب الاربعة</w:t>
            </w:r>
            <w:r>
              <w:rPr>
                <w:rStyle w:val="IndexLink"/>
                <w:rtl w:val="true"/>
              </w:rPr>
              <w:tab/>
            </w:r>
            <w:r>
              <w:rPr>
                <w:rStyle w:val="IndexLink"/>
              </w:rPr>
              <w:t>347</w:t>
            </w:r>
          </w:hyperlink>
        </w:p>
        <w:p>
          <w:pPr>
            <w:pStyle w:val="Contents3"/>
            <w:tabs>
              <w:tab w:val="clear" w:pos="8459"/>
              <w:tab w:val="right" w:pos="9026" w:leader="dot"/>
            </w:tabs>
            <w:rPr/>
          </w:pPr>
          <w:hyperlink w:anchor="__RefHeading___Toc363746_581953129">
            <w:r>
              <w:rPr>
                <w:webHidden/>
                <w:rStyle w:val="IndexLink"/>
                <w:rtl w:val="true"/>
              </w:rPr>
              <w:t>الإحرام من المواقیت</w:t>
            </w:r>
            <w:r>
              <w:rPr>
                <w:rStyle w:val="IndexLink"/>
                <w:rtl w:val="true"/>
              </w:rPr>
              <w:tab/>
            </w:r>
            <w:r>
              <w:rPr>
                <w:rStyle w:val="IndexLink"/>
              </w:rPr>
              <w:t>348</w:t>
            </w:r>
          </w:hyperlink>
        </w:p>
        <w:p>
          <w:pPr>
            <w:pStyle w:val="Contents4"/>
            <w:tabs>
              <w:tab w:val="clear" w:pos="8176"/>
              <w:tab w:val="right" w:pos="9026" w:leader="dot"/>
            </w:tabs>
            <w:rPr/>
          </w:pPr>
          <w:hyperlink w:anchor="__RefHeading___Toc363748_581953129">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363750_581953129">
            <w:r>
              <w:rPr>
                <w:webHidden/>
                <w:rStyle w:val="IndexLink"/>
                <w:rtl w:val="true"/>
              </w:rPr>
              <w:t>المذاهب الاربعة</w:t>
            </w:r>
            <w:r>
              <w:rPr>
                <w:rStyle w:val="IndexLink"/>
                <w:rtl w:val="true"/>
              </w:rPr>
              <w:tab/>
            </w:r>
            <w:r>
              <w:rPr>
                <w:rStyle w:val="IndexLink"/>
              </w:rPr>
              <w:t>348</w:t>
            </w:r>
          </w:hyperlink>
        </w:p>
        <w:p>
          <w:pPr>
            <w:pStyle w:val="Contents4"/>
            <w:tabs>
              <w:tab w:val="clear" w:pos="8176"/>
              <w:tab w:val="right" w:pos="9026" w:leader="dot"/>
            </w:tabs>
            <w:rPr/>
          </w:pPr>
          <w:hyperlink w:anchor="__RefHeading___Toc363752_581953129">
            <w:r>
              <w:rPr>
                <w:webHidden/>
                <w:rStyle w:val="IndexLink"/>
                <w:rtl w:val="true"/>
              </w:rPr>
              <w:t>المذهب الجعفری</w:t>
            </w:r>
            <w:r>
              <w:rPr>
                <w:rStyle w:val="IndexLink"/>
                <w:rtl w:val="true"/>
              </w:rPr>
              <w:tab/>
            </w:r>
            <w:r>
              <w:rPr>
                <w:rStyle w:val="IndexLink"/>
              </w:rPr>
              <w:t>348</w:t>
            </w:r>
          </w:hyperlink>
        </w:p>
        <w:p>
          <w:pPr>
            <w:pStyle w:val="Contents4"/>
            <w:tabs>
              <w:tab w:val="clear" w:pos="8176"/>
              <w:tab w:val="right" w:pos="9026" w:leader="dot"/>
            </w:tabs>
            <w:rPr/>
          </w:pPr>
          <w:hyperlink w:anchor="__RefHeading___Toc363754_581953129">
            <w:r>
              <w:rPr>
                <w:webHidden/>
                <w:rStyle w:val="IndexLink"/>
                <w:rtl w:val="true"/>
              </w:rPr>
              <w:t>منشأ الاختلاف</w:t>
            </w:r>
            <w:r>
              <w:rPr>
                <w:rStyle w:val="IndexLink"/>
                <w:rtl w:val="true"/>
              </w:rPr>
              <w:tab/>
            </w:r>
            <w:r>
              <w:rPr>
                <w:rStyle w:val="IndexLink"/>
              </w:rPr>
              <w:t>349</w:t>
            </w:r>
          </w:hyperlink>
        </w:p>
        <w:p>
          <w:pPr>
            <w:pStyle w:val="Contents3"/>
            <w:tabs>
              <w:tab w:val="clear" w:pos="8459"/>
              <w:tab w:val="right" w:pos="9026" w:leader="dot"/>
            </w:tabs>
            <w:rPr/>
          </w:pPr>
          <w:hyperlink w:anchor="__RefHeading___Toc363756_581953129">
            <w:r>
              <w:rPr>
                <w:webHidden/>
                <w:rStyle w:val="IndexLink"/>
                <w:rtl w:val="true"/>
              </w:rPr>
              <w:t>حکم المرور عن المیقات بدون الإحرام</w:t>
            </w:r>
            <w:r>
              <w:rPr>
                <w:rStyle w:val="IndexLink"/>
                <w:rtl w:val="true"/>
              </w:rPr>
              <w:tab/>
            </w:r>
            <w:r>
              <w:rPr>
                <w:rStyle w:val="IndexLink"/>
              </w:rPr>
              <w:t>350</w:t>
            </w:r>
          </w:hyperlink>
        </w:p>
        <w:p>
          <w:pPr>
            <w:pStyle w:val="Contents4"/>
            <w:tabs>
              <w:tab w:val="clear" w:pos="8176"/>
              <w:tab w:val="right" w:pos="9026" w:leader="dot"/>
            </w:tabs>
            <w:rPr/>
          </w:pPr>
          <w:hyperlink w:anchor="__RefHeading___Toc363758_581953129">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363760_581953129">
            <w:r>
              <w:rPr>
                <w:webHidden/>
                <w:rStyle w:val="IndexLink"/>
                <w:rtl w:val="true"/>
              </w:rPr>
              <w:t>المذهب الجعفری</w:t>
            </w:r>
            <w:r>
              <w:rPr>
                <w:rStyle w:val="IndexLink"/>
                <w:rtl w:val="true"/>
              </w:rPr>
              <w:tab/>
            </w:r>
            <w:r>
              <w:rPr>
                <w:rStyle w:val="IndexLink"/>
              </w:rPr>
              <w:t>350</w:t>
            </w:r>
          </w:hyperlink>
        </w:p>
        <w:p>
          <w:pPr>
            <w:pStyle w:val="Contents4"/>
            <w:tabs>
              <w:tab w:val="clear" w:pos="8176"/>
              <w:tab w:val="right" w:pos="9026" w:leader="dot"/>
            </w:tabs>
            <w:rPr/>
          </w:pPr>
          <w:hyperlink w:anchor="__RefHeading___Toc363762_581953129">
            <w:r>
              <w:rPr>
                <w:webHidden/>
                <w:rStyle w:val="IndexLink"/>
                <w:rtl w:val="true"/>
              </w:rPr>
              <w:t>المذاهب الاربعة</w:t>
            </w:r>
            <w:r>
              <w:rPr>
                <w:rStyle w:val="IndexLink"/>
                <w:rtl w:val="true"/>
              </w:rPr>
              <w:tab/>
            </w:r>
            <w:r>
              <w:rPr>
                <w:rStyle w:val="IndexLink"/>
              </w:rPr>
              <w:t>350</w:t>
            </w:r>
          </w:hyperlink>
        </w:p>
        <w:p>
          <w:pPr>
            <w:pStyle w:val="Contents4"/>
            <w:tabs>
              <w:tab w:val="clear" w:pos="8176"/>
              <w:tab w:val="right" w:pos="9026" w:leader="dot"/>
            </w:tabs>
            <w:rPr/>
          </w:pPr>
          <w:hyperlink w:anchor="__RefHeading___Toc363764_581953129">
            <w:r>
              <w:rPr>
                <w:webHidden/>
                <w:rStyle w:val="IndexLink"/>
                <w:rtl w:val="true"/>
              </w:rPr>
              <w:t>منشأ الاختلاف</w:t>
            </w:r>
            <w:r>
              <w:rPr>
                <w:rStyle w:val="IndexLink"/>
                <w:rtl w:val="true"/>
              </w:rPr>
              <w:tab/>
            </w:r>
            <w:r>
              <w:rPr>
                <w:rStyle w:val="IndexLink"/>
              </w:rPr>
              <w:t>351</w:t>
            </w:r>
          </w:hyperlink>
        </w:p>
        <w:p>
          <w:pPr>
            <w:pStyle w:val="Contents3"/>
            <w:tabs>
              <w:tab w:val="clear" w:pos="8459"/>
              <w:tab w:val="right" w:pos="9026" w:leader="dot"/>
            </w:tabs>
            <w:rPr/>
          </w:pPr>
          <w:hyperlink w:anchor="__RefHeading___Toc363766_581953129">
            <w:r>
              <w:rPr>
                <w:webHidden/>
                <w:rStyle w:val="IndexLink"/>
                <w:rtl w:val="true"/>
              </w:rPr>
              <w:t>صحّة الإحرام قبل أشهر الحجّ</w:t>
            </w:r>
            <w:r>
              <w:rPr>
                <w:rStyle w:val="IndexLink"/>
                <w:rtl w:val="true"/>
              </w:rPr>
              <w:tab/>
            </w:r>
            <w:r>
              <w:rPr>
                <w:rStyle w:val="IndexLink"/>
              </w:rPr>
              <w:t>351</w:t>
            </w:r>
          </w:hyperlink>
        </w:p>
        <w:p>
          <w:pPr>
            <w:pStyle w:val="Contents3"/>
            <w:tabs>
              <w:tab w:val="clear" w:pos="8459"/>
              <w:tab w:val="right" w:pos="9026" w:leader="dot"/>
            </w:tabs>
            <w:rPr/>
          </w:pPr>
          <w:hyperlink w:anchor="__RefHeading___Toc363768_581953129">
            <w:r>
              <w:rPr>
                <w:webHidden/>
                <w:rStyle w:val="IndexLink"/>
                <w:rtl w:val="true"/>
              </w:rPr>
              <w:t>أشهر الحجّ</w:t>
            </w:r>
            <w:r>
              <w:rPr>
                <w:rStyle w:val="IndexLink"/>
                <w:rtl w:val="true"/>
              </w:rPr>
              <w:tab/>
            </w:r>
            <w:r>
              <w:rPr>
                <w:rStyle w:val="IndexLink"/>
              </w:rPr>
              <w:t>351</w:t>
            </w:r>
          </w:hyperlink>
        </w:p>
        <w:p>
          <w:pPr>
            <w:pStyle w:val="Contents4"/>
            <w:tabs>
              <w:tab w:val="clear" w:pos="8176"/>
              <w:tab w:val="right" w:pos="9026" w:leader="dot"/>
            </w:tabs>
            <w:rPr/>
          </w:pPr>
          <w:hyperlink w:anchor="__RefHeading___Toc363770_581953129">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363772_581953129">
            <w:r>
              <w:rPr>
                <w:webHidden/>
                <w:rStyle w:val="IndexLink"/>
                <w:rtl w:val="true"/>
              </w:rPr>
              <w:t>المذهب الحنبلی</w:t>
            </w:r>
            <w:r>
              <w:rPr>
                <w:rStyle w:val="IndexLink"/>
                <w:rtl w:val="true"/>
              </w:rPr>
              <w:tab/>
            </w:r>
            <w:r>
              <w:rPr>
                <w:rStyle w:val="IndexLink"/>
              </w:rPr>
              <w:t>352</w:t>
            </w:r>
          </w:hyperlink>
        </w:p>
        <w:p>
          <w:pPr>
            <w:pStyle w:val="Contents4"/>
            <w:tabs>
              <w:tab w:val="clear" w:pos="8176"/>
              <w:tab w:val="right" w:pos="9026" w:leader="dot"/>
            </w:tabs>
            <w:rPr/>
          </w:pPr>
          <w:hyperlink w:anchor="__RefHeading___Toc363774_581953129">
            <w:r>
              <w:rPr>
                <w:webHidden/>
                <w:rStyle w:val="IndexLink"/>
                <w:rtl w:val="true"/>
              </w:rPr>
              <w:t>منشأ الاختلاف</w:t>
            </w:r>
            <w:r>
              <w:rPr>
                <w:rStyle w:val="IndexLink"/>
                <w:rtl w:val="true"/>
              </w:rPr>
              <w:tab/>
            </w:r>
            <w:r>
              <w:rPr>
                <w:rStyle w:val="IndexLink"/>
              </w:rPr>
              <w:t>352</w:t>
            </w:r>
          </w:hyperlink>
        </w:p>
        <w:p>
          <w:pPr>
            <w:pStyle w:val="Contents3"/>
            <w:tabs>
              <w:tab w:val="clear" w:pos="8459"/>
              <w:tab w:val="right" w:pos="9026" w:leader="dot"/>
            </w:tabs>
            <w:rPr/>
          </w:pPr>
          <w:hyperlink w:anchor="__RefHeading___Toc363776_581953129">
            <w:r>
              <w:rPr>
                <w:webHidden/>
                <w:rStyle w:val="IndexLink"/>
                <w:rtl w:val="true"/>
              </w:rPr>
              <w:t>الخلاصة</w:t>
            </w:r>
            <w:r>
              <w:rPr>
                <w:rStyle w:val="IndexLink"/>
                <w:rtl w:val="true"/>
              </w:rPr>
              <w:tab/>
            </w:r>
            <w:r>
              <w:rPr>
                <w:rStyle w:val="IndexLink"/>
              </w:rPr>
              <w:t>353</w:t>
            </w:r>
          </w:hyperlink>
        </w:p>
        <w:p>
          <w:pPr>
            <w:pStyle w:val="Contents3"/>
            <w:tabs>
              <w:tab w:val="clear" w:pos="8459"/>
              <w:tab w:val="right" w:pos="9026" w:leader="dot"/>
            </w:tabs>
            <w:rPr/>
          </w:pPr>
          <w:hyperlink w:anchor="__RefHeading___Toc363778_581953129">
            <w:r>
              <w:rPr>
                <w:webHidden/>
                <w:rStyle w:val="IndexLink"/>
                <w:rtl w:val="true"/>
              </w:rPr>
              <w:t>الأسئلة</w:t>
            </w:r>
            <w:r>
              <w:rPr>
                <w:rStyle w:val="IndexLink"/>
                <w:rtl w:val="true"/>
              </w:rPr>
              <w:tab/>
            </w:r>
            <w:r>
              <w:rPr>
                <w:rStyle w:val="IndexLink"/>
              </w:rPr>
              <w:t>354</w:t>
            </w:r>
          </w:hyperlink>
        </w:p>
        <w:p>
          <w:pPr>
            <w:pStyle w:val="Contents2"/>
            <w:tabs>
              <w:tab w:val="clear" w:pos="8743"/>
              <w:tab w:val="right" w:pos="9026" w:leader="dot"/>
            </w:tabs>
            <w:rPr/>
          </w:pPr>
          <w:hyperlink w:anchor="__RefHeading___Toc363780_581953129">
            <w:r>
              <w:rPr>
                <w:webHidden/>
                <w:rStyle w:val="IndexLink"/>
              </w:rPr>
              <w:t>26</w:t>
            </w:r>
            <w:r>
              <w:rPr>
                <w:rStyle w:val="IndexLink"/>
                <w:rtl w:val="true"/>
              </w:rPr>
              <w:t xml:space="preserve">- </w:t>
            </w:r>
            <w:r>
              <w:rPr>
                <w:rStyle w:val="IndexLink"/>
                <w:rtl w:val="true"/>
              </w:rPr>
              <w:t>الإحرام</w:t>
            </w:r>
            <w:r>
              <w:rPr>
                <w:rStyle w:val="IndexLink"/>
                <w:rtl w:val="true"/>
              </w:rPr>
              <w:tab/>
            </w:r>
            <w:r>
              <w:rPr>
                <w:rStyle w:val="IndexLink"/>
              </w:rPr>
              <w:t>355</w:t>
            </w:r>
          </w:hyperlink>
        </w:p>
        <w:p>
          <w:pPr>
            <w:pStyle w:val="Contents3"/>
            <w:tabs>
              <w:tab w:val="clear" w:pos="8459"/>
              <w:tab w:val="right" w:pos="9026" w:leader="dot"/>
            </w:tabs>
            <w:rPr/>
          </w:pPr>
          <w:hyperlink w:anchor="__RefHeading___Toc363782_581953129">
            <w:r>
              <w:rPr>
                <w:webHidden/>
                <w:rStyle w:val="IndexLink"/>
                <w:rtl w:val="true"/>
              </w:rPr>
              <w:t>حول مستحبّات الإحرام</w:t>
            </w:r>
            <w:r>
              <w:rPr>
                <w:rStyle w:val="IndexLink"/>
                <w:rtl w:val="true"/>
              </w:rPr>
              <w:tab/>
            </w:r>
            <w:r>
              <w:rPr>
                <w:rStyle w:val="IndexLink"/>
              </w:rPr>
              <w:t>355</w:t>
            </w:r>
          </w:hyperlink>
        </w:p>
        <w:p>
          <w:pPr>
            <w:pStyle w:val="Contents3"/>
            <w:tabs>
              <w:tab w:val="clear" w:pos="8459"/>
              <w:tab w:val="right" w:pos="9026" w:leader="dot"/>
            </w:tabs>
            <w:rPr/>
          </w:pPr>
          <w:hyperlink w:anchor="__RefHeading___Toc363784_581953129">
            <w:r>
              <w:rPr>
                <w:webHidden/>
                <w:rStyle w:val="IndexLink"/>
                <w:rtl w:val="true"/>
              </w:rPr>
              <w:t>حول واجبات الإحرام</w:t>
            </w:r>
            <w:r>
              <w:rPr>
                <w:rStyle w:val="IndexLink"/>
                <w:rtl w:val="true"/>
              </w:rPr>
              <w:tab/>
            </w:r>
            <w:r>
              <w:rPr>
                <w:rStyle w:val="IndexLink"/>
              </w:rPr>
              <w:t>355</w:t>
            </w:r>
          </w:hyperlink>
        </w:p>
        <w:p>
          <w:pPr>
            <w:pStyle w:val="Contents4"/>
            <w:tabs>
              <w:tab w:val="clear" w:pos="8176"/>
              <w:tab w:val="right" w:pos="9026" w:leader="dot"/>
            </w:tabs>
            <w:rPr/>
          </w:pPr>
          <w:hyperlink w:anchor="__RefHeading___Toc363786_581953129">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363788_581953129">
            <w:r>
              <w:rPr>
                <w:webHidden/>
                <w:rStyle w:val="IndexLink"/>
                <w:rtl w:val="true"/>
              </w:rPr>
              <w:t>المذاهب الاربعة</w:t>
            </w:r>
            <w:r>
              <w:rPr>
                <w:rStyle w:val="IndexLink"/>
                <w:rtl w:val="true"/>
              </w:rPr>
              <w:tab/>
            </w:r>
            <w:r>
              <w:rPr>
                <w:rStyle w:val="IndexLink"/>
              </w:rPr>
              <w:t>356</w:t>
            </w:r>
          </w:hyperlink>
        </w:p>
        <w:p>
          <w:pPr>
            <w:pStyle w:val="Contents4"/>
            <w:tabs>
              <w:tab w:val="clear" w:pos="8176"/>
              <w:tab w:val="right" w:pos="9026" w:leader="dot"/>
            </w:tabs>
            <w:rPr/>
          </w:pPr>
          <w:hyperlink w:anchor="__RefHeading___Toc363790_581953129">
            <w:r>
              <w:rPr>
                <w:webHidden/>
                <w:rStyle w:val="IndexLink"/>
                <w:rtl w:val="true"/>
              </w:rPr>
              <w:t>المذهب الجعفری</w:t>
            </w:r>
            <w:r>
              <w:rPr>
                <w:rStyle w:val="IndexLink"/>
                <w:rtl w:val="true"/>
              </w:rPr>
              <w:tab/>
            </w:r>
            <w:r>
              <w:rPr>
                <w:rStyle w:val="IndexLink"/>
              </w:rPr>
              <w:t>356</w:t>
            </w:r>
          </w:hyperlink>
        </w:p>
        <w:p>
          <w:pPr>
            <w:pStyle w:val="Contents3"/>
            <w:tabs>
              <w:tab w:val="clear" w:pos="8459"/>
              <w:tab w:val="right" w:pos="9026" w:leader="dot"/>
            </w:tabs>
            <w:rPr/>
          </w:pPr>
          <w:hyperlink w:anchor="__RefHeading___Toc363792_581953129">
            <w:r>
              <w:rPr>
                <w:webHidden/>
                <w:rStyle w:val="IndexLink"/>
                <w:rtl w:val="true"/>
              </w:rPr>
              <w:t>حول محظورات الإحرام</w:t>
            </w:r>
            <w:r>
              <w:rPr>
                <w:rStyle w:val="IndexLink"/>
                <w:rtl w:val="true"/>
              </w:rPr>
              <w:tab/>
            </w:r>
            <w:r>
              <w:rPr>
                <w:rStyle w:val="IndexLink"/>
              </w:rPr>
              <w:t>357</w:t>
            </w:r>
          </w:hyperlink>
        </w:p>
        <w:p>
          <w:pPr>
            <w:pStyle w:val="Contents4"/>
            <w:tabs>
              <w:tab w:val="clear" w:pos="8176"/>
              <w:tab w:val="right" w:pos="9026" w:leader="dot"/>
            </w:tabs>
            <w:rPr/>
          </w:pPr>
          <w:hyperlink w:anchor="__RefHeading___Toc363794_581953129">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363796_581953129">
            <w:r>
              <w:rPr>
                <w:webHidden/>
                <w:rStyle w:val="IndexLink"/>
                <w:rtl w:val="true"/>
              </w:rPr>
              <w:t>المذاهب الاربعة</w:t>
            </w:r>
            <w:r>
              <w:rPr>
                <w:rStyle w:val="IndexLink"/>
                <w:rtl w:val="true"/>
              </w:rPr>
              <w:tab/>
            </w:r>
            <w:r>
              <w:rPr>
                <w:rStyle w:val="IndexLink"/>
              </w:rPr>
              <w:t>357</w:t>
            </w:r>
          </w:hyperlink>
        </w:p>
        <w:p>
          <w:pPr>
            <w:pStyle w:val="Contents4"/>
            <w:tabs>
              <w:tab w:val="clear" w:pos="8176"/>
              <w:tab w:val="right" w:pos="9026" w:leader="dot"/>
            </w:tabs>
            <w:rPr/>
          </w:pPr>
          <w:hyperlink w:anchor="__RefHeading___Toc363798_581953129">
            <w:r>
              <w:rPr>
                <w:webHidden/>
                <w:rStyle w:val="IndexLink"/>
                <w:rtl w:val="true"/>
              </w:rPr>
              <w:t>المذهب الجعفری</w:t>
            </w:r>
            <w:r>
              <w:rPr>
                <w:rStyle w:val="IndexLink"/>
                <w:rtl w:val="true"/>
              </w:rPr>
              <w:tab/>
            </w:r>
            <w:r>
              <w:rPr>
                <w:rStyle w:val="IndexLink"/>
              </w:rPr>
              <w:t>357</w:t>
            </w:r>
          </w:hyperlink>
        </w:p>
        <w:p>
          <w:pPr>
            <w:pStyle w:val="Contents4"/>
            <w:tabs>
              <w:tab w:val="clear" w:pos="8176"/>
              <w:tab w:val="right" w:pos="9026" w:leader="dot"/>
            </w:tabs>
            <w:rPr/>
          </w:pPr>
          <w:hyperlink w:anchor="__RefHeading___Toc363800_581953129">
            <w:r>
              <w:rPr>
                <w:webHidden/>
                <w:rStyle w:val="IndexLink"/>
                <w:rtl w:val="true"/>
              </w:rPr>
              <w:t>منشأ الاختلاف</w:t>
            </w:r>
            <w:r>
              <w:rPr>
                <w:rStyle w:val="IndexLink"/>
                <w:rtl w:val="true"/>
              </w:rPr>
              <w:tab/>
            </w:r>
            <w:r>
              <w:rPr>
                <w:rStyle w:val="IndexLink"/>
              </w:rPr>
              <w:t>358</w:t>
            </w:r>
          </w:hyperlink>
        </w:p>
        <w:p>
          <w:pPr>
            <w:pStyle w:val="Contents3"/>
            <w:tabs>
              <w:tab w:val="clear" w:pos="8459"/>
              <w:tab w:val="right" w:pos="9026" w:leader="dot"/>
            </w:tabs>
            <w:rPr/>
          </w:pPr>
          <w:hyperlink w:anchor="__RefHeading___Toc363802_581953129">
            <w:r>
              <w:rPr>
                <w:webHidden/>
                <w:rStyle w:val="IndexLink"/>
                <w:rtl w:val="true"/>
              </w:rPr>
              <w:t>حول التقبیل و النظر</w:t>
            </w:r>
            <w:r>
              <w:rPr>
                <w:rStyle w:val="IndexLink"/>
                <w:rtl w:val="true"/>
              </w:rPr>
              <w:tab/>
            </w:r>
            <w:r>
              <w:rPr>
                <w:rStyle w:val="IndexLink"/>
              </w:rPr>
              <w:t>358</w:t>
            </w:r>
          </w:hyperlink>
        </w:p>
        <w:p>
          <w:pPr>
            <w:pStyle w:val="Contents4"/>
            <w:tabs>
              <w:tab w:val="clear" w:pos="8176"/>
              <w:tab w:val="right" w:pos="9026" w:leader="dot"/>
            </w:tabs>
            <w:rPr/>
          </w:pPr>
          <w:hyperlink w:anchor="__RefHeading___Toc363804_581953129">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363806_581953129">
            <w:r>
              <w:rPr>
                <w:webHidden/>
                <w:rStyle w:val="IndexLink"/>
                <w:rtl w:val="true"/>
              </w:rPr>
              <w:t>المذهب الجعفری</w:t>
            </w:r>
            <w:r>
              <w:rPr>
                <w:rStyle w:val="IndexLink"/>
                <w:rtl w:val="true"/>
              </w:rPr>
              <w:tab/>
            </w:r>
            <w:r>
              <w:rPr>
                <w:rStyle w:val="IndexLink"/>
              </w:rPr>
              <w:t>358</w:t>
            </w:r>
          </w:hyperlink>
        </w:p>
        <w:p>
          <w:pPr>
            <w:pStyle w:val="Contents4"/>
            <w:tabs>
              <w:tab w:val="clear" w:pos="8176"/>
              <w:tab w:val="right" w:pos="9026" w:leader="dot"/>
            </w:tabs>
            <w:rPr/>
          </w:pPr>
          <w:hyperlink w:anchor="__RefHeading___Toc363808_581953129">
            <w:r>
              <w:rPr>
                <w:webHidden/>
                <w:rStyle w:val="IndexLink"/>
                <w:rtl w:val="true"/>
              </w:rPr>
              <w:t>المذهب الحنبلی</w:t>
            </w:r>
            <w:r>
              <w:rPr>
                <w:rStyle w:val="IndexLink"/>
                <w:rtl w:val="true"/>
              </w:rPr>
              <w:tab/>
            </w:r>
            <w:r>
              <w:rPr>
                <w:rStyle w:val="IndexLink"/>
              </w:rPr>
              <w:t>359</w:t>
            </w:r>
          </w:hyperlink>
        </w:p>
        <w:p>
          <w:pPr>
            <w:pStyle w:val="Contents4"/>
            <w:tabs>
              <w:tab w:val="clear" w:pos="8176"/>
              <w:tab w:val="right" w:pos="9026" w:leader="dot"/>
            </w:tabs>
            <w:rPr/>
          </w:pPr>
          <w:hyperlink w:anchor="__RefHeading___Toc363810_581953129">
            <w:r>
              <w:rPr>
                <w:webHidden/>
                <w:rStyle w:val="IndexLink"/>
                <w:rtl w:val="true"/>
              </w:rPr>
              <w:t>المذهب الحنفی</w:t>
            </w:r>
            <w:r>
              <w:rPr>
                <w:rStyle w:val="IndexLink"/>
                <w:rtl w:val="true"/>
              </w:rPr>
              <w:tab/>
            </w:r>
            <w:r>
              <w:rPr>
                <w:rStyle w:val="IndexLink"/>
              </w:rPr>
              <w:t>359</w:t>
            </w:r>
          </w:hyperlink>
        </w:p>
        <w:p>
          <w:pPr>
            <w:pStyle w:val="Contents4"/>
            <w:tabs>
              <w:tab w:val="clear" w:pos="8176"/>
              <w:tab w:val="right" w:pos="9026" w:leader="dot"/>
            </w:tabs>
            <w:rPr/>
          </w:pPr>
          <w:hyperlink w:anchor="__RefHeading___Toc363812_581953129">
            <w:r>
              <w:rPr>
                <w:webHidden/>
                <w:rStyle w:val="IndexLink"/>
                <w:rtl w:val="true"/>
              </w:rPr>
              <w:t>المذهب الشافعی</w:t>
            </w:r>
            <w:r>
              <w:rPr>
                <w:rStyle w:val="IndexLink"/>
                <w:rtl w:val="true"/>
              </w:rPr>
              <w:tab/>
            </w:r>
            <w:r>
              <w:rPr>
                <w:rStyle w:val="IndexLink"/>
              </w:rPr>
              <w:t>361</w:t>
            </w:r>
          </w:hyperlink>
        </w:p>
        <w:p>
          <w:pPr>
            <w:pStyle w:val="Contents4"/>
            <w:tabs>
              <w:tab w:val="clear" w:pos="8176"/>
              <w:tab w:val="right" w:pos="9026" w:leader="dot"/>
            </w:tabs>
            <w:rPr/>
          </w:pPr>
          <w:hyperlink w:anchor="__RefHeading___Toc363814_581953129">
            <w:r>
              <w:rPr>
                <w:webHidden/>
                <w:rStyle w:val="IndexLink"/>
                <w:rtl w:val="true"/>
              </w:rPr>
              <w:t>المذهب المالکی</w:t>
            </w:r>
            <w:r>
              <w:rPr>
                <w:rStyle w:val="IndexLink"/>
                <w:rtl w:val="true"/>
              </w:rPr>
              <w:tab/>
            </w:r>
            <w:r>
              <w:rPr>
                <w:rStyle w:val="IndexLink"/>
              </w:rPr>
              <w:t>361</w:t>
            </w:r>
          </w:hyperlink>
        </w:p>
        <w:p>
          <w:pPr>
            <w:pStyle w:val="Contents4"/>
            <w:tabs>
              <w:tab w:val="clear" w:pos="8176"/>
              <w:tab w:val="right" w:pos="9026" w:leader="dot"/>
            </w:tabs>
            <w:rPr/>
          </w:pPr>
          <w:hyperlink w:anchor="__RefHeading___Toc363816_581953129">
            <w:r>
              <w:rPr>
                <w:webHidden/>
                <w:rStyle w:val="IndexLink"/>
                <w:rtl w:val="true"/>
              </w:rPr>
              <w:t>منشأ الاختلاف</w:t>
            </w:r>
            <w:r>
              <w:rPr>
                <w:rStyle w:val="IndexLink"/>
                <w:rtl w:val="true"/>
              </w:rPr>
              <w:tab/>
            </w:r>
            <w:r>
              <w:rPr>
                <w:rStyle w:val="IndexLink"/>
              </w:rPr>
              <w:t>362</w:t>
            </w:r>
          </w:hyperlink>
        </w:p>
        <w:p>
          <w:pPr>
            <w:pStyle w:val="Contents3"/>
            <w:tabs>
              <w:tab w:val="clear" w:pos="8459"/>
              <w:tab w:val="right" w:pos="9026" w:leader="dot"/>
            </w:tabs>
            <w:rPr/>
          </w:pPr>
          <w:hyperlink w:anchor="__RefHeading___Toc363818_581953129">
            <w:r>
              <w:rPr>
                <w:webHidden/>
                <w:rStyle w:val="IndexLink"/>
                <w:rtl w:val="true"/>
              </w:rPr>
              <w:t>الیسیرة</w:t>
            </w:r>
            <w:r>
              <w:rPr>
                <w:rStyle w:val="IndexLink"/>
                <w:rtl w:val="true"/>
              </w:rPr>
              <w:tab/>
            </w:r>
            <w:r>
              <w:rPr>
                <w:rStyle w:val="IndexLink"/>
              </w:rPr>
              <w:t>362</w:t>
            </w:r>
          </w:hyperlink>
        </w:p>
        <w:p>
          <w:pPr>
            <w:pStyle w:val="Contents3"/>
            <w:tabs>
              <w:tab w:val="clear" w:pos="8459"/>
              <w:tab w:val="right" w:pos="9026" w:leader="dot"/>
            </w:tabs>
            <w:rPr/>
          </w:pPr>
          <w:hyperlink w:anchor="__RefHeading___Toc363820_581953129">
            <w:r>
              <w:rPr>
                <w:webHidden/>
                <w:rStyle w:val="IndexLink"/>
                <w:rtl w:val="true"/>
              </w:rPr>
              <w:t>حول الاستظلال</w:t>
            </w:r>
            <w:r>
              <w:rPr>
                <w:rStyle w:val="IndexLink"/>
                <w:rtl w:val="true"/>
              </w:rPr>
              <w:tab/>
            </w:r>
            <w:r>
              <w:rPr>
                <w:rStyle w:val="IndexLink"/>
              </w:rPr>
              <w:t>362</w:t>
            </w:r>
          </w:hyperlink>
        </w:p>
        <w:p>
          <w:pPr>
            <w:pStyle w:val="Contents4"/>
            <w:tabs>
              <w:tab w:val="clear" w:pos="8176"/>
              <w:tab w:val="right" w:pos="9026" w:leader="dot"/>
            </w:tabs>
            <w:rPr/>
          </w:pPr>
          <w:hyperlink w:anchor="__RefHeading___Toc363822_581953129">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363824_581953129">
            <w:r>
              <w:rPr>
                <w:webHidden/>
                <w:rStyle w:val="IndexLink"/>
                <w:rtl w:val="true"/>
              </w:rPr>
              <w:t>ثلاثة من المذاهب</w:t>
            </w:r>
            <w:r>
              <w:rPr>
                <w:rStyle w:val="IndexLink"/>
                <w:rtl w:val="true"/>
              </w:rPr>
              <w:tab/>
            </w:r>
            <w:r>
              <w:rPr>
                <w:rStyle w:val="IndexLink"/>
              </w:rPr>
              <w:t>363</w:t>
            </w:r>
          </w:hyperlink>
        </w:p>
        <w:p>
          <w:pPr>
            <w:pStyle w:val="Contents4"/>
            <w:tabs>
              <w:tab w:val="clear" w:pos="8176"/>
              <w:tab w:val="right" w:pos="9026" w:leader="dot"/>
            </w:tabs>
            <w:rPr/>
          </w:pPr>
          <w:hyperlink w:anchor="__RefHeading___Toc363826_581953129">
            <w:r>
              <w:rPr>
                <w:webHidden/>
                <w:rStyle w:val="IndexLink"/>
                <w:rtl w:val="true"/>
              </w:rPr>
              <w:t>المذهب الجعفری</w:t>
            </w:r>
            <w:r>
              <w:rPr>
                <w:rStyle w:val="IndexLink"/>
                <w:rtl w:val="true"/>
              </w:rPr>
              <w:tab/>
            </w:r>
            <w:r>
              <w:rPr>
                <w:rStyle w:val="IndexLink"/>
              </w:rPr>
              <w:t>363</w:t>
            </w:r>
          </w:hyperlink>
        </w:p>
        <w:p>
          <w:pPr>
            <w:pStyle w:val="Contents4"/>
            <w:tabs>
              <w:tab w:val="clear" w:pos="8176"/>
              <w:tab w:val="right" w:pos="9026" w:leader="dot"/>
            </w:tabs>
            <w:rPr/>
          </w:pPr>
          <w:hyperlink w:anchor="__RefHeading___Toc363828_581953129">
            <w:r>
              <w:rPr>
                <w:webHidden/>
                <w:rStyle w:val="IndexLink"/>
                <w:rtl w:val="true"/>
              </w:rPr>
              <w:t>منشأ الاختلاف</w:t>
            </w:r>
            <w:r>
              <w:rPr>
                <w:rStyle w:val="IndexLink"/>
                <w:rtl w:val="true"/>
              </w:rPr>
              <w:tab/>
            </w:r>
            <w:r>
              <w:rPr>
                <w:rStyle w:val="IndexLink"/>
              </w:rPr>
              <w:t>364</w:t>
            </w:r>
          </w:hyperlink>
        </w:p>
        <w:p>
          <w:pPr>
            <w:pStyle w:val="Contents3"/>
            <w:tabs>
              <w:tab w:val="clear" w:pos="8459"/>
              <w:tab w:val="right" w:pos="9026" w:leader="dot"/>
            </w:tabs>
            <w:rPr/>
          </w:pPr>
          <w:hyperlink w:anchor="__RefHeading___Toc363830_581953129">
            <w:r>
              <w:rPr>
                <w:webHidden/>
                <w:rStyle w:val="IndexLink"/>
                <w:rtl w:val="true"/>
              </w:rPr>
              <w:t>الارتماس</w:t>
            </w:r>
            <w:r>
              <w:rPr>
                <w:rStyle w:val="IndexLink"/>
                <w:rtl w:val="true"/>
              </w:rPr>
              <w:tab/>
            </w:r>
            <w:r>
              <w:rPr>
                <w:rStyle w:val="IndexLink"/>
              </w:rPr>
              <w:t>364</w:t>
            </w:r>
          </w:hyperlink>
        </w:p>
        <w:p>
          <w:pPr>
            <w:pStyle w:val="Contents4"/>
            <w:tabs>
              <w:tab w:val="clear" w:pos="8176"/>
              <w:tab w:val="right" w:pos="9026" w:leader="dot"/>
            </w:tabs>
            <w:rPr/>
          </w:pPr>
          <w:hyperlink w:anchor="__RefHeading___Toc363832_581953129">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363834_581953129">
            <w:r>
              <w:rPr>
                <w:webHidden/>
                <w:rStyle w:val="IndexLink"/>
                <w:rtl w:val="true"/>
              </w:rPr>
              <w:t>المذهب الجعفری</w:t>
            </w:r>
            <w:r>
              <w:rPr>
                <w:rStyle w:val="IndexLink"/>
                <w:rtl w:val="true"/>
              </w:rPr>
              <w:tab/>
            </w:r>
            <w:r>
              <w:rPr>
                <w:rStyle w:val="IndexLink"/>
              </w:rPr>
              <w:t>364</w:t>
            </w:r>
          </w:hyperlink>
        </w:p>
        <w:p>
          <w:pPr>
            <w:pStyle w:val="Contents4"/>
            <w:tabs>
              <w:tab w:val="clear" w:pos="8176"/>
              <w:tab w:val="right" w:pos="9026" w:leader="dot"/>
            </w:tabs>
            <w:rPr/>
          </w:pPr>
          <w:hyperlink w:anchor="__RefHeading___Toc363836_581953129">
            <w:r>
              <w:rPr>
                <w:webHidden/>
                <w:rStyle w:val="IndexLink"/>
                <w:rtl w:val="true"/>
              </w:rPr>
              <w:t>المذاهب الثلاثة الأخری</w:t>
            </w:r>
            <w:r>
              <w:rPr>
                <w:rStyle w:val="IndexLink"/>
                <w:rtl w:val="true"/>
              </w:rPr>
              <w:tab/>
            </w:r>
            <w:r>
              <w:rPr>
                <w:rStyle w:val="IndexLink"/>
              </w:rPr>
              <w:t>365</w:t>
            </w:r>
          </w:hyperlink>
        </w:p>
        <w:p>
          <w:pPr>
            <w:pStyle w:val="Contents4"/>
            <w:tabs>
              <w:tab w:val="clear" w:pos="8176"/>
              <w:tab w:val="right" w:pos="9026" w:leader="dot"/>
            </w:tabs>
            <w:rPr/>
          </w:pPr>
          <w:hyperlink w:anchor="__RefHeading___Toc363838_581953129">
            <w:r>
              <w:rPr>
                <w:webHidden/>
                <w:rStyle w:val="IndexLink"/>
                <w:rtl w:val="true"/>
              </w:rPr>
              <w:t>منشأ الاختلاف</w:t>
            </w:r>
            <w:r>
              <w:rPr>
                <w:rStyle w:val="IndexLink"/>
                <w:rtl w:val="true"/>
              </w:rPr>
              <w:tab/>
            </w:r>
            <w:r>
              <w:rPr>
                <w:rStyle w:val="IndexLink"/>
              </w:rPr>
              <w:t>365</w:t>
            </w:r>
          </w:hyperlink>
        </w:p>
        <w:p>
          <w:pPr>
            <w:pStyle w:val="Contents3"/>
            <w:tabs>
              <w:tab w:val="clear" w:pos="8459"/>
              <w:tab w:val="right" w:pos="9026" w:leader="dot"/>
            </w:tabs>
            <w:rPr/>
          </w:pPr>
          <w:hyperlink w:anchor="__RefHeading___Toc363840_581953129">
            <w:r>
              <w:rPr>
                <w:webHidden/>
                <w:rStyle w:val="IndexLink"/>
                <w:rtl w:val="true"/>
              </w:rPr>
              <w:t>حول الاکتحال والاختضاب</w:t>
            </w:r>
            <w:r>
              <w:rPr>
                <w:rStyle w:val="IndexLink"/>
                <w:rtl w:val="true"/>
              </w:rPr>
              <w:tab/>
            </w:r>
            <w:r>
              <w:rPr>
                <w:rStyle w:val="IndexLink"/>
              </w:rPr>
              <w:t>366</w:t>
            </w:r>
          </w:hyperlink>
        </w:p>
        <w:p>
          <w:pPr>
            <w:pStyle w:val="Contents4"/>
            <w:tabs>
              <w:tab w:val="clear" w:pos="8176"/>
              <w:tab w:val="right" w:pos="9026" w:leader="dot"/>
            </w:tabs>
            <w:rPr/>
          </w:pPr>
          <w:hyperlink w:anchor="__RefHeading___Toc363842_581953129">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363844_581953129">
            <w:r>
              <w:rPr>
                <w:webHidden/>
                <w:rStyle w:val="IndexLink"/>
                <w:rtl w:val="true"/>
              </w:rPr>
              <w:t>المذاهب الاربعة</w:t>
            </w:r>
            <w:r>
              <w:rPr>
                <w:rStyle w:val="IndexLink"/>
                <w:rtl w:val="true"/>
              </w:rPr>
              <w:tab/>
            </w:r>
            <w:r>
              <w:rPr>
                <w:rStyle w:val="IndexLink"/>
              </w:rPr>
              <w:t>366</w:t>
            </w:r>
          </w:hyperlink>
        </w:p>
        <w:p>
          <w:pPr>
            <w:pStyle w:val="Contents4"/>
            <w:tabs>
              <w:tab w:val="clear" w:pos="8176"/>
              <w:tab w:val="right" w:pos="9026" w:leader="dot"/>
            </w:tabs>
            <w:rPr/>
          </w:pPr>
          <w:hyperlink w:anchor="__RefHeading___Toc363846_581953129">
            <w:r>
              <w:rPr>
                <w:webHidden/>
                <w:rStyle w:val="IndexLink"/>
                <w:rtl w:val="true"/>
              </w:rPr>
              <w:t>المذهب الجعفری</w:t>
            </w:r>
            <w:r>
              <w:rPr>
                <w:rStyle w:val="IndexLink"/>
                <w:rtl w:val="true"/>
              </w:rPr>
              <w:tab/>
            </w:r>
            <w:r>
              <w:rPr>
                <w:rStyle w:val="IndexLink"/>
              </w:rPr>
              <w:t>366</w:t>
            </w:r>
          </w:hyperlink>
        </w:p>
        <w:p>
          <w:pPr>
            <w:pStyle w:val="Contents4"/>
            <w:tabs>
              <w:tab w:val="clear" w:pos="8176"/>
              <w:tab w:val="right" w:pos="9026" w:leader="dot"/>
            </w:tabs>
            <w:rPr/>
          </w:pPr>
          <w:hyperlink w:anchor="__RefHeading___Toc363848_581953129">
            <w:r>
              <w:rPr>
                <w:webHidden/>
                <w:rStyle w:val="IndexLink"/>
                <w:rtl w:val="true"/>
              </w:rPr>
              <w:t>منشأ الاختلاف</w:t>
            </w:r>
            <w:r>
              <w:rPr>
                <w:rStyle w:val="IndexLink"/>
                <w:rtl w:val="true"/>
              </w:rPr>
              <w:tab/>
            </w:r>
            <w:r>
              <w:rPr>
                <w:rStyle w:val="IndexLink"/>
              </w:rPr>
              <w:t>366</w:t>
            </w:r>
          </w:hyperlink>
        </w:p>
        <w:p>
          <w:pPr>
            <w:pStyle w:val="Contents3"/>
            <w:tabs>
              <w:tab w:val="clear" w:pos="8459"/>
              <w:tab w:val="right" w:pos="9026" w:leader="dot"/>
            </w:tabs>
            <w:rPr/>
          </w:pPr>
          <w:hyperlink w:anchor="__RefHeading___Toc363850_581953129">
            <w:r>
              <w:rPr>
                <w:webHidden/>
                <w:rStyle w:val="IndexLink"/>
                <w:rtl w:val="true"/>
              </w:rPr>
              <w:t>الخلاصة</w:t>
            </w:r>
            <w:r>
              <w:rPr>
                <w:rStyle w:val="IndexLink"/>
                <w:rtl w:val="true"/>
              </w:rPr>
              <w:tab/>
            </w:r>
            <w:r>
              <w:rPr>
                <w:rStyle w:val="IndexLink"/>
              </w:rPr>
              <w:t>368</w:t>
            </w:r>
          </w:hyperlink>
        </w:p>
        <w:p>
          <w:pPr>
            <w:pStyle w:val="Contents3"/>
            <w:tabs>
              <w:tab w:val="clear" w:pos="8459"/>
              <w:tab w:val="right" w:pos="9026" w:leader="dot"/>
            </w:tabs>
            <w:rPr/>
          </w:pPr>
          <w:hyperlink w:anchor="__RefHeading___Toc363852_581953129">
            <w:r>
              <w:rPr>
                <w:webHidden/>
                <w:rStyle w:val="IndexLink"/>
                <w:rtl w:val="true"/>
              </w:rPr>
              <w:t>الأسئلة</w:t>
            </w:r>
            <w:r>
              <w:rPr>
                <w:rStyle w:val="IndexLink"/>
                <w:rtl w:val="true"/>
              </w:rPr>
              <w:tab/>
            </w:r>
            <w:r>
              <w:rPr>
                <w:rStyle w:val="IndexLink"/>
              </w:rPr>
              <w:t>369</w:t>
            </w:r>
          </w:hyperlink>
        </w:p>
        <w:p>
          <w:pPr>
            <w:pStyle w:val="Contents2"/>
            <w:tabs>
              <w:tab w:val="clear" w:pos="8743"/>
              <w:tab w:val="right" w:pos="9026" w:leader="dot"/>
            </w:tabs>
            <w:rPr/>
          </w:pPr>
          <w:hyperlink w:anchor="__RefHeading___Toc363854_581953129">
            <w:r>
              <w:rPr>
                <w:webHidden/>
                <w:rStyle w:val="IndexLink"/>
              </w:rPr>
              <w:t>27</w:t>
            </w:r>
            <w:r>
              <w:rPr>
                <w:rStyle w:val="IndexLink"/>
                <w:rtl w:val="true"/>
              </w:rPr>
              <w:t xml:space="preserve">- </w:t>
            </w:r>
            <w:r>
              <w:rPr>
                <w:rStyle w:val="IndexLink"/>
                <w:rtl w:val="true"/>
              </w:rPr>
              <w:t>الوقوفات</w:t>
            </w:r>
            <w:r>
              <w:rPr>
                <w:rStyle w:val="IndexLink"/>
                <w:rtl w:val="true"/>
              </w:rPr>
              <w:tab/>
            </w:r>
            <w:r>
              <w:rPr>
                <w:rStyle w:val="IndexLink"/>
              </w:rPr>
              <w:t>370</w:t>
            </w:r>
          </w:hyperlink>
        </w:p>
        <w:p>
          <w:pPr>
            <w:pStyle w:val="Contents3"/>
            <w:tabs>
              <w:tab w:val="clear" w:pos="8459"/>
              <w:tab w:val="right" w:pos="9026" w:leader="dot"/>
            </w:tabs>
            <w:rPr/>
          </w:pPr>
          <w:hyperlink w:anchor="__RefHeading___Toc363856_581953129">
            <w:r>
              <w:rPr>
                <w:webHidden/>
                <w:rStyle w:val="IndexLink"/>
                <w:rtl w:val="true"/>
              </w:rPr>
              <w:t>وقت الوقوف فی عرفة</w:t>
            </w:r>
            <w:r>
              <w:rPr>
                <w:rStyle w:val="IndexLink"/>
                <w:rtl w:val="true"/>
              </w:rPr>
              <w:tab/>
            </w:r>
            <w:r>
              <w:rPr>
                <w:rStyle w:val="IndexLink"/>
              </w:rPr>
              <w:t>370</w:t>
            </w:r>
          </w:hyperlink>
        </w:p>
        <w:p>
          <w:pPr>
            <w:pStyle w:val="Contents4"/>
            <w:tabs>
              <w:tab w:val="clear" w:pos="8176"/>
              <w:tab w:val="right" w:pos="9026" w:leader="dot"/>
            </w:tabs>
            <w:rPr/>
          </w:pPr>
          <w:hyperlink w:anchor="__RefHeading___Toc363858_581953129">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363860_581953129">
            <w:r>
              <w:rPr>
                <w:webHidden/>
                <w:rStyle w:val="IndexLink"/>
                <w:rtl w:val="true"/>
              </w:rPr>
              <w:t>ثلاثة من المذاهب</w:t>
            </w:r>
            <w:r>
              <w:rPr>
                <w:rStyle w:val="IndexLink"/>
                <w:rtl w:val="true"/>
              </w:rPr>
              <w:tab/>
            </w:r>
            <w:r>
              <w:rPr>
                <w:rStyle w:val="IndexLink"/>
              </w:rPr>
              <w:t>370</w:t>
            </w:r>
          </w:hyperlink>
        </w:p>
        <w:p>
          <w:pPr>
            <w:pStyle w:val="Contents4"/>
            <w:tabs>
              <w:tab w:val="clear" w:pos="8176"/>
              <w:tab w:val="right" w:pos="9026" w:leader="dot"/>
            </w:tabs>
            <w:rPr/>
          </w:pPr>
          <w:hyperlink w:anchor="__RefHeading___Toc363862_581953129">
            <w:r>
              <w:rPr>
                <w:webHidden/>
                <w:rStyle w:val="IndexLink"/>
                <w:rtl w:val="true"/>
              </w:rPr>
              <w:t>المذهب الجعفری</w:t>
            </w:r>
            <w:r>
              <w:rPr>
                <w:rStyle w:val="IndexLink"/>
                <w:rtl w:val="true"/>
              </w:rPr>
              <w:tab/>
            </w:r>
            <w:r>
              <w:rPr>
                <w:rStyle w:val="IndexLink"/>
              </w:rPr>
              <w:t>371</w:t>
            </w:r>
          </w:hyperlink>
        </w:p>
        <w:p>
          <w:pPr>
            <w:pStyle w:val="Contents4"/>
            <w:tabs>
              <w:tab w:val="clear" w:pos="8176"/>
              <w:tab w:val="right" w:pos="9026" w:leader="dot"/>
            </w:tabs>
            <w:rPr/>
          </w:pPr>
          <w:hyperlink w:anchor="__RefHeading___Toc363864_581953129">
            <w:r>
              <w:rPr>
                <w:webHidden/>
                <w:rStyle w:val="IndexLink"/>
                <w:rtl w:val="true"/>
              </w:rPr>
              <w:t>المذهب الحنبلی</w:t>
            </w:r>
            <w:r>
              <w:rPr>
                <w:rStyle w:val="IndexLink"/>
                <w:rtl w:val="true"/>
              </w:rPr>
              <w:tab/>
            </w:r>
            <w:r>
              <w:rPr>
                <w:rStyle w:val="IndexLink"/>
              </w:rPr>
              <w:t>371</w:t>
            </w:r>
          </w:hyperlink>
        </w:p>
        <w:p>
          <w:pPr>
            <w:pStyle w:val="Contents4"/>
            <w:tabs>
              <w:tab w:val="clear" w:pos="8176"/>
              <w:tab w:val="right" w:pos="9026" w:leader="dot"/>
            </w:tabs>
            <w:rPr/>
          </w:pPr>
          <w:hyperlink w:anchor="__RefHeading___Toc363866_581953129">
            <w:r>
              <w:rPr>
                <w:webHidden/>
                <w:rStyle w:val="IndexLink"/>
                <w:rtl w:val="true"/>
              </w:rPr>
              <w:t>منشأ الاختلاف</w:t>
            </w:r>
            <w:r>
              <w:rPr>
                <w:rStyle w:val="IndexLink"/>
                <w:rtl w:val="true"/>
              </w:rPr>
              <w:tab/>
            </w:r>
            <w:r>
              <w:rPr>
                <w:rStyle w:val="IndexLink"/>
              </w:rPr>
              <w:t>372</w:t>
            </w:r>
          </w:hyperlink>
        </w:p>
        <w:p>
          <w:pPr>
            <w:pStyle w:val="Contents3"/>
            <w:tabs>
              <w:tab w:val="clear" w:pos="8459"/>
              <w:tab w:val="right" w:pos="9026" w:leader="dot"/>
            </w:tabs>
            <w:rPr/>
          </w:pPr>
          <w:hyperlink w:anchor="__RefHeading___Toc363868_581953129">
            <w:r>
              <w:rPr>
                <w:webHidden/>
                <w:rStyle w:val="IndexLink"/>
                <w:rtl w:val="true"/>
              </w:rPr>
              <w:t>حکم الخروج عن عرفة قبل الغروب</w:t>
            </w:r>
            <w:r>
              <w:rPr>
                <w:rStyle w:val="IndexLink"/>
                <w:rtl w:val="true"/>
              </w:rPr>
              <w:tab/>
            </w:r>
            <w:r>
              <w:rPr>
                <w:rStyle w:val="IndexLink"/>
              </w:rPr>
              <w:t>372</w:t>
            </w:r>
          </w:hyperlink>
        </w:p>
        <w:p>
          <w:pPr>
            <w:pStyle w:val="Contents3"/>
            <w:tabs>
              <w:tab w:val="clear" w:pos="8459"/>
              <w:tab w:val="right" w:pos="9026" w:leader="dot"/>
            </w:tabs>
            <w:rPr/>
          </w:pPr>
          <w:hyperlink w:anchor="__RefHeading___Toc363870_581953129">
            <w:r>
              <w:rPr>
                <w:webHidden/>
                <w:rStyle w:val="IndexLink"/>
                <w:rtl w:val="true"/>
              </w:rPr>
              <w:t>حول الوقوف بالمزدلفة</w:t>
            </w:r>
            <w:r>
              <w:rPr>
                <w:rStyle w:val="IndexLink"/>
                <w:rtl w:val="true"/>
              </w:rPr>
              <w:tab/>
            </w:r>
            <w:r>
              <w:rPr>
                <w:rStyle w:val="IndexLink"/>
              </w:rPr>
              <w:t>373</w:t>
            </w:r>
          </w:hyperlink>
        </w:p>
        <w:p>
          <w:pPr>
            <w:pStyle w:val="Contents4"/>
            <w:tabs>
              <w:tab w:val="clear" w:pos="8176"/>
              <w:tab w:val="right" w:pos="9026" w:leader="dot"/>
            </w:tabs>
            <w:rPr/>
          </w:pPr>
          <w:hyperlink w:anchor="__RefHeading___Toc363872_581953129">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363874_581953129">
            <w:r>
              <w:rPr>
                <w:webHidden/>
                <w:rStyle w:val="IndexLink"/>
                <w:rtl w:val="true"/>
              </w:rPr>
              <w:t>المذهب الجعفری</w:t>
            </w:r>
            <w:r>
              <w:rPr>
                <w:rStyle w:val="IndexLink"/>
                <w:rtl w:val="true"/>
              </w:rPr>
              <w:tab/>
            </w:r>
            <w:r>
              <w:rPr>
                <w:rStyle w:val="IndexLink"/>
              </w:rPr>
              <w:t>374</w:t>
            </w:r>
          </w:hyperlink>
        </w:p>
        <w:p>
          <w:pPr>
            <w:pStyle w:val="Contents4"/>
            <w:tabs>
              <w:tab w:val="clear" w:pos="8176"/>
              <w:tab w:val="right" w:pos="9026" w:leader="dot"/>
            </w:tabs>
            <w:rPr/>
          </w:pPr>
          <w:hyperlink w:anchor="__RefHeading___Toc363876_581953129">
            <w:r>
              <w:rPr>
                <w:webHidden/>
                <w:rStyle w:val="IndexLink"/>
                <w:rtl w:val="true"/>
              </w:rPr>
              <w:t>المذاهب الاربعة</w:t>
            </w:r>
            <w:r>
              <w:rPr>
                <w:rStyle w:val="IndexLink"/>
                <w:rtl w:val="true"/>
              </w:rPr>
              <w:tab/>
            </w:r>
            <w:r>
              <w:rPr>
                <w:rStyle w:val="IndexLink"/>
              </w:rPr>
              <w:t>374</w:t>
            </w:r>
          </w:hyperlink>
        </w:p>
        <w:p>
          <w:pPr>
            <w:pStyle w:val="Contents4"/>
            <w:tabs>
              <w:tab w:val="clear" w:pos="8176"/>
              <w:tab w:val="right" w:pos="9026" w:leader="dot"/>
            </w:tabs>
            <w:rPr/>
          </w:pPr>
          <w:hyperlink w:anchor="__RefHeading___Toc363878_581953129">
            <w:r>
              <w:rPr>
                <w:webHidden/>
                <w:rStyle w:val="IndexLink"/>
                <w:rtl w:val="true"/>
              </w:rPr>
              <w:t>منشأ الاختلاف</w:t>
            </w:r>
            <w:r>
              <w:rPr>
                <w:rStyle w:val="IndexLink"/>
                <w:rtl w:val="true"/>
              </w:rPr>
              <w:tab/>
            </w:r>
            <w:r>
              <w:rPr>
                <w:rStyle w:val="IndexLink"/>
              </w:rPr>
              <w:t>375</w:t>
            </w:r>
          </w:hyperlink>
        </w:p>
        <w:p>
          <w:pPr>
            <w:pStyle w:val="Contents3"/>
            <w:tabs>
              <w:tab w:val="clear" w:pos="8459"/>
              <w:tab w:val="right" w:pos="9026" w:leader="dot"/>
            </w:tabs>
            <w:rPr/>
          </w:pPr>
          <w:hyperlink w:anchor="__RefHeading___Toc363880_581953129">
            <w:r>
              <w:rPr>
                <w:webHidden/>
                <w:rStyle w:val="IndexLink"/>
                <w:rtl w:val="true"/>
              </w:rPr>
              <w:t>جواز التفریق بین العشائین لیلة المزدلفة</w:t>
            </w:r>
            <w:r>
              <w:rPr>
                <w:rStyle w:val="IndexLink"/>
                <w:rtl w:val="true"/>
              </w:rPr>
              <w:tab/>
            </w:r>
            <w:r>
              <w:rPr>
                <w:rStyle w:val="IndexLink"/>
              </w:rPr>
              <w:t>376</w:t>
            </w:r>
          </w:hyperlink>
        </w:p>
        <w:p>
          <w:pPr>
            <w:pStyle w:val="Contents4"/>
            <w:tabs>
              <w:tab w:val="clear" w:pos="8176"/>
              <w:tab w:val="right" w:pos="9026" w:leader="dot"/>
            </w:tabs>
            <w:rPr/>
          </w:pPr>
          <w:hyperlink w:anchor="__RefHeading___Toc363882_581953129">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363884_581953129">
            <w:r>
              <w:rPr>
                <w:webHidden/>
                <w:rStyle w:val="IndexLink"/>
                <w:rtl w:val="true"/>
              </w:rPr>
              <w:t>منشأ الاختلاف</w:t>
            </w:r>
            <w:r>
              <w:rPr>
                <w:rStyle w:val="IndexLink"/>
                <w:rtl w:val="true"/>
              </w:rPr>
              <w:tab/>
            </w:r>
            <w:r>
              <w:rPr>
                <w:rStyle w:val="IndexLink"/>
              </w:rPr>
              <w:t>376</w:t>
            </w:r>
          </w:hyperlink>
        </w:p>
        <w:p>
          <w:pPr>
            <w:pStyle w:val="Contents3"/>
            <w:tabs>
              <w:tab w:val="clear" w:pos="8459"/>
              <w:tab w:val="right" w:pos="9026" w:leader="dot"/>
            </w:tabs>
            <w:rPr/>
          </w:pPr>
          <w:hyperlink w:anchor="__RefHeading___Toc363886_581953129">
            <w:r>
              <w:rPr>
                <w:webHidden/>
                <w:rStyle w:val="IndexLink"/>
                <w:rtl w:val="true"/>
              </w:rPr>
              <w:t>أعمال منی</w:t>
            </w:r>
            <w:r>
              <w:rPr>
                <w:rStyle w:val="IndexLink"/>
                <w:rtl w:val="true"/>
              </w:rPr>
              <w:tab/>
            </w:r>
            <w:r>
              <w:rPr>
                <w:rStyle w:val="IndexLink"/>
              </w:rPr>
              <w:t>377</w:t>
            </w:r>
          </w:hyperlink>
        </w:p>
        <w:p>
          <w:pPr>
            <w:pStyle w:val="Contents3"/>
            <w:tabs>
              <w:tab w:val="clear" w:pos="8459"/>
              <w:tab w:val="right" w:pos="9026" w:leader="dot"/>
            </w:tabs>
            <w:rPr/>
          </w:pPr>
          <w:hyperlink w:anchor="__RefHeading___Toc363888_581953129">
            <w:r>
              <w:rPr>
                <w:webHidden/>
                <w:rStyle w:val="IndexLink"/>
                <w:rtl w:val="true"/>
              </w:rPr>
              <w:t>خصوصیة الترتیب بالنسبة إلی أعمال منی</w:t>
            </w:r>
            <w:r>
              <w:rPr>
                <w:rStyle w:val="IndexLink"/>
                <w:rtl w:val="true"/>
              </w:rPr>
              <w:tab/>
            </w:r>
            <w:r>
              <w:rPr>
                <w:rStyle w:val="IndexLink"/>
              </w:rPr>
              <w:t>377</w:t>
            </w:r>
          </w:hyperlink>
        </w:p>
        <w:p>
          <w:pPr>
            <w:pStyle w:val="Contents4"/>
            <w:tabs>
              <w:tab w:val="clear" w:pos="8176"/>
              <w:tab w:val="right" w:pos="9026" w:leader="dot"/>
            </w:tabs>
            <w:rPr/>
          </w:pPr>
          <w:hyperlink w:anchor="__RefHeading___Toc363890_581953129">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363892_581953129">
            <w:r>
              <w:rPr>
                <w:webHidden/>
                <w:rStyle w:val="IndexLink"/>
                <w:rtl w:val="true"/>
              </w:rPr>
              <w:t>المذهب الجعفری</w:t>
            </w:r>
            <w:r>
              <w:rPr>
                <w:rStyle w:val="IndexLink"/>
                <w:rtl w:val="true"/>
              </w:rPr>
              <w:tab/>
            </w:r>
            <w:r>
              <w:rPr>
                <w:rStyle w:val="IndexLink"/>
              </w:rPr>
              <w:t>377</w:t>
            </w:r>
          </w:hyperlink>
        </w:p>
        <w:p>
          <w:pPr>
            <w:pStyle w:val="Contents4"/>
            <w:tabs>
              <w:tab w:val="clear" w:pos="8176"/>
              <w:tab w:val="right" w:pos="9026" w:leader="dot"/>
            </w:tabs>
            <w:rPr/>
          </w:pPr>
          <w:hyperlink w:anchor="__RefHeading___Toc363894_581953129">
            <w:r>
              <w:rPr>
                <w:webHidden/>
                <w:rStyle w:val="IndexLink"/>
                <w:rtl w:val="true"/>
              </w:rPr>
              <w:t>المذاهب الاربعة</w:t>
            </w:r>
            <w:r>
              <w:rPr>
                <w:rStyle w:val="IndexLink"/>
                <w:rtl w:val="true"/>
              </w:rPr>
              <w:tab/>
            </w:r>
            <w:r>
              <w:rPr>
                <w:rStyle w:val="IndexLink"/>
              </w:rPr>
              <w:t>377</w:t>
            </w:r>
          </w:hyperlink>
        </w:p>
        <w:p>
          <w:pPr>
            <w:pStyle w:val="Contents4"/>
            <w:tabs>
              <w:tab w:val="clear" w:pos="8176"/>
              <w:tab w:val="right" w:pos="9026" w:leader="dot"/>
            </w:tabs>
            <w:rPr/>
          </w:pPr>
          <w:hyperlink w:anchor="__RefHeading___Toc363896_581953129">
            <w:r>
              <w:rPr>
                <w:webHidden/>
                <w:rStyle w:val="IndexLink"/>
                <w:rtl w:val="true"/>
              </w:rPr>
              <w:t>منشأ الاختلاف</w:t>
            </w:r>
            <w:r>
              <w:rPr>
                <w:rStyle w:val="IndexLink"/>
                <w:rtl w:val="true"/>
              </w:rPr>
              <w:tab/>
            </w:r>
            <w:r>
              <w:rPr>
                <w:rStyle w:val="IndexLink"/>
              </w:rPr>
              <w:t>378</w:t>
            </w:r>
          </w:hyperlink>
        </w:p>
        <w:p>
          <w:pPr>
            <w:pStyle w:val="Contents3"/>
            <w:tabs>
              <w:tab w:val="clear" w:pos="8459"/>
              <w:tab w:val="right" w:pos="9026" w:leader="dot"/>
            </w:tabs>
            <w:rPr/>
          </w:pPr>
          <w:hyperlink w:anchor="__RefHeading___Toc363898_581953129">
            <w:r>
              <w:rPr>
                <w:webHidden/>
                <w:rStyle w:val="IndexLink"/>
                <w:rtl w:val="true"/>
              </w:rPr>
              <w:t>وقت الرمی</w:t>
            </w:r>
            <w:r>
              <w:rPr>
                <w:rStyle w:val="IndexLink"/>
                <w:rtl w:val="true"/>
              </w:rPr>
              <w:tab/>
            </w:r>
            <w:r>
              <w:rPr>
                <w:rStyle w:val="IndexLink"/>
              </w:rPr>
              <w:t>378</w:t>
            </w:r>
          </w:hyperlink>
        </w:p>
        <w:p>
          <w:pPr>
            <w:pStyle w:val="Contents4"/>
            <w:tabs>
              <w:tab w:val="clear" w:pos="8176"/>
              <w:tab w:val="right" w:pos="9026" w:leader="dot"/>
            </w:tabs>
            <w:rPr/>
          </w:pPr>
          <w:hyperlink w:anchor="__RefHeading___Toc363900_581953129">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363902_581953129">
            <w:r>
              <w:rPr>
                <w:webHidden/>
                <w:rStyle w:val="IndexLink"/>
                <w:rtl w:val="true"/>
              </w:rPr>
              <w:t>المذهب الجعفری</w:t>
            </w:r>
            <w:r>
              <w:rPr>
                <w:rStyle w:val="IndexLink"/>
                <w:rtl w:val="true"/>
              </w:rPr>
              <w:tab/>
            </w:r>
            <w:r>
              <w:rPr>
                <w:rStyle w:val="IndexLink"/>
              </w:rPr>
              <w:t>378</w:t>
            </w:r>
          </w:hyperlink>
        </w:p>
        <w:p>
          <w:pPr>
            <w:pStyle w:val="Contents4"/>
            <w:tabs>
              <w:tab w:val="clear" w:pos="8176"/>
              <w:tab w:val="right" w:pos="9026" w:leader="dot"/>
            </w:tabs>
            <w:rPr/>
          </w:pPr>
          <w:hyperlink w:anchor="__RefHeading___Toc363904_581953129">
            <w:r>
              <w:rPr>
                <w:webHidden/>
                <w:rStyle w:val="IndexLink"/>
                <w:rtl w:val="true"/>
              </w:rPr>
              <w:t>المذهب الحنبلی</w:t>
            </w:r>
            <w:r>
              <w:rPr>
                <w:rStyle w:val="IndexLink"/>
                <w:rtl w:val="true"/>
              </w:rPr>
              <w:tab/>
            </w:r>
            <w:r>
              <w:rPr>
                <w:rStyle w:val="IndexLink"/>
              </w:rPr>
              <w:t>379</w:t>
            </w:r>
          </w:hyperlink>
        </w:p>
        <w:p>
          <w:pPr>
            <w:pStyle w:val="Contents4"/>
            <w:tabs>
              <w:tab w:val="clear" w:pos="8176"/>
              <w:tab w:val="right" w:pos="9026" w:leader="dot"/>
            </w:tabs>
            <w:rPr/>
          </w:pPr>
          <w:hyperlink w:anchor="__RefHeading___Toc363906_581953129">
            <w:r>
              <w:rPr>
                <w:webHidden/>
                <w:rStyle w:val="IndexLink"/>
                <w:rtl w:val="true"/>
              </w:rPr>
              <w:t>المذهب الحنفی</w:t>
            </w:r>
            <w:r>
              <w:rPr>
                <w:rStyle w:val="IndexLink"/>
                <w:rtl w:val="true"/>
              </w:rPr>
              <w:tab/>
            </w:r>
            <w:r>
              <w:rPr>
                <w:rStyle w:val="IndexLink"/>
              </w:rPr>
              <w:t>379</w:t>
            </w:r>
          </w:hyperlink>
        </w:p>
        <w:p>
          <w:pPr>
            <w:pStyle w:val="Contents4"/>
            <w:tabs>
              <w:tab w:val="clear" w:pos="8176"/>
              <w:tab w:val="right" w:pos="9026" w:leader="dot"/>
            </w:tabs>
            <w:rPr/>
          </w:pPr>
          <w:hyperlink w:anchor="__RefHeading___Toc363908_581953129">
            <w:r>
              <w:rPr>
                <w:webHidden/>
                <w:rStyle w:val="IndexLink"/>
                <w:rtl w:val="true"/>
              </w:rPr>
              <w:t>المذهب الشافعی</w:t>
            </w:r>
            <w:r>
              <w:rPr>
                <w:rStyle w:val="IndexLink"/>
                <w:rtl w:val="true"/>
              </w:rPr>
              <w:tab/>
            </w:r>
            <w:r>
              <w:rPr>
                <w:rStyle w:val="IndexLink"/>
              </w:rPr>
              <w:t>379</w:t>
            </w:r>
          </w:hyperlink>
        </w:p>
        <w:p>
          <w:pPr>
            <w:pStyle w:val="Contents4"/>
            <w:tabs>
              <w:tab w:val="clear" w:pos="8176"/>
              <w:tab w:val="right" w:pos="9026" w:leader="dot"/>
            </w:tabs>
            <w:rPr/>
          </w:pPr>
          <w:hyperlink w:anchor="__RefHeading___Toc363910_581953129">
            <w:r>
              <w:rPr>
                <w:webHidden/>
                <w:rStyle w:val="IndexLink"/>
                <w:rtl w:val="true"/>
              </w:rPr>
              <w:t>المذهب المالکی</w:t>
            </w:r>
            <w:r>
              <w:rPr>
                <w:rStyle w:val="IndexLink"/>
                <w:rtl w:val="true"/>
              </w:rPr>
              <w:tab/>
            </w:r>
            <w:r>
              <w:rPr>
                <w:rStyle w:val="IndexLink"/>
              </w:rPr>
              <w:t>379</w:t>
            </w:r>
          </w:hyperlink>
        </w:p>
        <w:p>
          <w:pPr>
            <w:pStyle w:val="Contents4"/>
            <w:tabs>
              <w:tab w:val="clear" w:pos="8176"/>
              <w:tab w:val="right" w:pos="9026" w:leader="dot"/>
            </w:tabs>
            <w:rPr/>
          </w:pPr>
          <w:hyperlink w:anchor="__RefHeading___Toc363912_581953129">
            <w:r>
              <w:rPr>
                <w:webHidden/>
                <w:rStyle w:val="IndexLink"/>
                <w:rtl w:val="true"/>
              </w:rPr>
              <w:t>منشأ الاختلاف</w:t>
            </w:r>
            <w:r>
              <w:rPr>
                <w:rStyle w:val="IndexLink"/>
                <w:rtl w:val="true"/>
              </w:rPr>
              <w:tab/>
            </w:r>
            <w:r>
              <w:rPr>
                <w:rStyle w:val="IndexLink"/>
              </w:rPr>
              <w:t>380</w:t>
            </w:r>
          </w:hyperlink>
        </w:p>
        <w:p>
          <w:pPr>
            <w:pStyle w:val="Contents3"/>
            <w:tabs>
              <w:tab w:val="clear" w:pos="8459"/>
              <w:tab w:val="right" w:pos="9026" w:leader="dot"/>
            </w:tabs>
            <w:rPr/>
          </w:pPr>
          <w:hyperlink w:anchor="__RefHeading___Toc363914_581953129">
            <w:r>
              <w:rPr>
                <w:webHidden/>
                <w:rStyle w:val="IndexLink"/>
                <w:rtl w:val="true"/>
              </w:rPr>
              <w:t>الخلاصة</w:t>
            </w:r>
            <w:r>
              <w:rPr>
                <w:rStyle w:val="IndexLink"/>
                <w:rtl w:val="true"/>
              </w:rPr>
              <w:tab/>
            </w:r>
            <w:r>
              <w:rPr>
                <w:rStyle w:val="IndexLink"/>
              </w:rPr>
              <w:t>382</w:t>
            </w:r>
          </w:hyperlink>
        </w:p>
        <w:p>
          <w:pPr>
            <w:pStyle w:val="Contents3"/>
            <w:tabs>
              <w:tab w:val="clear" w:pos="8459"/>
              <w:tab w:val="right" w:pos="9026" w:leader="dot"/>
            </w:tabs>
            <w:rPr/>
          </w:pPr>
          <w:hyperlink w:anchor="__RefHeading___Toc363916_581953129">
            <w:r>
              <w:rPr>
                <w:webHidden/>
                <w:rStyle w:val="IndexLink"/>
                <w:rtl w:val="true"/>
              </w:rPr>
              <w:t>الأسئلة</w:t>
            </w:r>
            <w:r>
              <w:rPr>
                <w:rStyle w:val="IndexLink"/>
                <w:rtl w:val="true"/>
              </w:rPr>
              <w:tab/>
            </w:r>
            <w:r>
              <w:rPr>
                <w:rStyle w:val="IndexLink"/>
              </w:rPr>
              <w:t>383</w:t>
            </w:r>
          </w:hyperlink>
        </w:p>
        <w:p>
          <w:pPr>
            <w:pStyle w:val="Contents2"/>
            <w:tabs>
              <w:tab w:val="clear" w:pos="8743"/>
              <w:tab w:val="right" w:pos="9026" w:leader="dot"/>
            </w:tabs>
            <w:rPr/>
          </w:pPr>
          <w:hyperlink w:anchor="__RefHeading___Toc363918_581953129">
            <w:r>
              <w:rPr>
                <w:webHidden/>
                <w:rStyle w:val="IndexLink"/>
              </w:rPr>
              <w:t>28</w:t>
            </w:r>
            <w:r>
              <w:rPr>
                <w:rStyle w:val="IndexLink"/>
                <w:rtl w:val="true"/>
              </w:rPr>
              <w:t xml:space="preserve">- </w:t>
            </w:r>
            <w:r>
              <w:rPr>
                <w:rStyle w:val="IndexLink"/>
                <w:rtl w:val="true"/>
              </w:rPr>
              <w:t>الطواف</w:t>
            </w:r>
            <w:r>
              <w:rPr>
                <w:rStyle w:val="IndexLink"/>
                <w:rtl w:val="true"/>
              </w:rPr>
              <w:tab/>
            </w:r>
            <w:r>
              <w:rPr>
                <w:rStyle w:val="IndexLink"/>
              </w:rPr>
              <w:t>384</w:t>
            </w:r>
          </w:hyperlink>
        </w:p>
        <w:p>
          <w:pPr>
            <w:pStyle w:val="Contents3"/>
            <w:tabs>
              <w:tab w:val="clear" w:pos="8459"/>
              <w:tab w:val="right" w:pos="9026" w:leader="dot"/>
            </w:tabs>
            <w:rPr/>
          </w:pPr>
          <w:hyperlink w:anchor="__RefHeading___Toc363920_581953129">
            <w:r>
              <w:rPr>
                <w:webHidden/>
                <w:rStyle w:val="IndexLink"/>
                <w:rtl w:val="true"/>
              </w:rPr>
              <w:t>طواف الوداع وطواف النساء</w:t>
            </w:r>
            <w:r>
              <w:rPr>
                <w:rStyle w:val="IndexLink"/>
                <w:rtl w:val="true"/>
              </w:rPr>
              <w:tab/>
            </w:r>
            <w:r>
              <w:rPr>
                <w:rStyle w:val="IndexLink"/>
              </w:rPr>
              <w:t>384</w:t>
            </w:r>
          </w:hyperlink>
        </w:p>
        <w:p>
          <w:pPr>
            <w:pStyle w:val="Contents4"/>
            <w:tabs>
              <w:tab w:val="clear" w:pos="8176"/>
              <w:tab w:val="right" w:pos="9026" w:leader="dot"/>
            </w:tabs>
            <w:rPr/>
          </w:pPr>
          <w:hyperlink w:anchor="__RefHeading___Toc363922_581953129">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363924_581953129">
            <w:r>
              <w:rPr>
                <w:webHidden/>
                <w:rStyle w:val="IndexLink"/>
                <w:rtl w:val="true"/>
              </w:rPr>
              <w:t>المذاهب الاربعة</w:t>
            </w:r>
            <w:r>
              <w:rPr>
                <w:rStyle w:val="IndexLink"/>
                <w:rtl w:val="true"/>
              </w:rPr>
              <w:tab/>
            </w:r>
            <w:r>
              <w:rPr>
                <w:rStyle w:val="IndexLink"/>
              </w:rPr>
              <w:t>384</w:t>
            </w:r>
          </w:hyperlink>
        </w:p>
        <w:p>
          <w:pPr>
            <w:pStyle w:val="Contents4"/>
            <w:tabs>
              <w:tab w:val="clear" w:pos="8176"/>
              <w:tab w:val="right" w:pos="9026" w:leader="dot"/>
            </w:tabs>
            <w:rPr/>
          </w:pPr>
          <w:hyperlink w:anchor="__RefHeading___Toc363926_581953129">
            <w:r>
              <w:rPr>
                <w:webHidden/>
                <w:rStyle w:val="IndexLink"/>
                <w:rtl w:val="true"/>
              </w:rPr>
              <w:t>المذهب الجعفری</w:t>
            </w:r>
            <w:r>
              <w:rPr>
                <w:rStyle w:val="IndexLink"/>
                <w:rtl w:val="true"/>
              </w:rPr>
              <w:tab/>
            </w:r>
            <w:r>
              <w:rPr>
                <w:rStyle w:val="IndexLink"/>
              </w:rPr>
              <w:t>385</w:t>
            </w:r>
          </w:hyperlink>
        </w:p>
        <w:p>
          <w:pPr>
            <w:pStyle w:val="Contents4"/>
            <w:tabs>
              <w:tab w:val="clear" w:pos="8176"/>
              <w:tab w:val="right" w:pos="9026" w:leader="dot"/>
            </w:tabs>
            <w:rPr/>
          </w:pPr>
          <w:hyperlink w:anchor="__RefHeading___Toc363928_581953129">
            <w:r>
              <w:rPr>
                <w:webHidden/>
                <w:rStyle w:val="IndexLink"/>
                <w:rtl w:val="true"/>
              </w:rPr>
              <w:t>منشأ الاختلاف</w:t>
            </w:r>
            <w:r>
              <w:rPr>
                <w:rStyle w:val="IndexLink"/>
                <w:rtl w:val="true"/>
              </w:rPr>
              <w:tab/>
            </w:r>
            <w:r>
              <w:rPr>
                <w:rStyle w:val="IndexLink"/>
              </w:rPr>
              <w:t>387</w:t>
            </w:r>
          </w:hyperlink>
        </w:p>
        <w:p>
          <w:pPr>
            <w:pStyle w:val="Contents3"/>
            <w:tabs>
              <w:tab w:val="clear" w:pos="8459"/>
              <w:tab w:val="right" w:pos="9026" w:leader="dot"/>
            </w:tabs>
            <w:rPr/>
          </w:pPr>
          <w:hyperlink w:anchor="__RefHeading___Toc363930_581953129">
            <w:r>
              <w:rPr>
                <w:webHidden/>
                <w:rStyle w:val="IndexLink"/>
                <w:rtl w:val="true"/>
              </w:rPr>
              <w:t>وجوب الطهارة فی الطواف</w:t>
            </w:r>
            <w:r>
              <w:rPr>
                <w:rStyle w:val="IndexLink"/>
                <w:rtl w:val="true"/>
              </w:rPr>
              <w:tab/>
            </w:r>
            <w:r>
              <w:rPr>
                <w:rStyle w:val="IndexLink"/>
              </w:rPr>
              <w:t>387</w:t>
            </w:r>
          </w:hyperlink>
        </w:p>
        <w:p>
          <w:pPr>
            <w:pStyle w:val="Contents4"/>
            <w:tabs>
              <w:tab w:val="clear" w:pos="8176"/>
              <w:tab w:val="right" w:pos="9026" w:leader="dot"/>
            </w:tabs>
            <w:rPr/>
          </w:pPr>
          <w:hyperlink w:anchor="__RefHeading___Toc363932_581953129">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363934_581953129">
            <w:r>
              <w:rPr>
                <w:webHidden/>
                <w:rStyle w:val="IndexLink"/>
                <w:rtl w:val="true"/>
              </w:rPr>
              <w:t>المذهب الجعفری</w:t>
            </w:r>
            <w:r>
              <w:rPr>
                <w:rStyle w:val="IndexLink"/>
                <w:rtl w:val="true"/>
              </w:rPr>
              <w:tab/>
            </w:r>
            <w:r>
              <w:rPr>
                <w:rStyle w:val="IndexLink"/>
              </w:rPr>
              <w:t>387</w:t>
            </w:r>
          </w:hyperlink>
        </w:p>
        <w:p>
          <w:pPr>
            <w:pStyle w:val="Contents4"/>
            <w:tabs>
              <w:tab w:val="clear" w:pos="8176"/>
              <w:tab w:val="right" w:pos="9026" w:leader="dot"/>
            </w:tabs>
            <w:rPr/>
          </w:pPr>
          <w:hyperlink w:anchor="__RefHeading___Toc363936_581953129">
            <w:r>
              <w:rPr>
                <w:webHidden/>
                <w:rStyle w:val="IndexLink"/>
                <w:rtl w:val="true"/>
              </w:rPr>
              <w:t>المذاهب الاربعة</w:t>
            </w:r>
            <w:r>
              <w:rPr>
                <w:rStyle w:val="IndexLink"/>
                <w:rtl w:val="true"/>
              </w:rPr>
              <w:tab/>
            </w:r>
            <w:r>
              <w:rPr>
                <w:rStyle w:val="IndexLink"/>
              </w:rPr>
              <w:t>388</w:t>
            </w:r>
          </w:hyperlink>
        </w:p>
        <w:p>
          <w:pPr>
            <w:pStyle w:val="Contents4"/>
            <w:tabs>
              <w:tab w:val="clear" w:pos="8176"/>
              <w:tab w:val="right" w:pos="9026" w:leader="dot"/>
            </w:tabs>
            <w:rPr/>
          </w:pPr>
          <w:hyperlink w:anchor="__RefHeading___Toc363938_581953129">
            <w:r>
              <w:rPr>
                <w:webHidden/>
                <w:rStyle w:val="IndexLink"/>
                <w:rtl w:val="true"/>
              </w:rPr>
              <w:t>منشأ الاختلاف</w:t>
            </w:r>
            <w:r>
              <w:rPr>
                <w:rStyle w:val="IndexLink"/>
                <w:rtl w:val="true"/>
              </w:rPr>
              <w:tab/>
            </w:r>
            <w:r>
              <w:rPr>
                <w:rStyle w:val="IndexLink"/>
              </w:rPr>
              <w:t>389</w:t>
            </w:r>
          </w:hyperlink>
        </w:p>
        <w:p>
          <w:pPr>
            <w:pStyle w:val="Contents3"/>
            <w:tabs>
              <w:tab w:val="clear" w:pos="8459"/>
              <w:tab w:val="right" w:pos="9026" w:leader="dot"/>
            </w:tabs>
            <w:rPr/>
          </w:pPr>
          <w:hyperlink w:anchor="__RefHeading___Toc363940_581953129">
            <w:r>
              <w:rPr>
                <w:webHidden/>
                <w:rStyle w:val="IndexLink"/>
                <w:rtl w:val="true"/>
              </w:rPr>
              <w:t>حکم الشکّ فی عدد الأشواط</w:t>
            </w:r>
            <w:r>
              <w:rPr>
                <w:rStyle w:val="IndexLink"/>
                <w:rtl w:val="true"/>
              </w:rPr>
              <w:tab/>
            </w:r>
            <w:r>
              <w:rPr>
                <w:rStyle w:val="IndexLink"/>
              </w:rPr>
              <w:t>389</w:t>
            </w:r>
          </w:hyperlink>
        </w:p>
        <w:p>
          <w:pPr>
            <w:pStyle w:val="Contents4"/>
            <w:tabs>
              <w:tab w:val="clear" w:pos="8176"/>
              <w:tab w:val="right" w:pos="9026" w:leader="dot"/>
            </w:tabs>
            <w:rPr/>
          </w:pPr>
          <w:hyperlink w:anchor="__RefHeading___Toc363942_581953129">
            <w:r>
              <w:rPr>
                <w:webHidden/>
                <w:rStyle w:val="IndexLink"/>
                <w:rtl w:val="true"/>
              </w:rPr>
              <w:t>المذاهب الاربعة</w:t>
            </w:r>
            <w:r>
              <w:rPr>
                <w:rStyle w:val="IndexLink"/>
                <w:rtl w:val="true"/>
              </w:rPr>
              <w:tab/>
            </w:r>
            <w:r>
              <w:rPr>
                <w:rStyle w:val="IndexLink"/>
              </w:rPr>
              <w:t>389</w:t>
            </w:r>
          </w:hyperlink>
        </w:p>
        <w:p>
          <w:pPr>
            <w:pStyle w:val="Contents4"/>
            <w:tabs>
              <w:tab w:val="clear" w:pos="8176"/>
              <w:tab w:val="right" w:pos="9026" w:leader="dot"/>
            </w:tabs>
            <w:rPr/>
          </w:pPr>
          <w:hyperlink w:anchor="__RefHeading___Toc363944_581953129">
            <w:r>
              <w:rPr>
                <w:webHidden/>
                <w:rStyle w:val="IndexLink"/>
                <w:rtl w:val="true"/>
              </w:rPr>
              <w:t>المذهب الجعفری</w:t>
            </w:r>
            <w:r>
              <w:rPr>
                <w:rStyle w:val="IndexLink"/>
                <w:rtl w:val="true"/>
              </w:rPr>
              <w:tab/>
            </w:r>
            <w:r>
              <w:rPr>
                <w:rStyle w:val="IndexLink"/>
              </w:rPr>
              <w:t>389</w:t>
            </w:r>
          </w:hyperlink>
        </w:p>
        <w:p>
          <w:pPr>
            <w:pStyle w:val="Contents3"/>
            <w:tabs>
              <w:tab w:val="clear" w:pos="8459"/>
              <w:tab w:val="right" w:pos="9026" w:leader="dot"/>
            </w:tabs>
            <w:rPr/>
          </w:pPr>
          <w:hyperlink w:anchor="__RefHeading___Toc363946_581953129">
            <w:r>
              <w:rPr>
                <w:webHidden/>
                <w:rStyle w:val="IndexLink"/>
                <w:rtl w:val="true"/>
              </w:rPr>
              <w:t>الموالاة</w:t>
            </w:r>
            <w:r>
              <w:rPr>
                <w:rStyle w:val="IndexLink"/>
                <w:rtl w:val="true"/>
              </w:rPr>
              <w:tab/>
            </w:r>
            <w:r>
              <w:rPr>
                <w:rStyle w:val="IndexLink"/>
              </w:rPr>
              <w:t>390</w:t>
            </w:r>
          </w:hyperlink>
        </w:p>
        <w:p>
          <w:pPr>
            <w:pStyle w:val="Contents4"/>
            <w:tabs>
              <w:tab w:val="clear" w:pos="8176"/>
              <w:tab w:val="right" w:pos="9026" w:leader="dot"/>
            </w:tabs>
            <w:rPr/>
          </w:pPr>
          <w:hyperlink w:anchor="__RefHeading___Toc363948_581953129">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363950_581953129">
            <w:r>
              <w:rPr>
                <w:webHidden/>
                <w:rStyle w:val="IndexLink"/>
                <w:rtl w:val="true"/>
              </w:rPr>
              <w:t>ثلاثة من المذاهب</w:t>
            </w:r>
            <w:r>
              <w:rPr>
                <w:rStyle w:val="IndexLink"/>
                <w:rtl w:val="true"/>
              </w:rPr>
              <w:tab/>
            </w:r>
            <w:r>
              <w:rPr>
                <w:rStyle w:val="IndexLink"/>
              </w:rPr>
              <w:t>390</w:t>
            </w:r>
          </w:hyperlink>
        </w:p>
        <w:p>
          <w:pPr>
            <w:pStyle w:val="Contents4"/>
            <w:tabs>
              <w:tab w:val="clear" w:pos="8176"/>
              <w:tab w:val="right" w:pos="9026" w:leader="dot"/>
            </w:tabs>
            <w:rPr/>
          </w:pPr>
          <w:hyperlink w:anchor="__RefHeading___Toc363952_581953129">
            <w:r>
              <w:rPr>
                <w:webHidden/>
                <w:rStyle w:val="IndexLink"/>
                <w:rtl w:val="true"/>
              </w:rPr>
              <w:t>المذهب الحنفی</w:t>
            </w:r>
            <w:r>
              <w:rPr>
                <w:rStyle w:val="IndexLink"/>
                <w:rtl w:val="true"/>
              </w:rPr>
              <w:tab/>
            </w:r>
            <w:r>
              <w:rPr>
                <w:rStyle w:val="IndexLink"/>
              </w:rPr>
              <w:t>391</w:t>
            </w:r>
          </w:hyperlink>
        </w:p>
        <w:p>
          <w:pPr>
            <w:pStyle w:val="Contents4"/>
            <w:tabs>
              <w:tab w:val="clear" w:pos="8176"/>
              <w:tab w:val="right" w:pos="9026" w:leader="dot"/>
            </w:tabs>
            <w:rPr/>
          </w:pPr>
          <w:hyperlink w:anchor="__RefHeading___Toc363954_581953129">
            <w:r>
              <w:rPr>
                <w:webHidden/>
                <w:rStyle w:val="IndexLink"/>
                <w:rtl w:val="true"/>
              </w:rPr>
              <w:t>المذهب الجعفری</w:t>
            </w:r>
            <w:r>
              <w:rPr>
                <w:rStyle w:val="IndexLink"/>
                <w:rtl w:val="true"/>
              </w:rPr>
              <w:tab/>
            </w:r>
            <w:r>
              <w:rPr>
                <w:rStyle w:val="IndexLink"/>
              </w:rPr>
              <w:t>391</w:t>
            </w:r>
          </w:hyperlink>
        </w:p>
        <w:p>
          <w:pPr>
            <w:pStyle w:val="Contents4"/>
            <w:tabs>
              <w:tab w:val="clear" w:pos="8176"/>
              <w:tab w:val="right" w:pos="9026" w:leader="dot"/>
            </w:tabs>
            <w:rPr/>
          </w:pPr>
          <w:hyperlink w:anchor="__RefHeading___Toc363956_581953129">
            <w:r>
              <w:rPr>
                <w:webHidden/>
                <w:rStyle w:val="IndexLink"/>
                <w:rtl w:val="true"/>
              </w:rPr>
              <w:t>منشأ الاختلاف</w:t>
            </w:r>
            <w:r>
              <w:rPr>
                <w:rStyle w:val="IndexLink"/>
                <w:rtl w:val="true"/>
              </w:rPr>
              <w:tab/>
            </w:r>
            <w:r>
              <w:rPr>
                <w:rStyle w:val="IndexLink"/>
              </w:rPr>
              <w:t>392</w:t>
            </w:r>
          </w:hyperlink>
        </w:p>
        <w:p>
          <w:pPr>
            <w:pStyle w:val="Contents3"/>
            <w:tabs>
              <w:tab w:val="clear" w:pos="8459"/>
              <w:tab w:val="right" w:pos="9026" w:leader="dot"/>
            </w:tabs>
            <w:rPr/>
          </w:pPr>
          <w:hyperlink w:anchor="__RefHeading___Toc363958_581953129">
            <w:r>
              <w:rPr>
                <w:webHidden/>
                <w:rStyle w:val="IndexLink"/>
                <w:rtl w:val="true"/>
              </w:rPr>
              <w:t>السعی</w:t>
            </w:r>
            <w:r>
              <w:rPr>
                <w:rStyle w:val="IndexLink"/>
                <w:rtl w:val="true"/>
              </w:rPr>
              <w:tab/>
            </w:r>
            <w:r>
              <w:rPr>
                <w:rStyle w:val="IndexLink"/>
              </w:rPr>
              <w:t>393</w:t>
            </w:r>
          </w:hyperlink>
        </w:p>
        <w:p>
          <w:pPr>
            <w:pStyle w:val="Contents3"/>
            <w:tabs>
              <w:tab w:val="clear" w:pos="8459"/>
              <w:tab w:val="right" w:pos="9026" w:leader="dot"/>
            </w:tabs>
            <w:rPr/>
          </w:pPr>
          <w:hyperlink w:anchor="__RefHeading___Toc363960_581953129">
            <w:r>
              <w:rPr>
                <w:webHidden/>
                <w:rStyle w:val="IndexLink"/>
                <w:rtl w:val="true"/>
              </w:rPr>
              <w:t>رکنیة السعی</w:t>
            </w:r>
            <w:r>
              <w:rPr>
                <w:rStyle w:val="IndexLink"/>
                <w:rtl w:val="true"/>
              </w:rPr>
              <w:tab/>
            </w:r>
            <w:r>
              <w:rPr>
                <w:rStyle w:val="IndexLink"/>
              </w:rPr>
              <w:t>393</w:t>
            </w:r>
          </w:hyperlink>
        </w:p>
        <w:p>
          <w:pPr>
            <w:pStyle w:val="Contents4"/>
            <w:tabs>
              <w:tab w:val="clear" w:pos="8176"/>
              <w:tab w:val="right" w:pos="9026" w:leader="dot"/>
            </w:tabs>
            <w:rPr/>
          </w:pPr>
          <w:hyperlink w:anchor="__RefHeading___Toc363962_581953129">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363964_581953129">
            <w:r>
              <w:rPr>
                <w:webHidden/>
                <w:rStyle w:val="IndexLink"/>
                <w:rtl w:val="true"/>
              </w:rPr>
              <w:t>المذهب الجعفری</w:t>
            </w:r>
            <w:r>
              <w:rPr>
                <w:rStyle w:val="IndexLink"/>
                <w:rtl w:val="true"/>
              </w:rPr>
              <w:tab/>
            </w:r>
            <w:r>
              <w:rPr>
                <w:rStyle w:val="IndexLink"/>
              </w:rPr>
              <w:t>393</w:t>
            </w:r>
          </w:hyperlink>
        </w:p>
        <w:p>
          <w:pPr>
            <w:pStyle w:val="Contents4"/>
            <w:tabs>
              <w:tab w:val="clear" w:pos="8176"/>
              <w:tab w:val="right" w:pos="9026" w:leader="dot"/>
            </w:tabs>
            <w:rPr/>
          </w:pPr>
          <w:hyperlink w:anchor="__RefHeading___Toc363966_581953129">
            <w:r>
              <w:rPr>
                <w:webHidden/>
                <w:rStyle w:val="IndexLink"/>
                <w:rtl w:val="true"/>
              </w:rPr>
              <w:t>المذهب الحنفی</w:t>
            </w:r>
            <w:r>
              <w:rPr>
                <w:rStyle w:val="IndexLink"/>
                <w:rtl w:val="true"/>
              </w:rPr>
              <w:tab/>
            </w:r>
            <w:r>
              <w:rPr>
                <w:rStyle w:val="IndexLink"/>
              </w:rPr>
              <w:t>394</w:t>
            </w:r>
          </w:hyperlink>
        </w:p>
        <w:p>
          <w:pPr>
            <w:pStyle w:val="Contents3"/>
            <w:tabs>
              <w:tab w:val="clear" w:pos="8459"/>
              <w:tab w:val="right" w:pos="9026" w:leader="dot"/>
            </w:tabs>
            <w:rPr/>
          </w:pPr>
          <w:hyperlink w:anchor="__RefHeading___Toc363968_581953129">
            <w:r>
              <w:rPr>
                <w:webHidden/>
                <w:rStyle w:val="IndexLink"/>
                <w:rtl w:val="true"/>
              </w:rPr>
              <w:t>حکم الشکّ فی عدد السعی بین الصفا و المروة</w:t>
            </w:r>
            <w:r>
              <w:rPr>
                <w:rStyle w:val="IndexLink"/>
                <w:rtl w:val="true"/>
              </w:rPr>
              <w:tab/>
            </w:r>
            <w:r>
              <w:rPr>
                <w:rStyle w:val="IndexLink"/>
              </w:rPr>
              <w:t>394</w:t>
            </w:r>
          </w:hyperlink>
        </w:p>
        <w:p>
          <w:pPr>
            <w:pStyle w:val="Contents4"/>
            <w:tabs>
              <w:tab w:val="clear" w:pos="8176"/>
              <w:tab w:val="right" w:pos="9026" w:leader="dot"/>
            </w:tabs>
            <w:rPr/>
          </w:pPr>
          <w:hyperlink w:anchor="__RefHeading___Toc363970_581953129">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363972_581953129">
            <w:r>
              <w:rPr>
                <w:webHidden/>
                <w:rStyle w:val="IndexLink"/>
                <w:rtl w:val="true"/>
              </w:rPr>
              <w:t>المذاهب الاربعة</w:t>
            </w:r>
            <w:r>
              <w:rPr>
                <w:rStyle w:val="IndexLink"/>
                <w:rtl w:val="true"/>
              </w:rPr>
              <w:tab/>
            </w:r>
            <w:r>
              <w:rPr>
                <w:rStyle w:val="IndexLink"/>
              </w:rPr>
              <w:t>394</w:t>
            </w:r>
          </w:hyperlink>
        </w:p>
        <w:p>
          <w:pPr>
            <w:pStyle w:val="Contents4"/>
            <w:tabs>
              <w:tab w:val="clear" w:pos="8176"/>
              <w:tab w:val="right" w:pos="9026" w:leader="dot"/>
            </w:tabs>
            <w:rPr/>
          </w:pPr>
          <w:hyperlink w:anchor="__RefHeading___Toc363974_581953129">
            <w:r>
              <w:rPr>
                <w:webHidden/>
                <w:rStyle w:val="IndexLink"/>
                <w:rtl w:val="true"/>
              </w:rPr>
              <w:t>المذهب الجعفری</w:t>
            </w:r>
            <w:r>
              <w:rPr>
                <w:rStyle w:val="IndexLink"/>
                <w:rtl w:val="true"/>
              </w:rPr>
              <w:tab/>
            </w:r>
            <w:r>
              <w:rPr>
                <w:rStyle w:val="IndexLink"/>
              </w:rPr>
              <w:t>395</w:t>
            </w:r>
          </w:hyperlink>
        </w:p>
        <w:p>
          <w:pPr>
            <w:pStyle w:val="Contents4"/>
            <w:tabs>
              <w:tab w:val="clear" w:pos="8176"/>
              <w:tab w:val="right" w:pos="9026" w:leader="dot"/>
            </w:tabs>
            <w:rPr/>
          </w:pPr>
          <w:hyperlink w:anchor="__RefHeading___Toc363976_581953129">
            <w:r>
              <w:rPr>
                <w:webHidden/>
                <w:rStyle w:val="IndexLink"/>
                <w:rtl w:val="true"/>
              </w:rPr>
              <w:t>منشأ الاختلاف</w:t>
            </w:r>
            <w:r>
              <w:rPr>
                <w:rStyle w:val="IndexLink"/>
                <w:rtl w:val="true"/>
              </w:rPr>
              <w:tab/>
            </w:r>
            <w:r>
              <w:rPr>
                <w:rStyle w:val="IndexLink"/>
              </w:rPr>
              <w:t>395</w:t>
            </w:r>
          </w:hyperlink>
        </w:p>
        <w:p>
          <w:pPr>
            <w:pStyle w:val="Contents3"/>
            <w:tabs>
              <w:tab w:val="clear" w:pos="8459"/>
              <w:tab w:val="right" w:pos="9026" w:leader="dot"/>
            </w:tabs>
            <w:rPr/>
          </w:pPr>
          <w:hyperlink w:anchor="__RefHeading___Toc363978_581953129">
            <w:r>
              <w:rPr>
                <w:webHidden/>
                <w:rStyle w:val="IndexLink"/>
                <w:rtl w:val="true"/>
              </w:rPr>
              <w:t>حول التخییر بین الحلق و التقصیر فی العمرة المتمتّع بها</w:t>
            </w:r>
            <w:r>
              <w:rPr>
                <w:rStyle w:val="IndexLink"/>
                <w:rtl w:val="true"/>
              </w:rPr>
              <w:tab/>
            </w:r>
            <w:r>
              <w:rPr>
                <w:rStyle w:val="IndexLink"/>
              </w:rPr>
              <w:t>396</w:t>
            </w:r>
          </w:hyperlink>
        </w:p>
        <w:p>
          <w:pPr>
            <w:pStyle w:val="Contents4"/>
            <w:tabs>
              <w:tab w:val="clear" w:pos="8176"/>
              <w:tab w:val="right" w:pos="9026" w:leader="dot"/>
            </w:tabs>
            <w:rPr/>
          </w:pPr>
          <w:hyperlink w:anchor="__RefHeading___Toc363980_581953129">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363982_581953129">
            <w:r>
              <w:rPr>
                <w:webHidden/>
                <w:rStyle w:val="IndexLink"/>
                <w:rtl w:val="true"/>
              </w:rPr>
              <w:t>المذهب الجعفری</w:t>
            </w:r>
            <w:r>
              <w:rPr>
                <w:rStyle w:val="IndexLink"/>
                <w:rtl w:val="true"/>
              </w:rPr>
              <w:tab/>
            </w:r>
            <w:r>
              <w:rPr>
                <w:rStyle w:val="IndexLink"/>
              </w:rPr>
              <w:t>396</w:t>
            </w:r>
          </w:hyperlink>
        </w:p>
        <w:p>
          <w:pPr>
            <w:pStyle w:val="Contents4"/>
            <w:tabs>
              <w:tab w:val="clear" w:pos="8176"/>
              <w:tab w:val="right" w:pos="9026" w:leader="dot"/>
            </w:tabs>
            <w:rPr/>
          </w:pPr>
          <w:hyperlink w:anchor="__RefHeading___Toc363984_581953129">
            <w:r>
              <w:rPr>
                <w:webHidden/>
                <w:rStyle w:val="IndexLink"/>
                <w:rtl w:val="true"/>
              </w:rPr>
              <w:t>المذاهب الاربعة</w:t>
            </w:r>
            <w:r>
              <w:rPr>
                <w:rStyle w:val="IndexLink"/>
                <w:rtl w:val="true"/>
              </w:rPr>
              <w:tab/>
            </w:r>
            <w:r>
              <w:rPr>
                <w:rStyle w:val="IndexLink"/>
              </w:rPr>
              <w:t>396</w:t>
            </w:r>
          </w:hyperlink>
        </w:p>
        <w:p>
          <w:pPr>
            <w:pStyle w:val="Contents3"/>
            <w:tabs>
              <w:tab w:val="clear" w:pos="8459"/>
              <w:tab w:val="right" w:pos="9026" w:leader="dot"/>
            </w:tabs>
            <w:rPr/>
          </w:pPr>
          <w:hyperlink w:anchor="__RefHeading___Toc363986_581953129">
            <w:r>
              <w:rPr>
                <w:webHidden/>
                <w:rStyle w:val="IndexLink"/>
                <w:rtl w:val="true"/>
              </w:rPr>
              <w:t>حدّ التقصیر و الحلق</w:t>
            </w:r>
            <w:r>
              <w:rPr>
                <w:rStyle w:val="IndexLink"/>
                <w:rtl w:val="true"/>
              </w:rPr>
              <w:tab/>
            </w:r>
            <w:r>
              <w:rPr>
                <w:rStyle w:val="IndexLink"/>
              </w:rPr>
              <w:t>396</w:t>
            </w:r>
          </w:hyperlink>
        </w:p>
        <w:p>
          <w:pPr>
            <w:pStyle w:val="Contents4"/>
            <w:tabs>
              <w:tab w:val="clear" w:pos="8176"/>
              <w:tab w:val="right" w:pos="9026" w:leader="dot"/>
            </w:tabs>
            <w:rPr/>
          </w:pPr>
          <w:hyperlink w:anchor="__RefHeading___Toc363988_581953129">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363990_581953129">
            <w:r>
              <w:rPr>
                <w:webHidden/>
                <w:rStyle w:val="IndexLink"/>
                <w:rtl w:val="true"/>
              </w:rPr>
              <w:t>المذهب الجعفری</w:t>
            </w:r>
            <w:r>
              <w:rPr>
                <w:rStyle w:val="IndexLink"/>
                <w:rtl w:val="true"/>
              </w:rPr>
              <w:tab/>
            </w:r>
            <w:r>
              <w:rPr>
                <w:rStyle w:val="IndexLink"/>
              </w:rPr>
              <w:t>397</w:t>
            </w:r>
          </w:hyperlink>
        </w:p>
        <w:p>
          <w:pPr>
            <w:pStyle w:val="Contents4"/>
            <w:tabs>
              <w:tab w:val="clear" w:pos="8176"/>
              <w:tab w:val="right" w:pos="9026" w:leader="dot"/>
            </w:tabs>
            <w:rPr/>
          </w:pPr>
          <w:hyperlink w:anchor="__RefHeading___Toc363992_581953129">
            <w:r>
              <w:rPr>
                <w:webHidden/>
                <w:rStyle w:val="IndexLink"/>
                <w:rtl w:val="true"/>
              </w:rPr>
              <w:t>المذاهب الاربعة</w:t>
            </w:r>
            <w:r>
              <w:rPr>
                <w:rStyle w:val="IndexLink"/>
                <w:rtl w:val="true"/>
              </w:rPr>
              <w:tab/>
            </w:r>
            <w:r>
              <w:rPr>
                <w:rStyle w:val="IndexLink"/>
              </w:rPr>
              <w:t>397</w:t>
            </w:r>
          </w:hyperlink>
        </w:p>
        <w:p>
          <w:pPr>
            <w:pStyle w:val="Contents3"/>
            <w:tabs>
              <w:tab w:val="clear" w:pos="8459"/>
              <w:tab w:val="right" w:pos="9026" w:leader="dot"/>
            </w:tabs>
            <w:rPr/>
          </w:pPr>
          <w:hyperlink w:anchor="__RefHeading___Toc363994_581953129">
            <w:r>
              <w:rPr>
                <w:webHidden/>
                <w:rStyle w:val="IndexLink"/>
                <w:rtl w:val="true"/>
              </w:rPr>
              <w:t>الخلاصة</w:t>
            </w:r>
            <w:r>
              <w:rPr>
                <w:rStyle w:val="IndexLink"/>
                <w:rtl w:val="true"/>
              </w:rPr>
              <w:tab/>
            </w:r>
            <w:r>
              <w:rPr>
                <w:rStyle w:val="IndexLink"/>
              </w:rPr>
              <w:t>399</w:t>
            </w:r>
          </w:hyperlink>
        </w:p>
        <w:p>
          <w:pPr>
            <w:pStyle w:val="Contents3"/>
            <w:tabs>
              <w:tab w:val="clear" w:pos="8459"/>
              <w:tab w:val="right" w:pos="9026" w:leader="dot"/>
            </w:tabs>
            <w:rPr/>
          </w:pPr>
          <w:hyperlink w:anchor="__RefHeading___Toc363996_581953129">
            <w:r>
              <w:rPr>
                <w:webHidden/>
                <w:rStyle w:val="IndexLink"/>
                <w:rtl w:val="true"/>
              </w:rPr>
              <w:t>الأسئلة</w:t>
            </w:r>
            <w:r>
              <w:rPr>
                <w:rStyle w:val="IndexLink"/>
                <w:rtl w:val="true"/>
              </w:rPr>
              <w:tab/>
            </w:r>
            <w:r>
              <w:rPr>
                <w:rStyle w:val="IndexLink"/>
              </w:rPr>
              <w:t>400</w:t>
            </w:r>
          </w:hyperlink>
        </w:p>
        <w:p>
          <w:pPr>
            <w:pStyle w:val="Contents2"/>
            <w:tabs>
              <w:tab w:val="clear" w:pos="8743"/>
              <w:tab w:val="right" w:pos="9026" w:leader="dot"/>
            </w:tabs>
            <w:rPr/>
          </w:pPr>
          <w:hyperlink w:anchor="__RefHeading___Toc363998_581953129">
            <w:r>
              <w:rPr>
                <w:webHidden/>
                <w:rStyle w:val="IndexLink"/>
              </w:rPr>
              <w:t>29</w:t>
            </w:r>
            <w:r>
              <w:rPr>
                <w:rStyle w:val="IndexLink"/>
                <w:rtl w:val="true"/>
              </w:rPr>
              <w:t xml:space="preserve">- </w:t>
            </w:r>
            <w:r>
              <w:rPr>
                <w:rStyle w:val="IndexLink"/>
                <w:rtl w:val="true"/>
              </w:rPr>
              <w:t>النکاح</w:t>
            </w:r>
            <w:r>
              <w:rPr>
                <w:rStyle w:val="IndexLink"/>
                <w:rtl w:val="true"/>
              </w:rPr>
              <w:tab/>
            </w:r>
            <w:r>
              <w:rPr>
                <w:rStyle w:val="IndexLink"/>
              </w:rPr>
              <w:t>401</w:t>
            </w:r>
          </w:hyperlink>
        </w:p>
        <w:p>
          <w:pPr>
            <w:pStyle w:val="Contents3"/>
            <w:tabs>
              <w:tab w:val="clear" w:pos="8459"/>
              <w:tab w:val="right" w:pos="9026" w:leader="dot"/>
            </w:tabs>
            <w:rPr/>
          </w:pPr>
          <w:hyperlink w:anchor="__RefHeading___Toc364000_581953129">
            <w:r>
              <w:rPr>
                <w:webHidden/>
                <w:rStyle w:val="IndexLink"/>
                <w:rtl w:val="true"/>
              </w:rPr>
              <w:t>اشتراط القصد</w:t>
            </w:r>
            <w:r>
              <w:rPr>
                <w:rStyle w:val="IndexLink"/>
                <w:rtl w:val="true"/>
              </w:rPr>
              <w:tab/>
            </w:r>
            <w:r>
              <w:rPr>
                <w:rStyle w:val="IndexLink"/>
              </w:rPr>
              <w:t>401</w:t>
            </w:r>
          </w:hyperlink>
        </w:p>
        <w:p>
          <w:pPr>
            <w:pStyle w:val="Contents4"/>
            <w:tabs>
              <w:tab w:val="clear" w:pos="8176"/>
              <w:tab w:val="right" w:pos="9026" w:leader="dot"/>
            </w:tabs>
            <w:rPr/>
          </w:pPr>
          <w:hyperlink w:anchor="__RefHeading___Toc364002_581953129">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364004_581953129">
            <w:r>
              <w:rPr>
                <w:webHidden/>
                <w:rStyle w:val="IndexLink"/>
                <w:rtl w:val="true"/>
              </w:rPr>
              <w:t>المذاهب الأربعة</w:t>
            </w:r>
            <w:r>
              <w:rPr>
                <w:rStyle w:val="IndexLink"/>
                <w:rtl w:val="true"/>
              </w:rPr>
              <w:tab/>
            </w:r>
            <w:r>
              <w:rPr>
                <w:rStyle w:val="IndexLink"/>
              </w:rPr>
              <w:t>401</w:t>
            </w:r>
          </w:hyperlink>
        </w:p>
        <w:p>
          <w:pPr>
            <w:pStyle w:val="Contents4"/>
            <w:tabs>
              <w:tab w:val="clear" w:pos="8176"/>
              <w:tab w:val="right" w:pos="9026" w:leader="dot"/>
            </w:tabs>
            <w:rPr/>
          </w:pPr>
          <w:hyperlink w:anchor="__RefHeading___Toc364006_581953129">
            <w:r>
              <w:rPr>
                <w:webHidden/>
                <w:rStyle w:val="IndexLink"/>
                <w:rtl w:val="true"/>
              </w:rPr>
              <w:t>المذهب الجعفری</w:t>
            </w:r>
            <w:r>
              <w:rPr>
                <w:rStyle w:val="IndexLink"/>
                <w:rtl w:val="true"/>
              </w:rPr>
              <w:tab/>
            </w:r>
            <w:r>
              <w:rPr>
                <w:rStyle w:val="IndexLink"/>
              </w:rPr>
              <w:t>401</w:t>
            </w:r>
          </w:hyperlink>
        </w:p>
        <w:p>
          <w:pPr>
            <w:pStyle w:val="Contents4"/>
            <w:tabs>
              <w:tab w:val="clear" w:pos="8176"/>
              <w:tab w:val="right" w:pos="9026" w:leader="dot"/>
            </w:tabs>
            <w:rPr/>
          </w:pPr>
          <w:hyperlink w:anchor="__RefHeading___Toc364008_581953129">
            <w:r>
              <w:rPr>
                <w:webHidden/>
                <w:rStyle w:val="IndexLink"/>
                <w:rtl w:val="true"/>
              </w:rPr>
              <w:t>منشأ الاختلاف</w:t>
            </w:r>
            <w:r>
              <w:rPr>
                <w:rStyle w:val="IndexLink"/>
                <w:rtl w:val="true"/>
              </w:rPr>
              <w:tab/>
            </w:r>
            <w:r>
              <w:rPr>
                <w:rStyle w:val="IndexLink"/>
              </w:rPr>
              <w:t>402</w:t>
            </w:r>
          </w:hyperlink>
        </w:p>
        <w:p>
          <w:pPr>
            <w:pStyle w:val="Contents3"/>
            <w:tabs>
              <w:tab w:val="clear" w:pos="8459"/>
              <w:tab w:val="right" w:pos="9026" w:leader="dot"/>
            </w:tabs>
            <w:rPr/>
          </w:pPr>
          <w:hyperlink w:anchor="__RefHeading___Toc364010_581953129">
            <w:r>
              <w:rPr>
                <w:webHidden/>
                <w:rStyle w:val="IndexLink"/>
                <w:rtl w:val="true"/>
              </w:rPr>
              <w:t>اشتراط الفسخ</w:t>
            </w:r>
            <w:r>
              <w:rPr>
                <w:rStyle w:val="IndexLink"/>
                <w:rtl w:val="true"/>
              </w:rPr>
              <w:tab/>
            </w:r>
            <w:r>
              <w:rPr>
                <w:rStyle w:val="IndexLink"/>
              </w:rPr>
              <w:t>402</w:t>
            </w:r>
          </w:hyperlink>
        </w:p>
        <w:p>
          <w:pPr>
            <w:pStyle w:val="Contents4"/>
            <w:tabs>
              <w:tab w:val="clear" w:pos="8176"/>
              <w:tab w:val="right" w:pos="9026" w:leader="dot"/>
            </w:tabs>
            <w:rPr/>
          </w:pPr>
          <w:hyperlink w:anchor="__RefHeading___Toc364012_581953129">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364014_581953129">
            <w:r>
              <w:rPr>
                <w:webHidden/>
                <w:rStyle w:val="IndexLink"/>
                <w:rtl w:val="true"/>
              </w:rPr>
              <w:t>المذهب الجعفری</w:t>
            </w:r>
            <w:r>
              <w:rPr>
                <w:rStyle w:val="IndexLink"/>
                <w:rtl w:val="true"/>
              </w:rPr>
              <w:tab/>
            </w:r>
            <w:r>
              <w:rPr>
                <w:rStyle w:val="IndexLink"/>
              </w:rPr>
              <w:t>402</w:t>
            </w:r>
          </w:hyperlink>
        </w:p>
        <w:p>
          <w:pPr>
            <w:pStyle w:val="Contents4"/>
            <w:tabs>
              <w:tab w:val="clear" w:pos="8176"/>
              <w:tab w:val="right" w:pos="9026" w:leader="dot"/>
            </w:tabs>
            <w:rPr/>
          </w:pPr>
          <w:hyperlink w:anchor="__RefHeading___Toc364016_581953129">
            <w:r>
              <w:rPr>
                <w:webHidden/>
                <w:rStyle w:val="IndexLink"/>
                <w:rtl w:val="true"/>
              </w:rPr>
              <w:t>المذهب الحنبلی</w:t>
            </w:r>
            <w:r>
              <w:rPr>
                <w:rStyle w:val="IndexLink"/>
                <w:rtl w:val="true"/>
              </w:rPr>
              <w:tab/>
            </w:r>
            <w:r>
              <w:rPr>
                <w:rStyle w:val="IndexLink"/>
              </w:rPr>
              <w:t>402</w:t>
            </w:r>
          </w:hyperlink>
        </w:p>
        <w:p>
          <w:pPr>
            <w:pStyle w:val="Contents4"/>
            <w:tabs>
              <w:tab w:val="clear" w:pos="8176"/>
              <w:tab w:val="right" w:pos="9026" w:leader="dot"/>
            </w:tabs>
            <w:rPr/>
          </w:pPr>
          <w:hyperlink w:anchor="__RefHeading___Toc364018_581953129">
            <w:r>
              <w:rPr>
                <w:webHidden/>
                <w:rStyle w:val="IndexLink"/>
                <w:rtl w:val="true"/>
              </w:rPr>
              <w:t>المذهب الشافعی</w:t>
            </w:r>
            <w:r>
              <w:rPr>
                <w:rStyle w:val="IndexLink"/>
                <w:rtl w:val="true"/>
              </w:rPr>
              <w:tab/>
            </w:r>
            <w:r>
              <w:rPr>
                <w:rStyle w:val="IndexLink"/>
              </w:rPr>
              <w:t>403</w:t>
            </w:r>
          </w:hyperlink>
        </w:p>
        <w:p>
          <w:pPr>
            <w:pStyle w:val="Contents4"/>
            <w:tabs>
              <w:tab w:val="clear" w:pos="8176"/>
              <w:tab w:val="right" w:pos="9026" w:leader="dot"/>
            </w:tabs>
            <w:rPr/>
          </w:pPr>
          <w:hyperlink w:anchor="__RefHeading___Toc364020_581953129">
            <w:r>
              <w:rPr>
                <w:webHidden/>
                <w:rStyle w:val="IndexLink"/>
                <w:rtl w:val="true"/>
              </w:rPr>
              <w:t>منشأ الاختلاف</w:t>
            </w:r>
            <w:r>
              <w:rPr>
                <w:rStyle w:val="IndexLink"/>
                <w:rtl w:val="true"/>
              </w:rPr>
              <w:tab/>
            </w:r>
            <w:r>
              <w:rPr>
                <w:rStyle w:val="IndexLink"/>
              </w:rPr>
              <w:t>403</w:t>
            </w:r>
          </w:hyperlink>
        </w:p>
        <w:p>
          <w:pPr>
            <w:pStyle w:val="Contents3"/>
            <w:tabs>
              <w:tab w:val="clear" w:pos="8459"/>
              <w:tab w:val="right" w:pos="9026" w:leader="dot"/>
            </w:tabs>
            <w:rPr/>
          </w:pPr>
          <w:hyperlink w:anchor="__RefHeading___Toc364022_581953129">
            <w:r>
              <w:rPr>
                <w:webHidden/>
                <w:rStyle w:val="IndexLink"/>
                <w:rtl w:val="true"/>
              </w:rPr>
              <w:t>الإشهاد علی العقد</w:t>
            </w:r>
            <w:r>
              <w:rPr>
                <w:rStyle w:val="IndexLink"/>
                <w:rtl w:val="true"/>
              </w:rPr>
              <w:tab/>
            </w:r>
            <w:r>
              <w:rPr>
                <w:rStyle w:val="IndexLink"/>
              </w:rPr>
              <w:t>403</w:t>
            </w:r>
          </w:hyperlink>
        </w:p>
        <w:p>
          <w:pPr>
            <w:pStyle w:val="Contents4"/>
            <w:tabs>
              <w:tab w:val="clear" w:pos="8176"/>
              <w:tab w:val="right" w:pos="9026" w:leader="dot"/>
            </w:tabs>
            <w:rPr/>
          </w:pPr>
          <w:hyperlink w:anchor="__RefHeading___Toc364024_581953129">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364026_581953129">
            <w:r>
              <w:rPr>
                <w:webHidden/>
                <w:rStyle w:val="IndexLink"/>
                <w:rtl w:val="true"/>
              </w:rPr>
              <w:t>المذاهب الأربعة</w:t>
            </w:r>
            <w:r>
              <w:rPr>
                <w:rStyle w:val="IndexLink"/>
                <w:rtl w:val="true"/>
              </w:rPr>
              <w:tab/>
            </w:r>
            <w:r>
              <w:rPr>
                <w:rStyle w:val="IndexLink"/>
              </w:rPr>
              <w:t>403</w:t>
            </w:r>
          </w:hyperlink>
        </w:p>
        <w:p>
          <w:pPr>
            <w:pStyle w:val="Contents4"/>
            <w:tabs>
              <w:tab w:val="clear" w:pos="8176"/>
              <w:tab w:val="right" w:pos="9026" w:leader="dot"/>
            </w:tabs>
            <w:rPr/>
          </w:pPr>
          <w:hyperlink w:anchor="__RefHeading___Toc364028_581953129">
            <w:r>
              <w:rPr>
                <w:webHidden/>
                <w:rStyle w:val="IndexLink"/>
                <w:rtl w:val="true"/>
              </w:rPr>
              <w:t>المذهب الجعفری</w:t>
            </w:r>
            <w:r>
              <w:rPr>
                <w:rStyle w:val="IndexLink"/>
                <w:rtl w:val="true"/>
              </w:rPr>
              <w:tab/>
            </w:r>
            <w:r>
              <w:rPr>
                <w:rStyle w:val="IndexLink"/>
              </w:rPr>
              <w:t>404</w:t>
            </w:r>
          </w:hyperlink>
        </w:p>
        <w:p>
          <w:pPr>
            <w:pStyle w:val="Contents4"/>
            <w:tabs>
              <w:tab w:val="clear" w:pos="8176"/>
              <w:tab w:val="right" w:pos="9026" w:leader="dot"/>
            </w:tabs>
            <w:rPr/>
          </w:pPr>
          <w:hyperlink w:anchor="__RefHeading___Toc364030_581953129">
            <w:r>
              <w:rPr>
                <w:webHidden/>
                <w:rStyle w:val="IndexLink"/>
                <w:rtl w:val="true"/>
              </w:rPr>
              <w:t>منشأ الاختلاف</w:t>
            </w:r>
            <w:r>
              <w:rPr>
                <w:rStyle w:val="IndexLink"/>
                <w:rtl w:val="true"/>
              </w:rPr>
              <w:tab/>
            </w:r>
            <w:r>
              <w:rPr>
                <w:rStyle w:val="IndexLink"/>
              </w:rPr>
              <w:t>405</w:t>
            </w:r>
          </w:hyperlink>
        </w:p>
        <w:p>
          <w:pPr>
            <w:pStyle w:val="Contents3"/>
            <w:tabs>
              <w:tab w:val="clear" w:pos="8459"/>
              <w:tab w:val="right" w:pos="9026" w:leader="dot"/>
            </w:tabs>
            <w:rPr/>
          </w:pPr>
          <w:hyperlink w:anchor="__RefHeading___Toc364032_581953129">
            <w:r>
              <w:rPr>
                <w:webHidden/>
                <w:rStyle w:val="IndexLink"/>
                <w:rtl w:val="true"/>
              </w:rPr>
              <w:t>أولیاء العقد</w:t>
            </w:r>
            <w:r>
              <w:rPr>
                <w:rStyle w:val="IndexLink"/>
                <w:rtl w:val="true"/>
              </w:rPr>
              <w:tab/>
            </w:r>
            <w:r>
              <w:rPr>
                <w:rStyle w:val="IndexLink"/>
              </w:rPr>
              <w:t>405</w:t>
            </w:r>
          </w:hyperlink>
        </w:p>
        <w:p>
          <w:pPr>
            <w:pStyle w:val="Contents4"/>
            <w:tabs>
              <w:tab w:val="clear" w:pos="8176"/>
              <w:tab w:val="right" w:pos="9026" w:leader="dot"/>
            </w:tabs>
            <w:rPr/>
          </w:pPr>
          <w:hyperlink w:anchor="__RefHeading___Toc364034_581953129">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364036_581953129">
            <w:r>
              <w:rPr>
                <w:webHidden/>
                <w:rStyle w:val="IndexLink"/>
                <w:rtl w:val="true"/>
              </w:rPr>
              <w:t>المذاهب الأربعة</w:t>
            </w:r>
            <w:r>
              <w:rPr>
                <w:rStyle w:val="IndexLink"/>
                <w:rtl w:val="true"/>
              </w:rPr>
              <w:tab/>
            </w:r>
            <w:r>
              <w:rPr>
                <w:rStyle w:val="IndexLink"/>
              </w:rPr>
              <w:t>405</w:t>
            </w:r>
          </w:hyperlink>
        </w:p>
        <w:p>
          <w:pPr>
            <w:pStyle w:val="Contents3"/>
            <w:tabs>
              <w:tab w:val="clear" w:pos="8459"/>
              <w:tab w:val="right" w:pos="9026" w:leader="dot"/>
            </w:tabs>
            <w:rPr/>
          </w:pPr>
          <w:hyperlink w:anchor="__RefHeading___Toc364038_581953129">
            <w:r>
              <w:rPr>
                <w:webHidden/>
                <w:rStyle w:val="IndexLink"/>
                <w:rtl w:val="true"/>
              </w:rPr>
              <w:t>ینقسم الولی إلی قسمین</w:t>
            </w:r>
            <w:r>
              <w:rPr>
                <w:rStyle w:val="IndexLink"/>
                <w:rtl w:val="true"/>
              </w:rPr>
              <w:tab/>
            </w:r>
            <w:r>
              <w:rPr>
                <w:rStyle w:val="IndexLink"/>
              </w:rPr>
              <w:t>405</w:t>
            </w:r>
          </w:hyperlink>
        </w:p>
        <w:p>
          <w:pPr>
            <w:pStyle w:val="Contents4"/>
            <w:tabs>
              <w:tab w:val="clear" w:pos="8176"/>
              <w:tab w:val="right" w:pos="9026" w:leader="dot"/>
            </w:tabs>
            <w:rPr/>
          </w:pPr>
          <w:hyperlink w:anchor="__RefHeading___Toc364040_581953129">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364042_581953129">
            <w:r>
              <w:rPr>
                <w:webHidden/>
                <w:rStyle w:val="IndexLink"/>
                <w:rtl w:val="true"/>
              </w:rPr>
              <w:t>المذهب الحنفی</w:t>
            </w:r>
            <w:r>
              <w:rPr>
                <w:rStyle w:val="IndexLink"/>
                <w:rtl w:val="true"/>
              </w:rPr>
              <w:tab/>
            </w:r>
            <w:r>
              <w:rPr>
                <w:rStyle w:val="IndexLink"/>
              </w:rPr>
              <w:t>406</w:t>
            </w:r>
          </w:hyperlink>
        </w:p>
        <w:p>
          <w:pPr>
            <w:pStyle w:val="Contents4"/>
            <w:tabs>
              <w:tab w:val="clear" w:pos="8176"/>
              <w:tab w:val="right" w:pos="9026" w:leader="dot"/>
            </w:tabs>
            <w:rPr/>
          </w:pPr>
          <w:hyperlink w:anchor="__RefHeading___Toc364044_581953129">
            <w:r>
              <w:rPr>
                <w:webHidden/>
                <w:rStyle w:val="IndexLink"/>
                <w:rtl w:val="true"/>
              </w:rPr>
              <w:t>المذهب الجعفری</w:t>
            </w:r>
            <w:r>
              <w:rPr>
                <w:rStyle w:val="IndexLink"/>
                <w:rtl w:val="true"/>
              </w:rPr>
              <w:tab/>
            </w:r>
            <w:r>
              <w:rPr>
                <w:rStyle w:val="IndexLink"/>
              </w:rPr>
              <w:t>407</w:t>
            </w:r>
          </w:hyperlink>
        </w:p>
        <w:p>
          <w:pPr>
            <w:pStyle w:val="Contents4"/>
            <w:tabs>
              <w:tab w:val="clear" w:pos="8176"/>
              <w:tab w:val="right" w:pos="9026" w:leader="dot"/>
            </w:tabs>
            <w:rPr/>
          </w:pPr>
          <w:hyperlink w:anchor="__RefHeading___Toc364046_581953129">
            <w:r>
              <w:rPr>
                <w:webHidden/>
                <w:rStyle w:val="IndexLink"/>
                <w:rtl w:val="true"/>
              </w:rPr>
              <w:t>منشأ الاختلاف</w:t>
            </w:r>
            <w:r>
              <w:rPr>
                <w:rStyle w:val="IndexLink"/>
                <w:rtl w:val="true"/>
              </w:rPr>
              <w:tab/>
            </w:r>
            <w:r>
              <w:rPr>
                <w:rStyle w:val="IndexLink"/>
              </w:rPr>
              <w:t>407</w:t>
            </w:r>
          </w:hyperlink>
        </w:p>
        <w:p>
          <w:pPr>
            <w:pStyle w:val="Contents3"/>
            <w:tabs>
              <w:tab w:val="clear" w:pos="8459"/>
              <w:tab w:val="right" w:pos="9026" w:leader="dot"/>
            </w:tabs>
            <w:rPr/>
          </w:pPr>
          <w:hyperlink w:anchor="__RefHeading___Toc364048_581953129">
            <w:r>
              <w:rPr>
                <w:webHidden/>
                <w:rStyle w:val="IndexLink"/>
                <w:rtl w:val="true"/>
              </w:rPr>
              <w:t>حول النکاح الموقّت</w:t>
            </w:r>
            <w:r>
              <w:rPr>
                <w:rStyle w:val="IndexLink"/>
                <w:rtl w:val="true"/>
              </w:rPr>
              <w:t>-</w:t>
            </w:r>
            <w:r>
              <w:rPr>
                <w:rStyle w:val="IndexLink"/>
                <w:rtl w:val="true"/>
              </w:rPr>
              <w:t>المتعة</w:t>
            </w:r>
            <w:r>
              <w:rPr>
                <w:rStyle w:val="IndexLink"/>
                <w:rtl w:val="true"/>
              </w:rPr>
              <w:t>-</w:t>
              <w:tab/>
            </w:r>
            <w:r>
              <w:rPr>
                <w:rStyle w:val="IndexLink"/>
              </w:rPr>
              <w:t>408</w:t>
            </w:r>
          </w:hyperlink>
        </w:p>
        <w:p>
          <w:pPr>
            <w:pStyle w:val="Contents4"/>
            <w:tabs>
              <w:tab w:val="clear" w:pos="8176"/>
              <w:tab w:val="right" w:pos="9026" w:leader="dot"/>
            </w:tabs>
            <w:rPr/>
          </w:pPr>
          <w:hyperlink w:anchor="__RefHeading___Toc364050_581953129">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364052_581953129">
            <w:r>
              <w:rPr>
                <w:webHidden/>
                <w:rStyle w:val="IndexLink"/>
                <w:rtl w:val="true"/>
              </w:rPr>
              <w:t>المذاهب الأربعة</w:t>
            </w:r>
            <w:r>
              <w:rPr>
                <w:rStyle w:val="IndexLink"/>
                <w:rtl w:val="true"/>
              </w:rPr>
              <w:tab/>
            </w:r>
            <w:r>
              <w:rPr>
                <w:rStyle w:val="IndexLink"/>
              </w:rPr>
              <w:t>408</w:t>
            </w:r>
          </w:hyperlink>
        </w:p>
        <w:p>
          <w:pPr>
            <w:pStyle w:val="Contents4"/>
            <w:tabs>
              <w:tab w:val="clear" w:pos="8176"/>
              <w:tab w:val="right" w:pos="9026" w:leader="dot"/>
            </w:tabs>
            <w:rPr/>
          </w:pPr>
          <w:hyperlink w:anchor="__RefHeading___Toc364054_581953129">
            <w:r>
              <w:rPr>
                <w:webHidden/>
                <w:rStyle w:val="IndexLink"/>
                <w:rtl w:val="true"/>
              </w:rPr>
              <w:t>المذهب الجعفری</w:t>
            </w:r>
            <w:r>
              <w:rPr>
                <w:rStyle w:val="IndexLink"/>
                <w:rtl w:val="true"/>
              </w:rPr>
              <w:tab/>
            </w:r>
            <w:r>
              <w:rPr>
                <w:rStyle w:val="IndexLink"/>
              </w:rPr>
              <w:t>409</w:t>
            </w:r>
          </w:hyperlink>
        </w:p>
        <w:p>
          <w:pPr>
            <w:pStyle w:val="Contents3"/>
            <w:tabs>
              <w:tab w:val="clear" w:pos="8459"/>
              <w:tab w:val="right" w:pos="9026" w:leader="dot"/>
            </w:tabs>
            <w:rPr/>
          </w:pPr>
          <w:hyperlink w:anchor="__RefHeading___Toc364056_581953129">
            <w:r>
              <w:rPr>
                <w:webHidden/>
                <w:rStyle w:val="IndexLink"/>
                <w:rtl w:val="true"/>
              </w:rPr>
              <w:t>زواج المسیار</w:t>
            </w:r>
            <w:r>
              <w:rPr>
                <w:rStyle w:val="IndexLink"/>
                <w:rtl w:val="true"/>
              </w:rPr>
              <w:tab/>
            </w:r>
            <w:r>
              <w:rPr>
                <w:rStyle w:val="IndexLink"/>
              </w:rPr>
              <w:t>412</w:t>
            </w:r>
          </w:hyperlink>
        </w:p>
        <w:p>
          <w:pPr>
            <w:pStyle w:val="Contents3"/>
            <w:tabs>
              <w:tab w:val="clear" w:pos="8459"/>
              <w:tab w:val="right" w:pos="9026" w:leader="dot"/>
            </w:tabs>
            <w:rPr/>
          </w:pPr>
          <w:hyperlink w:anchor="__RefHeading___Toc364058_581953129">
            <w:r>
              <w:rPr>
                <w:webHidden/>
                <w:rStyle w:val="IndexLink"/>
                <w:rtl w:val="true"/>
              </w:rPr>
              <w:t>الخلاصة</w:t>
            </w:r>
            <w:r>
              <w:rPr>
                <w:rStyle w:val="IndexLink"/>
                <w:rtl w:val="true"/>
              </w:rPr>
              <w:tab/>
            </w:r>
            <w:r>
              <w:rPr>
                <w:rStyle w:val="IndexLink"/>
              </w:rPr>
              <w:t>413</w:t>
            </w:r>
          </w:hyperlink>
        </w:p>
        <w:p>
          <w:pPr>
            <w:pStyle w:val="Contents3"/>
            <w:tabs>
              <w:tab w:val="clear" w:pos="8459"/>
              <w:tab w:val="right" w:pos="9026" w:leader="dot"/>
            </w:tabs>
            <w:rPr/>
          </w:pPr>
          <w:hyperlink w:anchor="__RefHeading___Toc364060_581953129">
            <w:r>
              <w:rPr>
                <w:webHidden/>
                <w:rStyle w:val="IndexLink"/>
                <w:rtl w:val="true"/>
              </w:rPr>
              <w:t>الأسئلة</w:t>
            </w:r>
            <w:r>
              <w:rPr>
                <w:rStyle w:val="IndexLink"/>
                <w:rtl w:val="true"/>
              </w:rPr>
              <w:tab/>
            </w:r>
            <w:r>
              <w:rPr>
                <w:rStyle w:val="IndexLink"/>
              </w:rPr>
              <w:t>414</w:t>
            </w:r>
          </w:hyperlink>
        </w:p>
        <w:p>
          <w:pPr>
            <w:pStyle w:val="Contents2"/>
            <w:tabs>
              <w:tab w:val="clear" w:pos="8743"/>
              <w:tab w:val="right" w:pos="9026" w:leader="dot"/>
            </w:tabs>
            <w:rPr/>
          </w:pPr>
          <w:hyperlink w:anchor="__RefHeading___Toc364062_581953129">
            <w:r>
              <w:rPr>
                <w:webHidden/>
                <w:rStyle w:val="IndexLink"/>
              </w:rPr>
              <w:t>30</w:t>
            </w:r>
            <w:r>
              <w:rPr>
                <w:rStyle w:val="IndexLink"/>
                <w:rtl w:val="true"/>
              </w:rPr>
              <w:t xml:space="preserve">- </w:t>
            </w:r>
            <w:r>
              <w:rPr>
                <w:rStyle w:val="IndexLink"/>
                <w:rtl w:val="true"/>
              </w:rPr>
              <w:t>حوار حول المتعة</w:t>
            </w:r>
            <w:r>
              <w:rPr>
                <w:rStyle w:val="IndexLink"/>
                <w:rtl w:val="true"/>
              </w:rPr>
              <w:tab/>
            </w:r>
            <w:r>
              <w:rPr>
                <w:rStyle w:val="IndexLink"/>
              </w:rPr>
              <w:t>415</w:t>
            </w:r>
          </w:hyperlink>
        </w:p>
        <w:p>
          <w:pPr>
            <w:pStyle w:val="Contents3"/>
            <w:tabs>
              <w:tab w:val="clear" w:pos="8459"/>
              <w:tab w:val="right" w:pos="9026" w:leader="dot"/>
            </w:tabs>
            <w:rPr/>
          </w:pPr>
          <w:hyperlink w:anchor="__RefHeading___Toc364064_581953129">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364066_581953129">
            <w:r>
              <w:rPr>
                <w:webHidden/>
                <w:rStyle w:val="IndexLink"/>
                <w:rtl w:val="true"/>
              </w:rPr>
              <w:t>الملاحظة علیه</w:t>
            </w:r>
            <w:r>
              <w:rPr>
                <w:rStyle w:val="IndexLink"/>
                <w:rtl w:val="true"/>
              </w:rPr>
              <w:tab/>
            </w:r>
            <w:r>
              <w:rPr>
                <w:rStyle w:val="IndexLink"/>
              </w:rPr>
              <w:t>417</w:t>
            </w:r>
          </w:hyperlink>
        </w:p>
        <w:p>
          <w:pPr>
            <w:pStyle w:val="Contents3"/>
            <w:tabs>
              <w:tab w:val="clear" w:pos="8459"/>
              <w:tab w:val="right" w:pos="9026" w:leader="dot"/>
            </w:tabs>
            <w:rPr/>
          </w:pPr>
          <w:hyperlink w:anchor="__RefHeading___Toc364068_581953129">
            <w:r>
              <w:rPr>
                <w:webHidden/>
                <w:rStyle w:val="IndexLink"/>
                <w:rtl w:val="true"/>
              </w:rPr>
              <w:t>القول بالنسخ</w:t>
            </w:r>
            <w:r>
              <w:rPr>
                <w:rStyle w:val="IndexLink"/>
                <w:rtl w:val="true"/>
              </w:rPr>
              <w:tab/>
            </w:r>
            <w:r>
              <w:rPr>
                <w:rStyle w:val="IndexLink"/>
              </w:rPr>
              <w:t>418</w:t>
            </w:r>
          </w:hyperlink>
        </w:p>
        <w:p>
          <w:pPr>
            <w:pStyle w:val="Contents3"/>
            <w:tabs>
              <w:tab w:val="clear" w:pos="8459"/>
              <w:tab w:val="right" w:pos="9026" w:leader="dot"/>
            </w:tabs>
            <w:rPr/>
          </w:pPr>
          <w:hyperlink w:anchor="__RefHeading___Toc364070_581953129">
            <w:r>
              <w:rPr>
                <w:webHidden/>
                <w:rStyle w:val="IndexLink"/>
                <w:rtl w:val="true"/>
              </w:rPr>
              <w:t>النصوص علی عدم النسخ</w:t>
            </w:r>
            <w:r>
              <w:rPr>
                <w:rStyle w:val="IndexLink"/>
                <w:rtl w:val="true"/>
              </w:rPr>
              <w:tab/>
            </w:r>
            <w:r>
              <w:rPr>
                <w:rStyle w:val="IndexLink"/>
              </w:rPr>
              <w:t>419</w:t>
            </w:r>
          </w:hyperlink>
        </w:p>
        <w:p>
          <w:pPr>
            <w:pStyle w:val="Contents3"/>
            <w:tabs>
              <w:tab w:val="clear" w:pos="8459"/>
              <w:tab w:val="right" w:pos="9026" w:leader="dot"/>
            </w:tabs>
            <w:rPr/>
          </w:pPr>
          <w:hyperlink w:anchor="__RefHeading___Toc364072_581953129">
            <w:r>
              <w:rPr>
                <w:webHidden/>
                <w:rStyle w:val="IndexLink"/>
                <w:rtl w:val="true"/>
              </w:rPr>
              <w:t>الخلاصة</w:t>
            </w:r>
            <w:r>
              <w:rPr>
                <w:rStyle w:val="IndexLink"/>
                <w:rtl w:val="true"/>
              </w:rPr>
              <w:tab/>
            </w:r>
            <w:r>
              <w:rPr>
                <w:rStyle w:val="IndexLink"/>
              </w:rPr>
              <w:t>420</w:t>
            </w:r>
          </w:hyperlink>
        </w:p>
        <w:p>
          <w:pPr>
            <w:pStyle w:val="Contents3"/>
            <w:tabs>
              <w:tab w:val="clear" w:pos="8459"/>
              <w:tab w:val="right" w:pos="9026" w:leader="dot"/>
            </w:tabs>
            <w:rPr/>
          </w:pPr>
          <w:hyperlink w:anchor="__RefHeading___Toc364074_581953129">
            <w:r>
              <w:rPr>
                <w:webHidden/>
                <w:rStyle w:val="IndexLink"/>
                <w:rtl w:val="true"/>
              </w:rPr>
              <w:t>الأسئلة</w:t>
            </w:r>
            <w:r>
              <w:rPr>
                <w:rStyle w:val="IndexLink"/>
                <w:rtl w:val="true"/>
              </w:rPr>
              <w:tab/>
            </w:r>
            <w:r>
              <w:rPr>
                <w:rStyle w:val="IndexLink"/>
              </w:rPr>
              <w:t>421</w:t>
            </w:r>
          </w:hyperlink>
        </w:p>
        <w:p>
          <w:pPr>
            <w:pStyle w:val="Contents2"/>
            <w:tabs>
              <w:tab w:val="clear" w:pos="8743"/>
              <w:tab w:val="right" w:pos="9026" w:leader="dot"/>
            </w:tabs>
            <w:rPr/>
          </w:pPr>
          <w:hyperlink w:anchor="__RefHeading___Toc364076_581953129">
            <w:r>
              <w:rPr>
                <w:webHidden/>
                <w:rStyle w:val="IndexLink"/>
              </w:rPr>
              <w:t>31</w:t>
            </w:r>
            <w:r>
              <w:rPr>
                <w:rStyle w:val="IndexLink"/>
                <w:rtl w:val="true"/>
              </w:rPr>
              <w:t xml:space="preserve">- </w:t>
            </w:r>
            <w:r>
              <w:rPr>
                <w:rStyle w:val="IndexLink"/>
                <w:rtl w:val="true"/>
              </w:rPr>
              <w:t>أسباب تحریم المصاهرة</w:t>
            </w:r>
            <w:r>
              <w:rPr>
                <w:rStyle w:val="IndexLink"/>
                <w:rtl w:val="true"/>
              </w:rPr>
              <w:tab/>
            </w:r>
            <w:r>
              <w:rPr>
                <w:rStyle w:val="IndexLink"/>
              </w:rPr>
              <w:t>422</w:t>
            </w:r>
          </w:hyperlink>
        </w:p>
        <w:p>
          <w:pPr>
            <w:pStyle w:val="Contents3"/>
            <w:tabs>
              <w:tab w:val="clear" w:pos="8459"/>
              <w:tab w:val="right" w:pos="9026" w:leader="dot"/>
            </w:tabs>
            <w:rPr/>
          </w:pPr>
          <w:hyperlink w:anchor="__RefHeading___Toc364078_581953129">
            <w:r>
              <w:rPr>
                <w:webHidden/>
                <w:rStyle w:val="IndexLink"/>
                <w:rtl w:val="true"/>
              </w:rPr>
              <w:t>أسباب تحریم الزواج</w:t>
            </w:r>
            <w:r>
              <w:rPr>
                <w:rStyle w:val="IndexLink"/>
                <w:rtl w:val="true"/>
              </w:rPr>
              <w:tab/>
            </w:r>
            <w:r>
              <w:rPr>
                <w:rStyle w:val="IndexLink"/>
              </w:rPr>
              <w:t>422</w:t>
            </w:r>
          </w:hyperlink>
        </w:p>
        <w:p>
          <w:pPr>
            <w:pStyle w:val="Contents4"/>
            <w:tabs>
              <w:tab w:val="clear" w:pos="8176"/>
              <w:tab w:val="right" w:pos="9026" w:leader="dot"/>
            </w:tabs>
            <w:rPr/>
          </w:pPr>
          <w:hyperlink w:anchor="__RefHeading___Toc364080_581953129">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364082_581953129">
            <w:r>
              <w:rPr>
                <w:webHidden/>
                <w:rStyle w:val="IndexLink"/>
                <w:rtl w:val="true"/>
              </w:rPr>
              <w:t>المذهب الجعفری</w:t>
            </w:r>
            <w:r>
              <w:rPr>
                <w:rStyle w:val="IndexLink"/>
                <w:rtl w:val="true"/>
              </w:rPr>
              <w:tab/>
            </w:r>
            <w:r>
              <w:rPr>
                <w:rStyle w:val="IndexLink"/>
              </w:rPr>
              <w:t>422</w:t>
            </w:r>
          </w:hyperlink>
        </w:p>
        <w:p>
          <w:pPr>
            <w:pStyle w:val="Contents4"/>
            <w:tabs>
              <w:tab w:val="clear" w:pos="8176"/>
              <w:tab w:val="right" w:pos="9026" w:leader="dot"/>
            </w:tabs>
            <w:rPr/>
          </w:pPr>
          <w:hyperlink w:anchor="__RefHeading___Toc364084_581953129">
            <w:r>
              <w:rPr>
                <w:webHidden/>
                <w:rStyle w:val="IndexLink"/>
                <w:rtl w:val="true"/>
              </w:rPr>
              <w:t>المذهب الحنبلی</w:t>
            </w:r>
            <w:r>
              <w:rPr>
                <w:rStyle w:val="IndexLink"/>
                <w:rtl w:val="true"/>
              </w:rPr>
              <w:tab/>
            </w:r>
            <w:r>
              <w:rPr>
                <w:rStyle w:val="IndexLink"/>
              </w:rPr>
              <w:t>423</w:t>
            </w:r>
          </w:hyperlink>
        </w:p>
        <w:p>
          <w:pPr>
            <w:pStyle w:val="Contents4"/>
            <w:tabs>
              <w:tab w:val="clear" w:pos="8176"/>
              <w:tab w:val="right" w:pos="9026" w:leader="dot"/>
            </w:tabs>
            <w:rPr/>
          </w:pPr>
          <w:hyperlink w:anchor="__RefHeading___Toc364086_581953129">
            <w:r>
              <w:rPr>
                <w:webHidden/>
                <w:rStyle w:val="IndexLink"/>
                <w:rtl w:val="true"/>
              </w:rPr>
              <w:t>المذهب الشافعی</w:t>
            </w:r>
            <w:r>
              <w:rPr>
                <w:rStyle w:val="IndexLink"/>
                <w:rtl w:val="true"/>
              </w:rPr>
              <w:tab/>
            </w:r>
            <w:r>
              <w:rPr>
                <w:rStyle w:val="IndexLink"/>
              </w:rPr>
              <w:t>423</w:t>
            </w:r>
          </w:hyperlink>
        </w:p>
        <w:p>
          <w:pPr>
            <w:pStyle w:val="Contents4"/>
            <w:tabs>
              <w:tab w:val="clear" w:pos="8176"/>
              <w:tab w:val="right" w:pos="9026" w:leader="dot"/>
            </w:tabs>
            <w:rPr/>
          </w:pPr>
          <w:hyperlink w:anchor="__RefHeading___Toc364088_581953129">
            <w:r>
              <w:rPr>
                <w:webHidden/>
                <w:rStyle w:val="IndexLink"/>
                <w:rtl w:val="true"/>
              </w:rPr>
              <w:t>منشأ الاختلاف</w:t>
            </w:r>
            <w:r>
              <w:rPr>
                <w:rStyle w:val="IndexLink"/>
                <w:rtl w:val="true"/>
              </w:rPr>
              <w:tab/>
            </w:r>
            <w:r>
              <w:rPr>
                <w:rStyle w:val="IndexLink"/>
              </w:rPr>
              <w:t>424</w:t>
            </w:r>
          </w:hyperlink>
        </w:p>
        <w:p>
          <w:pPr>
            <w:pStyle w:val="Contents3"/>
            <w:tabs>
              <w:tab w:val="clear" w:pos="8459"/>
              <w:tab w:val="right" w:pos="9026" w:leader="dot"/>
            </w:tabs>
            <w:rPr/>
          </w:pPr>
          <w:hyperlink w:anchor="__RefHeading___Toc364090_581953129">
            <w:r>
              <w:rPr>
                <w:webHidden/>
                <w:rStyle w:val="IndexLink"/>
                <w:rtl w:val="true"/>
              </w:rPr>
              <w:t>حکم اللمس و النظر بشهوة</w:t>
            </w:r>
            <w:r>
              <w:rPr>
                <w:rStyle w:val="IndexLink"/>
                <w:rtl w:val="true"/>
              </w:rPr>
              <w:tab/>
            </w:r>
            <w:r>
              <w:rPr>
                <w:rStyle w:val="IndexLink"/>
              </w:rPr>
              <w:t>424</w:t>
            </w:r>
          </w:hyperlink>
        </w:p>
        <w:p>
          <w:pPr>
            <w:pStyle w:val="Contents4"/>
            <w:tabs>
              <w:tab w:val="clear" w:pos="8176"/>
              <w:tab w:val="right" w:pos="9026" w:leader="dot"/>
            </w:tabs>
            <w:rPr/>
          </w:pPr>
          <w:hyperlink w:anchor="__RefHeading___Toc364092_581953129">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364094_581953129">
            <w:r>
              <w:rPr>
                <w:webHidden/>
                <w:rStyle w:val="IndexLink"/>
                <w:rtl w:val="true"/>
              </w:rPr>
              <w:t>المذهب الجعفری</w:t>
            </w:r>
            <w:r>
              <w:rPr>
                <w:rStyle w:val="IndexLink"/>
                <w:rtl w:val="true"/>
              </w:rPr>
              <w:tab/>
            </w:r>
            <w:r>
              <w:rPr>
                <w:rStyle w:val="IndexLink"/>
              </w:rPr>
              <w:t>424</w:t>
            </w:r>
          </w:hyperlink>
        </w:p>
        <w:p>
          <w:pPr>
            <w:pStyle w:val="Contents4"/>
            <w:tabs>
              <w:tab w:val="clear" w:pos="8176"/>
              <w:tab w:val="right" w:pos="9026" w:leader="dot"/>
            </w:tabs>
            <w:rPr/>
          </w:pPr>
          <w:hyperlink w:anchor="__RefHeading___Toc364096_581953129">
            <w:r>
              <w:rPr>
                <w:webHidden/>
                <w:rStyle w:val="IndexLink"/>
                <w:rtl w:val="true"/>
              </w:rPr>
              <w:t>المذهب الحنبلی</w:t>
            </w:r>
            <w:r>
              <w:rPr>
                <w:rStyle w:val="IndexLink"/>
                <w:rtl w:val="true"/>
              </w:rPr>
              <w:tab/>
            </w:r>
            <w:r>
              <w:rPr>
                <w:rStyle w:val="IndexLink"/>
              </w:rPr>
              <w:t>424</w:t>
            </w:r>
          </w:hyperlink>
        </w:p>
        <w:p>
          <w:pPr>
            <w:pStyle w:val="Contents4"/>
            <w:tabs>
              <w:tab w:val="clear" w:pos="8176"/>
              <w:tab w:val="right" w:pos="9026" w:leader="dot"/>
            </w:tabs>
            <w:rPr/>
          </w:pPr>
          <w:hyperlink w:anchor="__RefHeading___Toc364098_581953129">
            <w:r>
              <w:rPr>
                <w:webHidden/>
                <w:rStyle w:val="IndexLink"/>
                <w:rtl w:val="true"/>
              </w:rPr>
              <w:t>المذهب الحنفی</w:t>
            </w:r>
            <w:r>
              <w:rPr>
                <w:rStyle w:val="IndexLink"/>
                <w:rtl w:val="true"/>
              </w:rPr>
              <w:tab/>
            </w:r>
            <w:r>
              <w:rPr>
                <w:rStyle w:val="IndexLink"/>
              </w:rPr>
              <w:t>424</w:t>
            </w:r>
          </w:hyperlink>
        </w:p>
        <w:p>
          <w:pPr>
            <w:pStyle w:val="Contents4"/>
            <w:tabs>
              <w:tab w:val="clear" w:pos="8176"/>
              <w:tab w:val="right" w:pos="9026" w:leader="dot"/>
            </w:tabs>
            <w:rPr/>
          </w:pPr>
          <w:hyperlink w:anchor="__RefHeading___Toc364100_581953129">
            <w:r>
              <w:rPr>
                <w:webHidden/>
                <w:rStyle w:val="IndexLink"/>
                <w:rtl w:val="true"/>
              </w:rPr>
              <w:t>منشأ الاختلاف</w:t>
            </w:r>
            <w:r>
              <w:rPr>
                <w:rStyle w:val="IndexLink"/>
                <w:rtl w:val="true"/>
              </w:rPr>
              <w:tab/>
            </w:r>
            <w:r>
              <w:rPr>
                <w:rStyle w:val="IndexLink"/>
              </w:rPr>
              <w:t>425</w:t>
            </w:r>
          </w:hyperlink>
        </w:p>
        <w:p>
          <w:pPr>
            <w:pStyle w:val="Contents3"/>
            <w:tabs>
              <w:tab w:val="clear" w:pos="8459"/>
              <w:tab w:val="right" w:pos="9026" w:leader="dot"/>
            </w:tabs>
            <w:rPr/>
          </w:pPr>
          <w:hyperlink w:anchor="__RefHeading___Toc364102_581953129">
            <w:r>
              <w:rPr>
                <w:webHidden/>
                <w:rStyle w:val="IndexLink"/>
                <w:rtl w:val="true"/>
              </w:rPr>
              <w:t>حرمة المصاهرة مع ولد الزنا</w:t>
            </w:r>
            <w:r>
              <w:rPr>
                <w:rStyle w:val="IndexLink"/>
                <w:rtl w:val="true"/>
              </w:rPr>
              <w:tab/>
            </w:r>
            <w:r>
              <w:rPr>
                <w:rStyle w:val="IndexLink"/>
              </w:rPr>
              <w:t>425</w:t>
            </w:r>
          </w:hyperlink>
        </w:p>
        <w:p>
          <w:pPr>
            <w:pStyle w:val="Contents4"/>
            <w:tabs>
              <w:tab w:val="clear" w:pos="8176"/>
              <w:tab w:val="right" w:pos="9026" w:leader="dot"/>
            </w:tabs>
            <w:rPr/>
          </w:pPr>
          <w:hyperlink w:anchor="__RefHeading___Toc364104_581953129">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364106_581953129">
            <w:r>
              <w:rPr>
                <w:webHidden/>
                <w:rStyle w:val="IndexLink"/>
                <w:rtl w:val="true"/>
              </w:rPr>
              <w:t>المذهب الجعفری</w:t>
            </w:r>
            <w:r>
              <w:rPr>
                <w:rStyle w:val="IndexLink"/>
                <w:rtl w:val="true"/>
              </w:rPr>
              <w:tab/>
            </w:r>
            <w:r>
              <w:rPr>
                <w:rStyle w:val="IndexLink"/>
              </w:rPr>
              <w:t>425</w:t>
            </w:r>
          </w:hyperlink>
        </w:p>
        <w:p>
          <w:pPr>
            <w:pStyle w:val="Contents4"/>
            <w:tabs>
              <w:tab w:val="clear" w:pos="8176"/>
              <w:tab w:val="right" w:pos="9026" w:leader="dot"/>
            </w:tabs>
            <w:rPr/>
          </w:pPr>
          <w:hyperlink w:anchor="__RefHeading___Toc364108_581953129">
            <w:r>
              <w:rPr>
                <w:webHidden/>
                <w:rStyle w:val="IndexLink"/>
                <w:rtl w:val="true"/>
              </w:rPr>
              <w:t>المذهب الشافعی</w:t>
            </w:r>
            <w:r>
              <w:rPr>
                <w:rStyle w:val="IndexLink"/>
                <w:rtl w:val="true"/>
              </w:rPr>
              <w:tab/>
            </w:r>
            <w:r>
              <w:rPr>
                <w:rStyle w:val="IndexLink"/>
              </w:rPr>
              <w:t>426</w:t>
            </w:r>
          </w:hyperlink>
        </w:p>
        <w:p>
          <w:pPr>
            <w:pStyle w:val="Contents4"/>
            <w:tabs>
              <w:tab w:val="clear" w:pos="8176"/>
              <w:tab w:val="right" w:pos="9026" w:leader="dot"/>
            </w:tabs>
            <w:rPr/>
          </w:pPr>
          <w:hyperlink w:anchor="__RefHeading___Toc364110_581953129">
            <w:r>
              <w:rPr>
                <w:webHidden/>
                <w:rStyle w:val="IndexLink"/>
                <w:rtl w:val="true"/>
              </w:rPr>
              <w:t>منشأ الاختلاف</w:t>
            </w:r>
            <w:r>
              <w:rPr>
                <w:rStyle w:val="IndexLink"/>
                <w:rtl w:val="true"/>
              </w:rPr>
              <w:tab/>
            </w:r>
            <w:r>
              <w:rPr>
                <w:rStyle w:val="IndexLink"/>
              </w:rPr>
              <w:t>427</w:t>
            </w:r>
          </w:hyperlink>
        </w:p>
        <w:p>
          <w:pPr>
            <w:pStyle w:val="Contents3"/>
            <w:tabs>
              <w:tab w:val="clear" w:pos="8459"/>
              <w:tab w:val="right" w:pos="9026" w:leader="dot"/>
            </w:tabs>
            <w:rPr/>
          </w:pPr>
          <w:hyperlink w:anchor="__RefHeading___Toc364112_581953129">
            <w:r>
              <w:rPr>
                <w:webHidden/>
                <w:rStyle w:val="IndexLink"/>
                <w:rtl w:val="true"/>
              </w:rPr>
              <w:t>مناکحة الزانی و الزانیة</w:t>
            </w:r>
            <w:r>
              <w:rPr>
                <w:rStyle w:val="IndexLink"/>
                <w:rtl w:val="true"/>
              </w:rPr>
              <w:tab/>
            </w:r>
            <w:r>
              <w:rPr>
                <w:rStyle w:val="IndexLink"/>
              </w:rPr>
              <w:t>427</w:t>
            </w:r>
          </w:hyperlink>
        </w:p>
        <w:p>
          <w:pPr>
            <w:pStyle w:val="Contents4"/>
            <w:tabs>
              <w:tab w:val="clear" w:pos="8176"/>
              <w:tab w:val="right" w:pos="9026" w:leader="dot"/>
            </w:tabs>
            <w:rPr/>
          </w:pPr>
          <w:hyperlink w:anchor="__RefHeading___Toc364114_581953129">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364116_581953129">
            <w:r>
              <w:rPr>
                <w:webHidden/>
                <w:rStyle w:val="IndexLink"/>
                <w:rtl w:val="true"/>
              </w:rPr>
              <w:t>المذاهب الأربعة</w:t>
            </w:r>
            <w:r>
              <w:rPr>
                <w:rStyle w:val="IndexLink"/>
                <w:rtl w:val="true"/>
              </w:rPr>
              <w:tab/>
            </w:r>
            <w:r>
              <w:rPr>
                <w:rStyle w:val="IndexLink"/>
              </w:rPr>
              <w:t>427</w:t>
            </w:r>
          </w:hyperlink>
        </w:p>
        <w:p>
          <w:pPr>
            <w:pStyle w:val="Contents4"/>
            <w:tabs>
              <w:tab w:val="clear" w:pos="8176"/>
              <w:tab w:val="right" w:pos="9026" w:leader="dot"/>
            </w:tabs>
            <w:rPr/>
          </w:pPr>
          <w:hyperlink w:anchor="__RefHeading___Toc364118_581953129">
            <w:r>
              <w:rPr>
                <w:webHidden/>
                <w:rStyle w:val="IndexLink"/>
                <w:rtl w:val="true"/>
              </w:rPr>
              <w:t>المذهب الجعفری</w:t>
            </w:r>
            <w:r>
              <w:rPr>
                <w:rStyle w:val="IndexLink"/>
                <w:rtl w:val="true"/>
              </w:rPr>
              <w:tab/>
            </w:r>
            <w:r>
              <w:rPr>
                <w:rStyle w:val="IndexLink"/>
              </w:rPr>
              <w:t>427</w:t>
            </w:r>
          </w:hyperlink>
        </w:p>
        <w:p>
          <w:pPr>
            <w:pStyle w:val="Contents4"/>
            <w:tabs>
              <w:tab w:val="clear" w:pos="8176"/>
              <w:tab w:val="right" w:pos="9026" w:leader="dot"/>
            </w:tabs>
            <w:rPr/>
          </w:pPr>
          <w:hyperlink w:anchor="__RefHeading___Toc364120_581953129">
            <w:r>
              <w:rPr>
                <w:webHidden/>
                <w:rStyle w:val="IndexLink"/>
                <w:rtl w:val="true"/>
              </w:rPr>
              <w:t>منشأ الاختلاف</w:t>
            </w:r>
            <w:r>
              <w:rPr>
                <w:rStyle w:val="IndexLink"/>
                <w:rtl w:val="true"/>
              </w:rPr>
              <w:tab/>
            </w:r>
            <w:r>
              <w:rPr>
                <w:rStyle w:val="IndexLink"/>
              </w:rPr>
              <w:t>428</w:t>
            </w:r>
          </w:hyperlink>
        </w:p>
        <w:p>
          <w:pPr>
            <w:pStyle w:val="Contents3"/>
            <w:tabs>
              <w:tab w:val="clear" w:pos="8459"/>
              <w:tab w:val="right" w:pos="9026" w:leader="dot"/>
            </w:tabs>
            <w:rPr/>
          </w:pPr>
          <w:hyperlink w:anchor="__RefHeading___Toc364122_581953129">
            <w:r>
              <w:rPr>
                <w:webHidden/>
                <w:rStyle w:val="IndexLink"/>
                <w:rtl w:val="true"/>
              </w:rPr>
              <w:t>التحقیق</w:t>
            </w:r>
            <w:r>
              <w:rPr>
                <w:rStyle w:val="IndexLink"/>
                <w:rtl w:val="true"/>
              </w:rPr>
              <w:tab/>
            </w:r>
            <w:r>
              <w:rPr>
                <w:rStyle w:val="IndexLink"/>
              </w:rPr>
              <w:t>428</w:t>
            </w:r>
          </w:hyperlink>
        </w:p>
        <w:p>
          <w:pPr>
            <w:pStyle w:val="Contents3"/>
            <w:tabs>
              <w:tab w:val="clear" w:pos="8459"/>
              <w:tab w:val="right" w:pos="9026" w:leader="dot"/>
            </w:tabs>
            <w:rPr/>
          </w:pPr>
          <w:hyperlink w:anchor="__RefHeading___Toc364124_581953129">
            <w:r>
              <w:rPr>
                <w:webHidden/>
                <w:rStyle w:val="IndexLink"/>
                <w:rtl w:val="true"/>
              </w:rPr>
              <w:t>الرضاع</w:t>
            </w:r>
            <w:r>
              <w:rPr>
                <w:rStyle w:val="IndexLink"/>
                <w:rtl w:val="true"/>
              </w:rPr>
              <w:tab/>
            </w:r>
            <w:r>
              <w:rPr>
                <w:rStyle w:val="IndexLink"/>
              </w:rPr>
              <w:t>428</w:t>
            </w:r>
          </w:hyperlink>
        </w:p>
        <w:p>
          <w:pPr>
            <w:pStyle w:val="Contents3"/>
            <w:tabs>
              <w:tab w:val="clear" w:pos="8459"/>
              <w:tab w:val="right" w:pos="9026" w:leader="dot"/>
            </w:tabs>
            <w:rPr/>
          </w:pPr>
          <w:hyperlink w:anchor="__RefHeading___Toc364126_581953129">
            <w:r>
              <w:rPr>
                <w:webHidden/>
                <w:rStyle w:val="IndexLink"/>
                <w:rtl w:val="true"/>
              </w:rPr>
              <w:t>کمّیة الرضاع</w:t>
            </w:r>
            <w:r>
              <w:rPr>
                <w:rStyle w:val="IndexLink"/>
                <w:rtl w:val="true"/>
              </w:rPr>
              <w:tab/>
            </w:r>
            <w:r>
              <w:rPr>
                <w:rStyle w:val="IndexLink"/>
              </w:rPr>
              <w:t>428</w:t>
            </w:r>
          </w:hyperlink>
        </w:p>
        <w:p>
          <w:pPr>
            <w:pStyle w:val="Contents4"/>
            <w:tabs>
              <w:tab w:val="clear" w:pos="8176"/>
              <w:tab w:val="right" w:pos="9026" w:leader="dot"/>
            </w:tabs>
            <w:rPr/>
          </w:pPr>
          <w:hyperlink w:anchor="__RefHeading___Toc364128_581953129">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364130_581953129">
            <w:r>
              <w:rPr>
                <w:webHidden/>
                <w:rStyle w:val="IndexLink"/>
                <w:rtl w:val="true"/>
              </w:rPr>
              <w:t>المذهب الجعفری</w:t>
            </w:r>
            <w:r>
              <w:rPr>
                <w:rStyle w:val="IndexLink"/>
                <w:rtl w:val="true"/>
              </w:rPr>
              <w:tab/>
            </w:r>
            <w:r>
              <w:rPr>
                <w:rStyle w:val="IndexLink"/>
              </w:rPr>
              <w:t>428</w:t>
            </w:r>
          </w:hyperlink>
        </w:p>
        <w:p>
          <w:pPr>
            <w:pStyle w:val="Contents4"/>
            <w:tabs>
              <w:tab w:val="clear" w:pos="8176"/>
              <w:tab w:val="right" w:pos="9026" w:leader="dot"/>
            </w:tabs>
            <w:rPr/>
          </w:pPr>
          <w:hyperlink w:anchor="__RefHeading___Toc364132_581953129">
            <w:r>
              <w:rPr>
                <w:webHidden/>
                <w:rStyle w:val="IndexLink"/>
                <w:rtl w:val="true"/>
              </w:rPr>
              <w:t>المذاهب الأربعة</w:t>
            </w:r>
            <w:r>
              <w:rPr>
                <w:rStyle w:val="IndexLink"/>
                <w:rtl w:val="true"/>
              </w:rPr>
              <w:tab/>
            </w:r>
            <w:r>
              <w:rPr>
                <w:rStyle w:val="IndexLink"/>
              </w:rPr>
              <w:t>429</w:t>
            </w:r>
          </w:hyperlink>
        </w:p>
        <w:p>
          <w:pPr>
            <w:pStyle w:val="Contents4"/>
            <w:tabs>
              <w:tab w:val="clear" w:pos="8176"/>
              <w:tab w:val="right" w:pos="9026" w:leader="dot"/>
            </w:tabs>
            <w:rPr/>
          </w:pPr>
          <w:hyperlink w:anchor="__RefHeading___Toc364134_581953129">
            <w:r>
              <w:rPr>
                <w:webHidden/>
                <w:rStyle w:val="IndexLink"/>
                <w:rtl w:val="true"/>
              </w:rPr>
              <w:t>منشأ الاختلاف</w:t>
            </w:r>
            <w:r>
              <w:rPr>
                <w:rStyle w:val="IndexLink"/>
                <w:rtl w:val="true"/>
              </w:rPr>
              <w:tab/>
            </w:r>
            <w:r>
              <w:rPr>
                <w:rStyle w:val="IndexLink"/>
              </w:rPr>
              <w:t>430</w:t>
            </w:r>
          </w:hyperlink>
        </w:p>
        <w:p>
          <w:pPr>
            <w:pStyle w:val="Contents3"/>
            <w:tabs>
              <w:tab w:val="clear" w:pos="8459"/>
              <w:tab w:val="right" w:pos="9026" w:leader="dot"/>
            </w:tabs>
            <w:rPr/>
          </w:pPr>
          <w:hyperlink w:anchor="__RefHeading___Toc364136_581953129">
            <w:r>
              <w:rPr>
                <w:webHidden/>
                <w:rStyle w:val="IndexLink"/>
                <w:rtl w:val="true"/>
              </w:rPr>
              <w:t>جواز نکاح الکافرة للمسلم</w:t>
            </w:r>
            <w:r>
              <w:rPr>
                <w:rStyle w:val="IndexLink"/>
                <w:rtl w:val="true"/>
              </w:rPr>
              <w:tab/>
            </w:r>
            <w:r>
              <w:rPr>
                <w:rStyle w:val="IndexLink"/>
              </w:rPr>
              <w:t>430</w:t>
            </w:r>
          </w:hyperlink>
        </w:p>
        <w:p>
          <w:pPr>
            <w:pStyle w:val="Contents4"/>
            <w:tabs>
              <w:tab w:val="clear" w:pos="8176"/>
              <w:tab w:val="right" w:pos="9026" w:leader="dot"/>
            </w:tabs>
            <w:rPr/>
          </w:pPr>
          <w:hyperlink w:anchor="__RefHeading___Toc364138_581953129">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364140_581953129">
            <w:r>
              <w:rPr>
                <w:webHidden/>
                <w:rStyle w:val="IndexLink"/>
                <w:rtl w:val="true"/>
              </w:rPr>
              <w:t>المذاهب الأربعة</w:t>
            </w:r>
            <w:r>
              <w:rPr>
                <w:rStyle w:val="IndexLink"/>
                <w:rtl w:val="true"/>
              </w:rPr>
              <w:tab/>
            </w:r>
            <w:r>
              <w:rPr>
                <w:rStyle w:val="IndexLink"/>
              </w:rPr>
              <w:t>430</w:t>
            </w:r>
          </w:hyperlink>
        </w:p>
        <w:p>
          <w:pPr>
            <w:pStyle w:val="Contents4"/>
            <w:tabs>
              <w:tab w:val="clear" w:pos="8176"/>
              <w:tab w:val="right" w:pos="9026" w:leader="dot"/>
            </w:tabs>
            <w:rPr/>
          </w:pPr>
          <w:hyperlink w:anchor="__RefHeading___Toc364142_581953129">
            <w:r>
              <w:rPr>
                <w:webHidden/>
                <w:rStyle w:val="IndexLink"/>
                <w:rtl w:val="true"/>
              </w:rPr>
              <w:t>المذهب الجعفری</w:t>
            </w:r>
            <w:r>
              <w:rPr>
                <w:rStyle w:val="IndexLink"/>
                <w:rtl w:val="true"/>
              </w:rPr>
              <w:tab/>
            </w:r>
            <w:r>
              <w:rPr>
                <w:rStyle w:val="IndexLink"/>
              </w:rPr>
              <w:t>431</w:t>
            </w:r>
          </w:hyperlink>
        </w:p>
        <w:p>
          <w:pPr>
            <w:pStyle w:val="Contents4"/>
            <w:tabs>
              <w:tab w:val="clear" w:pos="8176"/>
              <w:tab w:val="right" w:pos="9026" w:leader="dot"/>
            </w:tabs>
            <w:rPr/>
          </w:pPr>
          <w:hyperlink w:anchor="__RefHeading___Toc364144_581953129">
            <w:r>
              <w:rPr>
                <w:webHidden/>
                <w:rStyle w:val="IndexLink"/>
                <w:rtl w:val="true"/>
              </w:rPr>
              <w:t>منشأ الاختلاف</w:t>
            </w:r>
            <w:r>
              <w:rPr>
                <w:rStyle w:val="IndexLink"/>
                <w:rtl w:val="true"/>
              </w:rPr>
              <w:tab/>
            </w:r>
            <w:r>
              <w:rPr>
                <w:rStyle w:val="IndexLink"/>
              </w:rPr>
              <w:t>432</w:t>
            </w:r>
          </w:hyperlink>
        </w:p>
        <w:p>
          <w:pPr>
            <w:pStyle w:val="Contents3"/>
            <w:tabs>
              <w:tab w:val="clear" w:pos="8459"/>
              <w:tab w:val="right" w:pos="9026" w:leader="dot"/>
            </w:tabs>
            <w:rPr/>
          </w:pPr>
          <w:hyperlink w:anchor="__RefHeading___Toc364146_581953129">
            <w:r>
              <w:rPr>
                <w:webHidden/>
                <w:rStyle w:val="IndexLink"/>
                <w:rtl w:val="true"/>
              </w:rPr>
              <w:t>معنی الکفائة فی التزویج</w:t>
            </w:r>
            <w:r>
              <w:rPr>
                <w:rStyle w:val="IndexLink"/>
                <w:rtl w:val="true"/>
              </w:rPr>
              <w:tab/>
            </w:r>
            <w:r>
              <w:rPr>
                <w:rStyle w:val="IndexLink"/>
              </w:rPr>
              <w:t>432</w:t>
            </w:r>
          </w:hyperlink>
        </w:p>
        <w:p>
          <w:pPr>
            <w:pStyle w:val="Contents4"/>
            <w:tabs>
              <w:tab w:val="clear" w:pos="8176"/>
              <w:tab w:val="right" w:pos="9026" w:leader="dot"/>
            </w:tabs>
            <w:rPr/>
          </w:pPr>
          <w:hyperlink w:anchor="__RefHeading___Toc364148_581953129">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364150_581953129">
            <w:r>
              <w:rPr>
                <w:webHidden/>
                <w:rStyle w:val="IndexLink"/>
                <w:rtl w:val="true"/>
              </w:rPr>
              <w:t>المذهب الجعفری</w:t>
            </w:r>
            <w:r>
              <w:rPr>
                <w:rStyle w:val="IndexLink"/>
                <w:rtl w:val="true"/>
              </w:rPr>
              <w:tab/>
            </w:r>
            <w:r>
              <w:rPr>
                <w:rStyle w:val="IndexLink"/>
              </w:rPr>
              <w:t>432</w:t>
            </w:r>
          </w:hyperlink>
        </w:p>
        <w:p>
          <w:pPr>
            <w:pStyle w:val="Contents4"/>
            <w:tabs>
              <w:tab w:val="clear" w:pos="8176"/>
              <w:tab w:val="right" w:pos="9026" w:leader="dot"/>
            </w:tabs>
            <w:rPr/>
          </w:pPr>
          <w:hyperlink w:anchor="__RefHeading___Toc364152_581953129">
            <w:r>
              <w:rPr>
                <w:webHidden/>
                <w:rStyle w:val="IndexLink"/>
                <w:rtl w:val="true"/>
              </w:rPr>
              <w:t>المذهب الحنبلی</w:t>
            </w:r>
            <w:r>
              <w:rPr>
                <w:rStyle w:val="IndexLink"/>
                <w:rtl w:val="true"/>
              </w:rPr>
              <w:tab/>
            </w:r>
            <w:r>
              <w:rPr>
                <w:rStyle w:val="IndexLink"/>
              </w:rPr>
              <w:t>433</w:t>
            </w:r>
          </w:hyperlink>
        </w:p>
        <w:p>
          <w:pPr>
            <w:pStyle w:val="Contents4"/>
            <w:tabs>
              <w:tab w:val="clear" w:pos="8176"/>
              <w:tab w:val="right" w:pos="9026" w:leader="dot"/>
            </w:tabs>
            <w:rPr/>
          </w:pPr>
          <w:hyperlink w:anchor="__RefHeading___Toc364154_581953129">
            <w:r>
              <w:rPr>
                <w:webHidden/>
                <w:rStyle w:val="IndexLink"/>
                <w:rtl w:val="true"/>
              </w:rPr>
              <w:t>المذهب الحنفی</w:t>
            </w:r>
            <w:r>
              <w:rPr>
                <w:rStyle w:val="IndexLink"/>
                <w:rtl w:val="true"/>
              </w:rPr>
              <w:tab/>
            </w:r>
            <w:r>
              <w:rPr>
                <w:rStyle w:val="IndexLink"/>
              </w:rPr>
              <w:t>433</w:t>
            </w:r>
          </w:hyperlink>
        </w:p>
        <w:p>
          <w:pPr>
            <w:pStyle w:val="Contents4"/>
            <w:tabs>
              <w:tab w:val="clear" w:pos="8176"/>
              <w:tab w:val="right" w:pos="9026" w:leader="dot"/>
            </w:tabs>
            <w:rPr/>
          </w:pPr>
          <w:hyperlink w:anchor="__RefHeading___Toc364156_581953129">
            <w:r>
              <w:rPr>
                <w:webHidden/>
                <w:rStyle w:val="IndexLink"/>
                <w:rtl w:val="true"/>
              </w:rPr>
              <w:t>المذهب الشافعی</w:t>
            </w:r>
            <w:r>
              <w:rPr>
                <w:rStyle w:val="IndexLink"/>
                <w:rtl w:val="true"/>
              </w:rPr>
              <w:tab/>
            </w:r>
            <w:r>
              <w:rPr>
                <w:rStyle w:val="IndexLink"/>
              </w:rPr>
              <w:t>433</w:t>
            </w:r>
          </w:hyperlink>
        </w:p>
        <w:p>
          <w:pPr>
            <w:pStyle w:val="Contents4"/>
            <w:tabs>
              <w:tab w:val="clear" w:pos="8176"/>
              <w:tab w:val="right" w:pos="9026" w:leader="dot"/>
            </w:tabs>
            <w:rPr/>
          </w:pPr>
          <w:hyperlink w:anchor="__RefHeading___Toc364158_581953129">
            <w:r>
              <w:rPr>
                <w:webHidden/>
                <w:rStyle w:val="IndexLink"/>
                <w:rtl w:val="true"/>
              </w:rPr>
              <w:t>المذهب المالکی</w:t>
            </w:r>
            <w:r>
              <w:rPr>
                <w:rStyle w:val="IndexLink"/>
                <w:rtl w:val="true"/>
              </w:rPr>
              <w:tab/>
            </w:r>
            <w:r>
              <w:rPr>
                <w:rStyle w:val="IndexLink"/>
              </w:rPr>
              <w:t>434</w:t>
            </w:r>
          </w:hyperlink>
        </w:p>
        <w:p>
          <w:pPr>
            <w:pStyle w:val="Contents4"/>
            <w:tabs>
              <w:tab w:val="clear" w:pos="8176"/>
              <w:tab w:val="right" w:pos="9026" w:leader="dot"/>
            </w:tabs>
            <w:rPr/>
          </w:pPr>
          <w:hyperlink w:anchor="__RefHeading___Toc364160_581953129">
            <w:r>
              <w:rPr>
                <w:webHidden/>
                <w:rStyle w:val="IndexLink"/>
                <w:rtl w:val="true"/>
              </w:rPr>
              <w:t>منشأ الاختلاف</w:t>
            </w:r>
            <w:r>
              <w:rPr>
                <w:rStyle w:val="IndexLink"/>
                <w:rtl w:val="true"/>
              </w:rPr>
              <w:tab/>
            </w:r>
            <w:r>
              <w:rPr>
                <w:rStyle w:val="IndexLink"/>
              </w:rPr>
              <w:t>435</w:t>
            </w:r>
          </w:hyperlink>
        </w:p>
        <w:p>
          <w:pPr>
            <w:pStyle w:val="Contents3"/>
            <w:tabs>
              <w:tab w:val="clear" w:pos="8459"/>
              <w:tab w:val="right" w:pos="9026" w:leader="dot"/>
            </w:tabs>
            <w:rPr/>
          </w:pPr>
          <w:hyperlink w:anchor="__RefHeading___Toc364162_581953129">
            <w:r>
              <w:rPr>
                <w:webHidden/>
                <w:rStyle w:val="IndexLink"/>
                <w:rtl w:val="true"/>
              </w:rPr>
              <w:t>الخلاصة</w:t>
            </w:r>
            <w:r>
              <w:rPr>
                <w:rStyle w:val="IndexLink"/>
                <w:rtl w:val="true"/>
              </w:rPr>
              <w:tab/>
            </w:r>
            <w:r>
              <w:rPr>
                <w:rStyle w:val="IndexLink"/>
              </w:rPr>
              <w:t>436</w:t>
            </w:r>
          </w:hyperlink>
        </w:p>
        <w:p>
          <w:pPr>
            <w:pStyle w:val="Contents3"/>
            <w:tabs>
              <w:tab w:val="clear" w:pos="8459"/>
              <w:tab w:val="right" w:pos="9026" w:leader="dot"/>
            </w:tabs>
            <w:rPr/>
          </w:pPr>
          <w:hyperlink w:anchor="__RefHeading___Toc364164_581953129">
            <w:r>
              <w:rPr>
                <w:webHidden/>
                <w:rStyle w:val="IndexLink"/>
                <w:rtl w:val="true"/>
              </w:rPr>
              <w:t>الأسئلة</w:t>
            </w:r>
            <w:r>
              <w:rPr>
                <w:rStyle w:val="IndexLink"/>
                <w:rtl w:val="true"/>
              </w:rPr>
              <w:tab/>
            </w:r>
            <w:r>
              <w:rPr>
                <w:rStyle w:val="IndexLink"/>
              </w:rPr>
              <w:t>437</w:t>
            </w:r>
          </w:hyperlink>
        </w:p>
        <w:p>
          <w:pPr>
            <w:pStyle w:val="Contents2"/>
            <w:tabs>
              <w:tab w:val="clear" w:pos="8743"/>
              <w:tab w:val="right" w:pos="9026" w:leader="dot"/>
            </w:tabs>
            <w:rPr/>
          </w:pPr>
          <w:hyperlink w:anchor="__RefHeading___Toc364166_581953129">
            <w:r>
              <w:rPr>
                <w:webHidden/>
                <w:rStyle w:val="IndexLink"/>
              </w:rPr>
              <w:t>32</w:t>
            </w:r>
            <w:r>
              <w:rPr>
                <w:rStyle w:val="IndexLink"/>
                <w:rtl w:val="true"/>
              </w:rPr>
              <w:t xml:space="preserve">- </w:t>
            </w:r>
            <w:r>
              <w:rPr>
                <w:rStyle w:val="IndexLink"/>
                <w:rtl w:val="true"/>
              </w:rPr>
              <w:t xml:space="preserve">الطلاق </w:t>
            </w:r>
            <w:r>
              <w:rPr>
                <w:rStyle w:val="IndexLink"/>
                <w:rtl w:val="true"/>
              </w:rPr>
              <w:t>(</w:t>
            </w:r>
            <w:r>
              <w:rPr>
                <w:rStyle w:val="IndexLink"/>
              </w:rPr>
              <w:t>1</w:t>
            </w:r>
            <w:r>
              <w:rPr>
                <w:rStyle w:val="IndexLink"/>
                <w:rtl w:val="true"/>
              </w:rPr>
              <w:t>)</w:t>
              <w:tab/>
            </w:r>
            <w:r>
              <w:rPr>
                <w:rStyle w:val="IndexLink"/>
              </w:rPr>
              <w:t>438</w:t>
            </w:r>
          </w:hyperlink>
        </w:p>
        <w:p>
          <w:pPr>
            <w:pStyle w:val="Contents3"/>
            <w:tabs>
              <w:tab w:val="clear" w:pos="8459"/>
              <w:tab w:val="right" w:pos="9026" w:leader="dot"/>
            </w:tabs>
            <w:rPr/>
          </w:pPr>
          <w:hyperlink w:anchor="__RefHeading___Toc364168_581953129">
            <w:r>
              <w:rPr>
                <w:webHidden/>
                <w:rStyle w:val="IndexLink"/>
                <w:rtl w:val="true"/>
              </w:rPr>
              <w:t>صیغة الطلاق</w:t>
            </w:r>
            <w:r>
              <w:rPr>
                <w:rStyle w:val="IndexLink"/>
                <w:rtl w:val="true"/>
              </w:rPr>
              <w:tab/>
            </w:r>
            <w:r>
              <w:rPr>
                <w:rStyle w:val="IndexLink"/>
              </w:rPr>
              <w:t>438</w:t>
            </w:r>
          </w:hyperlink>
        </w:p>
        <w:p>
          <w:pPr>
            <w:pStyle w:val="Contents4"/>
            <w:tabs>
              <w:tab w:val="clear" w:pos="8176"/>
              <w:tab w:val="right" w:pos="9026" w:leader="dot"/>
            </w:tabs>
            <w:rPr/>
          </w:pPr>
          <w:hyperlink w:anchor="__RefHeading___Toc364170_581953129">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364172_581953129">
            <w:r>
              <w:rPr>
                <w:webHidden/>
                <w:rStyle w:val="IndexLink"/>
                <w:rtl w:val="true"/>
              </w:rPr>
              <w:t>المذهب الجعفری</w:t>
            </w:r>
            <w:r>
              <w:rPr>
                <w:rStyle w:val="IndexLink"/>
                <w:rtl w:val="true"/>
              </w:rPr>
              <w:tab/>
            </w:r>
            <w:r>
              <w:rPr>
                <w:rStyle w:val="IndexLink"/>
              </w:rPr>
              <w:t>438</w:t>
            </w:r>
          </w:hyperlink>
        </w:p>
        <w:p>
          <w:pPr>
            <w:pStyle w:val="Contents4"/>
            <w:tabs>
              <w:tab w:val="clear" w:pos="8176"/>
              <w:tab w:val="right" w:pos="9026" w:leader="dot"/>
            </w:tabs>
            <w:rPr/>
          </w:pPr>
          <w:hyperlink w:anchor="__RefHeading___Toc364174_581953129">
            <w:r>
              <w:rPr>
                <w:webHidden/>
                <w:rStyle w:val="IndexLink"/>
                <w:rtl w:val="true"/>
              </w:rPr>
              <w:t>المذاهب الأربعة</w:t>
            </w:r>
            <w:r>
              <w:rPr>
                <w:rStyle w:val="IndexLink"/>
                <w:rtl w:val="true"/>
              </w:rPr>
              <w:tab/>
            </w:r>
            <w:r>
              <w:rPr>
                <w:rStyle w:val="IndexLink"/>
              </w:rPr>
              <w:t>439</w:t>
            </w:r>
          </w:hyperlink>
        </w:p>
        <w:p>
          <w:pPr>
            <w:pStyle w:val="Contents4"/>
            <w:tabs>
              <w:tab w:val="clear" w:pos="8176"/>
              <w:tab w:val="right" w:pos="9026" w:leader="dot"/>
            </w:tabs>
            <w:rPr/>
          </w:pPr>
          <w:hyperlink w:anchor="__RefHeading___Toc364176_581953129">
            <w:r>
              <w:rPr>
                <w:webHidden/>
                <w:rStyle w:val="IndexLink"/>
                <w:rtl w:val="true"/>
              </w:rPr>
              <w:t>منشأ الاختلاف</w:t>
            </w:r>
            <w:r>
              <w:rPr>
                <w:rStyle w:val="IndexLink"/>
                <w:rtl w:val="true"/>
              </w:rPr>
              <w:tab/>
            </w:r>
            <w:r>
              <w:rPr>
                <w:rStyle w:val="IndexLink"/>
              </w:rPr>
              <w:t>441</w:t>
            </w:r>
          </w:hyperlink>
        </w:p>
        <w:p>
          <w:pPr>
            <w:pStyle w:val="Contents3"/>
            <w:tabs>
              <w:tab w:val="clear" w:pos="8459"/>
              <w:tab w:val="right" w:pos="9026" w:leader="dot"/>
            </w:tabs>
            <w:rPr/>
          </w:pPr>
          <w:hyperlink w:anchor="__RefHeading___Toc364178_581953129">
            <w:r>
              <w:rPr>
                <w:webHidden/>
                <w:rStyle w:val="IndexLink"/>
                <w:rtl w:val="true"/>
              </w:rPr>
              <w:t>الشروط</w:t>
            </w:r>
            <w:r>
              <w:rPr>
                <w:rStyle w:val="IndexLink"/>
                <w:rtl w:val="true"/>
              </w:rPr>
              <w:tab/>
            </w:r>
            <w:r>
              <w:rPr>
                <w:rStyle w:val="IndexLink"/>
              </w:rPr>
              <w:t>441</w:t>
            </w:r>
          </w:hyperlink>
        </w:p>
        <w:p>
          <w:pPr>
            <w:pStyle w:val="Contents4"/>
            <w:tabs>
              <w:tab w:val="clear" w:pos="8176"/>
              <w:tab w:val="right" w:pos="9026" w:leader="dot"/>
            </w:tabs>
            <w:rPr/>
          </w:pPr>
          <w:hyperlink w:anchor="__RefHeading___Toc364180_581953129">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364182_581953129">
            <w:r>
              <w:rPr>
                <w:webHidden/>
                <w:rStyle w:val="IndexLink"/>
                <w:rtl w:val="true"/>
              </w:rPr>
              <w:t>القصد</w:t>
            </w:r>
            <w:r>
              <w:rPr>
                <w:rStyle w:val="IndexLink"/>
                <w:rtl w:val="true"/>
              </w:rPr>
              <w:tab/>
            </w:r>
            <w:r>
              <w:rPr>
                <w:rStyle w:val="IndexLink"/>
              </w:rPr>
              <w:t>441</w:t>
            </w:r>
          </w:hyperlink>
        </w:p>
        <w:p>
          <w:pPr>
            <w:pStyle w:val="Contents5"/>
            <w:tabs>
              <w:tab w:val="clear" w:pos="7892"/>
              <w:tab w:val="right" w:pos="9026" w:leader="dot"/>
            </w:tabs>
            <w:rPr/>
          </w:pPr>
          <w:hyperlink w:anchor="__RefHeading___Toc364184_581953129">
            <w:r>
              <w:rPr>
                <w:webHidden/>
                <w:rStyle w:val="IndexLink"/>
                <w:rtl w:val="true"/>
              </w:rPr>
              <w:t>المذهب الجعفری</w:t>
            </w:r>
            <w:r>
              <w:rPr>
                <w:rStyle w:val="IndexLink"/>
                <w:rtl w:val="true"/>
              </w:rPr>
              <w:tab/>
            </w:r>
            <w:r>
              <w:rPr>
                <w:rStyle w:val="IndexLink"/>
              </w:rPr>
              <w:t>441</w:t>
            </w:r>
          </w:hyperlink>
        </w:p>
        <w:p>
          <w:pPr>
            <w:pStyle w:val="Contents5"/>
            <w:tabs>
              <w:tab w:val="clear" w:pos="7892"/>
              <w:tab w:val="right" w:pos="9026" w:leader="dot"/>
            </w:tabs>
            <w:rPr/>
          </w:pPr>
          <w:hyperlink w:anchor="__RefHeading___Toc364186_581953129">
            <w:r>
              <w:rPr>
                <w:webHidden/>
                <w:rStyle w:val="IndexLink"/>
                <w:rtl w:val="true"/>
              </w:rPr>
              <w:t>المذاهب الأربعة</w:t>
            </w:r>
            <w:r>
              <w:rPr>
                <w:rStyle w:val="IndexLink"/>
                <w:rtl w:val="true"/>
              </w:rPr>
              <w:tab/>
            </w:r>
            <w:r>
              <w:rPr>
                <w:rStyle w:val="IndexLink"/>
              </w:rPr>
              <w:t>441</w:t>
            </w:r>
          </w:hyperlink>
        </w:p>
        <w:p>
          <w:pPr>
            <w:pStyle w:val="Contents4"/>
            <w:tabs>
              <w:tab w:val="clear" w:pos="8176"/>
              <w:tab w:val="right" w:pos="9026" w:leader="dot"/>
            </w:tabs>
            <w:rPr/>
          </w:pPr>
          <w:hyperlink w:anchor="__RefHeading___Toc364188_581953129">
            <w:r>
              <w:rPr>
                <w:webHidden/>
                <w:rStyle w:val="IndexLink"/>
                <w:rtl w:val="true"/>
              </w:rPr>
              <w:t>الاختیار</w:t>
            </w:r>
            <w:r>
              <w:rPr>
                <w:rStyle w:val="IndexLink"/>
                <w:rtl w:val="true"/>
              </w:rPr>
              <w:tab/>
            </w:r>
            <w:r>
              <w:rPr>
                <w:rStyle w:val="IndexLink"/>
              </w:rPr>
              <w:t>442</w:t>
            </w:r>
          </w:hyperlink>
        </w:p>
        <w:p>
          <w:pPr>
            <w:pStyle w:val="Contents5"/>
            <w:tabs>
              <w:tab w:val="clear" w:pos="7892"/>
              <w:tab w:val="right" w:pos="9026" w:leader="dot"/>
            </w:tabs>
            <w:rPr/>
          </w:pPr>
          <w:hyperlink w:anchor="__RefHeading___Toc364190_581953129">
            <w:r>
              <w:rPr>
                <w:webHidden/>
                <w:rStyle w:val="IndexLink"/>
                <w:rtl w:val="true"/>
              </w:rPr>
              <w:t>المذهب الجعفری</w:t>
            </w:r>
            <w:r>
              <w:rPr>
                <w:rStyle w:val="IndexLink"/>
                <w:rtl w:val="true"/>
              </w:rPr>
              <w:tab/>
            </w:r>
            <w:r>
              <w:rPr>
                <w:rStyle w:val="IndexLink"/>
              </w:rPr>
              <w:t>442</w:t>
            </w:r>
          </w:hyperlink>
        </w:p>
        <w:p>
          <w:pPr>
            <w:pStyle w:val="Contents5"/>
            <w:tabs>
              <w:tab w:val="clear" w:pos="7892"/>
              <w:tab w:val="right" w:pos="9026" w:leader="dot"/>
            </w:tabs>
            <w:rPr/>
          </w:pPr>
          <w:hyperlink w:anchor="__RefHeading___Toc364192_581953129">
            <w:r>
              <w:rPr>
                <w:webHidden/>
                <w:rStyle w:val="IndexLink"/>
                <w:rtl w:val="true"/>
              </w:rPr>
              <w:t>المذهب الحنفی</w:t>
            </w:r>
            <w:r>
              <w:rPr>
                <w:rStyle w:val="IndexLink"/>
                <w:rtl w:val="true"/>
              </w:rPr>
              <w:tab/>
            </w:r>
            <w:r>
              <w:rPr>
                <w:rStyle w:val="IndexLink"/>
              </w:rPr>
              <w:t>442</w:t>
            </w:r>
          </w:hyperlink>
        </w:p>
        <w:p>
          <w:pPr>
            <w:pStyle w:val="Contents4"/>
            <w:tabs>
              <w:tab w:val="clear" w:pos="8176"/>
              <w:tab w:val="right" w:pos="9026" w:leader="dot"/>
            </w:tabs>
            <w:rPr/>
          </w:pPr>
          <w:hyperlink w:anchor="__RefHeading___Toc364194_581953129">
            <w:r>
              <w:rPr>
                <w:webHidden/>
                <w:rStyle w:val="IndexLink"/>
                <w:rtl w:val="true"/>
              </w:rPr>
              <w:t>العربیة</w:t>
            </w:r>
            <w:r>
              <w:rPr>
                <w:rStyle w:val="IndexLink"/>
                <w:rtl w:val="true"/>
              </w:rPr>
              <w:tab/>
            </w:r>
            <w:r>
              <w:rPr>
                <w:rStyle w:val="IndexLink"/>
              </w:rPr>
              <w:t>443</w:t>
            </w:r>
          </w:hyperlink>
        </w:p>
        <w:p>
          <w:pPr>
            <w:pStyle w:val="Contents5"/>
            <w:tabs>
              <w:tab w:val="clear" w:pos="7892"/>
              <w:tab w:val="right" w:pos="9026" w:leader="dot"/>
            </w:tabs>
            <w:rPr/>
          </w:pPr>
          <w:hyperlink w:anchor="__RefHeading___Toc364196_581953129">
            <w:r>
              <w:rPr>
                <w:webHidden/>
                <w:rStyle w:val="IndexLink"/>
                <w:rtl w:val="true"/>
              </w:rPr>
              <w:t>المذهب الجعفری</w:t>
            </w:r>
            <w:r>
              <w:rPr>
                <w:rStyle w:val="IndexLink"/>
                <w:rtl w:val="true"/>
              </w:rPr>
              <w:tab/>
            </w:r>
            <w:r>
              <w:rPr>
                <w:rStyle w:val="IndexLink"/>
              </w:rPr>
              <w:t>443</w:t>
            </w:r>
          </w:hyperlink>
        </w:p>
        <w:p>
          <w:pPr>
            <w:pStyle w:val="Contents5"/>
            <w:tabs>
              <w:tab w:val="clear" w:pos="7892"/>
              <w:tab w:val="right" w:pos="9026" w:leader="dot"/>
            </w:tabs>
            <w:rPr/>
          </w:pPr>
          <w:hyperlink w:anchor="__RefHeading___Toc364198_581953129">
            <w:r>
              <w:rPr>
                <w:webHidden/>
                <w:rStyle w:val="IndexLink"/>
                <w:rtl w:val="true"/>
              </w:rPr>
              <w:t>المذاهب الأربعة</w:t>
            </w:r>
            <w:r>
              <w:rPr>
                <w:rStyle w:val="IndexLink"/>
                <w:rtl w:val="true"/>
              </w:rPr>
              <w:tab/>
            </w:r>
            <w:r>
              <w:rPr>
                <w:rStyle w:val="IndexLink"/>
              </w:rPr>
              <w:t>443</w:t>
            </w:r>
          </w:hyperlink>
        </w:p>
        <w:p>
          <w:pPr>
            <w:pStyle w:val="Contents4"/>
            <w:tabs>
              <w:tab w:val="clear" w:pos="8176"/>
              <w:tab w:val="right" w:pos="9026" w:leader="dot"/>
            </w:tabs>
            <w:rPr/>
          </w:pPr>
          <w:hyperlink w:anchor="__RefHeading___Toc364200_581953129">
            <w:r>
              <w:rPr>
                <w:webHidden/>
                <w:rStyle w:val="IndexLink"/>
                <w:rtl w:val="true"/>
              </w:rPr>
              <w:t>اشتراط التنجیز</w:t>
            </w:r>
            <w:r>
              <w:rPr>
                <w:rStyle w:val="IndexLink"/>
                <w:rtl w:val="true"/>
              </w:rPr>
              <w:tab/>
            </w:r>
            <w:r>
              <w:rPr>
                <w:rStyle w:val="IndexLink"/>
              </w:rPr>
              <w:t>444</w:t>
            </w:r>
          </w:hyperlink>
        </w:p>
        <w:p>
          <w:pPr>
            <w:pStyle w:val="Contents5"/>
            <w:tabs>
              <w:tab w:val="clear" w:pos="7892"/>
              <w:tab w:val="right" w:pos="9026" w:leader="dot"/>
            </w:tabs>
            <w:rPr/>
          </w:pPr>
          <w:hyperlink w:anchor="__RefHeading___Toc364202_581953129">
            <w:r>
              <w:rPr>
                <w:webHidden/>
                <w:rStyle w:val="IndexLink"/>
                <w:rtl w:val="true"/>
              </w:rPr>
              <w:t>المذهب الجعفری</w:t>
            </w:r>
            <w:r>
              <w:rPr>
                <w:rStyle w:val="IndexLink"/>
                <w:rtl w:val="true"/>
              </w:rPr>
              <w:tab/>
            </w:r>
            <w:r>
              <w:rPr>
                <w:rStyle w:val="IndexLink"/>
              </w:rPr>
              <w:t>444</w:t>
            </w:r>
          </w:hyperlink>
        </w:p>
        <w:p>
          <w:pPr>
            <w:pStyle w:val="Contents5"/>
            <w:tabs>
              <w:tab w:val="clear" w:pos="7892"/>
              <w:tab w:val="right" w:pos="9026" w:leader="dot"/>
            </w:tabs>
            <w:rPr/>
          </w:pPr>
          <w:hyperlink w:anchor="__RefHeading___Toc364204_581953129">
            <w:r>
              <w:rPr>
                <w:webHidden/>
                <w:rStyle w:val="IndexLink"/>
                <w:rtl w:val="true"/>
              </w:rPr>
              <w:t>المذاهب الأربعة</w:t>
            </w:r>
            <w:r>
              <w:rPr>
                <w:rStyle w:val="IndexLink"/>
                <w:rtl w:val="true"/>
              </w:rPr>
              <w:tab/>
            </w:r>
            <w:r>
              <w:rPr>
                <w:rStyle w:val="IndexLink"/>
              </w:rPr>
              <w:t>444</w:t>
            </w:r>
          </w:hyperlink>
        </w:p>
        <w:p>
          <w:pPr>
            <w:pStyle w:val="Contents3"/>
            <w:tabs>
              <w:tab w:val="clear" w:pos="8459"/>
              <w:tab w:val="right" w:pos="9026" w:leader="dot"/>
            </w:tabs>
            <w:rPr/>
          </w:pPr>
          <w:hyperlink w:anchor="__RefHeading___Toc364206_581953129">
            <w:r>
              <w:rPr>
                <w:webHidden/>
                <w:rStyle w:val="IndexLink"/>
                <w:rtl w:val="true"/>
              </w:rPr>
              <w:t>الحلف بالطلاق</w:t>
            </w:r>
            <w:r>
              <w:rPr>
                <w:rStyle w:val="IndexLink"/>
                <w:rtl w:val="true"/>
              </w:rPr>
              <w:tab/>
            </w:r>
            <w:r>
              <w:rPr>
                <w:rStyle w:val="IndexLink"/>
              </w:rPr>
              <w:t>445</w:t>
            </w:r>
          </w:hyperlink>
        </w:p>
        <w:p>
          <w:pPr>
            <w:pStyle w:val="Contents3"/>
            <w:tabs>
              <w:tab w:val="clear" w:pos="8459"/>
              <w:tab w:val="right" w:pos="9026" w:leader="dot"/>
            </w:tabs>
            <w:rPr/>
          </w:pPr>
          <w:hyperlink w:anchor="__RefHeading___Toc364208_581953129">
            <w:r>
              <w:rPr>
                <w:webHidden/>
                <w:rStyle w:val="IndexLink"/>
                <w:rtl w:val="true"/>
              </w:rPr>
              <w:t>الإشهاد فی الطلاق</w:t>
            </w:r>
            <w:r>
              <w:rPr>
                <w:rStyle w:val="IndexLink"/>
                <w:rtl w:val="true"/>
              </w:rPr>
              <w:tab/>
            </w:r>
            <w:r>
              <w:rPr>
                <w:rStyle w:val="IndexLink"/>
              </w:rPr>
              <w:t>445</w:t>
            </w:r>
          </w:hyperlink>
        </w:p>
        <w:p>
          <w:pPr>
            <w:pStyle w:val="Contents4"/>
            <w:tabs>
              <w:tab w:val="clear" w:pos="8176"/>
              <w:tab w:val="right" w:pos="9026" w:leader="dot"/>
            </w:tabs>
            <w:rPr/>
          </w:pPr>
          <w:hyperlink w:anchor="__RefHeading___Toc364210_581953129">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364212_581953129">
            <w:r>
              <w:rPr>
                <w:webHidden/>
                <w:rStyle w:val="IndexLink"/>
                <w:rtl w:val="true"/>
              </w:rPr>
              <w:t>المذهب الجعفری</w:t>
            </w:r>
            <w:r>
              <w:rPr>
                <w:rStyle w:val="IndexLink"/>
                <w:rtl w:val="true"/>
              </w:rPr>
              <w:tab/>
            </w:r>
            <w:r>
              <w:rPr>
                <w:rStyle w:val="IndexLink"/>
              </w:rPr>
              <w:t>445</w:t>
            </w:r>
          </w:hyperlink>
        </w:p>
        <w:p>
          <w:pPr>
            <w:pStyle w:val="Contents4"/>
            <w:tabs>
              <w:tab w:val="clear" w:pos="8176"/>
              <w:tab w:val="right" w:pos="9026" w:leader="dot"/>
            </w:tabs>
            <w:rPr/>
          </w:pPr>
          <w:hyperlink w:anchor="__RefHeading___Toc364214_581953129">
            <w:r>
              <w:rPr>
                <w:webHidden/>
                <w:rStyle w:val="IndexLink"/>
                <w:rtl w:val="true"/>
              </w:rPr>
              <w:t>المذاهب الأربعة</w:t>
            </w:r>
            <w:r>
              <w:rPr>
                <w:rStyle w:val="IndexLink"/>
                <w:rtl w:val="true"/>
              </w:rPr>
              <w:tab/>
            </w:r>
            <w:r>
              <w:rPr>
                <w:rStyle w:val="IndexLink"/>
              </w:rPr>
              <w:t>447</w:t>
            </w:r>
          </w:hyperlink>
        </w:p>
        <w:p>
          <w:pPr>
            <w:pStyle w:val="Contents4"/>
            <w:tabs>
              <w:tab w:val="clear" w:pos="8176"/>
              <w:tab w:val="right" w:pos="9026" w:leader="dot"/>
            </w:tabs>
            <w:rPr/>
          </w:pPr>
          <w:hyperlink w:anchor="__RefHeading___Toc364216_581953129">
            <w:r>
              <w:rPr>
                <w:webHidden/>
                <w:rStyle w:val="IndexLink"/>
                <w:rtl w:val="true"/>
              </w:rPr>
              <w:t>منشأ الاختلاف فی الشروط</w:t>
            </w:r>
            <w:r>
              <w:rPr>
                <w:rStyle w:val="IndexLink"/>
                <w:rtl w:val="true"/>
              </w:rPr>
              <w:tab/>
            </w:r>
            <w:r>
              <w:rPr>
                <w:rStyle w:val="IndexLink"/>
              </w:rPr>
              <w:t>448</w:t>
            </w:r>
          </w:hyperlink>
        </w:p>
        <w:p>
          <w:pPr>
            <w:pStyle w:val="Contents3"/>
            <w:tabs>
              <w:tab w:val="clear" w:pos="8459"/>
              <w:tab w:val="right" w:pos="9026" w:leader="dot"/>
            </w:tabs>
            <w:rPr/>
          </w:pPr>
          <w:hyperlink w:anchor="__RefHeading___Toc364218_581953129">
            <w:r>
              <w:rPr>
                <w:webHidden/>
                <w:rStyle w:val="IndexLink"/>
                <w:rtl w:val="true"/>
              </w:rPr>
              <w:t>الخلاصة</w:t>
            </w:r>
            <w:r>
              <w:rPr>
                <w:rStyle w:val="IndexLink"/>
                <w:rtl w:val="true"/>
              </w:rPr>
              <w:tab/>
            </w:r>
            <w:r>
              <w:rPr>
                <w:rStyle w:val="IndexLink"/>
              </w:rPr>
              <w:t>450</w:t>
            </w:r>
          </w:hyperlink>
        </w:p>
        <w:p>
          <w:pPr>
            <w:pStyle w:val="Contents3"/>
            <w:tabs>
              <w:tab w:val="clear" w:pos="8459"/>
              <w:tab w:val="right" w:pos="9026" w:leader="dot"/>
            </w:tabs>
            <w:rPr/>
          </w:pPr>
          <w:hyperlink w:anchor="__RefHeading___Toc364220_581953129">
            <w:r>
              <w:rPr>
                <w:webHidden/>
                <w:rStyle w:val="IndexLink"/>
                <w:rtl w:val="true"/>
              </w:rPr>
              <w:t>الأسئلة</w:t>
            </w:r>
            <w:r>
              <w:rPr>
                <w:rStyle w:val="IndexLink"/>
                <w:rtl w:val="true"/>
              </w:rPr>
              <w:tab/>
            </w:r>
            <w:r>
              <w:rPr>
                <w:rStyle w:val="IndexLink"/>
              </w:rPr>
              <w:t>451</w:t>
            </w:r>
          </w:hyperlink>
        </w:p>
        <w:p>
          <w:pPr>
            <w:pStyle w:val="Contents2"/>
            <w:tabs>
              <w:tab w:val="clear" w:pos="8743"/>
              <w:tab w:val="right" w:pos="9026" w:leader="dot"/>
            </w:tabs>
            <w:rPr/>
          </w:pPr>
          <w:hyperlink w:anchor="__RefHeading___Toc364222_581953129">
            <w:r>
              <w:rPr>
                <w:webHidden/>
                <w:rStyle w:val="IndexLink"/>
              </w:rPr>
              <w:t>33</w:t>
            </w:r>
            <w:r>
              <w:rPr>
                <w:rStyle w:val="IndexLink"/>
                <w:rtl w:val="true"/>
              </w:rPr>
              <w:t xml:space="preserve">- </w:t>
            </w:r>
            <w:r>
              <w:rPr>
                <w:rStyle w:val="IndexLink"/>
                <w:rtl w:val="true"/>
              </w:rPr>
              <w:t xml:space="preserve">الطلاق </w:t>
            </w:r>
            <w:r>
              <w:rPr>
                <w:rStyle w:val="IndexLink"/>
                <w:rtl w:val="true"/>
              </w:rPr>
              <w:t>(</w:t>
            </w:r>
            <w:r>
              <w:rPr>
                <w:rStyle w:val="IndexLink"/>
              </w:rPr>
              <w:t>2</w:t>
            </w:r>
            <w:r>
              <w:rPr>
                <w:rStyle w:val="IndexLink"/>
                <w:rtl w:val="true"/>
              </w:rPr>
              <w:t>)</w:t>
              <w:tab/>
            </w:r>
            <w:r>
              <w:rPr>
                <w:rStyle w:val="IndexLink"/>
              </w:rPr>
              <w:t>452</w:t>
            </w:r>
          </w:hyperlink>
        </w:p>
        <w:p>
          <w:pPr>
            <w:pStyle w:val="Contents3"/>
            <w:tabs>
              <w:tab w:val="clear" w:pos="8459"/>
              <w:tab w:val="right" w:pos="9026" w:leader="dot"/>
            </w:tabs>
            <w:rPr/>
          </w:pPr>
          <w:hyperlink w:anchor="__RefHeading___Toc364224_581953129">
            <w:r>
              <w:rPr>
                <w:webHidden/>
                <w:rStyle w:val="IndexLink"/>
                <w:rtl w:val="true"/>
              </w:rPr>
              <w:t>کیفیة الرجعة</w:t>
            </w:r>
            <w:r>
              <w:rPr>
                <w:rStyle w:val="IndexLink"/>
                <w:rtl w:val="true"/>
              </w:rPr>
              <w:tab/>
            </w:r>
            <w:r>
              <w:rPr>
                <w:rStyle w:val="IndexLink"/>
              </w:rPr>
              <w:t>452</w:t>
            </w:r>
          </w:hyperlink>
        </w:p>
        <w:p>
          <w:pPr>
            <w:pStyle w:val="Contents4"/>
            <w:tabs>
              <w:tab w:val="clear" w:pos="8176"/>
              <w:tab w:val="right" w:pos="9026" w:leader="dot"/>
            </w:tabs>
            <w:rPr/>
          </w:pPr>
          <w:hyperlink w:anchor="__RefHeading___Toc364226_581953129">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364228_581953129">
            <w:r>
              <w:rPr>
                <w:webHidden/>
                <w:rStyle w:val="IndexLink"/>
                <w:rtl w:val="true"/>
              </w:rPr>
              <w:t>المذهب الجعفری</w:t>
            </w:r>
            <w:r>
              <w:rPr>
                <w:rStyle w:val="IndexLink"/>
                <w:rtl w:val="true"/>
              </w:rPr>
              <w:tab/>
            </w:r>
            <w:r>
              <w:rPr>
                <w:rStyle w:val="IndexLink"/>
              </w:rPr>
              <w:t>452</w:t>
            </w:r>
          </w:hyperlink>
        </w:p>
        <w:p>
          <w:pPr>
            <w:pStyle w:val="Contents4"/>
            <w:tabs>
              <w:tab w:val="clear" w:pos="8176"/>
              <w:tab w:val="right" w:pos="9026" w:leader="dot"/>
            </w:tabs>
            <w:rPr/>
          </w:pPr>
          <w:hyperlink w:anchor="__RefHeading___Toc364230_581953129">
            <w:r>
              <w:rPr>
                <w:webHidden/>
                <w:rStyle w:val="IndexLink"/>
                <w:rtl w:val="true"/>
              </w:rPr>
              <w:t>المذهب الحنبلی</w:t>
            </w:r>
            <w:r>
              <w:rPr>
                <w:rStyle w:val="IndexLink"/>
                <w:rtl w:val="true"/>
              </w:rPr>
              <w:tab/>
            </w:r>
            <w:r>
              <w:rPr>
                <w:rStyle w:val="IndexLink"/>
              </w:rPr>
              <w:t>453</w:t>
            </w:r>
          </w:hyperlink>
        </w:p>
        <w:p>
          <w:pPr>
            <w:pStyle w:val="Contents4"/>
            <w:tabs>
              <w:tab w:val="clear" w:pos="8176"/>
              <w:tab w:val="right" w:pos="9026" w:leader="dot"/>
            </w:tabs>
            <w:rPr/>
          </w:pPr>
          <w:hyperlink w:anchor="__RefHeading___Toc364232_581953129">
            <w:r>
              <w:rPr>
                <w:webHidden/>
                <w:rStyle w:val="IndexLink"/>
                <w:rtl w:val="true"/>
              </w:rPr>
              <w:t>المذهب الشافعی</w:t>
            </w:r>
            <w:r>
              <w:rPr>
                <w:rStyle w:val="IndexLink"/>
                <w:rtl w:val="true"/>
              </w:rPr>
              <w:tab/>
            </w:r>
            <w:r>
              <w:rPr>
                <w:rStyle w:val="IndexLink"/>
              </w:rPr>
              <w:t>453</w:t>
            </w:r>
          </w:hyperlink>
        </w:p>
        <w:p>
          <w:pPr>
            <w:pStyle w:val="Contents4"/>
            <w:tabs>
              <w:tab w:val="clear" w:pos="8176"/>
              <w:tab w:val="right" w:pos="9026" w:leader="dot"/>
            </w:tabs>
            <w:rPr/>
          </w:pPr>
          <w:hyperlink w:anchor="__RefHeading___Toc364234_581953129">
            <w:r>
              <w:rPr>
                <w:webHidden/>
                <w:rStyle w:val="IndexLink"/>
                <w:rtl w:val="true"/>
              </w:rPr>
              <w:t>منشأ الاختلاف</w:t>
            </w:r>
            <w:r>
              <w:rPr>
                <w:rStyle w:val="IndexLink"/>
                <w:rtl w:val="true"/>
              </w:rPr>
              <w:tab/>
            </w:r>
            <w:r>
              <w:rPr>
                <w:rStyle w:val="IndexLink"/>
              </w:rPr>
              <w:t>454</w:t>
            </w:r>
          </w:hyperlink>
        </w:p>
        <w:p>
          <w:pPr>
            <w:pStyle w:val="Contents3"/>
            <w:tabs>
              <w:tab w:val="clear" w:pos="8459"/>
              <w:tab w:val="right" w:pos="9026" w:leader="dot"/>
            </w:tabs>
            <w:rPr/>
          </w:pPr>
          <w:hyperlink w:anchor="__RefHeading___Toc364236_581953129">
            <w:r>
              <w:rPr>
                <w:webHidden/>
                <w:rStyle w:val="IndexLink"/>
                <w:rtl w:val="true"/>
              </w:rPr>
              <w:t>تجزئة الطلاق</w:t>
            </w:r>
            <w:r>
              <w:rPr>
                <w:rStyle w:val="IndexLink"/>
                <w:rtl w:val="true"/>
              </w:rPr>
              <w:tab/>
            </w:r>
            <w:r>
              <w:rPr>
                <w:rStyle w:val="IndexLink"/>
              </w:rPr>
              <w:t>454</w:t>
            </w:r>
          </w:hyperlink>
        </w:p>
        <w:p>
          <w:pPr>
            <w:pStyle w:val="Contents4"/>
            <w:tabs>
              <w:tab w:val="clear" w:pos="8176"/>
              <w:tab w:val="right" w:pos="9026" w:leader="dot"/>
            </w:tabs>
            <w:rPr/>
          </w:pPr>
          <w:hyperlink w:anchor="__RefHeading___Toc364238_581953129">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364240_581953129">
            <w:r>
              <w:rPr>
                <w:webHidden/>
                <w:rStyle w:val="IndexLink"/>
                <w:rtl w:val="true"/>
              </w:rPr>
              <w:t>المذهب الجعفری</w:t>
            </w:r>
            <w:r>
              <w:rPr>
                <w:rStyle w:val="IndexLink"/>
                <w:rtl w:val="true"/>
              </w:rPr>
              <w:tab/>
            </w:r>
            <w:r>
              <w:rPr>
                <w:rStyle w:val="IndexLink"/>
              </w:rPr>
              <w:t>454</w:t>
            </w:r>
          </w:hyperlink>
        </w:p>
        <w:p>
          <w:pPr>
            <w:pStyle w:val="Contents4"/>
            <w:tabs>
              <w:tab w:val="clear" w:pos="8176"/>
              <w:tab w:val="right" w:pos="9026" w:leader="dot"/>
            </w:tabs>
            <w:rPr/>
          </w:pPr>
          <w:hyperlink w:anchor="__RefHeading___Toc364242_581953129">
            <w:r>
              <w:rPr>
                <w:webHidden/>
                <w:rStyle w:val="IndexLink"/>
                <w:rtl w:val="true"/>
              </w:rPr>
              <w:t>المذاهب الأربعة</w:t>
            </w:r>
            <w:r>
              <w:rPr>
                <w:rStyle w:val="IndexLink"/>
                <w:rtl w:val="true"/>
              </w:rPr>
              <w:tab/>
            </w:r>
            <w:r>
              <w:rPr>
                <w:rStyle w:val="IndexLink"/>
              </w:rPr>
              <w:t>455</w:t>
            </w:r>
          </w:hyperlink>
        </w:p>
        <w:p>
          <w:pPr>
            <w:pStyle w:val="Contents3"/>
            <w:tabs>
              <w:tab w:val="clear" w:pos="8459"/>
              <w:tab w:val="right" w:pos="9026" w:leader="dot"/>
            </w:tabs>
            <w:rPr/>
          </w:pPr>
          <w:hyperlink w:anchor="__RefHeading___Toc364244_581953129">
            <w:r>
              <w:rPr>
                <w:webHidden/>
                <w:rStyle w:val="IndexLink"/>
                <w:rtl w:val="true"/>
              </w:rPr>
              <w:t>دور الوصف فی الطلاق</w:t>
            </w:r>
            <w:r>
              <w:rPr>
                <w:rStyle w:val="IndexLink"/>
                <w:rtl w:val="true"/>
              </w:rPr>
              <w:tab/>
            </w:r>
            <w:r>
              <w:rPr>
                <w:rStyle w:val="IndexLink"/>
              </w:rPr>
              <w:t>455</w:t>
            </w:r>
          </w:hyperlink>
        </w:p>
        <w:p>
          <w:pPr>
            <w:pStyle w:val="Contents4"/>
            <w:tabs>
              <w:tab w:val="clear" w:pos="8176"/>
              <w:tab w:val="right" w:pos="9026" w:leader="dot"/>
            </w:tabs>
            <w:rPr/>
          </w:pPr>
          <w:hyperlink w:anchor="__RefHeading___Toc364246_581953129">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364248_581953129">
            <w:r>
              <w:rPr>
                <w:webHidden/>
                <w:rStyle w:val="IndexLink"/>
                <w:rtl w:val="true"/>
              </w:rPr>
              <w:t>المذهب الجعفری</w:t>
            </w:r>
            <w:r>
              <w:rPr>
                <w:rStyle w:val="IndexLink"/>
                <w:rtl w:val="true"/>
              </w:rPr>
              <w:tab/>
            </w:r>
            <w:r>
              <w:rPr>
                <w:rStyle w:val="IndexLink"/>
              </w:rPr>
              <w:t>455</w:t>
            </w:r>
          </w:hyperlink>
        </w:p>
        <w:p>
          <w:pPr>
            <w:pStyle w:val="Contents4"/>
            <w:tabs>
              <w:tab w:val="clear" w:pos="8176"/>
              <w:tab w:val="right" w:pos="9026" w:leader="dot"/>
            </w:tabs>
            <w:rPr/>
          </w:pPr>
          <w:hyperlink w:anchor="__RefHeading___Toc364250_581953129">
            <w:r>
              <w:rPr>
                <w:webHidden/>
                <w:rStyle w:val="IndexLink"/>
                <w:rtl w:val="true"/>
              </w:rPr>
              <w:t>المذاهب الأربعة</w:t>
            </w:r>
            <w:r>
              <w:rPr>
                <w:rStyle w:val="IndexLink"/>
                <w:rtl w:val="true"/>
              </w:rPr>
              <w:tab/>
            </w:r>
            <w:r>
              <w:rPr>
                <w:rStyle w:val="IndexLink"/>
              </w:rPr>
              <w:t>456</w:t>
            </w:r>
          </w:hyperlink>
        </w:p>
        <w:p>
          <w:pPr>
            <w:pStyle w:val="Contents4"/>
            <w:tabs>
              <w:tab w:val="clear" w:pos="8176"/>
              <w:tab w:val="right" w:pos="9026" w:leader="dot"/>
            </w:tabs>
            <w:rPr/>
          </w:pPr>
          <w:hyperlink w:anchor="__RefHeading___Toc364252_581953129">
            <w:r>
              <w:rPr>
                <w:webHidden/>
                <w:rStyle w:val="IndexLink"/>
                <w:rtl w:val="true"/>
              </w:rPr>
              <w:t>منشأ الاختلاف</w:t>
            </w:r>
            <w:r>
              <w:rPr>
                <w:rStyle w:val="IndexLink"/>
                <w:rtl w:val="true"/>
              </w:rPr>
              <w:tab/>
            </w:r>
            <w:r>
              <w:rPr>
                <w:rStyle w:val="IndexLink"/>
              </w:rPr>
              <w:t>456</w:t>
            </w:r>
          </w:hyperlink>
        </w:p>
        <w:p>
          <w:pPr>
            <w:pStyle w:val="Contents3"/>
            <w:tabs>
              <w:tab w:val="clear" w:pos="8459"/>
              <w:tab w:val="right" w:pos="9026" w:leader="dot"/>
            </w:tabs>
            <w:rPr/>
          </w:pPr>
          <w:hyperlink w:anchor="__RefHeading___Toc364254_581953129">
            <w:r>
              <w:rPr>
                <w:webHidden/>
                <w:rStyle w:val="IndexLink"/>
                <w:rtl w:val="true"/>
              </w:rPr>
              <w:t>تحقّق العدّة</w:t>
            </w:r>
            <w:r>
              <w:rPr>
                <w:rStyle w:val="IndexLink"/>
                <w:rtl w:val="true"/>
              </w:rPr>
              <w:tab/>
            </w:r>
            <w:r>
              <w:rPr>
                <w:rStyle w:val="IndexLink"/>
              </w:rPr>
              <w:t>456</w:t>
            </w:r>
          </w:hyperlink>
        </w:p>
        <w:p>
          <w:pPr>
            <w:pStyle w:val="Contents4"/>
            <w:tabs>
              <w:tab w:val="clear" w:pos="8176"/>
              <w:tab w:val="right" w:pos="9026" w:leader="dot"/>
            </w:tabs>
            <w:rPr/>
          </w:pPr>
          <w:hyperlink w:anchor="__RefHeading___Toc364256_581953129">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364258_581953129">
            <w:r>
              <w:rPr>
                <w:webHidden/>
                <w:rStyle w:val="IndexLink"/>
                <w:rtl w:val="true"/>
              </w:rPr>
              <w:t>عدّة الصغیرة</w:t>
            </w:r>
            <w:r>
              <w:rPr>
                <w:rStyle w:val="IndexLink"/>
                <w:rtl w:val="true"/>
              </w:rPr>
              <w:tab/>
            </w:r>
            <w:r>
              <w:rPr>
                <w:rStyle w:val="IndexLink"/>
              </w:rPr>
              <w:t>456</w:t>
            </w:r>
          </w:hyperlink>
        </w:p>
        <w:p>
          <w:pPr>
            <w:pStyle w:val="Contents5"/>
            <w:tabs>
              <w:tab w:val="clear" w:pos="7892"/>
              <w:tab w:val="right" w:pos="9026" w:leader="dot"/>
            </w:tabs>
            <w:rPr/>
          </w:pPr>
          <w:hyperlink w:anchor="__RefHeading___Toc364260_581953129">
            <w:r>
              <w:rPr>
                <w:webHidden/>
                <w:rStyle w:val="IndexLink"/>
                <w:rtl w:val="true"/>
              </w:rPr>
              <w:t>المذهب الحنفی</w:t>
            </w:r>
            <w:r>
              <w:rPr>
                <w:rStyle w:val="IndexLink"/>
                <w:rtl w:val="true"/>
              </w:rPr>
              <w:tab/>
            </w:r>
            <w:r>
              <w:rPr>
                <w:rStyle w:val="IndexLink"/>
              </w:rPr>
              <w:t>456</w:t>
            </w:r>
          </w:hyperlink>
        </w:p>
        <w:p>
          <w:pPr>
            <w:pStyle w:val="Contents5"/>
            <w:tabs>
              <w:tab w:val="clear" w:pos="7892"/>
              <w:tab w:val="right" w:pos="9026" w:leader="dot"/>
            </w:tabs>
            <w:rPr/>
          </w:pPr>
          <w:hyperlink w:anchor="__RefHeading___Toc364262_581953129">
            <w:r>
              <w:rPr>
                <w:webHidden/>
                <w:rStyle w:val="IndexLink"/>
                <w:rtl w:val="true"/>
              </w:rPr>
              <w:t>المذاهب الاُخری</w:t>
            </w:r>
            <w:r>
              <w:rPr>
                <w:rStyle w:val="IndexLink"/>
                <w:rtl w:val="true"/>
              </w:rPr>
              <w:tab/>
            </w:r>
            <w:r>
              <w:rPr>
                <w:rStyle w:val="IndexLink"/>
              </w:rPr>
              <w:t>456</w:t>
            </w:r>
          </w:hyperlink>
        </w:p>
        <w:p>
          <w:pPr>
            <w:pStyle w:val="Contents5"/>
            <w:tabs>
              <w:tab w:val="clear" w:pos="7892"/>
              <w:tab w:val="right" w:pos="9026" w:leader="dot"/>
            </w:tabs>
            <w:rPr/>
          </w:pPr>
          <w:hyperlink w:anchor="__RefHeading___Toc364264_581953129">
            <w:r>
              <w:rPr>
                <w:webHidden/>
                <w:rStyle w:val="IndexLink"/>
                <w:rtl w:val="true"/>
              </w:rPr>
              <w:t>منشأ الاختلاف</w:t>
            </w:r>
            <w:r>
              <w:rPr>
                <w:rStyle w:val="IndexLink"/>
                <w:rtl w:val="true"/>
              </w:rPr>
              <w:tab/>
            </w:r>
            <w:r>
              <w:rPr>
                <w:rStyle w:val="IndexLink"/>
              </w:rPr>
              <w:t>457</w:t>
            </w:r>
          </w:hyperlink>
        </w:p>
        <w:p>
          <w:pPr>
            <w:pStyle w:val="Contents4"/>
            <w:tabs>
              <w:tab w:val="clear" w:pos="8176"/>
              <w:tab w:val="right" w:pos="9026" w:leader="dot"/>
            </w:tabs>
            <w:rPr/>
          </w:pPr>
          <w:hyperlink w:anchor="__RefHeading___Toc364266_581953129">
            <w:r>
              <w:rPr>
                <w:webHidden/>
                <w:rStyle w:val="IndexLink"/>
                <w:rtl w:val="true"/>
              </w:rPr>
              <w:t>عدّة الزانیة</w:t>
            </w:r>
            <w:r>
              <w:rPr>
                <w:rStyle w:val="IndexLink"/>
                <w:rtl w:val="true"/>
              </w:rPr>
              <w:tab/>
            </w:r>
            <w:r>
              <w:rPr>
                <w:rStyle w:val="IndexLink"/>
              </w:rPr>
              <w:t>457</w:t>
            </w:r>
          </w:hyperlink>
        </w:p>
        <w:p>
          <w:pPr>
            <w:pStyle w:val="Contents5"/>
            <w:tabs>
              <w:tab w:val="clear" w:pos="7892"/>
              <w:tab w:val="right" w:pos="9026" w:leader="dot"/>
            </w:tabs>
            <w:rPr/>
          </w:pPr>
          <w:hyperlink w:anchor="__RefHeading___Toc364268_581953129">
            <w:r>
              <w:rPr>
                <w:webHidden/>
                <w:rStyle w:val="IndexLink"/>
                <w:rtl w:val="true"/>
              </w:rPr>
              <w:t>المذهب الجعفری</w:t>
            </w:r>
            <w:r>
              <w:rPr>
                <w:rStyle w:val="IndexLink"/>
                <w:rtl w:val="true"/>
              </w:rPr>
              <w:tab/>
            </w:r>
            <w:r>
              <w:rPr>
                <w:rStyle w:val="IndexLink"/>
              </w:rPr>
              <w:t>457</w:t>
            </w:r>
          </w:hyperlink>
        </w:p>
        <w:p>
          <w:pPr>
            <w:pStyle w:val="Contents4"/>
            <w:tabs>
              <w:tab w:val="clear" w:pos="8176"/>
              <w:tab w:val="right" w:pos="9026" w:leader="dot"/>
            </w:tabs>
            <w:rPr/>
          </w:pPr>
          <w:hyperlink w:anchor="__RefHeading___Toc364270_581953129">
            <w:r>
              <w:rPr>
                <w:webHidden/>
                <w:rStyle w:val="IndexLink"/>
                <w:rtl w:val="true"/>
              </w:rPr>
              <w:t>تحقّق العدّة بواسطة الخلوة</w:t>
            </w:r>
            <w:r>
              <w:rPr>
                <w:rStyle w:val="IndexLink"/>
                <w:rtl w:val="true"/>
              </w:rPr>
              <w:tab/>
            </w:r>
            <w:r>
              <w:rPr>
                <w:rStyle w:val="IndexLink"/>
              </w:rPr>
              <w:t>458</w:t>
            </w:r>
          </w:hyperlink>
        </w:p>
        <w:p>
          <w:pPr>
            <w:pStyle w:val="Contents5"/>
            <w:tabs>
              <w:tab w:val="clear" w:pos="7892"/>
              <w:tab w:val="right" w:pos="9026" w:leader="dot"/>
            </w:tabs>
            <w:rPr/>
          </w:pPr>
          <w:hyperlink w:anchor="__RefHeading___Toc364272_581953129">
            <w:r>
              <w:rPr>
                <w:webHidden/>
                <w:rStyle w:val="IndexLink"/>
                <w:rtl w:val="true"/>
              </w:rPr>
              <w:t>المذهب الجعفری</w:t>
            </w:r>
            <w:r>
              <w:rPr>
                <w:rStyle w:val="IndexLink"/>
                <w:rtl w:val="true"/>
              </w:rPr>
              <w:tab/>
            </w:r>
            <w:r>
              <w:rPr>
                <w:rStyle w:val="IndexLink"/>
              </w:rPr>
              <w:t>458</w:t>
            </w:r>
          </w:hyperlink>
        </w:p>
        <w:p>
          <w:pPr>
            <w:pStyle w:val="Contents5"/>
            <w:tabs>
              <w:tab w:val="clear" w:pos="7892"/>
              <w:tab w:val="right" w:pos="9026" w:leader="dot"/>
            </w:tabs>
            <w:rPr/>
          </w:pPr>
          <w:hyperlink w:anchor="__RefHeading___Toc364274_581953129">
            <w:r>
              <w:rPr>
                <w:webHidden/>
                <w:rStyle w:val="IndexLink"/>
                <w:rtl w:val="true"/>
              </w:rPr>
              <w:t>المذهب الحنبلی</w:t>
            </w:r>
            <w:r>
              <w:rPr>
                <w:rStyle w:val="IndexLink"/>
                <w:rtl w:val="true"/>
              </w:rPr>
              <w:tab/>
            </w:r>
            <w:r>
              <w:rPr>
                <w:rStyle w:val="IndexLink"/>
              </w:rPr>
              <w:t>458</w:t>
            </w:r>
          </w:hyperlink>
        </w:p>
        <w:p>
          <w:pPr>
            <w:pStyle w:val="Contents4"/>
            <w:tabs>
              <w:tab w:val="clear" w:pos="8176"/>
              <w:tab w:val="right" w:pos="9026" w:leader="dot"/>
            </w:tabs>
            <w:rPr/>
          </w:pPr>
          <w:hyperlink w:anchor="__RefHeading___Toc364276_581953129">
            <w:r>
              <w:rPr>
                <w:webHidden/>
                <w:rStyle w:val="IndexLink"/>
                <w:rtl w:val="true"/>
              </w:rPr>
              <w:t>عدّة زوجة المفقود</w:t>
            </w:r>
            <w:r>
              <w:rPr>
                <w:rStyle w:val="IndexLink"/>
                <w:rtl w:val="true"/>
              </w:rPr>
              <w:tab/>
            </w:r>
            <w:r>
              <w:rPr>
                <w:rStyle w:val="IndexLink"/>
              </w:rPr>
              <w:t>459</w:t>
            </w:r>
          </w:hyperlink>
        </w:p>
        <w:p>
          <w:pPr>
            <w:pStyle w:val="Contents5"/>
            <w:tabs>
              <w:tab w:val="clear" w:pos="7892"/>
              <w:tab w:val="right" w:pos="9026" w:leader="dot"/>
            </w:tabs>
            <w:rPr/>
          </w:pPr>
          <w:hyperlink w:anchor="__RefHeading___Toc364278_581953129">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364280_581953129">
            <w:r>
              <w:rPr>
                <w:webHidden/>
                <w:rStyle w:val="IndexLink"/>
                <w:rtl w:val="true"/>
              </w:rPr>
              <w:t>المذهب الجعفری</w:t>
            </w:r>
            <w:r>
              <w:rPr>
                <w:rStyle w:val="IndexLink"/>
                <w:rtl w:val="true"/>
              </w:rPr>
              <w:tab/>
            </w:r>
            <w:r>
              <w:rPr>
                <w:rStyle w:val="IndexLink"/>
              </w:rPr>
              <w:t>459</w:t>
            </w:r>
          </w:hyperlink>
        </w:p>
        <w:p>
          <w:pPr>
            <w:pStyle w:val="Contents5"/>
            <w:tabs>
              <w:tab w:val="clear" w:pos="7892"/>
              <w:tab w:val="right" w:pos="9026" w:leader="dot"/>
            </w:tabs>
            <w:rPr/>
          </w:pPr>
          <w:hyperlink w:anchor="__RefHeading___Toc364282_581953129">
            <w:r>
              <w:rPr>
                <w:webHidden/>
                <w:rStyle w:val="IndexLink"/>
                <w:rtl w:val="true"/>
              </w:rPr>
              <w:t>منشأ الاختلاف</w:t>
            </w:r>
            <w:r>
              <w:rPr>
                <w:rStyle w:val="IndexLink"/>
                <w:rtl w:val="true"/>
              </w:rPr>
              <w:tab/>
            </w:r>
            <w:r>
              <w:rPr>
                <w:rStyle w:val="IndexLink"/>
              </w:rPr>
              <w:t>460</w:t>
            </w:r>
          </w:hyperlink>
        </w:p>
        <w:p>
          <w:pPr>
            <w:pStyle w:val="Contents5"/>
            <w:tabs>
              <w:tab w:val="clear" w:pos="7892"/>
              <w:tab w:val="right" w:pos="9026" w:leader="dot"/>
            </w:tabs>
            <w:rPr/>
          </w:pPr>
          <w:hyperlink w:anchor="__RefHeading___Toc364284_581953129">
            <w:r>
              <w:rPr>
                <w:webHidden/>
                <w:rStyle w:val="IndexLink"/>
                <w:rtl w:val="true"/>
              </w:rPr>
              <w:t>منشأ الاختلاف</w:t>
            </w:r>
            <w:r>
              <w:rPr>
                <w:rStyle w:val="IndexLink"/>
                <w:rtl w:val="true"/>
              </w:rPr>
              <w:tab/>
            </w:r>
            <w:r>
              <w:rPr>
                <w:rStyle w:val="IndexLink"/>
              </w:rPr>
              <w:t>461</w:t>
            </w:r>
          </w:hyperlink>
        </w:p>
        <w:p>
          <w:pPr>
            <w:pStyle w:val="Contents4"/>
            <w:tabs>
              <w:tab w:val="clear" w:pos="8176"/>
              <w:tab w:val="right" w:pos="9026" w:leader="dot"/>
            </w:tabs>
            <w:rPr/>
          </w:pPr>
          <w:hyperlink w:anchor="__RefHeading___Toc364286_581953129">
            <w:r>
              <w:rPr>
                <w:webHidden/>
                <w:rStyle w:val="IndexLink"/>
                <w:rtl w:val="true"/>
              </w:rPr>
              <w:t>أطول عدّة</w:t>
            </w:r>
            <w:r>
              <w:rPr>
                <w:rStyle w:val="IndexLink"/>
                <w:rtl w:val="true"/>
              </w:rPr>
              <w:tab/>
            </w:r>
            <w:r>
              <w:rPr>
                <w:rStyle w:val="IndexLink"/>
              </w:rPr>
              <w:t>461</w:t>
            </w:r>
          </w:hyperlink>
        </w:p>
        <w:p>
          <w:pPr>
            <w:pStyle w:val="Contents5"/>
            <w:tabs>
              <w:tab w:val="clear" w:pos="7892"/>
              <w:tab w:val="right" w:pos="9026" w:leader="dot"/>
            </w:tabs>
            <w:rPr/>
          </w:pPr>
          <w:hyperlink w:anchor="__RefHeading___Toc364288_581953129">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364290_581953129">
            <w:r>
              <w:rPr>
                <w:webHidden/>
                <w:rStyle w:val="IndexLink"/>
                <w:rtl w:val="true"/>
              </w:rPr>
              <w:t>المذهب الجعفری</w:t>
            </w:r>
            <w:r>
              <w:rPr>
                <w:rStyle w:val="IndexLink"/>
                <w:rtl w:val="true"/>
              </w:rPr>
              <w:tab/>
            </w:r>
            <w:r>
              <w:rPr>
                <w:rStyle w:val="IndexLink"/>
              </w:rPr>
              <w:t>462</w:t>
            </w:r>
          </w:hyperlink>
        </w:p>
        <w:p>
          <w:pPr>
            <w:pStyle w:val="Contents5"/>
            <w:tabs>
              <w:tab w:val="clear" w:pos="7892"/>
              <w:tab w:val="right" w:pos="9026" w:leader="dot"/>
            </w:tabs>
            <w:rPr/>
          </w:pPr>
          <w:hyperlink w:anchor="__RefHeading___Toc364292_581953129">
            <w:r>
              <w:rPr>
                <w:webHidden/>
                <w:rStyle w:val="IndexLink"/>
                <w:rtl w:val="true"/>
              </w:rPr>
              <w:t>المذهب الحنفی و الشافعی</w:t>
            </w:r>
            <w:r>
              <w:rPr>
                <w:rStyle w:val="IndexLink"/>
                <w:rtl w:val="true"/>
              </w:rPr>
              <w:tab/>
            </w:r>
            <w:r>
              <w:rPr>
                <w:rStyle w:val="IndexLink"/>
              </w:rPr>
              <w:t>462</w:t>
            </w:r>
          </w:hyperlink>
        </w:p>
        <w:p>
          <w:pPr>
            <w:pStyle w:val="Contents5"/>
            <w:tabs>
              <w:tab w:val="clear" w:pos="7892"/>
              <w:tab w:val="right" w:pos="9026" w:leader="dot"/>
            </w:tabs>
            <w:rPr/>
          </w:pPr>
          <w:hyperlink w:anchor="__RefHeading___Toc364294_581953129">
            <w:r>
              <w:rPr>
                <w:webHidden/>
                <w:rStyle w:val="IndexLink"/>
                <w:rtl w:val="true"/>
              </w:rPr>
              <w:t>منشأ الاختلاف</w:t>
            </w:r>
            <w:r>
              <w:rPr>
                <w:rStyle w:val="IndexLink"/>
                <w:rtl w:val="true"/>
              </w:rPr>
              <w:tab/>
            </w:r>
            <w:r>
              <w:rPr>
                <w:rStyle w:val="IndexLink"/>
              </w:rPr>
              <w:t>462</w:t>
            </w:r>
          </w:hyperlink>
        </w:p>
        <w:p>
          <w:pPr>
            <w:pStyle w:val="Contents3"/>
            <w:tabs>
              <w:tab w:val="clear" w:pos="8459"/>
              <w:tab w:val="right" w:pos="9026" w:leader="dot"/>
            </w:tabs>
            <w:rPr/>
          </w:pPr>
          <w:hyperlink w:anchor="__RefHeading___Toc364296_581953129">
            <w:r>
              <w:rPr>
                <w:webHidden/>
                <w:rStyle w:val="IndexLink"/>
                <w:rtl w:val="true"/>
              </w:rPr>
              <w:t>الخلاصة</w:t>
            </w:r>
            <w:r>
              <w:rPr>
                <w:rStyle w:val="IndexLink"/>
                <w:rtl w:val="true"/>
              </w:rPr>
              <w:tab/>
            </w:r>
            <w:r>
              <w:rPr>
                <w:rStyle w:val="IndexLink"/>
              </w:rPr>
              <w:t>463</w:t>
            </w:r>
          </w:hyperlink>
        </w:p>
        <w:p>
          <w:pPr>
            <w:pStyle w:val="Contents3"/>
            <w:tabs>
              <w:tab w:val="clear" w:pos="8459"/>
              <w:tab w:val="right" w:pos="9026" w:leader="dot"/>
            </w:tabs>
            <w:rPr/>
          </w:pPr>
          <w:hyperlink w:anchor="__RefHeading___Toc364298_581953129">
            <w:r>
              <w:rPr>
                <w:webHidden/>
                <w:rStyle w:val="IndexLink"/>
                <w:rtl w:val="true"/>
              </w:rPr>
              <w:t>الأسئلة</w:t>
            </w:r>
            <w:r>
              <w:rPr>
                <w:rStyle w:val="IndexLink"/>
                <w:rtl w:val="true"/>
              </w:rPr>
              <w:tab/>
            </w:r>
            <w:r>
              <w:rPr>
                <w:rStyle w:val="IndexLink"/>
              </w:rPr>
              <w:t>464</w:t>
            </w:r>
          </w:hyperlink>
        </w:p>
        <w:p>
          <w:pPr>
            <w:pStyle w:val="Contents2"/>
            <w:tabs>
              <w:tab w:val="clear" w:pos="8743"/>
              <w:tab w:val="right" w:pos="9026" w:leader="dot"/>
            </w:tabs>
            <w:rPr/>
          </w:pPr>
          <w:hyperlink w:anchor="__RefHeading___Toc364300_581953129">
            <w:r>
              <w:rPr>
                <w:webHidden/>
                <w:rStyle w:val="IndexLink"/>
              </w:rPr>
              <w:t>34</w:t>
            </w:r>
            <w:r>
              <w:rPr>
                <w:rStyle w:val="IndexLink"/>
                <w:rtl w:val="true"/>
              </w:rPr>
              <w:t xml:space="preserve">- </w:t>
            </w:r>
            <w:r>
              <w:rPr>
                <w:rStyle w:val="IndexLink"/>
                <w:rtl w:val="true"/>
              </w:rPr>
              <w:t>الطلاق الثلاث فی فقه السنة</w:t>
            </w:r>
            <w:r>
              <w:rPr>
                <w:rStyle w:val="IndexLink"/>
                <w:rtl w:val="true"/>
              </w:rPr>
              <w:tab/>
            </w:r>
            <w:r>
              <w:rPr>
                <w:rStyle w:val="IndexLink"/>
              </w:rPr>
              <w:t>465</w:t>
            </w:r>
          </w:hyperlink>
        </w:p>
        <w:p>
          <w:pPr>
            <w:pStyle w:val="Contents3"/>
            <w:tabs>
              <w:tab w:val="clear" w:pos="8459"/>
              <w:tab w:val="right" w:pos="9026" w:leader="dot"/>
            </w:tabs>
            <w:rPr/>
          </w:pPr>
          <w:hyperlink w:anchor="__RefHeading___Toc364302_581953129">
            <w:r>
              <w:rPr>
                <w:webHidden/>
                <w:rStyle w:val="IndexLink"/>
                <w:rtl w:val="true"/>
              </w:rPr>
              <w:t>اشارة</w:t>
            </w:r>
            <w:r>
              <w:rPr>
                <w:rStyle w:val="IndexLink"/>
                <w:rtl w:val="true"/>
              </w:rPr>
              <w:tab/>
            </w:r>
            <w:r>
              <w:rPr>
                <w:rStyle w:val="IndexLink"/>
              </w:rPr>
              <w:t>465</w:t>
            </w:r>
          </w:hyperlink>
        </w:p>
        <w:p>
          <w:pPr>
            <w:pStyle w:val="Contents3"/>
            <w:tabs>
              <w:tab w:val="clear" w:pos="8459"/>
              <w:tab w:val="right" w:pos="9026" w:leader="dot"/>
            </w:tabs>
            <w:rPr/>
          </w:pPr>
          <w:hyperlink w:anchor="__RefHeading___Toc364304_581953129">
            <w:r>
              <w:rPr>
                <w:webHidden/>
                <w:rStyle w:val="IndexLink"/>
                <w:rtl w:val="true"/>
              </w:rPr>
              <w:t>تصریحات الفقهاء</w:t>
            </w:r>
            <w:r>
              <w:rPr>
                <w:rStyle w:val="IndexLink"/>
                <w:rtl w:val="true"/>
              </w:rPr>
              <w:tab/>
            </w:r>
            <w:r>
              <w:rPr>
                <w:rStyle w:val="IndexLink"/>
              </w:rPr>
              <w:t>467</w:t>
            </w:r>
          </w:hyperlink>
        </w:p>
        <w:p>
          <w:pPr>
            <w:pStyle w:val="Contents3"/>
            <w:tabs>
              <w:tab w:val="clear" w:pos="8459"/>
              <w:tab w:val="right" w:pos="9026" w:leader="dot"/>
            </w:tabs>
            <w:rPr/>
          </w:pPr>
          <w:hyperlink w:anchor="__RefHeading___Toc364306_581953129">
            <w:r>
              <w:rPr>
                <w:webHidden/>
                <w:rStyle w:val="IndexLink"/>
                <w:rtl w:val="true"/>
              </w:rPr>
              <w:t>الخلاصة</w:t>
            </w:r>
            <w:r>
              <w:rPr>
                <w:rStyle w:val="IndexLink"/>
                <w:rtl w:val="true"/>
              </w:rPr>
              <w:tab/>
            </w:r>
            <w:r>
              <w:rPr>
                <w:rStyle w:val="IndexLink"/>
              </w:rPr>
              <w:t>470</w:t>
            </w:r>
          </w:hyperlink>
        </w:p>
        <w:p>
          <w:pPr>
            <w:pStyle w:val="Contents3"/>
            <w:tabs>
              <w:tab w:val="clear" w:pos="8459"/>
              <w:tab w:val="right" w:pos="9026" w:leader="dot"/>
            </w:tabs>
            <w:rPr/>
          </w:pPr>
          <w:hyperlink w:anchor="__RefHeading___Toc364308_581953129">
            <w:r>
              <w:rPr>
                <w:webHidden/>
                <w:rStyle w:val="IndexLink"/>
                <w:rtl w:val="true"/>
              </w:rPr>
              <w:t>الأسئلة</w:t>
            </w:r>
            <w:r>
              <w:rPr>
                <w:rStyle w:val="IndexLink"/>
                <w:rtl w:val="true"/>
              </w:rPr>
              <w:tab/>
            </w:r>
            <w:r>
              <w:rPr>
                <w:rStyle w:val="IndexLink"/>
              </w:rPr>
              <w:t>471</w:t>
            </w:r>
          </w:hyperlink>
        </w:p>
        <w:p>
          <w:pPr>
            <w:pStyle w:val="Contents2"/>
            <w:tabs>
              <w:tab w:val="clear" w:pos="8743"/>
              <w:tab w:val="right" w:pos="9026" w:leader="dot"/>
            </w:tabs>
            <w:rPr/>
          </w:pPr>
          <w:hyperlink w:anchor="__RefHeading___Toc364310_581953129">
            <w:r>
              <w:rPr>
                <w:webHidden/>
                <w:rStyle w:val="IndexLink"/>
              </w:rPr>
              <w:t>35</w:t>
            </w:r>
            <w:r>
              <w:rPr>
                <w:rStyle w:val="IndexLink"/>
                <w:rtl w:val="true"/>
              </w:rPr>
              <w:t xml:space="preserve">- </w:t>
            </w:r>
            <w:r>
              <w:rPr>
                <w:rStyle w:val="IndexLink"/>
                <w:rtl w:val="true"/>
              </w:rPr>
              <w:t>الطلاق الثلاث فی فقه أهل البیت علیهم السلام</w:t>
            </w:r>
            <w:r>
              <w:rPr>
                <w:rStyle w:val="IndexLink"/>
                <w:rtl w:val="true"/>
              </w:rPr>
              <w:tab/>
            </w:r>
            <w:r>
              <w:rPr>
                <w:rStyle w:val="IndexLink"/>
              </w:rPr>
              <w:t>472</w:t>
            </w:r>
          </w:hyperlink>
        </w:p>
        <w:p>
          <w:pPr>
            <w:pStyle w:val="Contents3"/>
            <w:tabs>
              <w:tab w:val="clear" w:pos="8459"/>
              <w:tab w:val="right" w:pos="9026" w:leader="dot"/>
            </w:tabs>
            <w:rPr/>
          </w:pPr>
          <w:hyperlink w:anchor="__RefHeading___Toc364312_581953129">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364314_581953129">
            <w:r>
              <w:rPr>
                <w:webHidden/>
                <w:rStyle w:val="IndexLink"/>
                <w:rtl w:val="true"/>
              </w:rPr>
              <w:t>الخلاصة</w:t>
            </w:r>
            <w:r>
              <w:rPr>
                <w:rStyle w:val="IndexLink"/>
                <w:rtl w:val="true"/>
              </w:rPr>
              <w:tab/>
            </w:r>
            <w:r>
              <w:rPr>
                <w:rStyle w:val="IndexLink"/>
              </w:rPr>
              <w:t>477</w:t>
            </w:r>
          </w:hyperlink>
        </w:p>
        <w:p>
          <w:pPr>
            <w:pStyle w:val="Contents3"/>
            <w:tabs>
              <w:tab w:val="clear" w:pos="8459"/>
              <w:tab w:val="right" w:pos="9026" w:leader="dot"/>
            </w:tabs>
            <w:rPr/>
          </w:pPr>
          <w:hyperlink w:anchor="__RefHeading___Toc364316_581953129">
            <w:r>
              <w:rPr>
                <w:webHidden/>
                <w:rStyle w:val="IndexLink"/>
                <w:rtl w:val="true"/>
              </w:rPr>
              <w:t>الأسئلة</w:t>
            </w:r>
            <w:r>
              <w:rPr>
                <w:rStyle w:val="IndexLink"/>
                <w:rtl w:val="true"/>
              </w:rPr>
              <w:tab/>
            </w:r>
            <w:r>
              <w:rPr>
                <w:rStyle w:val="IndexLink"/>
              </w:rPr>
              <w:t>478</w:t>
            </w:r>
          </w:hyperlink>
        </w:p>
        <w:p>
          <w:pPr>
            <w:pStyle w:val="Contents2"/>
            <w:tabs>
              <w:tab w:val="clear" w:pos="8743"/>
              <w:tab w:val="right" w:pos="9026" w:leader="dot"/>
            </w:tabs>
            <w:rPr/>
          </w:pPr>
          <w:hyperlink w:anchor="__RefHeading___Toc364318_581953129">
            <w:r>
              <w:rPr>
                <w:webHidden/>
                <w:rStyle w:val="IndexLink"/>
              </w:rPr>
              <w:t>36</w:t>
            </w:r>
            <w:r>
              <w:rPr>
                <w:rStyle w:val="IndexLink"/>
                <w:rtl w:val="true"/>
              </w:rPr>
              <w:t xml:space="preserve">- </w:t>
            </w:r>
            <w:r>
              <w:rPr>
                <w:rStyle w:val="IndexLink"/>
                <w:rtl w:val="true"/>
              </w:rPr>
              <w:t>طلاق البدعة</w:t>
            </w:r>
            <w:r>
              <w:rPr>
                <w:rStyle w:val="IndexLink"/>
                <w:rtl w:val="true"/>
              </w:rPr>
              <w:tab/>
            </w:r>
            <w:r>
              <w:rPr>
                <w:rStyle w:val="IndexLink"/>
              </w:rPr>
              <w:t>479</w:t>
            </w:r>
          </w:hyperlink>
        </w:p>
        <w:p>
          <w:pPr>
            <w:pStyle w:val="Contents3"/>
            <w:tabs>
              <w:tab w:val="clear" w:pos="8459"/>
              <w:tab w:val="right" w:pos="9026" w:leader="dot"/>
            </w:tabs>
            <w:rPr/>
          </w:pPr>
          <w:hyperlink w:anchor="__RefHeading___Toc364320_581953129">
            <w:r>
              <w:rPr>
                <w:webHidden/>
                <w:rStyle w:val="IndexLink"/>
                <w:rtl w:val="true"/>
              </w:rPr>
              <w:t>ما هو طلاق البدعة ؟</w:t>
            </w:r>
            <w:r>
              <w:rPr>
                <w:rStyle w:val="IndexLink"/>
                <w:rtl w:val="true"/>
              </w:rPr>
              <w:tab/>
            </w:r>
            <w:r>
              <w:rPr>
                <w:rStyle w:val="IndexLink"/>
              </w:rPr>
              <w:t>479</w:t>
            </w:r>
          </w:hyperlink>
        </w:p>
        <w:p>
          <w:pPr>
            <w:pStyle w:val="Contents3"/>
            <w:tabs>
              <w:tab w:val="clear" w:pos="8459"/>
              <w:tab w:val="right" w:pos="9026" w:leader="dot"/>
            </w:tabs>
            <w:rPr/>
          </w:pPr>
          <w:hyperlink w:anchor="__RefHeading___Toc364322_581953129">
            <w:r>
              <w:rPr>
                <w:webHidden/>
                <w:rStyle w:val="IndexLink"/>
                <w:rtl w:val="true"/>
              </w:rPr>
              <w:t>صحّة البدعة فی فقه السنّة</w:t>
            </w:r>
            <w:r>
              <w:rPr>
                <w:rStyle w:val="IndexLink"/>
                <w:rtl w:val="true"/>
              </w:rPr>
              <w:tab/>
            </w:r>
            <w:r>
              <w:rPr>
                <w:rStyle w:val="IndexLink"/>
              </w:rPr>
              <w:t>479</w:t>
            </w:r>
          </w:hyperlink>
        </w:p>
        <w:p>
          <w:pPr>
            <w:pStyle w:val="Contents3"/>
            <w:tabs>
              <w:tab w:val="clear" w:pos="8459"/>
              <w:tab w:val="right" w:pos="9026" w:leader="dot"/>
            </w:tabs>
            <w:rPr/>
          </w:pPr>
          <w:hyperlink w:anchor="__RefHeading___Toc364324_581953129">
            <w:r>
              <w:rPr>
                <w:webHidden/>
                <w:rStyle w:val="IndexLink"/>
                <w:rtl w:val="true"/>
              </w:rPr>
              <w:t>بطلان البدعة فی فقه السنّة</w:t>
            </w:r>
            <w:r>
              <w:rPr>
                <w:rStyle w:val="IndexLink"/>
                <w:rtl w:val="true"/>
              </w:rPr>
              <w:tab/>
            </w:r>
            <w:r>
              <w:rPr>
                <w:rStyle w:val="IndexLink"/>
              </w:rPr>
              <w:t>480</w:t>
            </w:r>
          </w:hyperlink>
        </w:p>
        <w:p>
          <w:pPr>
            <w:pStyle w:val="Contents3"/>
            <w:tabs>
              <w:tab w:val="clear" w:pos="8459"/>
              <w:tab w:val="right" w:pos="9026" w:leader="dot"/>
            </w:tabs>
            <w:rPr/>
          </w:pPr>
          <w:hyperlink w:anchor="__RefHeading___Toc364326_581953129">
            <w:r>
              <w:rPr>
                <w:webHidden/>
                <w:rStyle w:val="IndexLink"/>
                <w:rtl w:val="true"/>
              </w:rPr>
              <w:t>البدعة منکرة فی فقه أهل البیت علیهم السلام</w:t>
            </w:r>
            <w:r>
              <w:rPr>
                <w:rStyle w:val="IndexLink"/>
                <w:rtl w:val="true"/>
              </w:rPr>
              <w:tab/>
            </w:r>
            <w:r>
              <w:rPr>
                <w:rStyle w:val="IndexLink"/>
              </w:rPr>
              <w:t>481</w:t>
            </w:r>
          </w:hyperlink>
        </w:p>
        <w:p>
          <w:pPr>
            <w:pStyle w:val="Contents3"/>
            <w:tabs>
              <w:tab w:val="clear" w:pos="8459"/>
              <w:tab w:val="right" w:pos="9026" w:leader="dot"/>
            </w:tabs>
            <w:rPr/>
          </w:pPr>
          <w:hyperlink w:anchor="__RefHeading___Toc364328_581953129">
            <w:r>
              <w:rPr>
                <w:webHidden/>
                <w:rStyle w:val="IndexLink"/>
                <w:rtl w:val="true"/>
              </w:rPr>
              <w:t>الخلاصة</w:t>
            </w:r>
            <w:r>
              <w:rPr>
                <w:rStyle w:val="IndexLink"/>
                <w:rtl w:val="true"/>
              </w:rPr>
              <w:tab/>
            </w:r>
            <w:r>
              <w:rPr>
                <w:rStyle w:val="IndexLink"/>
              </w:rPr>
              <w:t>483</w:t>
            </w:r>
          </w:hyperlink>
        </w:p>
        <w:p>
          <w:pPr>
            <w:pStyle w:val="Contents3"/>
            <w:tabs>
              <w:tab w:val="clear" w:pos="8459"/>
              <w:tab w:val="right" w:pos="9026" w:leader="dot"/>
            </w:tabs>
            <w:rPr/>
          </w:pPr>
          <w:hyperlink w:anchor="__RefHeading___Toc364330_581953129">
            <w:r>
              <w:rPr>
                <w:webHidden/>
                <w:rStyle w:val="IndexLink"/>
                <w:rtl w:val="true"/>
              </w:rPr>
              <w:t>الأسئلة</w:t>
            </w:r>
            <w:r>
              <w:rPr>
                <w:rStyle w:val="IndexLink"/>
                <w:rtl w:val="true"/>
              </w:rPr>
              <w:tab/>
            </w:r>
            <w:r>
              <w:rPr>
                <w:rStyle w:val="IndexLink"/>
              </w:rPr>
              <w:t>484</w:t>
            </w:r>
          </w:hyperlink>
        </w:p>
        <w:p>
          <w:pPr>
            <w:pStyle w:val="Contents2"/>
            <w:tabs>
              <w:tab w:val="clear" w:pos="8743"/>
              <w:tab w:val="right" w:pos="9026" w:leader="dot"/>
            </w:tabs>
            <w:rPr/>
          </w:pPr>
          <w:hyperlink w:anchor="__RefHeading___Toc364332_581953129">
            <w:r>
              <w:rPr>
                <w:webHidden/>
                <w:rStyle w:val="IndexLink"/>
              </w:rPr>
              <w:t>37</w:t>
            </w:r>
            <w:r>
              <w:rPr>
                <w:rStyle w:val="IndexLink"/>
                <w:rtl w:val="true"/>
              </w:rPr>
              <w:t xml:space="preserve">- </w:t>
            </w:r>
            <w:r>
              <w:rPr>
                <w:rStyle w:val="IndexLink"/>
                <w:rtl w:val="true"/>
              </w:rPr>
              <w:t>المیراث</w:t>
            </w:r>
            <w:r>
              <w:rPr>
                <w:rStyle w:val="IndexLink"/>
                <w:rtl w:val="true"/>
              </w:rPr>
              <w:tab/>
            </w:r>
            <w:r>
              <w:rPr>
                <w:rStyle w:val="IndexLink"/>
              </w:rPr>
              <w:t>485</w:t>
            </w:r>
          </w:hyperlink>
        </w:p>
        <w:p>
          <w:pPr>
            <w:pStyle w:val="Contents3"/>
            <w:tabs>
              <w:tab w:val="clear" w:pos="8459"/>
              <w:tab w:val="right" w:pos="9026" w:leader="dot"/>
            </w:tabs>
            <w:rPr/>
          </w:pPr>
          <w:hyperlink w:anchor="__RefHeading___Toc364334_581953129">
            <w:r>
              <w:rPr>
                <w:webHidden/>
                <w:rStyle w:val="IndexLink"/>
                <w:rtl w:val="true"/>
              </w:rPr>
              <w:t>المیراث بالتعصیب</w:t>
            </w:r>
            <w:r>
              <w:rPr>
                <w:rStyle w:val="IndexLink"/>
                <w:rtl w:val="true"/>
              </w:rPr>
              <w:tab/>
            </w:r>
            <w:r>
              <w:rPr>
                <w:rStyle w:val="IndexLink"/>
              </w:rPr>
              <w:t>485</w:t>
            </w:r>
          </w:hyperlink>
        </w:p>
        <w:p>
          <w:pPr>
            <w:pStyle w:val="Contents4"/>
            <w:tabs>
              <w:tab w:val="clear" w:pos="8176"/>
              <w:tab w:val="right" w:pos="9026" w:leader="dot"/>
            </w:tabs>
            <w:rPr/>
          </w:pPr>
          <w:hyperlink w:anchor="__RefHeading___Toc364336_581953129">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364338_581953129">
            <w:r>
              <w:rPr>
                <w:webHidden/>
                <w:rStyle w:val="IndexLink"/>
                <w:rtl w:val="true"/>
              </w:rPr>
              <w:t>المذهب الجعفری</w:t>
            </w:r>
            <w:r>
              <w:rPr>
                <w:rStyle w:val="IndexLink"/>
                <w:rtl w:val="true"/>
              </w:rPr>
              <w:tab/>
            </w:r>
            <w:r>
              <w:rPr>
                <w:rStyle w:val="IndexLink"/>
              </w:rPr>
              <w:t>485</w:t>
            </w:r>
          </w:hyperlink>
        </w:p>
        <w:p>
          <w:pPr>
            <w:pStyle w:val="Contents4"/>
            <w:tabs>
              <w:tab w:val="clear" w:pos="8176"/>
              <w:tab w:val="right" w:pos="9026" w:leader="dot"/>
            </w:tabs>
            <w:rPr/>
          </w:pPr>
          <w:hyperlink w:anchor="__RefHeading___Toc364340_581953129">
            <w:r>
              <w:rPr>
                <w:webHidden/>
                <w:rStyle w:val="IndexLink"/>
                <w:rtl w:val="true"/>
              </w:rPr>
              <w:t>المذاهب الأربعة</w:t>
            </w:r>
            <w:r>
              <w:rPr>
                <w:rStyle w:val="IndexLink"/>
                <w:rtl w:val="true"/>
              </w:rPr>
              <w:tab/>
            </w:r>
            <w:r>
              <w:rPr>
                <w:rStyle w:val="IndexLink"/>
              </w:rPr>
              <w:t>487</w:t>
            </w:r>
          </w:hyperlink>
        </w:p>
        <w:p>
          <w:pPr>
            <w:pStyle w:val="Contents4"/>
            <w:tabs>
              <w:tab w:val="clear" w:pos="8176"/>
              <w:tab w:val="right" w:pos="9026" w:leader="dot"/>
            </w:tabs>
            <w:rPr/>
          </w:pPr>
          <w:hyperlink w:anchor="__RefHeading___Toc364342_581953129">
            <w:r>
              <w:rPr>
                <w:webHidden/>
                <w:rStyle w:val="IndexLink"/>
                <w:rtl w:val="true"/>
              </w:rPr>
              <w:t>منشأ الاختلاف</w:t>
            </w:r>
            <w:r>
              <w:rPr>
                <w:rStyle w:val="IndexLink"/>
                <w:rtl w:val="true"/>
              </w:rPr>
              <w:tab/>
            </w:r>
            <w:r>
              <w:rPr>
                <w:rStyle w:val="IndexLink"/>
              </w:rPr>
              <w:t>488</w:t>
            </w:r>
          </w:hyperlink>
        </w:p>
        <w:p>
          <w:pPr>
            <w:pStyle w:val="Contents3"/>
            <w:tabs>
              <w:tab w:val="clear" w:pos="8459"/>
              <w:tab w:val="right" w:pos="9026" w:leader="dot"/>
            </w:tabs>
            <w:rPr/>
          </w:pPr>
          <w:hyperlink w:anchor="__RefHeading___Toc364344_581953129">
            <w:r>
              <w:rPr>
                <w:webHidden/>
                <w:rStyle w:val="IndexLink"/>
                <w:rtl w:val="true"/>
              </w:rPr>
              <w:t>العول</w:t>
            </w:r>
            <w:r>
              <w:rPr>
                <w:rStyle w:val="IndexLink"/>
                <w:rtl w:val="true"/>
              </w:rPr>
              <w:tab/>
            </w:r>
            <w:r>
              <w:rPr>
                <w:rStyle w:val="IndexLink"/>
              </w:rPr>
              <w:t>489</w:t>
            </w:r>
          </w:hyperlink>
        </w:p>
        <w:p>
          <w:pPr>
            <w:pStyle w:val="Contents4"/>
            <w:tabs>
              <w:tab w:val="clear" w:pos="8176"/>
              <w:tab w:val="right" w:pos="9026" w:leader="dot"/>
            </w:tabs>
            <w:rPr/>
          </w:pPr>
          <w:hyperlink w:anchor="__RefHeading___Toc364346_581953129">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364348_581953129">
            <w:r>
              <w:rPr>
                <w:webHidden/>
                <w:rStyle w:val="IndexLink"/>
                <w:rtl w:val="true"/>
              </w:rPr>
              <w:t>المذهب الجعفری</w:t>
            </w:r>
            <w:r>
              <w:rPr>
                <w:rStyle w:val="IndexLink"/>
                <w:rtl w:val="true"/>
              </w:rPr>
              <w:tab/>
            </w:r>
            <w:r>
              <w:rPr>
                <w:rStyle w:val="IndexLink"/>
              </w:rPr>
              <w:t>489</w:t>
            </w:r>
          </w:hyperlink>
        </w:p>
        <w:p>
          <w:pPr>
            <w:pStyle w:val="Contents4"/>
            <w:tabs>
              <w:tab w:val="clear" w:pos="8176"/>
              <w:tab w:val="right" w:pos="9026" w:leader="dot"/>
            </w:tabs>
            <w:rPr/>
          </w:pPr>
          <w:hyperlink w:anchor="__RefHeading___Toc364350_581953129">
            <w:r>
              <w:rPr>
                <w:webHidden/>
                <w:rStyle w:val="IndexLink"/>
                <w:rtl w:val="true"/>
              </w:rPr>
              <w:t>المذاهب الأربعة</w:t>
            </w:r>
            <w:r>
              <w:rPr>
                <w:rStyle w:val="IndexLink"/>
                <w:rtl w:val="true"/>
              </w:rPr>
              <w:tab/>
            </w:r>
            <w:r>
              <w:rPr>
                <w:rStyle w:val="IndexLink"/>
              </w:rPr>
              <w:t>491</w:t>
            </w:r>
          </w:hyperlink>
        </w:p>
        <w:p>
          <w:pPr>
            <w:pStyle w:val="Contents4"/>
            <w:tabs>
              <w:tab w:val="clear" w:pos="8176"/>
              <w:tab w:val="right" w:pos="9026" w:leader="dot"/>
            </w:tabs>
            <w:rPr/>
          </w:pPr>
          <w:hyperlink w:anchor="__RefHeading___Toc364352_581953129">
            <w:r>
              <w:rPr>
                <w:webHidden/>
                <w:rStyle w:val="IndexLink"/>
                <w:rtl w:val="true"/>
              </w:rPr>
              <w:t>منشأ الاختلاف</w:t>
            </w:r>
            <w:r>
              <w:rPr>
                <w:rStyle w:val="IndexLink"/>
                <w:rtl w:val="true"/>
              </w:rPr>
              <w:tab/>
            </w:r>
            <w:r>
              <w:rPr>
                <w:rStyle w:val="IndexLink"/>
              </w:rPr>
              <w:t>493</w:t>
            </w:r>
          </w:hyperlink>
        </w:p>
        <w:p>
          <w:pPr>
            <w:pStyle w:val="Contents3"/>
            <w:tabs>
              <w:tab w:val="clear" w:pos="8459"/>
              <w:tab w:val="right" w:pos="9026" w:leader="dot"/>
            </w:tabs>
            <w:rPr/>
          </w:pPr>
          <w:hyperlink w:anchor="__RefHeading___Toc364354_581953129">
            <w:r>
              <w:rPr>
                <w:webHidden/>
                <w:rStyle w:val="IndexLink"/>
                <w:rtl w:val="true"/>
              </w:rPr>
              <w:t>الأحکام</w:t>
            </w:r>
            <w:r>
              <w:rPr>
                <w:rStyle w:val="IndexLink"/>
                <w:rtl w:val="true"/>
              </w:rPr>
              <w:tab/>
            </w:r>
            <w:r>
              <w:rPr>
                <w:rStyle w:val="IndexLink"/>
              </w:rPr>
              <w:t>493</w:t>
            </w:r>
          </w:hyperlink>
        </w:p>
        <w:p>
          <w:pPr>
            <w:pStyle w:val="Contents4"/>
            <w:tabs>
              <w:tab w:val="clear" w:pos="8176"/>
              <w:tab w:val="right" w:pos="9026" w:leader="dot"/>
            </w:tabs>
            <w:rPr/>
          </w:pPr>
          <w:hyperlink w:anchor="__RefHeading___Toc364356_581953129">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364358_581953129">
            <w:r>
              <w:rPr>
                <w:webHidden/>
                <w:rStyle w:val="IndexLink"/>
                <w:rtl w:val="true"/>
              </w:rPr>
              <w:t>منشأ الاختلاف</w:t>
            </w:r>
            <w:r>
              <w:rPr>
                <w:rStyle w:val="IndexLink"/>
                <w:rtl w:val="true"/>
              </w:rPr>
              <w:tab/>
            </w:r>
            <w:r>
              <w:rPr>
                <w:rStyle w:val="IndexLink"/>
              </w:rPr>
              <w:t>498</w:t>
            </w:r>
          </w:hyperlink>
        </w:p>
        <w:p>
          <w:pPr>
            <w:pStyle w:val="Contents3"/>
            <w:tabs>
              <w:tab w:val="clear" w:pos="8459"/>
              <w:tab w:val="right" w:pos="9026" w:leader="dot"/>
            </w:tabs>
            <w:rPr/>
          </w:pPr>
          <w:hyperlink w:anchor="__RefHeading___Toc364360_581953129">
            <w:r>
              <w:rPr>
                <w:webHidden/>
                <w:rStyle w:val="IndexLink"/>
                <w:rtl w:val="true"/>
              </w:rPr>
              <w:t>الخلاصة</w:t>
            </w:r>
            <w:r>
              <w:rPr>
                <w:rStyle w:val="IndexLink"/>
                <w:rtl w:val="true"/>
              </w:rPr>
              <w:tab/>
            </w:r>
            <w:r>
              <w:rPr>
                <w:rStyle w:val="IndexLink"/>
              </w:rPr>
              <w:t>499</w:t>
            </w:r>
          </w:hyperlink>
        </w:p>
        <w:p>
          <w:pPr>
            <w:pStyle w:val="Contents3"/>
            <w:tabs>
              <w:tab w:val="clear" w:pos="8459"/>
              <w:tab w:val="right" w:pos="9026" w:leader="dot"/>
            </w:tabs>
            <w:rPr/>
          </w:pPr>
          <w:hyperlink w:anchor="__RefHeading___Toc364362_581953129">
            <w:r>
              <w:rPr>
                <w:webHidden/>
                <w:rStyle w:val="IndexLink"/>
                <w:rtl w:val="true"/>
              </w:rPr>
              <w:t>الأسئلة</w:t>
            </w:r>
            <w:r>
              <w:rPr>
                <w:rStyle w:val="IndexLink"/>
                <w:rtl w:val="true"/>
              </w:rPr>
              <w:tab/>
            </w:r>
            <w:r>
              <w:rPr>
                <w:rStyle w:val="IndexLink"/>
              </w:rPr>
              <w:t>500</w:t>
            </w:r>
          </w:hyperlink>
        </w:p>
        <w:p>
          <w:pPr>
            <w:pStyle w:val="Contents2"/>
            <w:tabs>
              <w:tab w:val="clear" w:pos="8743"/>
              <w:tab w:val="right" w:pos="9026" w:leader="dot"/>
            </w:tabs>
            <w:rPr/>
          </w:pPr>
          <w:hyperlink w:anchor="__RefHeading___Toc364364_581953129">
            <w:r>
              <w:rPr>
                <w:webHidden/>
                <w:rStyle w:val="IndexLink"/>
              </w:rPr>
              <w:t>38</w:t>
            </w:r>
            <w:r>
              <w:rPr>
                <w:rStyle w:val="IndexLink"/>
                <w:rtl w:val="true"/>
              </w:rPr>
              <w:t xml:space="preserve">- </w:t>
            </w:r>
            <w:r>
              <w:rPr>
                <w:rStyle w:val="IndexLink"/>
                <w:rtl w:val="true"/>
              </w:rPr>
              <w:t>حوار حول التعصیب</w:t>
            </w:r>
            <w:r>
              <w:rPr>
                <w:rStyle w:val="IndexLink"/>
                <w:rtl w:val="true"/>
              </w:rPr>
              <w:tab/>
            </w:r>
            <w:r>
              <w:rPr>
                <w:rStyle w:val="IndexLink"/>
              </w:rPr>
              <w:t>501</w:t>
            </w:r>
          </w:hyperlink>
        </w:p>
        <w:p>
          <w:pPr>
            <w:pStyle w:val="Contents3"/>
            <w:tabs>
              <w:tab w:val="clear" w:pos="8459"/>
              <w:tab w:val="right" w:pos="9026" w:leader="dot"/>
            </w:tabs>
            <w:rPr/>
          </w:pPr>
          <w:hyperlink w:anchor="__RefHeading___Toc364366_581953129">
            <w:r>
              <w:rPr>
                <w:webHidden/>
                <w:rStyle w:val="IndexLink"/>
                <w:rtl w:val="true"/>
              </w:rPr>
              <w:t>الاستدلال علی اثبات التعصیب</w:t>
            </w:r>
            <w:r>
              <w:rPr>
                <w:rStyle w:val="IndexLink"/>
                <w:rtl w:val="true"/>
              </w:rPr>
              <w:tab/>
            </w:r>
            <w:r>
              <w:rPr>
                <w:rStyle w:val="IndexLink"/>
              </w:rPr>
              <w:t>501</w:t>
            </w:r>
          </w:hyperlink>
        </w:p>
        <w:p>
          <w:pPr>
            <w:pStyle w:val="Contents3"/>
            <w:tabs>
              <w:tab w:val="clear" w:pos="8459"/>
              <w:tab w:val="right" w:pos="9026" w:leader="dot"/>
            </w:tabs>
            <w:rPr/>
          </w:pPr>
          <w:hyperlink w:anchor="__RefHeading___Toc364368_581953129">
            <w:r>
              <w:rPr>
                <w:webHidden/>
                <w:rStyle w:val="IndexLink"/>
                <w:rtl w:val="true"/>
              </w:rPr>
              <w:t>التعصیب یوجب آثار السلبیة الفاسدة</w:t>
            </w:r>
            <w:r>
              <w:rPr>
                <w:rStyle w:val="IndexLink"/>
                <w:rtl w:val="true"/>
              </w:rPr>
              <w:tab/>
            </w:r>
            <w:r>
              <w:rPr>
                <w:rStyle w:val="IndexLink"/>
              </w:rPr>
              <w:t>505</w:t>
            </w:r>
          </w:hyperlink>
        </w:p>
        <w:p>
          <w:pPr>
            <w:pStyle w:val="Contents3"/>
            <w:tabs>
              <w:tab w:val="clear" w:pos="8459"/>
              <w:tab w:val="right" w:pos="9026" w:leader="dot"/>
            </w:tabs>
            <w:rPr/>
          </w:pPr>
          <w:hyperlink w:anchor="__RefHeading___Toc364370_581953129">
            <w:r>
              <w:rPr>
                <w:webHidden/>
                <w:rStyle w:val="IndexLink"/>
                <w:rtl w:val="true"/>
              </w:rPr>
              <w:t>النصوص القرآنیة وبطلان التعصیب</w:t>
            </w:r>
            <w:r>
              <w:rPr>
                <w:rStyle w:val="IndexLink"/>
                <w:rtl w:val="true"/>
              </w:rPr>
              <w:tab/>
            </w:r>
            <w:r>
              <w:rPr>
                <w:rStyle w:val="IndexLink"/>
              </w:rPr>
              <w:t>506</w:t>
            </w:r>
          </w:hyperlink>
        </w:p>
        <w:p>
          <w:pPr>
            <w:pStyle w:val="Contents3"/>
            <w:tabs>
              <w:tab w:val="clear" w:pos="8459"/>
              <w:tab w:val="right" w:pos="9026" w:leader="dot"/>
            </w:tabs>
            <w:rPr/>
          </w:pPr>
          <w:hyperlink w:anchor="__RefHeading___Toc364372_581953129">
            <w:r>
              <w:rPr>
                <w:webHidden/>
                <w:rStyle w:val="IndexLink"/>
                <w:rtl w:val="true"/>
              </w:rPr>
              <w:t>السنة الشریفة وبطلان التعصیب</w:t>
            </w:r>
            <w:r>
              <w:rPr>
                <w:rStyle w:val="IndexLink"/>
                <w:rtl w:val="true"/>
              </w:rPr>
              <w:tab/>
            </w:r>
            <w:r>
              <w:rPr>
                <w:rStyle w:val="IndexLink"/>
              </w:rPr>
              <w:t>508</w:t>
            </w:r>
          </w:hyperlink>
        </w:p>
        <w:p>
          <w:pPr>
            <w:pStyle w:val="Contents3"/>
            <w:tabs>
              <w:tab w:val="clear" w:pos="8459"/>
              <w:tab w:val="right" w:pos="9026" w:leader="dot"/>
            </w:tabs>
            <w:rPr/>
          </w:pPr>
          <w:hyperlink w:anchor="__RefHeading___Toc364374_581953129">
            <w:r>
              <w:rPr>
                <w:webHidden/>
                <w:rStyle w:val="IndexLink"/>
                <w:rtl w:val="true"/>
              </w:rPr>
              <w:t>الخلاصة</w:t>
            </w:r>
            <w:r>
              <w:rPr>
                <w:rStyle w:val="IndexLink"/>
                <w:rtl w:val="true"/>
              </w:rPr>
              <w:tab/>
            </w:r>
            <w:r>
              <w:rPr>
                <w:rStyle w:val="IndexLink"/>
              </w:rPr>
              <w:t>510</w:t>
            </w:r>
          </w:hyperlink>
        </w:p>
        <w:p>
          <w:pPr>
            <w:pStyle w:val="Contents3"/>
            <w:tabs>
              <w:tab w:val="clear" w:pos="8459"/>
              <w:tab w:val="right" w:pos="9026" w:leader="dot"/>
            </w:tabs>
            <w:rPr/>
          </w:pPr>
          <w:hyperlink w:anchor="__RefHeading___Toc364376_581953129">
            <w:r>
              <w:rPr>
                <w:webHidden/>
                <w:rStyle w:val="IndexLink"/>
                <w:rtl w:val="true"/>
              </w:rPr>
              <w:t>الأسئلة</w:t>
            </w:r>
            <w:r>
              <w:rPr>
                <w:rStyle w:val="IndexLink"/>
                <w:rtl w:val="true"/>
              </w:rPr>
              <w:tab/>
            </w:r>
            <w:r>
              <w:rPr>
                <w:rStyle w:val="IndexLink"/>
              </w:rPr>
              <w:t>511</w:t>
            </w:r>
          </w:hyperlink>
        </w:p>
        <w:p>
          <w:pPr>
            <w:pStyle w:val="Contents2"/>
            <w:tabs>
              <w:tab w:val="clear" w:pos="8743"/>
              <w:tab w:val="right" w:pos="9026" w:leader="dot"/>
            </w:tabs>
            <w:rPr/>
          </w:pPr>
          <w:hyperlink w:anchor="__RefHeading___Toc364378_581953129">
            <w:r>
              <w:rPr>
                <w:webHidden/>
                <w:rStyle w:val="IndexLink"/>
              </w:rPr>
              <w:t>39</w:t>
            </w:r>
            <w:r>
              <w:rPr>
                <w:rStyle w:val="IndexLink"/>
                <w:rtl w:val="true"/>
              </w:rPr>
              <w:t xml:space="preserve">- </w:t>
            </w:r>
            <w:r>
              <w:rPr>
                <w:rStyle w:val="IndexLink"/>
                <w:rtl w:val="true"/>
              </w:rPr>
              <w:t>الوصیة</w:t>
            </w:r>
            <w:r>
              <w:rPr>
                <w:rStyle w:val="IndexLink"/>
                <w:rtl w:val="true"/>
              </w:rPr>
              <w:tab/>
            </w:r>
            <w:r>
              <w:rPr>
                <w:rStyle w:val="IndexLink"/>
              </w:rPr>
              <w:t>512</w:t>
            </w:r>
          </w:hyperlink>
        </w:p>
        <w:p>
          <w:pPr>
            <w:pStyle w:val="Contents3"/>
            <w:tabs>
              <w:tab w:val="clear" w:pos="8459"/>
              <w:tab w:val="right" w:pos="9026" w:leader="dot"/>
            </w:tabs>
            <w:rPr/>
          </w:pPr>
          <w:hyperlink w:anchor="__RefHeading___Toc364380_581953129">
            <w:r>
              <w:rPr>
                <w:webHidden/>
                <w:rStyle w:val="IndexLink"/>
                <w:rtl w:val="true"/>
              </w:rPr>
              <w:t>اشتراط القبول فی الوصیة</w:t>
            </w:r>
            <w:r>
              <w:rPr>
                <w:rStyle w:val="IndexLink"/>
                <w:rtl w:val="true"/>
              </w:rPr>
              <w:tab/>
            </w:r>
            <w:r>
              <w:rPr>
                <w:rStyle w:val="IndexLink"/>
              </w:rPr>
              <w:t>512</w:t>
            </w:r>
          </w:hyperlink>
        </w:p>
        <w:p>
          <w:pPr>
            <w:pStyle w:val="Contents4"/>
            <w:tabs>
              <w:tab w:val="clear" w:pos="8176"/>
              <w:tab w:val="right" w:pos="9026" w:leader="dot"/>
            </w:tabs>
            <w:rPr/>
          </w:pPr>
          <w:hyperlink w:anchor="__RefHeading___Toc364382_581953129">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364384_581953129">
            <w:r>
              <w:rPr>
                <w:webHidden/>
                <w:rStyle w:val="IndexLink"/>
                <w:rtl w:val="true"/>
              </w:rPr>
              <w:t>المذاهب الأربعة</w:t>
            </w:r>
            <w:r>
              <w:rPr>
                <w:rStyle w:val="IndexLink"/>
                <w:rtl w:val="true"/>
              </w:rPr>
              <w:tab/>
            </w:r>
            <w:r>
              <w:rPr>
                <w:rStyle w:val="IndexLink"/>
              </w:rPr>
              <w:t>513</w:t>
            </w:r>
          </w:hyperlink>
        </w:p>
        <w:p>
          <w:pPr>
            <w:pStyle w:val="Contents3"/>
            <w:tabs>
              <w:tab w:val="clear" w:pos="8459"/>
              <w:tab w:val="right" w:pos="9026" w:leader="dot"/>
            </w:tabs>
            <w:rPr/>
          </w:pPr>
          <w:hyperlink w:anchor="__RefHeading___Toc364386_581953129">
            <w:r>
              <w:rPr>
                <w:webHidden/>
                <w:rStyle w:val="IndexLink"/>
                <w:rtl w:val="true"/>
              </w:rPr>
              <w:t>ما یتصل بأحوال المیت الشخصیة</w:t>
            </w:r>
            <w:r>
              <w:rPr>
                <w:rStyle w:val="IndexLink"/>
                <w:rtl w:val="true"/>
              </w:rPr>
              <w:tab/>
            </w:r>
            <w:r>
              <w:rPr>
                <w:rStyle w:val="IndexLink"/>
              </w:rPr>
              <w:t>513</w:t>
            </w:r>
          </w:hyperlink>
        </w:p>
        <w:p>
          <w:pPr>
            <w:pStyle w:val="Contents3"/>
            <w:tabs>
              <w:tab w:val="clear" w:pos="8459"/>
              <w:tab w:val="right" w:pos="9026" w:leader="dot"/>
            </w:tabs>
            <w:rPr/>
          </w:pPr>
          <w:hyperlink w:anchor="__RefHeading___Toc364388_581953129">
            <w:r>
              <w:rPr>
                <w:webHidden/>
                <w:rStyle w:val="IndexLink"/>
                <w:rtl w:val="true"/>
              </w:rPr>
              <w:t>البناء علی القبور</w:t>
            </w:r>
            <w:r>
              <w:rPr>
                <w:rStyle w:val="IndexLink"/>
                <w:rtl w:val="true"/>
              </w:rPr>
              <w:tab/>
            </w:r>
            <w:r>
              <w:rPr>
                <w:rStyle w:val="IndexLink"/>
              </w:rPr>
              <w:t>514</w:t>
            </w:r>
          </w:hyperlink>
        </w:p>
        <w:p>
          <w:pPr>
            <w:pStyle w:val="Contents3"/>
            <w:tabs>
              <w:tab w:val="clear" w:pos="8459"/>
              <w:tab w:val="right" w:pos="9026" w:leader="dot"/>
            </w:tabs>
            <w:rPr/>
          </w:pPr>
          <w:hyperlink w:anchor="__RefHeading___Toc364390_581953129">
            <w:r>
              <w:rPr>
                <w:webHidden/>
                <w:rStyle w:val="IndexLink"/>
                <w:rtl w:val="true"/>
              </w:rPr>
              <w:t>البکاء علی المیت</w:t>
            </w:r>
            <w:r>
              <w:rPr>
                <w:rStyle w:val="IndexLink"/>
                <w:rtl w:val="true"/>
              </w:rPr>
              <w:tab/>
            </w:r>
            <w:r>
              <w:rPr>
                <w:rStyle w:val="IndexLink"/>
              </w:rPr>
              <w:t>514</w:t>
            </w:r>
          </w:hyperlink>
        </w:p>
        <w:p>
          <w:pPr>
            <w:pStyle w:val="Contents3"/>
            <w:tabs>
              <w:tab w:val="clear" w:pos="8459"/>
              <w:tab w:val="right" w:pos="9026" w:leader="dot"/>
            </w:tabs>
            <w:rPr/>
          </w:pPr>
          <w:hyperlink w:anchor="__RefHeading___Toc364392_581953129">
            <w:r>
              <w:rPr>
                <w:webHidden/>
                <w:rStyle w:val="IndexLink"/>
                <w:rtl w:val="true"/>
              </w:rPr>
              <w:t>النوح و النیاحة</w:t>
            </w:r>
            <w:r>
              <w:rPr>
                <w:rStyle w:val="IndexLink"/>
                <w:rtl w:val="true"/>
              </w:rPr>
              <w:tab/>
            </w:r>
            <w:r>
              <w:rPr>
                <w:rStyle w:val="IndexLink"/>
              </w:rPr>
              <w:t>516</w:t>
            </w:r>
          </w:hyperlink>
        </w:p>
        <w:p>
          <w:pPr>
            <w:pStyle w:val="Contents3"/>
            <w:tabs>
              <w:tab w:val="clear" w:pos="8459"/>
              <w:tab w:val="right" w:pos="9026" w:leader="dot"/>
            </w:tabs>
            <w:rPr/>
          </w:pPr>
          <w:hyperlink w:anchor="__RefHeading___Toc364394_581953129">
            <w:r>
              <w:rPr>
                <w:webHidden/>
                <w:rStyle w:val="IndexLink"/>
                <w:rtl w:val="true"/>
              </w:rPr>
              <w:t>التوسل إلی قبور الصلحاء</w:t>
            </w:r>
            <w:r>
              <w:rPr>
                <w:rStyle w:val="IndexLink"/>
                <w:rtl w:val="true"/>
              </w:rPr>
              <w:tab/>
            </w:r>
            <w:r>
              <w:rPr>
                <w:rStyle w:val="IndexLink"/>
              </w:rPr>
              <w:t>517</w:t>
            </w:r>
          </w:hyperlink>
        </w:p>
        <w:p>
          <w:pPr>
            <w:pStyle w:val="Contents3"/>
            <w:tabs>
              <w:tab w:val="clear" w:pos="8459"/>
              <w:tab w:val="right" w:pos="9026" w:leader="dot"/>
            </w:tabs>
            <w:rPr/>
          </w:pPr>
          <w:hyperlink w:anchor="__RefHeading___Toc364396_581953129">
            <w:r>
              <w:rPr>
                <w:webHidden/>
                <w:rStyle w:val="IndexLink"/>
                <w:rtl w:val="true"/>
              </w:rPr>
              <w:t>تلقین المیت</w:t>
            </w:r>
            <w:r>
              <w:rPr>
                <w:rStyle w:val="IndexLink"/>
                <w:rtl w:val="true"/>
              </w:rPr>
              <w:tab/>
            </w:r>
            <w:r>
              <w:rPr>
                <w:rStyle w:val="IndexLink"/>
              </w:rPr>
              <w:t>517</w:t>
            </w:r>
          </w:hyperlink>
        </w:p>
        <w:p>
          <w:pPr>
            <w:pStyle w:val="Contents3"/>
            <w:tabs>
              <w:tab w:val="clear" w:pos="8459"/>
              <w:tab w:val="right" w:pos="9026" w:leader="dot"/>
            </w:tabs>
            <w:rPr/>
          </w:pPr>
          <w:hyperlink w:anchor="__RefHeading___Toc364398_581953129">
            <w:r>
              <w:rPr>
                <w:webHidden/>
                <w:rStyle w:val="IndexLink"/>
                <w:rtl w:val="true"/>
              </w:rPr>
              <w:t>زیارت القبور</w:t>
            </w:r>
            <w:r>
              <w:rPr>
                <w:rStyle w:val="IndexLink"/>
                <w:rtl w:val="true"/>
              </w:rPr>
              <w:tab/>
            </w:r>
            <w:r>
              <w:rPr>
                <w:rStyle w:val="IndexLink"/>
              </w:rPr>
              <w:t>518</w:t>
            </w:r>
          </w:hyperlink>
        </w:p>
        <w:p>
          <w:pPr>
            <w:pStyle w:val="Contents3"/>
            <w:tabs>
              <w:tab w:val="clear" w:pos="8459"/>
              <w:tab w:val="right" w:pos="9026" w:leader="dot"/>
            </w:tabs>
            <w:rPr/>
          </w:pPr>
          <w:hyperlink w:anchor="__RefHeading___Toc364400_581953129">
            <w:r>
              <w:rPr>
                <w:webHidden/>
                <w:rStyle w:val="IndexLink"/>
                <w:rtl w:val="true"/>
              </w:rPr>
              <w:t>تعزیة المصاب</w:t>
            </w:r>
            <w:r>
              <w:rPr>
                <w:rStyle w:val="IndexLink"/>
                <w:rtl w:val="true"/>
              </w:rPr>
              <w:tab/>
            </w:r>
            <w:r>
              <w:rPr>
                <w:rStyle w:val="IndexLink"/>
              </w:rPr>
              <w:t>519</w:t>
            </w:r>
          </w:hyperlink>
        </w:p>
        <w:p>
          <w:pPr>
            <w:pStyle w:val="Contents3"/>
            <w:tabs>
              <w:tab w:val="clear" w:pos="8459"/>
              <w:tab w:val="right" w:pos="9026" w:leader="dot"/>
            </w:tabs>
            <w:rPr/>
          </w:pPr>
          <w:hyperlink w:anchor="__RefHeading___Toc364402_581953129">
            <w:r>
              <w:rPr>
                <w:webHidden/>
                <w:rStyle w:val="IndexLink"/>
                <w:rtl w:val="true"/>
              </w:rPr>
              <w:t>کم الجنین فی بطن امّه المیت</w:t>
            </w:r>
            <w:r>
              <w:rPr>
                <w:rStyle w:val="IndexLink"/>
                <w:rtl w:val="true"/>
              </w:rPr>
              <w:tab/>
            </w:r>
            <w:r>
              <w:rPr>
                <w:rStyle w:val="IndexLink"/>
              </w:rPr>
              <w:t>520</w:t>
            </w:r>
          </w:hyperlink>
        </w:p>
        <w:p>
          <w:pPr>
            <w:pStyle w:val="Contents4"/>
            <w:tabs>
              <w:tab w:val="clear" w:pos="8176"/>
              <w:tab w:val="right" w:pos="9026" w:leader="dot"/>
            </w:tabs>
            <w:rPr/>
          </w:pPr>
          <w:hyperlink w:anchor="__RefHeading___Toc364404_581953129">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364406_581953129">
            <w:r>
              <w:rPr>
                <w:webHidden/>
                <w:rStyle w:val="IndexLink"/>
                <w:rtl w:val="true"/>
              </w:rPr>
              <w:t>المذهب الجعفری</w:t>
            </w:r>
            <w:r>
              <w:rPr>
                <w:rStyle w:val="IndexLink"/>
                <w:rtl w:val="true"/>
              </w:rPr>
              <w:tab/>
            </w:r>
            <w:r>
              <w:rPr>
                <w:rStyle w:val="IndexLink"/>
              </w:rPr>
              <w:t>520</w:t>
            </w:r>
          </w:hyperlink>
        </w:p>
        <w:p>
          <w:pPr>
            <w:pStyle w:val="Contents4"/>
            <w:tabs>
              <w:tab w:val="clear" w:pos="8176"/>
              <w:tab w:val="right" w:pos="9026" w:leader="dot"/>
            </w:tabs>
            <w:rPr/>
          </w:pPr>
          <w:hyperlink w:anchor="__RefHeading___Toc364408_581953129">
            <w:r>
              <w:rPr>
                <w:webHidden/>
                <w:rStyle w:val="IndexLink"/>
                <w:rtl w:val="true"/>
              </w:rPr>
              <w:t>المذاهب الأربعة</w:t>
            </w:r>
            <w:r>
              <w:rPr>
                <w:rStyle w:val="IndexLink"/>
                <w:rtl w:val="true"/>
              </w:rPr>
              <w:tab/>
            </w:r>
            <w:r>
              <w:rPr>
                <w:rStyle w:val="IndexLink"/>
              </w:rPr>
              <w:t>521</w:t>
            </w:r>
          </w:hyperlink>
        </w:p>
        <w:p>
          <w:pPr>
            <w:pStyle w:val="Contents4"/>
            <w:tabs>
              <w:tab w:val="clear" w:pos="8176"/>
              <w:tab w:val="right" w:pos="9026" w:leader="dot"/>
            </w:tabs>
            <w:rPr/>
          </w:pPr>
          <w:hyperlink w:anchor="__RefHeading___Toc364410_581953129">
            <w:r>
              <w:rPr>
                <w:webHidden/>
                <w:rStyle w:val="IndexLink"/>
                <w:rtl w:val="true"/>
              </w:rPr>
              <w:t>منشأ الاختلاف</w:t>
            </w:r>
            <w:r>
              <w:rPr>
                <w:rStyle w:val="IndexLink"/>
                <w:rtl w:val="true"/>
              </w:rPr>
              <w:tab/>
            </w:r>
            <w:r>
              <w:rPr>
                <w:rStyle w:val="IndexLink"/>
              </w:rPr>
              <w:t>522</w:t>
            </w:r>
          </w:hyperlink>
        </w:p>
        <w:p>
          <w:pPr>
            <w:pStyle w:val="Contents3"/>
            <w:tabs>
              <w:tab w:val="clear" w:pos="8459"/>
              <w:tab w:val="right" w:pos="9026" w:leader="dot"/>
            </w:tabs>
            <w:rPr/>
          </w:pPr>
          <w:hyperlink w:anchor="__RefHeading___Toc364412_581953129">
            <w:r>
              <w:rPr>
                <w:webHidden/>
                <w:rStyle w:val="IndexLink"/>
                <w:rtl w:val="true"/>
              </w:rPr>
              <w:t>الخلاصة</w:t>
            </w:r>
            <w:r>
              <w:rPr>
                <w:rStyle w:val="IndexLink"/>
                <w:rtl w:val="true"/>
              </w:rPr>
              <w:tab/>
            </w:r>
            <w:r>
              <w:rPr>
                <w:rStyle w:val="IndexLink"/>
              </w:rPr>
              <w:t>523</w:t>
            </w:r>
          </w:hyperlink>
        </w:p>
        <w:p>
          <w:pPr>
            <w:pStyle w:val="Contents3"/>
            <w:tabs>
              <w:tab w:val="clear" w:pos="8459"/>
              <w:tab w:val="right" w:pos="9026" w:leader="dot"/>
            </w:tabs>
            <w:rPr/>
          </w:pPr>
          <w:hyperlink w:anchor="__RefHeading___Toc364414_581953129">
            <w:r>
              <w:rPr>
                <w:webHidden/>
                <w:rStyle w:val="IndexLink"/>
                <w:rtl w:val="true"/>
              </w:rPr>
              <w:t>الأسئلة</w:t>
            </w:r>
            <w:r>
              <w:rPr>
                <w:rStyle w:val="IndexLink"/>
                <w:rtl w:val="true"/>
              </w:rPr>
              <w:tab/>
            </w:r>
            <w:r>
              <w:rPr>
                <w:rStyle w:val="IndexLink"/>
              </w:rPr>
              <w:t>524</w:t>
            </w:r>
          </w:hyperlink>
        </w:p>
        <w:p>
          <w:pPr>
            <w:pStyle w:val="Contents2"/>
            <w:tabs>
              <w:tab w:val="clear" w:pos="8743"/>
              <w:tab w:val="right" w:pos="9026" w:leader="dot"/>
            </w:tabs>
            <w:rPr/>
          </w:pPr>
          <w:hyperlink w:anchor="__RefHeading___Toc364416_581953129">
            <w:r>
              <w:rPr>
                <w:webHidden/>
                <w:rStyle w:val="IndexLink"/>
                <w:rtl w:val="true"/>
              </w:rPr>
              <w:t>المصادر</w:t>
            </w:r>
            <w:r>
              <w:rPr>
                <w:rStyle w:val="IndexLink"/>
                <w:rtl w:val="true"/>
              </w:rPr>
              <w:tab/>
            </w:r>
            <w:r>
              <w:rPr>
                <w:rStyle w:val="IndexLink"/>
              </w:rPr>
              <w:t>525</w:t>
            </w:r>
          </w:hyperlink>
        </w:p>
        <w:p>
          <w:pPr>
            <w:pStyle w:val="Contents2"/>
            <w:tabs>
              <w:tab w:val="clear" w:pos="8743"/>
              <w:tab w:val="right" w:pos="9026" w:leader="dot"/>
            </w:tabs>
            <w:rPr/>
          </w:pPr>
          <w:hyperlink w:anchor="__RefHeading___Toc364418_581953129">
            <w:r>
              <w:rPr>
                <w:webHidden/>
                <w:rStyle w:val="IndexLink"/>
                <w:rtl w:val="true"/>
              </w:rPr>
              <w:t>الفهرس التفصیلی</w:t>
            </w:r>
            <w:r>
              <w:rPr>
                <w:rStyle w:val="IndexLink"/>
                <w:rtl w:val="true"/>
              </w:rPr>
              <w:tab/>
            </w:r>
            <w:r>
              <w:rPr>
                <w:rStyle w:val="IndexLink"/>
              </w:rPr>
              <w:t>532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40_59080"/>
      <w:bookmarkStart w:id="1" w:name="pg5240_59080"/>
      <w:bookmarkEnd w:id="1"/>
    </w:p>
    <w:p>
      <w:pPr>
        <w:pStyle w:val="Heading2"/>
        <w:numPr>
          <w:ilvl w:val="1"/>
          <w:numId w:val="1"/>
        </w:numPr>
        <w:rPr/>
      </w:pPr>
      <w:bookmarkStart w:id="2" w:name="pg5240_59080"/>
      <w:bookmarkStart w:id="3" w:name="__RefHeading___Toc36229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سیدمحمدکاظم،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 والاحوال‌الشخصیة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السیدکاظم المصطفوی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دراسات المصطفی صلی‌اله و علیه و آله الدولی؛</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۲۳۸۷۲۱۱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296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الفقه‌المقارن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 والاحوال‌الشخصیة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السیدکاظم المصطفوی</w:t>
      </w:r>
      <w:bookmarkStart w:id="7" w:name="pg5240_59084"/>
    </w:p>
    <w:p>
      <w:pPr>
        <w:pStyle w:val="Heading2"/>
        <w:numPr>
          <w:ilvl w:val="1"/>
          <w:numId w:val="1"/>
        </w:numPr>
        <w:rPr/>
      </w:pPr>
      <w:bookmarkStart w:id="8" w:name="__RefHeading___Toc362298_581953129"/>
      <w:bookmarkStart w:id="9" w:name="_Toc3"/>
      <w:bookmarkEnd w:id="7"/>
      <w:bookmarkEnd w:id="8"/>
      <w:r>
        <w:rPr>
          <w:rtl w:val="true"/>
        </w:rPr>
        <w:t>کلمة مرکز المصطفی صلی الله علیه و آله العالمی للدراسات و التحقیق</w:t>
      </w:r>
      <w:bookmarkEnd w:id="9"/>
    </w:p>
    <w:p>
      <w:pPr>
        <w:pStyle w:val="BookText"/>
        <w:rPr/>
      </w:pPr>
      <w:r>
        <w:rPr>
          <w:rFonts w:ascii="IRNazanin" w:hAnsi="IRNazanin" w:eastAsia="IRNazanin"/>
          <w:color w:val="111111"/>
          <w:sz w:val="28"/>
          <w:sz w:val="28"/>
          <w:szCs w:val="28"/>
          <w:rtl w:val="true"/>
          <w:lang w:bidi="fa-IR"/>
        </w:rPr>
        <w:t>وضعت الحوزات العلمیة عبر سعیها الدؤوب طیلة تاریخها المجید،مهمّة التربیة و التعلیم علی رأس رسالاتها الأصیلة،الأمر الذی ضمّن إیصال معارف الإسلام السامیة وعلوم أهل البیت علیهم السلام الینا عبر الأجیال المتعاقبة،وفی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شکّ فیه،أنّ النهضة التکنولوجیة التی شهدها عصرنا أفرزت تحوّلاً هائلاً فی حقل العلم،حتی أصبح بمقدور البشریة فی عالم الیوم أن تحصل علی المعلومات و المعارف اللازمة فی جمیع الفروع آنیاً وبسهولة ویسر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حلّت الأسالیب التعلیمیة الحدیثة و المتطورة محلّ الأسالیب القدیمة و الموروثة فی الحفظ الکمّی و التخرین،وتحثّ هذه التطّورات الخطی المسرعة نحو تحقیق الأهداف التعلیمیة المنشودة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وتبرر جامعة المصطفی العالمیة فی هذا الخضم کمؤسسة حوزویة تأخذ علی عاتقها مسؤولیة إعداد الکوادر العلمیة و التعلیمیة الأجنبیة فی مجال العلوم الإسلامیة،حیث تعکف أعداد غفیرة من الطلبة الأجانب الذین ینتمون إلی جنسیات مختلفة علی مواصلة الدراسة فی مختلف المستویات التعلیمیة وضمن العدید من فروع</w:t>
      </w:r>
    </w:p>
    <w:p>
      <w:pPr>
        <w:pStyle w:val="BookText"/>
        <w:rPr/>
      </w:pPr>
      <w:r>
        <w:rPr>
          <w:rFonts w:ascii="IRNazanin" w:hAnsi="IRNazanin" w:eastAsia="IRNazanin"/>
          <w:color w:val="111111"/>
          <w:sz w:val="28"/>
          <w:sz w:val="28"/>
          <w:szCs w:val="28"/>
          <w:rtl w:val="true"/>
          <w:lang w:bidi="fa-IR"/>
        </w:rPr>
        <w:t>العلوم الإنسانیة و الإسلامیة التابعة لهذه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وبطبیعة الحال،إنّ العلوم و المعارف الإسلامیة التی یتوافر علیها الطلبة الأجانب تتمایز بتمایز البلدان و الأصقاع التی ینتمون إلیها،ما یلحّ علی جامعة المصطفی العالمیة بضرورة تدوین مناهج حدیثة تستجیب لطبیعة التمایز الذی یفرضه تنوّع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أکّد رجال الحوزة ومفکّریها ولا سیما الإمام الخمینی وسماحة قائد الثورة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 الوارف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ضرورة أن یستند التعلیم الحوزوی للأسالیب الحدیثة المستلهمة من مناهج الاستنباط فی الفقه الجواهری،وأن یتمّ سوقه نحو مسارات التألّق والازدهار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السیاق،نشیر إلی مقاطع من الکلمة المهمّة التی ألقاها سماحة قائد الثورة السید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بالطبع،إنّ حرکة العلم فی العقدین القادمین ستشهد تعجیلاً متسارعاً فی حقول العلم و التکنولوجیا مقارنة بما مرّ علینا فی العقدین المنصرمین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یتعلّق بالمناهج الدراسیة یجب علینا توضیح العبارات و الأفکار التی تتضمّنها تلک المناهج إلی الدرجة التی تنزاح معها کلّ العقبات التی تقف فی طریق من ینشد فهم تلک الأفکار،طبعاً 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الحقیقة،لقد استطاعت الثورة الإسلامیة المبارکة فی إیران،ولله الحمد،أن ترفد المحافل العلمیة بطاقات وإمکانات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المنطلق،واستلهاماً من نمیر علوم أهل البیت علیهم السلام وبفضل الأجواء التی أتاحتها هذه الثورة العظیمة لإحداث طفرة فی النظام التعلیمی،أناطت جامعة المصطفی العالمیة بمرکز دراسات المصطفی الدولی مهمّة تدوین المناهج الدراسیة التی تنسجم مع النظام المذکور وذلک باستعانة اللجان العلمیة و التربویة و البحثیة،وکذلک تنظیم هذه المناهج بالترکیز علی الأصوبیة الإقلیمیة و الدولیة الخاصة بها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من القول بأنّ مرکز دراسات المصطفی الدولی یملک خبرة قیمة فی</w:t>
      </w:r>
    </w:p>
    <w:p>
      <w:pPr>
        <w:pStyle w:val="BookText"/>
        <w:rPr/>
      </w:pPr>
      <w:r>
        <w:rPr>
          <w:rFonts w:ascii="IRNazanin" w:hAnsi="IRNazanin" w:eastAsia="IRNazanin"/>
          <w:color w:val="111111"/>
          <w:sz w:val="28"/>
          <w:sz w:val="28"/>
          <w:szCs w:val="28"/>
          <w:rtl w:val="true"/>
          <w:lang w:bidi="fa-IR"/>
        </w:rPr>
        <w:t>مجال تدوین المناهج الدراسیة و البحث عنه حیث حقّق تحوّلاً جدیداً فی میدان انتاج العلم وذلک من خلال تجربته فی تدوین مجموعة المناهج الخاصّة بالمؤسّستین السابقتین التی انبثق عنهما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الحوزات و 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من حصیلة الفعالیات العلمیة لهذا المرکز فی مجال تدوین المناهج إصدار حوالی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منهجاً دراسیاً فی الداخل و الخارج،وإعداد أکثر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وکرّاسة علمیة،والتی نأمل بفضل العنایة الإلهیة وفی ظلّ الرعایة المستمرّة لإمام العصر المهدی المنتظر عجل الله تعالی فرجه الشریف أن تکون قد ساهمت بقسط ولو ضئیل فی نشر الثقافة و 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دراسات المصطفی الدّولی علی أیدی الروّاد ویثمّن جهودهم المخلصة،کما یعلن فی ظلّ الإرشادات و الإشراف المباشر من لدن مدیر التخطیط التربوی،وکذلک التعاون البنّاء للّجان العلمیة التابعة للمعاهد،مواصلة هذه الانطلاقة المیمونة فی تلبیة المتطلبات التربویة و التعلیمیة من خلال توفیر المناهج الدراسیة المستوفیة للمعاییر المتطوّرة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الذی بین یدیک عزیزی القارئ الذی یحمل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خصّیصاً لطلبة المرحلة بکلارئوس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الفقه و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ثمرة جهود الأستاذ السید کاظم المصطفوی،حیث نودّ هنا أن نتوجّه إلیه ولباقی الزملاء الذین ساهموا فی تدوین هذا العمل القیم بالشکر و الجزیل والامتنان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نشکر القرّاء الأعزّاء الذین بعثوا لنا باقتراحاتهم العلمیة السدیدة و التی سنأخذ بها فی الطبعات القادمة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من وراء القصد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 النشر</w:t>
      </w:r>
      <w:bookmarkStart w:id="10" w:name="pg5240_59088"/>
    </w:p>
    <w:p>
      <w:pPr>
        <w:pStyle w:val="Heading2"/>
        <w:numPr>
          <w:ilvl w:val="1"/>
          <w:numId w:val="1"/>
        </w:numPr>
        <w:rPr/>
      </w:pPr>
      <w:bookmarkStart w:id="11" w:name="__RefHeading___Toc362300_581953129"/>
      <w:bookmarkStart w:id="12" w:name="_Toc4"/>
      <w:bookmarkEnd w:id="10"/>
      <w:bookmarkEnd w:id="11"/>
      <w:r>
        <w:rPr>
          <w:rtl w:val="true"/>
        </w:rPr>
        <w:t>الفهرس الاجمالی</w:t>
      </w:r>
      <w:bookmarkEnd w:id="1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الوضوء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الوضوء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الوضوء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نواقض الوضوء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و الإقامة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أفعال الصلاة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القبلة ولباس المصلّی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السهو فی الصلاة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المیت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رؤیة الهلال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أصناف المستحقین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الحجّ </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الإحرام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الوقوفات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lang w:bidi="fa-IR"/>
        </w:rPr>
        <w:t>389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حوار حول المتعة </w:t>
      </w:r>
      <w:r>
        <w:rPr>
          <w:rFonts w:eastAsia="Amiri" w:cs="Amiri" w:ascii="Amiri" w:hAnsi="Amiri"/>
          <w:color w:val="111111"/>
          <w:sz w:val="28"/>
          <w:szCs w:val="28"/>
          <w:lang w:bidi="ar-SA"/>
        </w:rPr>
        <w:t>403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أسباب تحریم المصاهرة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الثلاث فی فقه السنة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الثلاث فی فقه أهل البیت علیهم السلام </w:t>
      </w:r>
      <w:r>
        <w:rPr>
          <w:rFonts w:eastAsia="IRNazanin" w:cs="IRNazanin"/>
          <w:color w:val="111111"/>
          <w:sz w:val="28"/>
          <w:szCs w:val="28"/>
          <w:lang w:bidi="fa-IR"/>
        </w:rPr>
        <w:t>463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البدعة </w:t>
      </w:r>
      <w:r>
        <w:rPr>
          <w:rFonts w:eastAsia="Amiri" w:cs="Amiri" w:ascii="Amiri" w:hAnsi="Amiri"/>
          <w:color w:val="111111"/>
          <w:sz w:val="28"/>
          <w:szCs w:val="28"/>
          <w:lang w:bidi="ar-SA"/>
        </w:rPr>
        <w:t>471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المیراث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 حول التعصیب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519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527</w:t>
      </w:r>
      <w:bookmarkStart w:id="13" w:name="pg5240_59090"/>
    </w:p>
    <w:p>
      <w:pPr>
        <w:pStyle w:val="Heading2"/>
        <w:numPr>
          <w:ilvl w:val="1"/>
          <w:numId w:val="1"/>
        </w:numPr>
        <w:rPr/>
      </w:pPr>
      <w:bookmarkStart w:id="14" w:name="__RefHeading___Toc362302_581953129"/>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الحمدلله ونستعینه ونؤمن به ونتوکل علیه،ونعوذ بالله من شرور أنفسنا وسیئات أعمالنا،وأفضل الصلاة و السّلام علی أفضل الأنبیاء و المرسلین سیدنا ونبینا محمد وآله الطاهرین المعصومین علیهم السلام،بهم نتولی ومن أعدائهم نتبرأ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مادة البحث هو الفقه المقارن،و هو بحث فقهی استدلالی بصورة مقارنة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الفقهی بهذه الشاکلة تکون من مستجدات الناتجة من تطورات الهائلة التی تتعلق بالحوزة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لکل من له وعی دینی وانتباه إسلامی،أنّ الحوزة العلمیة الغرّاء فی قم المقدسة أصبحت مرکزاً علمیاً لم یشهد التاریخ مثیله،ولا شک أنّ تلک الحوزة المبارکة التی تکون عریقة فی التاریخ،تجلّت بمساندة ولایت أهل‌البیت علیهم السلام،بأرفع المستویات علی الصعید الفقهی،نشاهد بکل وضوح أنّ الحوزة المتلوة علی ضوء تطوراتها تتسم نموذجاً لم یکن لها مثیل فی العالم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فالحوزة بهذه المکانة البارزة تسیطرت بحمدالله تعالی علی کافة أرجاء العالم</w:t>
      </w:r>
    </w:p>
    <w:p>
      <w:pPr>
        <w:pStyle w:val="BookText"/>
        <w:rPr/>
      </w:pPr>
      <w:r>
        <w:rPr>
          <w:rFonts w:ascii="IRNazanin" w:hAnsi="IRNazanin" w:eastAsia="IRNazanin"/>
          <w:color w:val="111111"/>
          <w:sz w:val="28"/>
          <w:sz w:val="28"/>
          <w:szCs w:val="28"/>
          <w:rtl w:val="true"/>
          <w:lang w:bidi="fa-IR"/>
        </w:rPr>
        <w:t>واجتذبت طلاب العلوم الدینیة بکمیة کبیرة من مختلف البلدان الشرقیة و الغربیة،واستطاعت أن تعلّمهم وترشدهم برعایة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ذلک یجدر أن یدرس الفقه بشکل مقارن بین المذاهب الإسلامیة‌کخطوة واسعة علی الصعید الفقهی،لکی یکون درس الفقه شاملاً لکافة المسلمین فعلی هذا الأساس بادرت وحدة تالیف الکتب الدراسیة،التابعة لجامعة المصطفی صلی الله علیه و آله العالمیة فی قم المقدسة،إلی إعداد کتاب دراسی فی هذا الحقل،فمست الحاحة إلی تعامل المؤمنین فی الحوزة،وکنت جاهزاً للتعامل فبذلت الجهد کله فی سبیل التالیف علی ما یرام،فوفقنی الله تعالی بفضله ورحمته الواسعة أن أدوّن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بالمنهج الدراسی الحدیث،و هو یحتوی قسم العبادات و الأحوال الشخصیة فی عدّة دراسات،وکل درس بحسب تقنیة التعلیم مذیل بالخلاصة و الأسئلة،وقارنت الآراء الفقهیة من المذاهب الخمسة الإسلامیة مسندة إلی أدلتها القطعیة عندهم،علی ما فی‌کتبهم المعتبرة لدیهم نقلاً بنفس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یدرس ذلک الکتاب بعین الاعتبار یصل إلی المعرفة الفقهیة الواسعة،والمقارنة بهذه الشاکلة توجب التلاحم بین الفقهاء وبالتالی بین المسلمین وتثمر معرفة ما هو أجود الآراء وأوثقها دلیلاً وحجة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اهدنا من عندک وأفض علینا من فضلک</w:t>
      </w:r>
    </w:p>
    <w:p>
      <w:pPr>
        <w:pStyle w:val="BookText"/>
        <w:rPr/>
      </w:pPr>
      <w:r>
        <w:rPr>
          <w:rFonts w:ascii="IRNazanin" w:hAnsi="IRNazanin" w:eastAsia="IRNazanin"/>
          <w:color w:val="111111"/>
          <w:sz w:val="28"/>
          <w:sz w:val="28"/>
          <w:szCs w:val="28"/>
          <w:rtl w:val="true"/>
          <w:lang w:bidi="fa-IR"/>
        </w:rPr>
        <w:t>إنّک ذوالفضل العظیم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کاظم المصطفوی</w:t>
      </w:r>
      <w:bookmarkStart w:id="16" w:name="pg5240_59092"/>
    </w:p>
    <w:p>
      <w:pPr>
        <w:pStyle w:val="Heading2"/>
        <w:numPr>
          <w:ilvl w:val="1"/>
          <w:numId w:val="1"/>
        </w:numPr>
        <w:rPr/>
      </w:pPr>
      <w:bookmarkStart w:id="17" w:name="__RefHeading___Toc362304_581953129"/>
      <w:bookmarkStart w:id="18" w:name="_Toc6"/>
      <w:bookmarkEnd w:id="16"/>
      <w:bookmarkEnd w:id="17"/>
      <w:r>
        <w:rPr/>
        <w:t>1</w:t>
      </w:r>
      <w:r>
        <w:rPr>
          <w:rtl w:val="true"/>
        </w:rPr>
        <w:t xml:space="preserve">- </w:t>
      </w:r>
      <w:r>
        <w:rPr>
          <w:rtl w:val="true"/>
        </w:rPr>
        <w:t>الطهارة</w:t>
      </w:r>
      <w:bookmarkEnd w:id="18"/>
    </w:p>
    <w:p>
      <w:pPr>
        <w:pStyle w:val="Heading3"/>
        <w:numPr>
          <w:ilvl w:val="2"/>
          <w:numId w:val="1"/>
        </w:numPr>
        <w:rPr/>
      </w:pPr>
      <w:bookmarkStart w:id="19" w:name="__RefHeading___Toc362306_581953129"/>
      <w:bookmarkStart w:id="20" w:name="_Toc7"/>
      <w:bookmarkEnd w:id="19"/>
      <w:r>
        <w:rPr>
          <w:rtl w:val="true"/>
        </w:rPr>
        <w:t>طهوریة الماء المضاف</w:t>
      </w:r>
      <w:bookmarkEnd w:id="20"/>
    </w:p>
    <w:p>
      <w:pPr>
        <w:pStyle w:val="Heading4"/>
        <w:numPr>
          <w:ilvl w:val="3"/>
          <w:numId w:val="1"/>
        </w:numPr>
        <w:rPr/>
      </w:pPr>
      <w:bookmarkStart w:id="21" w:name="__RefHeading___Toc362308_581953129"/>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اختلف‌آراء الفقهاء بالنسبة إلی طهوریة الماء المضاف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3" w:name="__RefHeading___Toc362310_581953129"/>
      <w:bookmarkStart w:id="24" w:name="_Toc9"/>
      <w:bookmarkEnd w:id="23"/>
      <w:r>
        <w:rPr>
          <w:rtl w:val="true"/>
        </w:rPr>
        <w:t>المذهب الجعفری</w:t>
      </w:r>
      <w:bookmarkEnd w:id="24"/>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إما مطلق أو مضاف کالمعتصر من الأجسام أو الممتزج بغیره مما یخرجه عن صدق إسم الماء المطلق</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الصحیح أن یستدل علی عدم طهوریة المضاف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مَرْضی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صَعِیداً طَیِّباً </w:t>
      </w:r>
      <w:r>
        <w:rPr>
          <w:rStyle w:val="FootnoteAnchor"/>
          <w:rtl w:val="true"/>
        </w:rPr>
        <w:footnoteReference w:id="3"/>
      </w:r>
      <w:r>
        <w:rPr>
          <w:rFonts w:ascii="IRNazanin" w:hAnsi="IRNazanin" w:eastAsia="IRNazanin"/>
          <w:color w:val="111111"/>
          <w:sz w:val="28"/>
          <w:sz w:val="28"/>
          <w:szCs w:val="28"/>
          <w:rtl w:val="true"/>
          <w:lang w:bidi="fa-IR"/>
        </w:rPr>
        <w:t>حیث حصرسبحانه الطهور فی الماء و التراب فلاطهور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ورد فی الروایات الدالة علی تعیین الوضوء و الغسل بالماء ووجوب التیمم علی تقدیر فقدانه،ففی روایة أبی‌بصیر عن الامام الصادق علیه السلام عن الرجل یکون معه‌اللبن،أیتوضأ منه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w:t>
      </w:r>
      <w:bookmarkStart w:id="25" w:name="pg5240_59093"/>
    </w:p>
    <w:p>
      <w:pPr>
        <w:pStyle w:val="BookText"/>
        <w:rPr/>
      </w:pPr>
      <w:bookmarkEnd w:id="25"/>
      <w:r>
        <w:rPr>
          <w:rFonts w:ascii="IRNazanin" w:hAnsi="IRNazanin" w:eastAsia="IRNazanin"/>
          <w:color w:val="111111"/>
          <w:sz w:val="28"/>
          <w:sz w:val="28"/>
          <w:szCs w:val="28"/>
          <w:rtl w:val="true"/>
          <w:lang w:bidi="fa-IR"/>
        </w:rPr>
        <w:t>هوالماء و الصعید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ونظیرها ما نقله،فإنّ اللبن و إن لایطلق علیها الماء المضاف إلاّ أنّ تعلیله بقوله إنّما هو الماء و الصعید،یقتضی انحصار الطهور فیهما</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26" w:name="__RefHeading___Toc362312_581953129"/>
      <w:bookmarkStart w:id="27" w:name="_Toc10"/>
      <w:bookmarkEnd w:id="26"/>
      <w:r>
        <w:rPr>
          <w:rtl w:val="true"/>
        </w:rPr>
        <w:t>المذهب الحنفی</w:t>
      </w:r>
      <w:bookmarkEnd w:id="27"/>
    </w:p>
    <w:p>
      <w:pPr>
        <w:pStyle w:val="BookText"/>
        <w:rPr/>
      </w:pPr>
      <w:r>
        <w:rPr>
          <w:rFonts w:ascii="IRNazanin" w:hAnsi="IRNazanin" w:eastAsia="IRNazanin"/>
          <w:color w:val="111111"/>
          <w:sz w:val="28"/>
          <w:sz w:val="28"/>
          <w:szCs w:val="28"/>
          <w:rtl w:val="true"/>
          <w:lang w:bidi="fa-IR"/>
        </w:rPr>
        <w:t>قال الجزیری الحنفیة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الماء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إزالة الخبث فللشخص أن یزیل النجاسة من ثوبه أو بدنه أو مکانه بالماء الطاهر وغیره من سائر المائعات الطاهرة کماء الورد و الریحان ونحوهما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قال إبن نجیم المصری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یطهر البدن و الثوب بالماء وبمائع مزیل کالخل وماء الورد قیاساً علی إزالتها بالماء بناءً علی أنّ الطهارة بالماء معلولة بعلة کونه قالعاً لتلک النجاسة و المائع قالع فهو محصل ذلک المقصود </w:t>
      </w:r>
      <w:r>
        <w:rPr>
          <w:rStyle w:val="FootnoteAnchor"/>
          <w:rtl w:val="true"/>
        </w:rPr>
        <w:footnoteReference w:id="7"/>
      </w:r>
      <w:r>
        <w:rPr>
          <w:rFonts w:ascii="IRNazanin" w:hAnsi="IRNazanin" w:eastAsia="IRNazanin"/>
          <w:color w:val="111111"/>
          <w:sz w:val="28"/>
          <w:sz w:val="28"/>
          <w:szCs w:val="28"/>
          <w:rtl w:val="true"/>
          <w:lang w:bidi="fa-IR"/>
        </w:rPr>
        <w:t>وقال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رفع نجاسة حقیقیة بکلّ مائع حتّی الریق فتطهر إصبع وثدی تنجس</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28" w:name="__RefHeading___Toc362314_581953129"/>
      <w:bookmarkStart w:id="29" w:name="_Toc11"/>
      <w:bookmarkEnd w:id="28"/>
      <w:r>
        <w:rPr>
          <w:rtl w:val="true"/>
        </w:rPr>
        <w:t>المذهب الحنبلی</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الطهارة من النجاسة لاتحصل إلاّ بما یحصل به طهارة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 فی عموم الطهارة وبهذا قال مالک و الشافعی ومحمدبن الحسن وزفر 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إزالة النجاسة بکلّ مائع طاهر</w:t>
      </w:r>
      <w:r>
        <w:rPr>
          <w:rFonts w:eastAsia="IRNazanin" w:cs="IRNazanin"/>
          <w:color w:val="111111"/>
          <w:sz w:val="28"/>
          <w:szCs w:val="28"/>
          <w:rtl w:val="true"/>
          <w:lang w:bidi="fa-IR"/>
        </w:rPr>
        <w:t xml:space="preserve">. </w:t>
      </w:r>
      <w:r>
        <w:rPr>
          <w:rStyle w:val="FootnoteAnchor"/>
          <w:rtl w:val="true"/>
        </w:rPr>
        <w:footnoteReference w:id="9"/>
      </w:r>
      <w:bookmarkStart w:id="30" w:name="pg5240_59094"/>
    </w:p>
    <w:p>
      <w:pPr>
        <w:pStyle w:val="Heading4"/>
        <w:numPr>
          <w:ilvl w:val="3"/>
          <w:numId w:val="1"/>
        </w:numPr>
        <w:rPr/>
      </w:pPr>
      <w:bookmarkStart w:id="31" w:name="__RefHeading___Toc362316_581953129"/>
      <w:bookmarkStart w:id="32" w:name="_Toc12"/>
      <w:bookmarkEnd w:id="30"/>
      <w:bookmarkEnd w:id="31"/>
      <w:r>
        <w:rPr>
          <w:rtl w:val="true"/>
        </w:rPr>
        <w:t>المذهب الشافعی</w:t>
      </w:r>
      <w:bookmarkEnd w:id="32"/>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حکم الماء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لایصح استعماله فی‌العبادات فهو لایرفع حدثاً ولایزیل خبثاً </w:t>
      </w:r>
      <w:r>
        <w:rPr>
          <w:rStyle w:val="FootnoteAnchor"/>
          <w:rtl w:val="true"/>
        </w:rPr>
        <w:footnoteReference w:id="10"/>
      </w: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سوی الماءالمطلق من‌المایعات کالخل وماءالورد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رفع‌الحدث ولا إزالة النجس به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فَتَیَمَّمُوا فأوجب التیمم علی من لم یجد الماء </w:t>
      </w:r>
      <w:r>
        <w:rPr>
          <w:rStyle w:val="FootnoteAnchor"/>
          <w:rtl w:val="true"/>
        </w:rPr>
        <w:footnoteReference w:id="11"/>
      </w:r>
      <w:r>
        <w:rPr>
          <w:rFonts w:ascii="IRNazanin" w:hAnsi="IRNazanin" w:eastAsia="IRNazanin"/>
          <w:color w:val="111111"/>
          <w:sz w:val="28"/>
          <w:sz w:val="28"/>
          <w:szCs w:val="28"/>
          <w:rtl w:val="true"/>
          <w:lang w:bidi="fa-IR"/>
        </w:rPr>
        <w:t>و هذا هو الحکم علی المذهب المالکی</w:t>
      </w:r>
      <w:r>
        <w:rPr>
          <w:rFonts w:eastAsia="IRNazanin" w:cs="IRNazanin"/>
          <w:color w:val="111111"/>
          <w:sz w:val="28"/>
          <w:szCs w:val="28"/>
          <w:rtl w:val="true"/>
          <w:lang w:bidi="fa-IR"/>
        </w:rPr>
        <w:t>.</w:t>
      </w:r>
    </w:p>
    <w:p>
      <w:pPr>
        <w:pStyle w:val="Heading3"/>
        <w:numPr>
          <w:ilvl w:val="2"/>
          <w:numId w:val="1"/>
        </w:numPr>
        <w:rPr/>
      </w:pPr>
      <w:bookmarkStart w:id="33" w:name="__RefHeading___Toc362318_581953129"/>
      <w:bookmarkStart w:id="34" w:name="_Toc13"/>
      <w:bookmarkEnd w:id="33"/>
      <w:r>
        <w:rPr>
          <w:rtl w:val="true"/>
        </w:rPr>
        <w:t>الماء الراکد الکثیر</w:t>
      </w:r>
      <w:bookmarkEnd w:id="34"/>
    </w:p>
    <w:p>
      <w:pPr>
        <w:pStyle w:val="Heading4"/>
        <w:numPr>
          <w:ilvl w:val="3"/>
          <w:numId w:val="1"/>
        </w:numPr>
        <w:rPr/>
      </w:pPr>
      <w:bookmarkStart w:id="35" w:name="__RefHeading___Toc362320_581953129"/>
      <w:bookmarkStart w:id="36" w:name="_Toc14"/>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الراکد إذا بلغ کرّاً لاینجس بالملاقات إلاّ بالتغییر،و إذا تغیر بعضه فإن کان الباقی بمقدار کرّ یبقی غیر المتغیر علی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ویطهر المتغیر إذا زال تغیره بالامتزاج بالکرّ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للکرّ تقدیران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بحسب الوزن و هو ألف ومأتا رطل عراقی وبحسب الکیلو المتعارف</w:t>
      </w:r>
      <w:r>
        <w:rPr>
          <w:rFonts w:eastAsia="IRNazanin" w:cs="IRNazanin"/>
          <w:color w:val="111111"/>
          <w:sz w:val="28"/>
          <w:szCs w:val="28"/>
          <w:rtl w:val="true"/>
          <w:lang w:bidi="fa-IR"/>
        </w:rPr>
        <w:t>(</w:t>
      </w:r>
      <w:r>
        <w:rPr>
          <w:rFonts w:eastAsia="IRNazanin" w:cs="IRNazanin"/>
          <w:color w:val="111111"/>
          <w:sz w:val="28"/>
          <w:szCs w:val="28"/>
          <w:lang w:bidi="fa-IR"/>
        </w:rPr>
        <w:t>383/906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وثانیهما بحسب المساحة و هو ما بلغ ثلاثة واربعین شبراً إلا ثمن شبر</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بین أصحابنا فی أنّ الماء البالغ قدرکرّ لایتنجّس بملاقات شیء من النجاسات و المتنجسات ما دام لم یطرأ علیه التغیر</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قد وردت هناک نصوص کثیرة مستفیضة،منها صحیحة محمدبن مسلم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14"/>
      </w:r>
      <w:bookmarkStart w:id="37" w:name="pg5240_59095"/>
    </w:p>
    <w:p>
      <w:pPr>
        <w:pStyle w:val="Heading4"/>
        <w:numPr>
          <w:ilvl w:val="3"/>
          <w:numId w:val="1"/>
        </w:numPr>
        <w:rPr/>
      </w:pPr>
      <w:bookmarkStart w:id="38" w:name="__RefHeading___Toc362322_581953129"/>
      <w:bookmarkStart w:id="39" w:name="_Toc15"/>
      <w:bookmarkEnd w:id="37"/>
      <w:bookmarkEnd w:id="38"/>
      <w:r>
        <w:rPr>
          <w:rtl w:val="true"/>
        </w:rPr>
        <w:t>المذهب الحنفی</w:t>
      </w:r>
      <w:bookmarkEnd w:id="39"/>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وقلیل،فالأوّل کماء البحر و الأنهار ومنه الماء الراکد فی الأحواض المربعة البالغة مساحتها عشرة أذرع فی عشرة بذراع العامة</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الماء الراکد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الماء بحیث إذا حرک أحد طرفیه لایتحرک الآخر</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فاتفقت الروایات عن أصحابنا أنّه یعتبر الخلوص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 و هو أنّه إن کان بحال لو حرک طرف منه یتحرک الطرف الآخر فهو مما یخلص</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40" w:name="__RefHeading___Toc362324_581953129"/>
      <w:bookmarkStart w:id="41" w:name="_Toc16"/>
      <w:bookmarkEnd w:id="40"/>
      <w:r>
        <w:rPr>
          <w:rtl w:val="true"/>
        </w:rPr>
        <w:t>المذهب الحنبلی</w:t>
      </w:r>
      <w:bookmarkEnd w:id="41"/>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الماء قلتین فوقعت فیه نجاسة فلم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طاهر،وهما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قرب،کلّ قربة مأئة رطل بالعراق فتکون القلتان خمس‌مائة رطل بالعراقی،ولا أعلم بینهم فی ذلک خلاف</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قلتین فصاعداً فهو طاهر؛لقوله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قلتین فإنّه لایحمل الخبث هذا الحدیث حسن ثابت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هناک آراءثلاثة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قلتین فأکثر لم ینجس،هذا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ومذهب ابن‌جبیر وأحمد؛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أربعین قلّة لم ینجسه شیء حکوه عن عبدالله بن‌عمر؛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کرّاً لم ینجسه شیء روی عن مسروق وابن سیرین</w:t>
      </w:r>
      <w:r>
        <w:rPr>
          <w:rFonts w:eastAsia="IRNazanin" w:cs="IRNazanin"/>
          <w:color w:val="111111"/>
          <w:sz w:val="28"/>
          <w:szCs w:val="28"/>
          <w:rtl w:val="true"/>
          <w:lang w:bidi="fa-IR"/>
        </w:rPr>
        <w:t xml:space="preserve">. </w:t>
      </w:r>
      <w:r>
        <w:rPr>
          <w:rStyle w:val="FootnoteAnchor"/>
          <w:rtl w:val="true"/>
        </w:rPr>
        <w:footnoteReference w:id="19"/>
      </w:r>
      <w:bookmarkStart w:id="42" w:name="pg5240_59096"/>
    </w:p>
    <w:p>
      <w:pPr>
        <w:pStyle w:val="Heading4"/>
        <w:numPr>
          <w:ilvl w:val="3"/>
          <w:numId w:val="1"/>
        </w:numPr>
        <w:rPr/>
      </w:pPr>
      <w:bookmarkStart w:id="43" w:name="__RefHeading___Toc362326_581953129"/>
      <w:bookmarkStart w:id="44" w:name="_Toc17"/>
      <w:bookmarkEnd w:id="42"/>
      <w:bookmarkEnd w:id="43"/>
      <w:r>
        <w:rPr>
          <w:rtl w:val="true"/>
        </w:rPr>
        <w:t>المذهب المالکی</w:t>
      </w:r>
      <w:bookmarkEnd w:id="44"/>
    </w:p>
    <w:p>
      <w:pPr>
        <w:pStyle w:val="BookText"/>
        <w:rPr/>
      </w:pPr>
      <w:r>
        <w:rPr>
          <w:rFonts w:ascii="IRNazanin" w:hAnsi="IRNazanin" w:eastAsia="IRNazanin"/>
          <w:color w:val="111111"/>
          <w:sz w:val="28"/>
          <w:sz w:val="28"/>
          <w:szCs w:val="28"/>
          <w:rtl w:val="true"/>
          <w:lang w:bidi="fa-IR"/>
        </w:rPr>
        <w:t>لاینجس کثیر الماء وقلیله إلا بالتغیر</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45" w:name="__RefHeading___Toc362328_581953129"/>
      <w:bookmarkStart w:id="46" w:name="_Toc18"/>
      <w:bookmarkEnd w:id="45"/>
      <w:r>
        <w:rPr>
          <w:rtl w:val="true"/>
        </w:rPr>
        <w:t>الماء الّذی ولغ فیه الکلب</w:t>
      </w:r>
      <w:bookmarkEnd w:id="46"/>
    </w:p>
    <w:p>
      <w:pPr>
        <w:pStyle w:val="Heading4"/>
        <w:numPr>
          <w:ilvl w:val="3"/>
          <w:numId w:val="1"/>
        </w:numPr>
        <w:rPr/>
      </w:pPr>
      <w:bookmarkStart w:id="47" w:name="__RefHeading___Toc362330_581953129"/>
      <w:bookmarkStart w:id="48" w:name="_Toc19"/>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هناک اختلاف بین المذهب المالکی و المذاهب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مکروهات المیاه،الماء الّذی ولغ فیه کلب ولو مراراً فإنّه یکره استصحابه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الإناء یکون فیه الماء یلغ فیه الکلب،إن توضأبه وصلی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ولغ الکلب فی إناء فیه لبن فلا بأس بأن یؤکل ذلک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حدیث الغسل سبع مرّات ما أدری ما حقیقته،وکأنّه یری أنّ الکلب کأنّه من الأهل و العائلة ولیس کغیره من السباع</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نجس العین کالکلب و الخنزیر نجس</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الآنیة فإن تنجّست بولوغ الکلب فیما فیها من ماء أو غیره ممایتحقق معه إسم الولوغ غسلت ثلاثاً اولاهن بالتراب أی التعفیر به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ذلک للنصوص الصحیحة و الإجماع وما عثرنا علی خلاف إلا عن المالکی</w:t>
      </w:r>
      <w:r>
        <w:rPr>
          <w:rFonts w:eastAsia="IRNazanin" w:cs="IRNazanin"/>
          <w:color w:val="111111"/>
          <w:sz w:val="28"/>
          <w:szCs w:val="28"/>
          <w:rtl w:val="true"/>
          <w:lang w:bidi="fa-IR"/>
        </w:rPr>
        <w:t>.</w:t>
      </w:r>
    </w:p>
    <w:p>
      <w:pPr>
        <w:pStyle w:val="Heading4"/>
        <w:numPr>
          <w:ilvl w:val="3"/>
          <w:numId w:val="1"/>
        </w:numPr>
        <w:rPr/>
      </w:pPr>
      <w:bookmarkStart w:id="49" w:name="__RefHeading___Toc362332_581953129"/>
      <w:bookmarkStart w:id="50" w:name="_Toc20"/>
      <w:bookmarkEnd w:id="49"/>
      <w:r>
        <w:rPr>
          <w:rtl w:val="true"/>
        </w:rPr>
        <w:t>التطهیر بالدبغ</w:t>
      </w:r>
      <w:bookmarkEnd w:id="5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اختلاف بین المذهب الحنفی و المذاهب الأخری</w:t>
      </w:r>
      <w:r>
        <w:rPr>
          <w:rFonts w:eastAsia="IRNazanin" w:cs="IRNazanin"/>
          <w:color w:val="111111"/>
          <w:sz w:val="28"/>
          <w:szCs w:val="28"/>
          <w:rtl w:val="true"/>
          <w:lang w:bidi="fa-IR"/>
        </w:rPr>
        <w:t>.</w:t>
      </w:r>
      <w:bookmarkStart w:id="51" w:name="pg5240_59097"/>
    </w:p>
    <w:p>
      <w:pPr>
        <w:pStyle w:val="BookText"/>
        <w:rPr/>
      </w:pPr>
      <w:bookmarkEnd w:id="51"/>
      <w:r>
        <w:rPr>
          <w:rFonts w:ascii="IRNazanin" w:hAnsi="IRNazanin" w:eastAsia="IRNazanin"/>
          <w:color w:val="111111"/>
          <w:sz w:val="28"/>
          <w:sz w:val="28"/>
          <w:szCs w:val="28"/>
          <w:rtl w:val="true"/>
          <w:lang w:bidi="fa-IR"/>
        </w:rPr>
        <w:t>قال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دبغ ولو بشمس طهر فیصلی به ویتوضأ منه خلا 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لیس الکلب بنجس العین عند الإمام أبوحنیفة فیباع ویؤجر ویضمن ولا خلاف فی نجاسة لحمه وطهارة شعره</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کل جلد بالدبغ إلاّ جلد الخنزیر؛لأن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دبغ الإهاب فقد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ما روی عن النبی صلی الله علیه و آله بأنّه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تنتفعوا من المیتة بإهاب ولاعصب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إسناد جید،ولأنّه جزء من المیتة فلم یطهر بالدبغ کاللحم؛ولأنّه حرم بالموت فکان نجساً کما قبل الدبغ </w:t>
      </w:r>
      <w:r>
        <w:rPr>
          <w:rStyle w:val="FootnoteAnchor"/>
          <w:rtl w:val="true"/>
        </w:rPr>
        <w:footnoteReference w:id="26"/>
      </w:r>
      <w:r>
        <w:rPr>
          <w:rFonts w:ascii="IRNazanin" w:hAnsi="IRNazanin" w:eastAsia="IRNazanin"/>
          <w:color w:val="111111"/>
          <w:sz w:val="28"/>
          <w:sz w:val="28"/>
          <w:szCs w:val="28"/>
          <w:rtl w:val="true"/>
          <w:lang w:bidi="fa-IR"/>
        </w:rPr>
        <w:t>وما عثرنا علی خلاف فیه هناک إلاّ عن الحنفی</w:t>
      </w:r>
      <w:r>
        <w:rPr>
          <w:rFonts w:eastAsia="IRNazanin" w:cs="IRNazanin"/>
          <w:color w:val="111111"/>
          <w:sz w:val="28"/>
          <w:szCs w:val="28"/>
          <w:rtl w:val="true"/>
          <w:lang w:bidi="fa-IR"/>
        </w:rPr>
        <w:t>.</w:t>
      </w:r>
    </w:p>
    <w:p>
      <w:pPr>
        <w:pStyle w:val="Heading4"/>
        <w:numPr>
          <w:ilvl w:val="3"/>
          <w:numId w:val="1"/>
        </w:numPr>
        <w:rPr/>
      </w:pPr>
      <w:bookmarkStart w:id="52" w:name="__RefHeading___Toc362334_581953129"/>
      <w:bookmarkStart w:id="53" w:name="_Toc21"/>
      <w:bookmarkEnd w:id="52"/>
      <w:r>
        <w:rPr>
          <w:rtl w:val="true"/>
        </w:rPr>
        <w:t>منشأ الاختلاف</w:t>
      </w:r>
      <w:bookmarkEnd w:id="5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هناک ناشئ عن الاختلاف فی الاجتهاد وعن تفرّد الحنفی و المالکی بالنسبة إلی طهوریة الدبغ وطهارة ولوغ الکلب علی أساس الاجتهاد الخاص</w:t>
      </w:r>
      <w:r>
        <w:rPr>
          <w:rFonts w:eastAsia="IRNazanin" w:cs="IRNazanin"/>
          <w:color w:val="111111"/>
          <w:sz w:val="28"/>
          <w:szCs w:val="28"/>
          <w:rtl w:val="true"/>
          <w:lang w:bidi="fa-IR"/>
        </w:rPr>
        <w:t>.</w:t>
      </w:r>
      <w:bookmarkStart w:id="54" w:name="pg5240_59098"/>
    </w:p>
    <w:p>
      <w:pPr>
        <w:pStyle w:val="Heading3"/>
        <w:numPr>
          <w:ilvl w:val="2"/>
          <w:numId w:val="1"/>
        </w:numPr>
        <w:rPr/>
      </w:pPr>
      <w:bookmarkStart w:id="55" w:name="__RefHeading___Toc362336_581953129"/>
      <w:bookmarkStart w:id="56" w:name="_Toc22"/>
      <w:bookmarkEnd w:id="54"/>
      <w:bookmarkEnd w:id="55"/>
      <w:r>
        <w:rPr>
          <w:rtl w:val="true"/>
        </w:rPr>
        <w:t>الخلاصة</w:t>
      </w:r>
      <w:bookmarkEnd w:id="56"/>
    </w:p>
    <w:p>
      <w:pPr>
        <w:pStyle w:val="BookText"/>
        <w:rPr/>
      </w:pPr>
      <w:r>
        <w:rPr>
          <w:rFonts w:ascii="IRNazanin" w:hAnsi="IRNazanin" w:eastAsia="IRNazanin"/>
          <w:color w:val="111111"/>
          <w:sz w:val="28"/>
          <w:sz w:val="28"/>
          <w:szCs w:val="28"/>
          <w:rtl w:val="true"/>
          <w:lang w:bidi="fa-IR"/>
        </w:rPr>
        <w:t>الماء المضاف لایرفع الحدث و الخبث علی المذاهب إلاّ علی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الماءالراکد الکثیر عبارة عن مقدار الکرّ علی المذهب الجعفری و هو قدر القلتین عند معظم الفقهاء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الدبغ من المطهرات علی المذهب الحنفی فحسب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ولوغ الکلب لاینجّس شیئاً علی المذهب المالکی</w:t>
      </w:r>
      <w:r>
        <w:rPr>
          <w:rFonts w:eastAsia="IRNazanin" w:cs="IRNazanin"/>
          <w:color w:val="111111"/>
          <w:sz w:val="28"/>
          <w:szCs w:val="28"/>
          <w:rtl w:val="true"/>
          <w:lang w:bidi="fa-IR"/>
        </w:rPr>
        <w:t>.</w:t>
      </w:r>
      <w:bookmarkStart w:id="57" w:name="pg5240_59099"/>
    </w:p>
    <w:p>
      <w:pPr>
        <w:pStyle w:val="Heading3"/>
        <w:numPr>
          <w:ilvl w:val="2"/>
          <w:numId w:val="1"/>
        </w:numPr>
        <w:rPr/>
      </w:pPr>
      <w:bookmarkStart w:id="58" w:name="__RefHeading___Toc362338_581953129"/>
      <w:bookmarkStart w:id="59" w:name="_Toc23"/>
      <w:bookmarkEnd w:id="57"/>
      <w:bookmarkEnd w:id="58"/>
      <w:r>
        <w:rPr>
          <w:rtl w:val="true"/>
        </w:rPr>
        <w:t>الأسئلة</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طهوریة الماء المضاف؟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قدر الکر و قدر القلتین؟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حصول الطهارة بالدبغ؟</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سؤر الکلب علی أکثر المذاهب؟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التعفیر فی التطهیر؟</w:t>
      </w:r>
      <w:bookmarkStart w:id="60" w:name="pg5240_59100"/>
    </w:p>
    <w:p>
      <w:pPr>
        <w:pStyle w:val="Heading2"/>
        <w:numPr>
          <w:ilvl w:val="1"/>
          <w:numId w:val="1"/>
        </w:numPr>
        <w:rPr/>
      </w:pPr>
      <w:bookmarkStart w:id="61" w:name="__RefHeading___Toc362340_581953129"/>
      <w:bookmarkStart w:id="62" w:name="_Toc24"/>
      <w:bookmarkEnd w:id="60"/>
      <w:bookmarkEnd w:id="61"/>
      <w:r>
        <w:rPr/>
        <w:t>2</w:t>
      </w:r>
      <w:r>
        <w:rPr>
          <w:rtl w:val="true"/>
        </w:rPr>
        <w:t xml:space="preserve">- </w:t>
      </w:r>
      <w:r>
        <w:rPr>
          <w:rtl w:val="true"/>
        </w:rPr>
        <w:t xml:space="preserve">فرائض الوضوء </w:t>
      </w:r>
      <w:r>
        <w:rPr>
          <w:rtl w:val="true"/>
        </w:rPr>
        <w:t>(</w:t>
      </w:r>
      <w:r>
        <w:rPr/>
        <w:t>1</w:t>
      </w:r>
      <w:r>
        <w:rPr>
          <w:rtl w:val="true"/>
        </w:rPr>
        <w:t>)</w:t>
      </w:r>
      <w:bookmarkEnd w:id="62"/>
    </w:p>
    <w:p>
      <w:pPr>
        <w:pStyle w:val="Heading3"/>
        <w:numPr>
          <w:ilvl w:val="2"/>
          <w:numId w:val="1"/>
        </w:numPr>
        <w:rPr/>
      </w:pPr>
      <w:bookmarkStart w:id="63" w:name="__RefHeading___Toc362342_581953129"/>
      <w:bookmarkStart w:id="64" w:name="_Toc25"/>
      <w:bookmarkEnd w:id="63"/>
      <w:r>
        <w:rPr>
          <w:rtl w:val="true"/>
        </w:rPr>
        <w:t>عدد الفرائض</w:t>
      </w:r>
      <w:bookmarkEnd w:id="64"/>
    </w:p>
    <w:p>
      <w:pPr>
        <w:pStyle w:val="Heading4"/>
        <w:numPr>
          <w:ilvl w:val="3"/>
          <w:numId w:val="1"/>
        </w:numPr>
        <w:rPr/>
      </w:pPr>
      <w:bookmarkStart w:id="65" w:name="__RefHeading___Toc362344_581953129"/>
      <w:bookmarkStart w:id="66" w:name="_Toc26"/>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إنّ فرائض الوضوء هی أجزاؤه الّتی بها تتکوّن حقیقة الوضوء الشرعیة و قد اختلفت الآراء بالنسبة إلی عدد تلک الفرائض زیادةً ونقیصةً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67" w:name="__RefHeading___Toc362346_581953129"/>
      <w:bookmarkStart w:id="68" w:name="_Toc27"/>
      <w:bookmarkEnd w:id="67"/>
      <w:r>
        <w:rPr>
          <w:rtl w:val="true"/>
        </w:rPr>
        <w:t>المذهب الجعفری</w:t>
      </w:r>
      <w:bookmarkEnd w:id="68"/>
    </w:p>
    <w:p>
      <w:pPr>
        <w:pStyle w:val="BookText"/>
        <w:rPr/>
      </w:pPr>
      <w:r>
        <w:rPr>
          <w:rFonts w:ascii="IRNazanin" w:hAnsi="IRNazanin" w:eastAsia="IRNazanin"/>
          <w:color w:val="111111"/>
          <w:sz w:val="28"/>
          <w:sz w:val="28"/>
          <w:szCs w:val="28"/>
          <w:rtl w:val="true"/>
          <w:lang w:bidi="fa-IR"/>
        </w:rPr>
        <w:t>قال السید الطاطبائی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ما صرّح بها القرآن الکریم،قال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w:t>
      </w:r>
      <w:bookmarkStart w:id="69" w:name="pg5240_59101"/>
    </w:p>
    <w:p>
      <w:pPr>
        <w:pStyle w:val="BookText"/>
        <w:rPr/>
      </w:pPr>
      <w:bookmarkEnd w:id="69"/>
      <w:r>
        <w:rPr>
          <w:rFonts w:ascii="Amiri" w:hAnsi="Amiri" w:eastAsia="Amiri" w:cs="Amiri"/>
          <w:color w:val="111111"/>
          <w:sz w:val="28"/>
          <w:sz w:val="28"/>
          <w:szCs w:val="28"/>
          <w:rtl w:val="true"/>
          <w:lang w:bidi="ar-SA"/>
        </w:rPr>
        <w:t xml:space="preserve">اَلْمَرافِقِ وَ امْسَحُوا بِرُؤُسِکُمْ وَ أَرْجُلَکُمْ إِلَی الْکَعْبَیْنِ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وهی تدلّ علی أنّ أجزاء الوضوء أربعة،و أمّا النیة و الموالاة و الترتیب وما شاکلها فهی من شرائط الوضوء الّتی لها صلة وثیقة بتلک العبادة،ثبت وجوبها بأدلّة الشروط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الفرائض الأربع المذکورة فی القرآن الکریم،وهی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الوجه،وغسل الیدین إلی المرفقین،ومسح الرأس کلاً أو بعضاً،وغسل الرجلین إلی الکعبین،ولم تزد الحنفیة علیها شیئاً،خلافاً للأئمّة الثلاثة</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وعلیه فالمذهب الحنفی وافق المذهب الجعفری فی عدد الفرائض</w:t>
      </w:r>
      <w:r>
        <w:rPr>
          <w:rFonts w:eastAsia="IRNazanin" w:cs="IRNazanin"/>
          <w:color w:val="111111"/>
          <w:sz w:val="28"/>
          <w:szCs w:val="28"/>
          <w:rtl w:val="true"/>
          <w:lang w:bidi="fa-IR"/>
        </w:rPr>
        <w:t>.</w:t>
      </w:r>
    </w:p>
    <w:p>
      <w:pPr>
        <w:pStyle w:val="Heading4"/>
        <w:numPr>
          <w:ilvl w:val="3"/>
          <w:numId w:val="1"/>
        </w:numPr>
        <w:rPr/>
      </w:pPr>
      <w:bookmarkStart w:id="70" w:name="__RefHeading___Toc362348_581953129"/>
      <w:bookmarkStart w:id="71" w:name="_Toc28"/>
      <w:bookmarkEnd w:id="70"/>
      <w:r>
        <w:rPr>
          <w:rtl w:val="true"/>
        </w:rPr>
        <w:t>المذهب الحنبلی</w:t>
      </w:r>
      <w:bookmarkEnd w:id="71"/>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الوضوء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 المنصوصة،والفرض الخامس الترتیب و الفرض السادس الموالاة</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72" w:name="__RefHeading___Toc362350_581953129"/>
      <w:bookmarkStart w:id="73" w:name="_Toc29"/>
      <w:bookmarkEnd w:id="72"/>
      <w:r>
        <w:rPr>
          <w:rtl w:val="true"/>
        </w:rPr>
        <w:t>المذهب الشافعی</w:t>
      </w:r>
      <w:bookmarkEnd w:id="73"/>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الوضوء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وأربعة منها الأربعة المنصوصة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والفرض السادس الترتیب بین الأعضاء الأربعة المذکورة فی القرآن الکریم</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74" w:name="__RefHeading___Toc362352_581953129"/>
      <w:bookmarkStart w:id="75" w:name="_Toc30"/>
      <w:bookmarkEnd w:id="74"/>
      <w:r>
        <w:rPr>
          <w:rtl w:val="true"/>
        </w:rPr>
        <w:t>المذهب المالکی</w:t>
      </w:r>
      <w:bookmarkEnd w:id="7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الوضوء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النیة،أربعة منها</w:t>
      </w:r>
      <w:bookmarkStart w:id="76" w:name="pg5240_59102"/>
    </w:p>
    <w:p>
      <w:pPr>
        <w:pStyle w:val="BookText"/>
        <w:rPr/>
      </w:pPr>
      <w:bookmarkEnd w:id="76"/>
      <w:r>
        <w:rPr>
          <w:rFonts w:ascii="IRNazanin" w:hAnsi="IRNazanin" w:eastAsia="IRNazanin"/>
          <w:color w:val="111111"/>
          <w:sz w:val="28"/>
          <w:sz w:val="28"/>
          <w:szCs w:val="28"/>
          <w:rtl w:val="true"/>
          <w:lang w:bidi="fa-IR"/>
        </w:rPr>
        <w:t>الأربعة المنصوصة،الفرض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و الفرض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 الأعضاء و هو إمرار الید علی العضو</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77" w:name="__RefHeading___Toc362354_581953129"/>
      <w:bookmarkStart w:id="78" w:name="_Toc31"/>
      <w:bookmarkEnd w:id="77"/>
      <w:r>
        <w:rPr>
          <w:rtl w:val="true"/>
        </w:rPr>
        <w:t>منشأ الاختلاف</w:t>
      </w:r>
      <w:bookmarkEnd w:id="78"/>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المالکیة و الحنفیة علی أنّ الترتیب بین أعضاء الوضوء لیس بفرض بل هو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وخالفهما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الحنابلة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الترتیب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واتّفقت المالکیة و الشافعیة علی أنّ النیة فرض،واختلفت الحنابلة و الحنفیة أیضاً،فقالت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النیة شرط،لافرض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الحنفیة إنّها سنّة</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فتبین لنا أنّ الاختلاف هناک ناشئ عن الاختلاف فی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العامل الرئیسی الّذی أوجب الاختلاف هناک هو عدم تبیین معنی الجزء و الشرط وسنوضّحه فی بحث الشروط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یسهّل الخطب أنّ الفرائض و الشروط کلّها ممّا اتّفقت المذاهب کلّها علی مطلوبیتها وعلیه لایوجد هناک اختلاف من الناحیة العملیة،و أمّا الاختلاف فی السمات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وسنّةً،جزئاً وشرطاً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لامشاحة فیه</w:t>
      </w:r>
      <w:r>
        <w:rPr>
          <w:rFonts w:eastAsia="IRNazanin" w:cs="IRNazanin"/>
          <w:color w:val="111111"/>
          <w:sz w:val="28"/>
          <w:szCs w:val="28"/>
          <w:rtl w:val="true"/>
          <w:lang w:bidi="fa-IR"/>
        </w:rPr>
        <w:t>.</w:t>
      </w:r>
    </w:p>
    <w:p>
      <w:pPr>
        <w:pStyle w:val="Heading3"/>
        <w:numPr>
          <w:ilvl w:val="2"/>
          <w:numId w:val="1"/>
        </w:numPr>
        <w:rPr/>
      </w:pPr>
      <w:bookmarkStart w:id="79" w:name="__RefHeading___Toc362356_581953129"/>
      <w:bookmarkStart w:id="80" w:name="_Toc32"/>
      <w:bookmarkEnd w:id="79"/>
      <w:r>
        <w:rPr>
          <w:rtl w:val="true"/>
        </w:rPr>
        <w:t>کیفیة الفرائض</w:t>
      </w:r>
      <w:bookmarkEnd w:id="80"/>
    </w:p>
    <w:p>
      <w:pPr>
        <w:pStyle w:val="BookText"/>
        <w:rPr/>
      </w:pPr>
      <w:r>
        <w:rPr>
          <w:rFonts w:ascii="IRNazanin" w:hAnsi="IRNazanin" w:eastAsia="IRNazanin"/>
          <w:color w:val="111111"/>
          <w:sz w:val="28"/>
          <w:sz w:val="28"/>
          <w:szCs w:val="28"/>
          <w:rtl w:val="true"/>
          <w:lang w:bidi="fa-IR"/>
        </w:rPr>
        <w:t>توجد هناک عدة اختلافات تتعلق بکیفیة الفرائض،أبرزها،الموارد التالیة</w:t>
      </w:r>
      <w:r>
        <w:rPr>
          <w:rFonts w:eastAsia="IRNazanin" w:cs="IRNazanin"/>
          <w:color w:val="111111"/>
          <w:sz w:val="28"/>
          <w:szCs w:val="28"/>
          <w:rtl w:val="true"/>
          <w:lang w:bidi="fa-IR"/>
        </w:rPr>
        <w:t>.</w:t>
      </w:r>
    </w:p>
    <w:p>
      <w:pPr>
        <w:pStyle w:val="Heading3"/>
        <w:numPr>
          <w:ilvl w:val="2"/>
          <w:numId w:val="1"/>
        </w:numPr>
        <w:rPr/>
      </w:pPr>
      <w:bookmarkStart w:id="81" w:name="__RefHeading___Toc362358_581953129"/>
      <w:bookmarkStart w:id="82" w:name="_Toc33"/>
      <w:bookmarkEnd w:id="81"/>
      <w:r>
        <w:rPr>
          <w:rtl w:val="true"/>
        </w:rPr>
        <w:t>حدّ الوجه</w:t>
      </w:r>
      <w:bookmarkEnd w:id="82"/>
    </w:p>
    <w:p>
      <w:pPr>
        <w:pStyle w:val="Heading4"/>
        <w:numPr>
          <w:ilvl w:val="3"/>
          <w:numId w:val="1"/>
        </w:numPr>
        <w:rPr/>
      </w:pPr>
      <w:bookmarkStart w:id="83" w:name="__RefHeading___Toc362360_581953129"/>
      <w:bookmarkStart w:id="84" w:name="_Toc34"/>
      <w:bookmarkEnd w:id="83"/>
      <w:r>
        <w:rPr>
          <w:rtl w:val="true"/>
        </w:rPr>
        <w:t>اشارة</w:t>
      </w:r>
      <w:bookmarkEnd w:id="8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الآراءبالنسبة إلی تحدید الوجه فی الغسل طولاً وعرضاً وتفصیل الاختلاف بما یلی</w:t>
      </w:r>
      <w:r>
        <w:rPr>
          <w:rFonts w:eastAsia="IRNazanin" w:cs="IRNazanin"/>
          <w:color w:val="111111"/>
          <w:sz w:val="28"/>
          <w:szCs w:val="28"/>
          <w:rtl w:val="true"/>
          <w:lang w:bidi="fa-IR"/>
        </w:rPr>
        <w:t>:</w:t>
      </w:r>
      <w:bookmarkStart w:id="85" w:name="pg5240_59103"/>
    </w:p>
    <w:p>
      <w:pPr>
        <w:pStyle w:val="Heading4"/>
        <w:numPr>
          <w:ilvl w:val="3"/>
          <w:numId w:val="1"/>
        </w:numPr>
        <w:rPr/>
      </w:pPr>
      <w:bookmarkStart w:id="86" w:name="__RefHeading___Toc362362_581953129"/>
      <w:bookmarkStart w:id="87" w:name="_Toc35"/>
      <w:bookmarkEnd w:id="85"/>
      <w:bookmarkEnd w:id="86"/>
      <w:r>
        <w:rPr>
          <w:rtl w:val="true"/>
        </w:rPr>
        <w:t>المذهب الجعفری</w:t>
      </w:r>
      <w:bookmarkEnd w:id="87"/>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 الشعر إلی الذقن طولاً،وما اشتمل علیه الإبهام و الوسطی عرضاًَ،والأنزع و الأغم ومن خرج وجهه أو یده عن المتعارف یرجع کلّ منهم إلی المتعارف</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ذلک؛لصحیحة زرارة عن الإمام الباقر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حدّ الوجه الّذی ینبغی أن یوضّأ،الّذی قال الله عزّ وجلّ،فقال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الّذی قال الله وأمر الله عزّ وجلّ بغسله،الّذی لاینبغی لأحد أن یزید علیه ولاینقص منه،إن زاد علیه لم یؤجر،و إن نقص منه 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مادارت علیه الوسطی و الإبهام من قصاص شعر الرأس إلی الذقن وما جرت علیه‌الإصبعان من الوجه مستدیراً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فهومن الوجه،وما سوی ذلک فلیس من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الصدغ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المتدلّی جنب 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الصحیحة وغیرها ممّا وردت فی هذا المقام إنّما هی بصدد توضیح المفهوم المستفاد من الوجه لدی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تحدید الوجه شرعاً علی ماهو معناه المرتکز لدی العرف</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فالتحقیق أنّه لاشکّ فی صدق الوجه عُرفاً علی المقدار المحدّد شرعاً وها هو معناه لغة،قال 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کلّ شیء</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فیصدق الاستقبال و المواجهة علی المعنی المحدّد فی الوجه شرعاً وعرفاً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المحقّق صاحب الجواهر نقلاً عن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آل البیت علیهم السلام </w:t>
      </w:r>
      <w:r>
        <w:rPr>
          <w:rStyle w:val="FootnoteAnchor"/>
          <w:rtl w:val="true"/>
        </w:rPr>
        <w:footnoteReference w:id="38"/>
      </w:r>
      <w:r>
        <w:rPr>
          <w:rFonts w:ascii="IRNazanin" w:hAnsi="IRNazanin" w:eastAsia="IRNazanin"/>
          <w:color w:val="111111"/>
          <w:sz w:val="28"/>
          <w:sz w:val="28"/>
          <w:szCs w:val="28"/>
          <w:rtl w:val="true"/>
          <w:lang w:bidi="fa-IR"/>
        </w:rPr>
        <w:t>وها هو الحدّ علی المذهب المالکی،قال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الوجه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w:t>
      </w:r>
      <w:bookmarkStart w:id="88" w:name="pg5240_59104"/>
    </w:p>
    <w:p>
      <w:pPr>
        <w:pStyle w:val="BookText"/>
        <w:rPr/>
      </w:pPr>
      <w:bookmarkEnd w:id="88"/>
      <w:r>
        <w:rPr>
          <w:rFonts w:ascii="IRNazanin" w:hAnsi="IRNazanin" w:eastAsia="IRNazanin"/>
          <w:color w:val="111111"/>
          <w:sz w:val="28"/>
          <w:sz w:val="28"/>
          <w:szCs w:val="28"/>
          <w:rtl w:val="true"/>
          <w:lang w:bidi="fa-IR"/>
        </w:rPr>
        <w:t>المالکی من منابت شعر الرأس المعتاد إلی منتهی الذقن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تحدید الوجه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البیاض الّذی فوق وتدی الاُذن المتّصل بالرأس من أعلی،لایجب غسله،بل مسحه،لأنّه من الرأس لامن الوجه،ومثله شعر الصدغین فإنّه من الرأس لامن الوجه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وقال 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اللحیة والاُذن لیس من الوجه ولایجب غسله؛لأنّ الوجه ماتحصل به المواجهة و هذا لایواجه به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فلا اختلاف بین المذهبین هناک إلا أنّ المالکیة قالوا بغسل اللحیة،قال ابوالبرکات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غسل جمیع الوجه طولاً من منابت شعر الرأس المعتاد إلی آخر الذقن أو اللحیة</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89" w:name="__RefHeading___Toc362364_581953129"/>
      <w:bookmarkStart w:id="90" w:name="_Toc36"/>
      <w:bookmarkEnd w:id="89"/>
      <w:r>
        <w:rPr>
          <w:rtl w:val="true"/>
        </w:rPr>
        <w:t>المذهب الحنبلی</w:t>
      </w:r>
      <w:bookmarkEnd w:id="9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 متّفقون فی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 وعرضاً مع المالکیة،فقد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شعر الصدغین،والبیاض الّذی فوق وتدی الاُذنین من الرأس لامن الوجه</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91" w:name="__RefHeading___Toc362366_581953129"/>
      <w:bookmarkStart w:id="92" w:name="_Toc37"/>
      <w:bookmarkEnd w:id="91"/>
      <w:r>
        <w:rPr>
          <w:rtl w:val="true"/>
        </w:rPr>
        <w:t>المذهب الحنفی</w:t>
      </w:r>
      <w:bookmarkEnd w:id="9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حدّ الوجه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یبتدئ من منابت شعر الرأس المعتاد،إلی منتهی الذقن؛أمّا حدّ الوجه عرضاً،فإنّه یبتدئ من أصل الاُذن إلی أصل الاُذن الأخری،ویعبّر عنه بعضهم بوتد الاُذن،فالبیاض الموجود بین الذقن وبین الاُذن داخل فی الوجه طبعاً فیجب غسله</w:t>
      </w:r>
      <w:r>
        <w:rPr>
          <w:rFonts w:eastAsia="IRNazanin" w:cs="IRNazanin"/>
          <w:color w:val="111111"/>
          <w:sz w:val="28"/>
          <w:szCs w:val="28"/>
          <w:rtl w:val="true"/>
          <w:lang w:bidi="fa-IR"/>
        </w:rPr>
        <w:t xml:space="preserve">. </w:t>
      </w:r>
      <w:r>
        <w:rPr>
          <w:rStyle w:val="FootnoteAnchor"/>
          <w:rtl w:val="true"/>
        </w:rPr>
        <w:footnoteReference w:id="43"/>
      </w:r>
      <w:bookmarkStart w:id="93" w:name="pg5240_59105"/>
    </w:p>
    <w:p>
      <w:pPr>
        <w:pStyle w:val="Heading4"/>
        <w:numPr>
          <w:ilvl w:val="3"/>
          <w:numId w:val="1"/>
        </w:numPr>
        <w:rPr/>
      </w:pPr>
      <w:bookmarkStart w:id="94" w:name="__RefHeading___Toc362368_581953129"/>
      <w:bookmarkStart w:id="95" w:name="_Toc38"/>
      <w:bookmarkEnd w:id="93"/>
      <w:bookmarkEnd w:id="94"/>
      <w:r>
        <w:rPr>
          <w:rtl w:val="true"/>
        </w:rPr>
        <w:t>المذهب الشافعی</w:t>
      </w:r>
      <w:bookmarkEnd w:id="95"/>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الوجه طولاًَ وعرضاً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ماتقدّم عند الحنفیة،إلا أنّ الشافعیة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ماهو تحت الذقن یجب غسله،و هذا ممّا انفرد به الشافعیة،علی أنّ الشافعیة وافقوا المالکیة و الحنابلة علی أنّ اللحیة الطویلة تتبع الوجه فیفترض غسلها إلی آخرها خلافاً للحنفیة</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قال أبوبکر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ولایجب غسل ما استرسل من اللحیة عندنا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غسل ما استرسل من اللحیة،و قد روی أنّ النبی صلی الله علیه و آله رأی رجلاً غطّی لحیته فی الصلاة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اکشف وجهک،فإنّ اللحیة من الوجه،ولأنّه نابت فی محلّ الفرض یدخل فی اسمه ظاهراً،فأشبه الید الزائدة،ولأنّه یواجه به فیدخل فی اسم الوجه </w:t>
      </w:r>
      <w:r>
        <w:rPr>
          <w:rStyle w:val="FootnoteAnchor"/>
          <w:rtl w:val="true"/>
        </w:rPr>
        <w:footnoteReference w:id="46"/>
      </w:r>
      <w:r>
        <w:rPr>
          <w:rFonts w:ascii="IRNazanin" w:hAnsi="IRNazanin" w:eastAsia="IRNazanin"/>
          <w:color w:val="111111"/>
          <w:sz w:val="28"/>
          <w:sz w:val="28"/>
          <w:szCs w:val="28"/>
          <w:rtl w:val="true"/>
          <w:lang w:bidi="fa-IR"/>
        </w:rPr>
        <w:t>وخالف فیه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أبوحنیفة و الشافعی 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غسل مانزل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الوجه طولاً وعرضاً،لأنّه شعر خارج عن محلّ الفرض،فأشبه مانزل من شعر الرأس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لایجب غسل اللحیة الکثیفة؛لأنّ الله تعالی إنّما أمر بغسل الوجه و هو إسم للبشرة الّتی تحصل بها المواجهة و الشعر لیس بشرة،وما تحته لاتحصل به المواجهة</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أمّا المذهب الجعفری،قال السیدالطباطبائی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الخارج عن‌الحدّ کمسترسل اللحیة فی الطول،وما هو خارج عن ما بین الإبهام و الوسطی فی العرض لایجب غسله </w:t>
      </w:r>
      <w:r>
        <w:rPr>
          <w:rStyle w:val="FootnoteAnchor"/>
          <w:rtl w:val="true"/>
        </w:rPr>
        <w:footnoteReference w:id="48"/>
      </w:r>
      <w:r>
        <w:rPr>
          <w:rFonts w:ascii="IRNazanin" w:hAnsi="IRNazanin" w:eastAsia="IRNazanin"/>
          <w:color w:val="111111"/>
          <w:sz w:val="28"/>
          <w:sz w:val="28"/>
          <w:szCs w:val="28"/>
          <w:rtl w:val="true"/>
          <w:lang w:bidi="fa-IR"/>
        </w:rPr>
        <w:t>ذلک لانتفاء الحکم بانتفاء الموضوع ولعلّه واضح</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الإجماع منعقد علی عدم وجوب غسل ما</w:t>
      </w:r>
      <w:bookmarkStart w:id="96" w:name="pg5240_59106"/>
    </w:p>
    <w:p>
      <w:pPr>
        <w:pStyle w:val="BookText"/>
        <w:rPr/>
      </w:pPr>
      <w:bookmarkEnd w:id="96"/>
      <w:r>
        <w:rPr>
          <w:rFonts w:ascii="IRNazanin" w:hAnsi="IRNazanin" w:eastAsia="IRNazanin"/>
          <w:color w:val="111111"/>
          <w:sz w:val="28"/>
          <w:sz w:val="28"/>
          <w:szCs w:val="28"/>
          <w:rtl w:val="true"/>
          <w:lang w:bidi="fa-IR"/>
        </w:rPr>
        <w:t>استرسل من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علیه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دخوله فی مسمّی الوجه،أو لخروجه عن التحدید کما هو المفروض</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ومهما یکن فلا دلیل علی وجوب غسل اللحیة الطویلة شرعاً وعقلاً</w:t>
      </w:r>
      <w:r>
        <w:rPr>
          <w:rFonts w:eastAsia="IRNazanin" w:cs="IRNazanin"/>
          <w:color w:val="111111"/>
          <w:sz w:val="28"/>
          <w:szCs w:val="28"/>
          <w:rtl w:val="true"/>
          <w:lang w:bidi="fa-IR"/>
        </w:rPr>
        <w:t>.</w:t>
      </w:r>
    </w:p>
    <w:p>
      <w:pPr>
        <w:pStyle w:val="Heading4"/>
        <w:numPr>
          <w:ilvl w:val="3"/>
          <w:numId w:val="1"/>
        </w:numPr>
        <w:rPr/>
      </w:pPr>
      <w:bookmarkStart w:id="97" w:name="__RefHeading___Toc362370_581953129"/>
      <w:bookmarkStart w:id="98" w:name="_Toc39"/>
      <w:bookmarkEnd w:id="97"/>
      <w:r>
        <w:rPr>
          <w:rtl w:val="true"/>
        </w:rPr>
        <w:t>منشأ الاختلاف</w:t>
      </w:r>
      <w:bookmarkEnd w:id="98"/>
    </w:p>
    <w:p>
      <w:pPr>
        <w:pStyle w:val="BookText"/>
        <w:rPr/>
      </w:pPr>
      <w:r>
        <w:rPr>
          <w:rFonts w:ascii="IRNazanin" w:hAnsi="IRNazanin" w:eastAsia="IRNazanin"/>
          <w:color w:val="111111"/>
          <w:sz w:val="28"/>
          <w:sz w:val="28"/>
          <w:szCs w:val="28"/>
          <w:rtl w:val="true"/>
          <w:lang w:bidi="fa-IR"/>
        </w:rPr>
        <w:t>تبین لنا بکلّ وضوح أنّ الاختلاف فی حدّ الوجه ناشئ عن الاختلاف فی مفهوم الوجه سعةً وضیقاً بحسب الاجتهاد،ولم یکن هناک نصّ شارح للمعنی،إلاّ النصّ الوارد من طریق آل‌البیت علیهم السلام و قد مرّ بنا بیانه</w:t>
      </w:r>
      <w:r>
        <w:rPr>
          <w:rFonts w:eastAsia="IRNazanin" w:cs="IRNazanin"/>
          <w:color w:val="111111"/>
          <w:sz w:val="28"/>
          <w:szCs w:val="28"/>
          <w:rtl w:val="true"/>
          <w:lang w:bidi="fa-IR"/>
        </w:rPr>
        <w:t>.</w:t>
      </w:r>
    </w:p>
    <w:p>
      <w:pPr>
        <w:pStyle w:val="Heading3"/>
        <w:numPr>
          <w:ilvl w:val="2"/>
          <w:numId w:val="1"/>
        </w:numPr>
        <w:rPr/>
      </w:pPr>
      <w:bookmarkStart w:id="99" w:name="__RefHeading___Toc362372_581953129"/>
      <w:bookmarkStart w:id="100" w:name="_Toc40"/>
      <w:bookmarkEnd w:id="99"/>
      <w:r>
        <w:rPr>
          <w:rtl w:val="true"/>
        </w:rPr>
        <w:t>کیفیة غسل الیدین</w:t>
      </w:r>
      <w:bookmarkEnd w:id="100"/>
    </w:p>
    <w:p>
      <w:pPr>
        <w:pStyle w:val="Heading4"/>
        <w:numPr>
          <w:ilvl w:val="3"/>
          <w:numId w:val="1"/>
        </w:numPr>
        <w:rPr/>
      </w:pPr>
      <w:bookmarkStart w:id="101" w:name="__RefHeading___Toc362374_581953129"/>
      <w:bookmarkStart w:id="102" w:name="_Toc41"/>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اختلفت الآراء بالنسبة إلی کیفیة الغسل هناک من حیث المبدأ و المنتهی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03" w:name="__RefHeading___Toc362376_581953129"/>
      <w:bookmarkStart w:id="104" w:name="_Toc42"/>
      <w:bookmarkEnd w:id="103"/>
      <w:r>
        <w:rPr>
          <w:rtl w:val="true"/>
        </w:rPr>
        <w:t>المذهب الجعفری</w:t>
      </w:r>
      <w:bookmarkEnd w:id="104"/>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من المرفقین إلی أطراف الأصابع مقدّماً للیمنی علی الیسری ویجب الابتداء بالمرفق و الغسل منه إلی الأسفل عرفاً فلا یجزئ النکس</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والحکم متسالم علیه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التسالم و الإجماع القطعیان و الروایات البیانیة الحاکیة عن وضوء رسول الله صلی الله علیه و آله أضف إلی ذلک صحیحة زرارة وبکیر عن الإمام الباقر علیه السلام عند حکایة فعل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غمس کفّه الیسری فغرف بها</w:t>
      </w:r>
      <w:bookmarkStart w:id="105" w:name="pg5240_59107"/>
    </w:p>
    <w:p>
      <w:pPr>
        <w:pStyle w:val="BookText"/>
        <w:rPr/>
      </w:pPr>
      <w:bookmarkEnd w:id="105"/>
      <w:r>
        <w:rPr>
          <w:rFonts w:ascii="IRNazanin" w:hAnsi="IRNazanin" w:eastAsia="IRNazanin"/>
          <w:color w:val="111111"/>
          <w:sz w:val="28"/>
          <w:sz w:val="28"/>
          <w:szCs w:val="28"/>
          <w:rtl w:val="true"/>
          <w:lang w:bidi="fa-IR"/>
        </w:rPr>
        <w:t>غرفة فأفرغ علی ذراعه الیمنی فغسل بها ذراعه من المرفق إلی الکفّ لایردّها إلی المرفق،ثمّ غمس کفّه الیمنی فأفرغ بها علی ذراعه الیسری من المرفق،وصنع بها مثل ما صنع بالیمنی،ثمّ مسح رأسه و قدمیه ببلل کفّه لم یحدث لهما ماءً جدیداً</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فإنّ اهتمامهما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وبکیر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بحکایة عدم ردّ الإمام الباقر علیه السلام یده إلی المرفق أقوی دلیل علی أنّ ذلک من الخصوصیات المعتبرة فی الوضوء،ثمّ إنّه لا تنافی بین ما ذکرنا وبین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وَ أَیْدِیَکُمْ إِلَی الْمَرافِقِ ، </w:t>
      </w:r>
      <w:r>
        <w:rPr>
          <w:rStyle w:val="FootnoteAnchor"/>
          <w:rtl w:val="true"/>
        </w:rPr>
        <w:footnoteReference w:id="52"/>
      </w:r>
      <w:r>
        <w:rPr>
          <w:rFonts w:ascii="IRNazanin" w:hAnsi="IRNazanin" w:eastAsia="IRNazanin"/>
          <w:color w:val="111111"/>
          <w:sz w:val="28"/>
          <w:sz w:val="28"/>
          <w:szCs w:val="28"/>
          <w:rtl w:val="true"/>
          <w:lang w:bidi="fa-IR"/>
        </w:rPr>
        <w:t>لأنّ الآیة المبارکة إمّا ظاهرة فی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للمغسول،وبیان لما یجب غسله من الید،فإنّ للید،إطلاقات کثیرة،فقد تطلق علی خصوص الأصابع و الأشاجع کما فی آیة السَرِقة،و قد تطلق علی الزند کما فی آیة التیمّم،وثالثة تطلق علی المرفق کما فی آیة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ورابعة تطلق علی المنکب کما هو الحال فی کثیر من الاستعمالات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عزّ من قائل أن یحدّدها ویبین أنّ ما لابدّ من غسله فی الید إنّما هو بهذا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فلا تعرّض للآیة إلی کیفیة غسلها،و إنّما أوْکَلَت بیان ذلک إلی السنّة،وسنّة النبی صلی الله علیه و آله و الأئمة علیهم السلام قد دلّتا علی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أن تغسل من المرفق إلی الأصابع،فالسّنة قد بینت مالم یکن مبیناً فی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الآیة لم تکن ظاهرة فی کون الغایة غایة للمغسول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الأقلّ لیست فی کون الغایة غایة للغسل فلا تعرّض للآیة إلی ذلک</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106" w:name="__RefHeading___Toc362378_581953129"/>
      <w:bookmarkStart w:id="107" w:name="_Toc43"/>
      <w:bookmarkEnd w:id="106"/>
      <w:r>
        <w:rPr>
          <w:rtl w:val="true"/>
        </w:rPr>
        <w:t>المذاهب الاربعة</w:t>
      </w:r>
      <w:bookmarkEnd w:id="10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الأئمة علی غسل الیدین إلی المرفقین</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ولم یتعرّض إلی دلیل تجاه</w:t>
      </w:r>
      <w:bookmarkStart w:id="108" w:name="pg5240_59108"/>
    </w:p>
    <w:p>
      <w:pPr>
        <w:pStyle w:val="BookText"/>
        <w:rPr/>
      </w:pPr>
      <w:bookmarkEnd w:id="108"/>
      <w:r>
        <w:rPr>
          <w:rFonts w:ascii="IRNazanin" w:hAnsi="IRNazanin" w:eastAsia="IRNazanin"/>
          <w:color w:val="111111"/>
          <w:sz w:val="28"/>
          <w:sz w:val="28"/>
          <w:szCs w:val="28"/>
          <w:rtl w:val="true"/>
          <w:lang w:bidi="fa-IR"/>
        </w:rPr>
        <w:t>الکیفیة،فالنقل کإرسال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أن یصبّ الماء علی الکفّ بحیث یسیل الماء من الکفّ إلی المرافق،فإن صبّ الماء علی المرفق حتّی سال الماء إلی الکفّ،فقال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لایجوز؛لأنّه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أَیْدِیَکُمْ إِلَی الْمَرافِقِ فجعل المرافق غایة الغسل،فجعْلهُ مبدأ الغسل خلاف الآیة،فوجب أن لایجوز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جمهور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لایخلّ بصحّة الوضوء،إلا أنّه یکون ترکاً للسنّة </w:t>
      </w:r>
      <w:r>
        <w:rPr>
          <w:rStyle w:val="FootnoteAnchor"/>
          <w:rtl w:val="true"/>
        </w:rPr>
        <w:footnoteReference w:id="55"/>
      </w:r>
      <w:r>
        <w:rPr>
          <w:rFonts w:ascii="IRNazanin" w:hAnsi="IRNazanin" w:eastAsia="IRNazanin"/>
          <w:color w:val="111111"/>
          <w:sz w:val="28"/>
          <w:sz w:val="28"/>
          <w:szCs w:val="28"/>
          <w:rtl w:val="true"/>
          <w:lang w:bidi="fa-IR"/>
        </w:rPr>
        <w:t>وعلیه لایجب غسل الیدین منکوساً علی مذهب جمهور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المستحبّ کما قال الدمشقی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صبّ لنفسه الماء فیستحبّ الابتداء من الأصابع و إن صبّ غیره،فالابتداء من المرافق</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109" w:name="__RefHeading___Toc362380_581953129"/>
      <w:bookmarkStart w:id="110" w:name="_Toc44"/>
      <w:bookmarkEnd w:id="109"/>
      <w:r>
        <w:rPr>
          <w:rtl w:val="true"/>
        </w:rPr>
        <w:t>منشأ الاختلاف</w:t>
      </w:r>
      <w:bookmarkEnd w:id="110"/>
    </w:p>
    <w:p>
      <w:pPr>
        <w:pStyle w:val="BookText"/>
        <w:rPr/>
      </w:pPr>
      <w:r>
        <w:rPr>
          <w:rFonts w:ascii="Amiri" w:hAnsi="Amiri" w:eastAsia="Amiri" w:cs="Amiri"/>
          <w:color w:val="111111"/>
          <w:sz w:val="28"/>
          <w:sz w:val="28"/>
          <w:szCs w:val="28"/>
          <w:rtl w:val="true"/>
          <w:lang w:bidi="ar-SA"/>
        </w:rPr>
        <w:t>إنّ الاختلاف هناک ناشئ عن الاختلاف فی فهم المعنی من آیة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ورکیزة الاختلاف هی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المذکورة فی الآیة وَ أَیْدِیَکُمْ إِلَی الْمَرافِقِ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والحکم علی مطلوبیة الابتداء من الأصابع فی غسل الیدین إنّما یستند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کونها تدلّ علی الانتهاء دلالة تامّة،وعلیه یجب أن یکون منتهی الغسل هو المرافق ویبتدئ من الأصابع طبعاً،والعکس یصبح خلاف ظاهر الآیة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وجوب الابتداء من المرافق فی غسل الید،أوّلاً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آیة الوضوء حدّدت المغسول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ولاتعرّض لها لکیفیة الغسل،وعلیه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للمغسول ولم تکن غایة للغسل،کما 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بهذا الحدّ،فبقی الواجب هو هذا القدر فقط،أمّا نفس الغسل فغیر محدود بهذا الحد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التحدید فی الآیة الکریمة یرتبط بکمّیة العمل ولایتعلّق</w:t>
      </w:r>
    </w:p>
    <w:p>
      <w:pPr>
        <w:pStyle w:val="BookText"/>
        <w:rPr/>
      </w:pPr>
      <w:r>
        <w:rPr>
          <w:rFonts w:ascii="IRNazanin" w:hAnsi="IRNazanin" w:eastAsia="IRNazanin"/>
          <w:color w:val="111111"/>
          <w:sz w:val="28"/>
          <w:sz w:val="28"/>
          <w:szCs w:val="28"/>
          <w:rtl w:val="true"/>
          <w:lang w:bidi="fa-IR"/>
        </w:rPr>
        <w:t>بکیفیة العمل؛وذلک کما لو أمر المولی عبده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الجدار إلی النصف،یدلّ الأمر علی أنّ المقدار الّذی لابدّ من تبییضه هو هذا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دلالة له علی کیفیة التبییض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إنّ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تکون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تدلّ علی الانتهاء مطلقاً 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تستعمل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یَزِدْکُمْ قُوَّةً إِلی قُوَّتِکُمْ</w:t>
      </w:r>
      <w:r>
        <w:rPr>
          <w:rFonts w:eastAsia="Amiri" w:cs="Amiri" w:ascii="Amiri" w:hAnsi="Amiri"/>
          <w:color w:val="111111"/>
          <w:sz w:val="28"/>
          <w:szCs w:val="28"/>
          <w:rtl w:val="true"/>
          <w:lang w:bidi="ar-SA"/>
        </w:rPr>
        <w:t xml:space="preserve">... .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 قوّتکم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أَمْوالَهُمْ إِلی أَمْوالِکُمْ</w:t>
      </w:r>
      <w:r>
        <w:rPr>
          <w:rFonts w:eastAsia="Amiri" w:cs="Amiri" w:ascii="Amiri" w:hAnsi="Amiri"/>
          <w:color w:val="111111"/>
          <w:sz w:val="28"/>
          <w:szCs w:val="28"/>
          <w:rtl w:val="true"/>
          <w:lang w:bidi="ar-SA"/>
        </w:rPr>
        <w:t xml:space="preserve">... :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أَنْصارِی إِلَی اللّهِ</w:t>
      </w:r>
      <w:r>
        <w:rPr>
          <w:rFonts w:eastAsia="Amiri" w:cs="Amiri" w:ascii="Amiri" w:hAnsi="Amiri"/>
          <w:color w:val="111111"/>
          <w:sz w:val="28"/>
          <w:szCs w:val="28"/>
          <w:rtl w:val="true"/>
          <w:lang w:bidi="ar-SA"/>
        </w:rPr>
        <w:t xml:space="preserve">... . </w:t>
      </w:r>
      <w:r>
        <w:rPr>
          <w:rStyle w:val="FootnoteAnchor"/>
          <w:rtl w:val="true"/>
        </w:rPr>
        <w:footnoteReference w:id="60"/>
      </w:r>
      <w:r>
        <w:rPr>
          <w:rFonts w:ascii="IRNazanin" w:hAnsi="IRNazanin" w:eastAsia="IRNazanin"/>
          <w:color w:val="111111"/>
          <w:sz w:val="28"/>
          <w:sz w:val="28"/>
          <w:szCs w:val="28"/>
          <w:rtl w:val="true"/>
          <w:lang w:bidi="fa-IR"/>
        </w:rPr>
        <w:t>فکان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للغایة،قلنا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ویؤکّده 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تدلّ علی الانتهاء إذا کان فی بدایة الکلام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من النجف إلی قم،وإلاّ فلا دلالة لها علیه،کما أنّ فی تلک الآیات ذُکِرَت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ولاتدلّ علی الانتهاء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حسن الحظّ أنّ فی آیة الوضوء أیضاً ذکرت الکلمة وحدها فتکون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 علی أنّه یجب غسل الید مع المرفق 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 تحدید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لاتدلّ علی کیفیة الغسل وعلیه لم یلتزم أحد من القائلین بغسل الرجلین أنّ الغسل هناک یبتدئ من الأصابع وینتهی إلی الکعبین؛لأنّ الآیة إنّما تکون فی جهة بیان کمّیة العمل ولم تکن فی جهة بیان کیفیته،ومن الطبیعی أنّ الکیفیة تتّخذ مناهجها من النصوص</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بنا ورود النصّ الصحیح من طریق آل‌البیت علیهم السلام الدالّ علی کیفیة الغسل؛فصرّح النّص أنّ غسل الید یبتدئ من الأصابع وینتهی إلی المرافق،مضافاً إلی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صورة الغسل علی هذا المنهج صورة طبیعیة تنطبق علی ما هو المتعارف بین الناس،و أمّا الغسل منکوسا فهو علی خلاف الاُسلوب الطبیعی وخلاف المتعارف فلا یمکن المساعدة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یسهّل الخطب،أنّ جمهور الفقهاء من أبناء السنّة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الکیفیة لم تکن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بنا بیان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لامانع من الحکم بصحّة الوضوء علی کافّة المذاهب،بما وافق 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من المرافق إلی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أوثق المناهج وأحوطها</w:t>
      </w:r>
      <w:r>
        <w:rPr>
          <w:rFonts w:eastAsia="IRNazanin" w:cs="IRNazanin"/>
          <w:color w:val="111111"/>
          <w:sz w:val="28"/>
          <w:szCs w:val="28"/>
          <w:rtl w:val="true"/>
          <w:lang w:bidi="fa-IR"/>
        </w:rPr>
        <w:t>.</w:t>
      </w:r>
      <w:bookmarkStart w:id="111" w:name="pg5240_59111"/>
    </w:p>
    <w:p>
      <w:pPr>
        <w:pStyle w:val="Heading3"/>
        <w:numPr>
          <w:ilvl w:val="2"/>
          <w:numId w:val="1"/>
        </w:numPr>
        <w:rPr/>
      </w:pPr>
      <w:bookmarkStart w:id="112" w:name="__RefHeading___Toc362382_581953129"/>
      <w:bookmarkStart w:id="113" w:name="_Toc45"/>
      <w:bookmarkEnd w:id="111"/>
      <w:bookmarkEnd w:id="112"/>
      <w:r>
        <w:rPr>
          <w:rtl w:val="true"/>
        </w:rPr>
        <w:t>الخلاصة</w:t>
      </w:r>
      <w:bookmarkEnd w:id="113"/>
    </w:p>
    <w:p>
      <w:pPr>
        <w:pStyle w:val="BookText"/>
        <w:rPr/>
      </w:pPr>
      <w:r>
        <w:rPr>
          <w:rFonts w:ascii="IRNazanin" w:hAnsi="IRNazanin" w:eastAsia="IRNazanin"/>
          <w:color w:val="111111"/>
          <w:sz w:val="28"/>
          <w:sz w:val="28"/>
          <w:szCs w:val="28"/>
          <w:rtl w:val="true"/>
          <w:lang w:bidi="fa-IR"/>
        </w:rPr>
        <w:t>أجزاء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الغسلتان و المسحتان علی المذهب الجعفری و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الحنبلی و المذهب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الوجه فی الغسل هو من قصاص الشعر إلی الذقن طولاً وما اشتمل علیه الإبهام و الوسطی عرضاً،علی المذهب الجعفری و المذهب المالکی و المذهب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الوجه علی المذهب الحنفی و الشافعی،طولاً هو ما عند المذاهب الاُخری و أمّا عرضاً فهو البیاض الموجود بین الذقن وبین الاُذن من الوجه إلا أنّ الشافعی انفرد بوجوب غسل ما تحت الذقن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لایجب غسل ما استرسل من اللحیة علی المذهب الجعفری و الحنفی ویجب علی المذاهب الاُخری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غسل الیدین من المرفقین إلی الأصابع علی المذهب الجعفری علی عکس المذاهب الأربعة</w:t>
      </w:r>
      <w:r>
        <w:rPr>
          <w:rFonts w:eastAsia="IRNazanin" w:cs="IRNazanin"/>
          <w:color w:val="111111"/>
          <w:sz w:val="28"/>
          <w:szCs w:val="28"/>
          <w:rtl w:val="true"/>
          <w:lang w:bidi="fa-IR"/>
        </w:rPr>
        <w:t>.</w:t>
      </w:r>
      <w:bookmarkStart w:id="114" w:name="pg5240_59112"/>
    </w:p>
    <w:p>
      <w:pPr>
        <w:pStyle w:val="Heading3"/>
        <w:numPr>
          <w:ilvl w:val="2"/>
          <w:numId w:val="1"/>
        </w:numPr>
        <w:rPr/>
      </w:pPr>
      <w:bookmarkStart w:id="115" w:name="__RefHeading___Toc362384_581953129"/>
      <w:bookmarkStart w:id="116" w:name="_Toc46"/>
      <w:bookmarkEnd w:id="114"/>
      <w:bookmarkEnd w:id="115"/>
      <w:r>
        <w:rPr>
          <w:rtl w:val="true"/>
        </w:rPr>
        <w:t>الأسئلة</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حدّ الوجه علی المذهب الجعفری و المذهب المالکی؟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منشأ الاختلاف فی حدّ الوجه هناک؟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وجوب غسل الیدین من الأصابع إلی المرفقین؟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منشأ الاختلاف فی کیفیة غسل الیدین؟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غسل الیدین منکوساً علی المذاهب الأربعة؟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w:t>
      </w:r>
      <w:bookmarkStart w:id="117" w:name="pg5240_59114"/>
    </w:p>
    <w:p>
      <w:pPr>
        <w:pStyle w:val="Heading2"/>
        <w:numPr>
          <w:ilvl w:val="1"/>
          <w:numId w:val="1"/>
        </w:numPr>
        <w:rPr/>
      </w:pPr>
      <w:bookmarkStart w:id="118" w:name="__RefHeading___Toc362386_581953129"/>
      <w:bookmarkStart w:id="119" w:name="_Toc47"/>
      <w:bookmarkEnd w:id="117"/>
      <w:bookmarkEnd w:id="118"/>
      <w:r>
        <w:rPr/>
        <w:t>3</w:t>
      </w:r>
      <w:r>
        <w:rPr>
          <w:rtl w:val="true"/>
        </w:rPr>
        <w:t xml:space="preserve">- </w:t>
      </w:r>
      <w:r>
        <w:rPr>
          <w:rtl w:val="true"/>
        </w:rPr>
        <w:t xml:space="preserve">فرائض الوضوء </w:t>
      </w:r>
      <w:r>
        <w:rPr>
          <w:rtl w:val="true"/>
        </w:rPr>
        <w:t>(</w:t>
      </w:r>
      <w:r>
        <w:rPr/>
        <w:t>2</w:t>
      </w:r>
      <w:r>
        <w:rPr>
          <w:rtl w:val="true"/>
        </w:rPr>
        <w:t>)</w:t>
      </w:r>
      <w:bookmarkEnd w:id="119"/>
    </w:p>
    <w:p>
      <w:pPr>
        <w:pStyle w:val="Heading3"/>
        <w:numPr>
          <w:ilvl w:val="2"/>
          <w:numId w:val="1"/>
        </w:numPr>
        <w:rPr/>
      </w:pPr>
      <w:bookmarkStart w:id="120" w:name="__RefHeading___Toc362388_581953129"/>
      <w:bookmarkStart w:id="121" w:name="_Toc48"/>
      <w:bookmarkEnd w:id="120"/>
      <w:r>
        <w:rPr>
          <w:rtl w:val="true"/>
        </w:rPr>
        <w:t>تحدید المسح بالرأس</w:t>
      </w:r>
      <w:bookmarkEnd w:id="121"/>
    </w:p>
    <w:p>
      <w:pPr>
        <w:pStyle w:val="Heading4"/>
        <w:numPr>
          <w:ilvl w:val="3"/>
          <w:numId w:val="1"/>
        </w:numPr>
        <w:rPr/>
      </w:pPr>
      <w:bookmarkStart w:id="122" w:name="__RefHeading___Toc362390_581953129"/>
      <w:bookmarkStart w:id="123" w:name="_Toc49"/>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اختلفت الآراء بالنسبة إلی مسح الرأس من حیث المقدار المطلوب من المسح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24" w:name="__RefHeading___Toc362392_581953129"/>
      <w:bookmarkStart w:id="125" w:name="_Toc50"/>
      <w:bookmarkEnd w:id="124"/>
      <w:r>
        <w:rPr>
          <w:rtl w:val="true"/>
        </w:rPr>
        <w:t>المذهب الجعفری</w:t>
      </w:r>
      <w:bookmarkEnd w:id="125"/>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بما بقی من البلّة فی الید،ویجب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الربع المقدّم من الرأس ویکفی المسمّی</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مایسمّی به مسحاً ویختصّ المسح مقدّم الرأس ویجب أن یکون بنداوة الوضوء</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یکون کذلک إجماعاً کما عن مجمع البیان،و هو الّذی یقتضیه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Style w:val="FootnoteAnchor"/>
          <w:rtl w:val="true"/>
        </w:rPr>
        <w:footnoteReference w:id="64"/>
      </w:r>
      <w:bookmarkStart w:id="126" w:name="pg5240_59115"/>
    </w:p>
    <w:p>
      <w:pPr>
        <w:pStyle w:val="BookText"/>
        <w:rPr/>
      </w:pPr>
      <w:bookmarkEnd w:id="126"/>
      <w:r>
        <w:rPr>
          <w:rFonts w:ascii="IRNazanin" w:hAnsi="IRNazanin" w:eastAsia="IRNazanin"/>
          <w:color w:val="111111"/>
          <w:sz w:val="28"/>
          <w:sz w:val="28"/>
          <w:szCs w:val="28"/>
          <w:rtl w:val="true"/>
          <w:lang w:bidi="fa-IR"/>
        </w:rPr>
        <w:t>ویمکننا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مسمّی المسح فی مقدّم الرأس بنداوة الوضوء هو القدر المتیقّن من الأدلّة،والأزید من ذلک مشکوک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فلاریب فی أنّ 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الواجب من مسح الرأس ما یسمّی مسحاً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الأقوی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 </w:t>
      </w:r>
      <w:r>
        <w:rPr>
          <w:rStyle w:val="FootnoteAnchor"/>
          <w:rtl w:val="true"/>
        </w:rPr>
        <w:footnoteReference w:id="65"/>
      </w:r>
      <w:r>
        <w:rPr>
          <w:rFonts w:ascii="IRNazanin" w:hAnsi="IRNazanin" w:eastAsia="IRNazanin"/>
          <w:color w:val="111111"/>
          <w:sz w:val="28"/>
          <w:sz w:val="28"/>
          <w:szCs w:val="28"/>
          <w:rtl w:val="true"/>
          <w:lang w:bidi="fa-IR"/>
        </w:rPr>
        <w:t>مع تفسیرها بالصحیح أنّ المراد بها بعض الرأس لمکان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إطلاق کثیر من الأخبار الآمرة بالمسح علی مقدّم الرأس</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ومن النصوص الواردة هناک،صحیحة زرارة عن الإمام الباقر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یجزئها من مسح الرأس أن تمسح مقدّمه قدر ثلاثة أصابع ولاتلقی عنها خمارها</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وهی تدلّ علی تعیین محلّ المسح من الرأس ومقداره،دلالة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الاُخری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وتر،یحبّ الوتر،فقد یجزیک من الوضوء ثلاث غرفات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للوجه،واثنتان للذراعین،وتمسح ببلّة‌یمناک ناصیتک،وما بقی من بلّة‌یمینک ظهر قدمک الیمنی،وتمسح ببلّة یسارک ظهر قدمک الیسری</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والدلالة تامّة وها هو الرأی علی المذهب الشافعی کما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 مسح ما یقع علیه الإسم</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127" w:name="__RefHeading___Toc362394_581953129"/>
      <w:bookmarkStart w:id="128" w:name="_Toc51"/>
      <w:bookmarkEnd w:id="127"/>
      <w:r>
        <w:rPr>
          <w:rtl w:val="true"/>
        </w:rPr>
        <w:t>المذاهب الاربعة</w:t>
      </w:r>
      <w:bookmarkEnd w:id="12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الحنابلة و المالکیة علی أنّ مسح جمیع الرأس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bookmarkStart w:id="129" w:name="pg5240_59116"/>
    </w:p>
    <w:p>
      <w:pPr>
        <w:pStyle w:val="BookText"/>
        <w:rPr/>
      </w:pPr>
      <w:bookmarkEnd w:id="129"/>
      <w:r>
        <w:rPr>
          <w:rFonts w:ascii="IRNazanin" w:hAnsi="IRNazanin" w:eastAsia="IRNazanin"/>
          <w:color w:val="111111"/>
          <w:sz w:val="28"/>
          <w:sz w:val="28"/>
          <w:szCs w:val="28"/>
          <w:rtl w:val="true"/>
          <w:lang w:bidi="fa-IR"/>
        </w:rPr>
        <w:t>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الاُذنان من الرأس فیفترض مسح‌هما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واتّفقت الحنفیة و الشافعیة علی أنّ المفروض مسح بعض الرأس،ولکنّ الشافعیة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مسح بعض الرأس ولو یسیراً،قال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بعض رأسه أجزأه وإحتج بأن النبی صلی الله علیه و آله مسح بناصیته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أمّا الحنفیة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مسح ربع الرأس،و هو مقدار کفّ الید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 من أجاز مسح البعض بأنّ عثمان مسح مقدّم رأسه بیده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یستأنف له ماءً جدیداً،حین حکی وضوء النبی صلی الله علیه و آله،رواه السعید؛ولأنّ من مسح بعض رأسه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برأسه،کما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برأس الیتیم وقبّل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بعض من ینصر ذلک أنّ الباء للتبعیض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بعض رؤوسکم 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مسح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،والباء للإلصاق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رؤوسکم،فیتناول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توضّأ مسح رأسه کلّه</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30" w:name="__RefHeading___Toc362396_581953129"/>
      <w:bookmarkStart w:id="131" w:name="_Toc52"/>
      <w:bookmarkEnd w:id="130"/>
      <w:r>
        <w:rPr>
          <w:rtl w:val="true"/>
        </w:rPr>
        <w:t>منشأ الاختلاف</w:t>
      </w:r>
      <w:bookmarkEnd w:id="131"/>
    </w:p>
    <w:p>
      <w:pPr>
        <w:pStyle w:val="BookText"/>
        <w:rPr/>
      </w:pPr>
      <w:r>
        <w:rPr>
          <w:rFonts w:ascii="IRNazanin" w:hAnsi="IRNazanin" w:eastAsia="IRNazanin"/>
          <w:color w:val="111111"/>
          <w:sz w:val="28"/>
          <w:sz w:val="28"/>
          <w:szCs w:val="28"/>
          <w:rtl w:val="true"/>
          <w:lang w:bidi="fa-IR"/>
        </w:rPr>
        <w:t>تبین لنا أنّ الاختلاف فی حدّ المسح ناشئ عن الاختلاف فی فهم المعنی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ورکیزة الاختلاف هی تطبیق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مایصدق علیه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التطبیق فی ذاک الحقل بحسب الاختلاف فی الاجتهاد،وعلیه فالأفضل أن نستنبط الحکم من الآیة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الشافعی 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المندیل،فهذا لایصدق إلاّ عند مسحه بالکلّیة،أمّا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یدی بالمندیل فهذا یکفی فی صدقه</w:t>
      </w:r>
      <w:bookmarkStart w:id="132" w:name="pg5240_59117"/>
    </w:p>
    <w:p>
      <w:pPr>
        <w:pStyle w:val="BookText"/>
        <w:rPr/>
      </w:pPr>
      <w:bookmarkEnd w:id="132"/>
      <w:r>
        <w:rPr>
          <w:rFonts w:ascii="IRNazanin" w:hAnsi="IRNazanin" w:eastAsia="IRNazanin"/>
          <w:color w:val="111111"/>
          <w:sz w:val="28"/>
          <w:sz w:val="28"/>
          <w:szCs w:val="28"/>
          <w:rtl w:val="true"/>
          <w:lang w:bidi="fa-IR"/>
        </w:rPr>
        <w:t>علی مسح الیدین بجزء من أجزاء ذلک المندیل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العمل به مسح الید بجزء من أجزاء الرأس،ثمّ ذلک الجزء غیر مقدّر فی الآیة،فإن أوجبنا تقدیره بمقدار معین لم یمکن تعیین ذلک المقدار إلاّ بدلیل مغایر لهذه الآیة فیلزم صیرورة الآیة مجملة و هو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فیه إیقاع المسح علی أی جزء کان من أجزاء الرأس کانت الآیة مبینة مفیدة؛ومعلوم أنّ حمل الآیة علی محمل تبقی الآیة معه مفیدة،أولی من حملها علی محمل تبقی الآیة معه مجملة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المصیر إلی ما قلناه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استنباط حسن من الآیة</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هذا هو الاستنباط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المسح و الغسل ممّا یتعدّی إلی المفعول بنفسه من دون حاجة إلی الاستعانة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رؤوسَکم وأرجلَکم من دون الإتیان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فالإتیان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الحاجة إلی إتیانها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وتغییر اسلوب الکلام یدلّنا علی أنّ المراد فی الأمر بمسح الرأس إنّما هو مسح البعض،بخلاف الأمر بالغسل فی الوجه و الیدین فإنّ المراد منه غسل الجمیع دون البعض</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ویؤکّده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الإلصاق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یدلّنا علی اللصق فحسب،وعلیه یکفی مسمّی اللصق و هذا ینسحب علی مسمّی المسح</w:t>
      </w:r>
      <w:r>
        <w:rPr>
          <w:rFonts w:eastAsia="IRNazanin" w:cs="IRNazanin"/>
          <w:color w:val="111111"/>
          <w:sz w:val="28"/>
          <w:szCs w:val="28"/>
          <w:rtl w:val="true"/>
          <w:lang w:bidi="fa-IR"/>
        </w:rPr>
        <w:t>.</w:t>
      </w:r>
    </w:p>
    <w:p>
      <w:pPr>
        <w:pStyle w:val="Heading3"/>
        <w:numPr>
          <w:ilvl w:val="2"/>
          <w:numId w:val="1"/>
        </w:numPr>
        <w:rPr/>
      </w:pPr>
      <w:bookmarkStart w:id="133" w:name="__RefHeading___Toc362398_581953129"/>
      <w:bookmarkStart w:id="134" w:name="_Toc53"/>
      <w:bookmarkEnd w:id="133"/>
      <w:r>
        <w:rPr>
          <w:rtl w:val="true"/>
        </w:rPr>
        <w:t>مسح الرجلین وغسلهما</w:t>
      </w:r>
      <w:bookmarkEnd w:id="134"/>
    </w:p>
    <w:p>
      <w:pPr>
        <w:pStyle w:val="Heading4"/>
        <w:numPr>
          <w:ilvl w:val="3"/>
          <w:numId w:val="1"/>
        </w:numPr>
        <w:rPr/>
      </w:pPr>
      <w:bookmarkStart w:id="135" w:name="__RefHeading___Toc362400_581953129"/>
      <w:bookmarkStart w:id="136" w:name="_Toc54"/>
      <w:bookmarkEnd w:id="135"/>
      <w:r>
        <w:rPr>
          <w:rtl w:val="true"/>
        </w:rPr>
        <w:t>اشارة</w:t>
      </w:r>
      <w:bookmarkEnd w:id="1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إختلف الآراء بالنسبة إلی الفرض الّذی یتعلّق بالرجلین مسحاً وغسلاً وتفصیل الاختلاف بمایلی</w:t>
      </w:r>
      <w:r>
        <w:rPr>
          <w:rFonts w:eastAsia="IRNazanin" w:cs="IRNazanin"/>
          <w:color w:val="111111"/>
          <w:sz w:val="28"/>
          <w:szCs w:val="28"/>
          <w:rtl w:val="true"/>
          <w:lang w:bidi="fa-IR"/>
        </w:rPr>
        <w:t>:</w:t>
      </w:r>
      <w:bookmarkStart w:id="137" w:name="pg5240_59118"/>
    </w:p>
    <w:p>
      <w:pPr>
        <w:pStyle w:val="Heading4"/>
        <w:numPr>
          <w:ilvl w:val="3"/>
          <w:numId w:val="1"/>
        </w:numPr>
        <w:rPr/>
      </w:pPr>
      <w:bookmarkStart w:id="138" w:name="__RefHeading___Toc362402_581953129"/>
      <w:bookmarkStart w:id="139" w:name="_Toc55"/>
      <w:bookmarkEnd w:id="137"/>
      <w:bookmarkEnd w:id="138"/>
      <w:r>
        <w:rPr>
          <w:rtl w:val="true"/>
        </w:rPr>
        <w:t>المذهب الجعفری</w:t>
      </w:r>
      <w:bookmarkEnd w:id="139"/>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 من رؤوس الأصابع إلی الکعبین وهما قبّتا القدمین،والمفصل بین الساق و القدم و هو الأحوط،ویکفی المسمی عرضاً،والأفضل أن یکون بمقدار عرض ثلاثة أصابع،وأفضل من ذلک مسح تمام ظهر القدم،ویجزئ الابتداء بالأصابع وبالکعبین و الأحوط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الأحوط تقدیم الرجل الیمنی علی الیسری</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مسح الرجلین؛للآیة المبارکة و الأخبار المتضافرة بل لایبعد دعوی تواترها،أمّا الآیة المبارکة فهوقوله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أو النصب علی اختلاف القراءتین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بالجرّ تکون معطوفة علی رؤوسکم،ومعناه فامسحوا برؤوسکم،وامسحوا بأرجلکم،و إذا قرأنا بالنصب کما هو قرائة عاصم فی روایة حفص و هو الّذی‌کتب القرآن علی قراءته،فتکون معطوفة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وامسحوا 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کلا التقدیرین تدلّنا الآیة المبارکة علی وجوب مسح الرجلین،واحتمال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قرائة النصب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معنی الآیة المبارکة فاغسلوا وجوهکم وامسحوا برؤوسکم واغسلوا أرجلکم،فهو ممّا لایناسب الأدیب؛لعدم جواز الفصل بین المعطوف و المعطوف علیه،بالجملة الأجنبیة،فضلاً عن کلام الخالق الّذی هو فی أرقی درجات البلاغة و الإعجاز</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فقد ورد الأمر بالمسح علی الرجلین فی جملة من الأخبار الکثیرة</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یجزیک من الوضوء ثلاث غرفات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للوجه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واثنان للذارعین،وتمسح ببلّة یمناک ناصیتک،وما بقی من بلّة یمینک،ظهر قدمک الیمنی،وتمسح ببلّة یسارک ظهر قدمک الیسری</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والدلالة تامّة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فروض الوضوء مسح الرجلین؛إجماعاً عند الإمامیة محصّلاً ومنقولاً،بل هو من ضروریات مذهبهم،وأخبارهم به متواترة،بل فی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أکثر من عدد الرمل و الحصی،بل رَووه مخالفوهم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بالجرّ،فی قرائة ابن‌کثیر وأبی‌عمرو،وحمزة،وفی روایة أبی‌بکر عن عاصم،بل قیل أنّها مجمع علیها،وأنّها هی القرائة،المنزلة،بخلاف قرائة النصب فإنّها مختلف فیها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ویؤیده‌خبرغالب‌بن الهذیل </w:t>
      </w:r>
      <w:r>
        <w:rPr>
          <w:rStyle w:val="FootnoteAnchor"/>
          <w:rtl w:val="true"/>
        </w:rPr>
        <w:footnoteReference w:id="78"/>
      </w:r>
      <w:r>
        <w:rPr>
          <w:rFonts w:ascii="IRNazanin" w:hAnsi="IRNazanin" w:eastAsia="IRNazanin"/>
          <w:color w:val="111111"/>
          <w:sz w:val="28"/>
          <w:sz w:val="28"/>
          <w:szCs w:val="28"/>
          <w:rtl w:val="true"/>
          <w:lang w:bidi="fa-IR"/>
        </w:rPr>
        <w:t>من طریق الأصحاب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أباجعفر الإمام الباقر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الخفض هی أم علی‌النصب؟قال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علی الخفض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لو سلمنا قرائة النصب کما نقلت عن نافع وابن‌عامر و الکسائی،وفی روایة حفص عن عاصم،فهی غیر منافیة لها 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علی‌العطف علی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والقرائة الثانیة علی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مجرور منصوب محلاً ودعوی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أومحلاً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أولی من 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النصب معطوفة علی لفظ 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 أنّ العطف علی</w:t>
      </w:r>
      <w:bookmarkStart w:id="140" w:name="pg5240_59120"/>
    </w:p>
    <w:p>
      <w:pPr>
        <w:pStyle w:val="BookText"/>
        <w:rPr/>
      </w:pPr>
      <w:bookmarkEnd w:id="140"/>
      <w:r>
        <w:rPr>
          <w:rFonts w:ascii="IRNazanin" w:hAnsi="IRNazanin" w:eastAsia="IRNazanin"/>
          <w:color w:val="111111"/>
          <w:sz w:val="28"/>
          <w:sz w:val="28"/>
          <w:szCs w:val="28"/>
          <w:rtl w:val="true"/>
          <w:lang w:bidi="fa-IR"/>
        </w:rPr>
        <w:t>المحلّ أولی للقرب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وعدم صحّة العطف علی الأیدی للفصل؛وللإخلال بالفصاحة من الانتقال عن جملة إلی اخری أجنبیة قبل إتمام الفرض،بل فیه إغراء بالجهل،ومنافاة للفرض </w:t>
      </w:r>
      <w:r>
        <w:rPr>
          <w:rStyle w:val="FootnoteAnchor"/>
          <w:rtl w:val="true"/>
        </w:rPr>
        <w:footnoteReference w:id="79"/>
      </w:r>
      <w:r>
        <w:rPr>
          <w:rFonts w:ascii="IRNazanin" w:hAnsi="IRNazanin" w:eastAsia="IRNazanin"/>
          <w:color w:val="111111"/>
          <w:sz w:val="28"/>
          <w:sz w:val="28"/>
          <w:szCs w:val="28"/>
          <w:rtl w:val="true"/>
          <w:lang w:bidi="fa-IR"/>
        </w:rPr>
        <w:t>وعلیه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المسح یتّسق مع الصیاغة الأدبیة،وترکیب الکلمات فی الآیة،فإذا تبدّلت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الاُسلوب إلی لغة اخری،یستفاد من تلک الصیاغة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الغسلتان و المسحتان،بکلّ وضوح وبدون أیة شبهة</w:t>
      </w:r>
      <w:r>
        <w:rPr>
          <w:rFonts w:eastAsia="IRNazanin" w:cs="IRNazanin"/>
          <w:color w:val="111111"/>
          <w:sz w:val="28"/>
          <w:szCs w:val="28"/>
          <w:rtl w:val="true"/>
          <w:lang w:bidi="fa-IR"/>
        </w:rPr>
        <w:t>.</w:t>
      </w:r>
    </w:p>
    <w:p>
      <w:pPr>
        <w:pStyle w:val="Heading4"/>
        <w:numPr>
          <w:ilvl w:val="3"/>
          <w:numId w:val="1"/>
        </w:numPr>
        <w:rPr/>
      </w:pPr>
      <w:bookmarkStart w:id="141" w:name="__RefHeading___Toc362404_581953129"/>
      <w:bookmarkStart w:id="142" w:name="_Toc56"/>
      <w:bookmarkEnd w:id="141"/>
      <w:r>
        <w:rPr>
          <w:rtl w:val="true"/>
        </w:rPr>
        <w:t>المذاهب الاربعة</w:t>
      </w:r>
      <w:bookmarkEnd w:id="142"/>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الأئمّة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غسل الرجلین إلی الکعبین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الرجلین واجب فی قول أکثر أهل العلم،وقال عبدالرحمن ابن أبی لیلی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 رسول الله صلی الله علیه و آله علی غسل القدمین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عن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مسح علی نعلیه و قدمیه ثمّ دخل المسجد فخلع نعلیه،ثمّ صلّی،وحکی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فی کتاب الله إلاّ غسلتین ومسحتین،وروی عن أنس‌بن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ذکر له قول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القدمین،فقال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وکذب الحجّاج،وتلا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عن الشعبی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مغسولان وممسوحان،فالممسوحان یسقطان فی التیمم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یعلم من فقهاء المسلمین من یقول بالمسح علی الرجلین غیر ماذکرنا،إلاّ ما حکی عن ابن‌جریر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مخیر بین المسح و الغسل واحتجّ بظاهر الآیة،وبما روی ابن‌عبّاس،وقال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هیثم أخبرنا یعلی‌بن عطاء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أوس‌بن أبی‌أوس الثقفی أنّه رأی النبی صلی الله علیه و آله أتی کظامة قوم بالطائف،فتوضّأ ومسح</w:t>
      </w:r>
      <w:bookmarkStart w:id="143" w:name="pg5240_59121"/>
    </w:p>
    <w:p>
      <w:pPr>
        <w:pStyle w:val="BookText"/>
        <w:rPr/>
      </w:pPr>
      <w:bookmarkEnd w:id="143"/>
      <w:r>
        <w:rPr>
          <w:rFonts w:ascii="IRNazanin" w:hAnsi="IRNazanin" w:eastAsia="IRNazanin"/>
          <w:color w:val="111111"/>
          <w:sz w:val="28"/>
          <w:sz w:val="28"/>
          <w:szCs w:val="28"/>
          <w:rtl w:val="true"/>
          <w:lang w:bidi="fa-IR"/>
        </w:rPr>
        <w:t>علی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هیثم کان هذا فی أوّل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أنّ عبدالله‌بن زید وعثمان حکیا وضوء رسول‌الله صلی الله علیه و آله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قدمیه وفی حدیث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غسل کلتا رجلیه ثلاثاً،متّفق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الآیة فقد روی عکرمة عن ابن‌عبّاس أنّه کان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عاد إلی الغسل،وهی قرائة جماعة من القرّاء منهم ابن‌عامر فتکون معطوفة علی الیدین فی الغسل،ومن قرأها بالجرّ فللمجاورة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لنا فإنّه أراد أنّ کلّ رجل تغسل إلی الکعبین؛إذ لو أراد کعاب جمیع الأرجل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الکعاب،کما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 إلی المرافق،ویلزمه إدخال الکعبین فی الغسل کقولنا فی المرافق</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وقال أبوبکر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کلّ واحدة من القرائتین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 و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محتملة فی الدلالة فوقع التعارض فیطلب الترجیح</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44" w:name="__RefHeading___Toc362406_581953129"/>
      <w:bookmarkStart w:id="145" w:name="_Toc57"/>
      <w:bookmarkEnd w:id="144"/>
      <w:r>
        <w:rPr>
          <w:rtl w:val="true"/>
        </w:rPr>
        <w:t>منشأ الاختلاف</w:t>
      </w:r>
      <w:bookmarkEnd w:id="145"/>
    </w:p>
    <w:p>
      <w:pPr>
        <w:pStyle w:val="BookText"/>
        <w:rPr/>
      </w:pPr>
      <w:r>
        <w:rPr>
          <w:rFonts w:ascii="IRNazanin" w:hAnsi="IRNazanin" w:eastAsia="IRNazanin"/>
          <w:color w:val="111111"/>
          <w:sz w:val="28"/>
          <w:sz w:val="28"/>
          <w:szCs w:val="28"/>
          <w:rtl w:val="true"/>
          <w:lang w:bidi="fa-IR"/>
        </w:rPr>
        <w:t>قد تبین لنا بکلّ وضوح أنّ الاختلاف هناک ناشئ عن الاختلاف فی فهم المعنی من آیة الوضوء المذکورة،نتیجة لتعدّد القرائة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فی مسح الرجلین وفی غسلهما،فنقل القفال فی تفسیره عن ابن‌عبّاس وأنس‌بن مالک وعکرمه و الشعبی وأبی‌جعفر محمّدبن علی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فیهما المسح و هو مذهب الإمامیة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جمهور الفقهاء و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فرضهما الغسل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داود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الجمع بینهما و هو قول ناصر الحق من أئمّة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البصری ومحمّدبن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مخیر بین المسح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من قال بوجوب المسح مبنی علی القراءتین المشهورتین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ابن‌کثیر وحمزة وأبوعمرو وعاصم فی روایة أبی‌بکر عنه،بالجرّ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 نافع،وابن‌عامر،وعاصم فی روایة حفص عنه،بالنصب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القرائة بالجرّ فهی تقتضی کون الأرجل معطوفة علی الرؤوس فکما وجب المسح فی الرأس فکذلک فی 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کسر علی الجوار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جرّ خرب علی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باطل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الکسر علی الجوار معدود فی اللحن الّذی قد یتحمّل لأجل الضرورة فی الشعر،وکلام الله یجب تنزیهه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الکسر إنّما یصار الیه حیث یحصل الأمن من الالتباس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خرب،فإنّ من المعلوم بالضرورة أنّ الخرب لایکون نعتاً للضب بل للجحر،وفی هذه الآیة الأمن من الالتباس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الکسر بالجوار إنّما یکون بدون حرف العطف،و أمّا مع حرف العطف فلا تتکلّم به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القرائة بالنصب فقالوا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أنّهاتوجب المسح،وذلک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فرؤوسکم فی محلّ النصب،ولکنّها مجرورة بالباء،فإذا عطفت الأرجل علی الرؤوس جاز فی الأرجل النصب عطفاً علی محلّ الرؤوس،والجرّ عطفاً علی الظاهر و هذا مذهب مشهور النحاة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أنّه یجوز أن یکون عامل النصب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العاملان إذا اجتمعا علی معمول واحد کان إعمال الأقرب أولی فوجب أن یکون</w:t>
      </w:r>
      <w:bookmarkStart w:id="146" w:name="pg5240_59123"/>
    </w:p>
    <w:p>
      <w:pPr>
        <w:pStyle w:val="BookText"/>
        <w:rPr/>
      </w:pPr>
      <w:bookmarkEnd w:id="146"/>
      <w:r>
        <w:rPr>
          <w:rFonts w:ascii="Amiri" w:hAnsi="Amiri" w:eastAsia="Amiri" w:cs="Amiri"/>
          <w:color w:val="111111"/>
          <w:sz w:val="28"/>
          <w:sz w:val="28"/>
          <w:szCs w:val="28"/>
          <w:rtl w:val="true"/>
          <w:lang w:bidi="ar-SA"/>
        </w:rPr>
        <w:t xml:space="preserve">عامل النصب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اللام توجب المسح أیضاً،فهذا وجه الاستدلال بهذه الآیة علی وجوب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ولایجوز دفع ذلک بالأخبار؛لأنّها بأسرها من باب الآحاد ونسخ القرآن بخبر الواحد لایجوز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أنّه لایمکن الجواب عن هذا إلاّ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الکثیرة وردت بإیجاب الغسل،والغسل مشتمل علی المسح ولا ینعکس،فکان الغسل أقرب إلی الاحتیاط،فوجب المصیر إلیه،وعلی هذا الوجه یجب القطع بأنّ غسل الرجل یقوم مقام مسحها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فرض الرجلین محدود إلی الکعبین،والتحدید إنّما جاء فی الغسل لا فی‌المسح،والقوم أجابوا عنه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الکعب عبارة عن العظم الّذی تحت مفصل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 کلّ مفصل للعظام،العظم الناشز فوق القدم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وعلی هذا التقدیر فیجب المسح علی ظهر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سلّموا أنّ الکعبین عبارة عن العظمین النابتین من جانبی الساق إلاّ أنّهم التزموا أنّه‌یجب أن یمسح‌ظهر القدمین إلی هذین‌الموضعین،وحینئذ لایبقی هذا السؤال</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147" w:name="__RefHeading___Toc362408_581953129"/>
      <w:bookmarkStart w:id="148" w:name="_Toc58"/>
      <w:bookmarkEnd w:id="147"/>
      <w:r>
        <w:rPr>
          <w:rtl w:val="true"/>
        </w:rPr>
        <w:t>المسح علی الخفین</w:t>
      </w:r>
      <w:bookmarkEnd w:id="148"/>
    </w:p>
    <w:p>
      <w:pPr>
        <w:pStyle w:val="Heading4"/>
        <w:numPr>
          <w:ilvl w:val="3"/>
          <w:numId w:val="1"/>
        </w:numPr>
        <w:rPr/>
      </w:pPr>
      <w:bookmarkStart w:id="149" w:name="__RefHeading___Toc362410_581953129"/>
      <w:bookmarkStart w:id="150" w:name="_Toc59"/>
      <w:bookmarkEnd w:id="149"/>
      <w:r>
        <w:rPr>
          <w:rtl w:val="true"/>
        </w:rPr>
        <w:t>المذاهب الاربعة</w:t>
      </w:r>
      <w:bookmarkEnd w:id="15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المسح علی الخفّین بأحادیث کثیرة صحیحة تقرب من حدّ التواتر، </w:t>
      </w:r>
      <w:r>
        <w:rPr>
          <w:rStyle w:val="FootnoteAnchor"/>
          <w:rtl w:val="true"/>
        </w:rPr>
        <w:footnoteReference w:id="85"/>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ورودها بعد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تفید أنّ الله تعالی</w:t>
      </w:r>
    </w:p>
    <w:p>
      <w:pPr>
        <w:pStyle w:val="BookText"/>
        <w:rPr/>
      </w:pPr>
      <w:r>
        <w:rPr>
          <w:rFonts w:ascii="IRNazanin" w:hAnsi="IRNazanin" w:eastAsia="IRNazanin"/>
          <w:color w:val="111111"/>
          <w:sz w:val="28"/>
          <w:sz w:val="28"/>
          <w:szCs w:val="28"/>
          <w:rtl w:val="true"/>
          <w:lang w:bidi="fa-IR"/>
        </w:rPr>
        <w:t xml:space="preserve">قد فرض غسل الرجلین إذا لم یکن علیهما خف أما إذا کان علیهما خف فإنّه لا یفترض غسلهما بل یفترض المسح علی الخفین بدل الغسل </w:t>
      </w:r>
      <w:r>
        <w:rPr>
          <w:rStyle w:val="FootnoteAnchor"/>
          <w:rtl w:val="true"/>
        </w:rPr>
        <w:footnoteReference w:id="86"/>
      </w:r>
      <w:r>
        <w:rPr>
          <w:rFonts w:ascii="IRNazanin" w:hAnsi="IRNazanin" w:eastAsia="IRNazanin"/>
          <w:color w:val="111111"/>
          <w:sz w:val="28"/>
          <w:sz w:val="28"/>
          <w:szCs w:val="28"/>
          <w:rtl w:val="true"/>
          <w:lang w:bidi="fa-IR"/>
        </w:rPr>
        <w:t>ولا خلاف فیه بین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شروط صحة المسح أن لا یکون بالخف خروق یظهر منها بعض القدم هذا علی المذهب الحنبلی و المالکی واما الخروق القلیلة بمقدار ثلاث أصابع علی المذهب الحنفی وبمقدار أقل من ثلث القدم علی المذهب المالکی فلا یضر بصحة المسح </w:t>
      </w:r>
      <w:r>
        <w:rPr>
          <w:rStyle w:val="FootnoteAnchor"/>
          <w:rtl w:val="true"/>
        </w:rPr>
        <w:footnoteReference w:id="87"/>
      </w:r>
      <w:r>
        <w:rPr>
          <w:rFonts w:ascii="IRNazanin" w:hAnsi="IRNazanin" w:eastAsia="IRNazanin"/>
          <w:color w:val="111111"/>
          <w:sz w:val="28"/>
          <w:sz w:val="28"/>
          <w:szCs w:val="28"/>
          <w:rtl w:val="true"/>
          <w:lang w:bidi="fa-IR"/>
        </w:rPr>
        <w:t xml:space="preserve">والقدر المفروض مسحه هو ظاهر القدم علی اختلاف فی أنّه بمقدار ثلاثة أصابع أو اکثر ظاهر القدم أو تمام ظاهره و هو اختلاف یسیر بینهم </w:t>
      </w:r>
      <w:r>
        <w:rPr>
          <w:rStyle w:val="FootnoteAnchor"/>
          <w:rtl w:val="true"/>
        </w:rPr>
        <w:footnoteReference w:id="88"/>
      </w:r>
      <w:r>
        <w:rPr>
          <w:rFonts w:ascii="IRNazanin" w:hAnsi="IRNazanin" w:eastAsia="IRNazanin"/>
          <w:color w:val="111111"/>
          <w:sz w:val="28"/>
          <w:sz w:val="28"/>
          <w:szCs w:val="28"/>
          <w:rtl w:val="true"/>
          <w:lang w:bidi="fa-IR"/>
        </w:rPr>
        <w:t>ومن مبطلات المسح نزع الخفین وحدوث خرق فی الخف علی اختلاف بالنسیة إلی کمیة الخرق بینهم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المسح علی العمامة</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المسح علی العمامة،قال ابن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مسح علی العمامة أبوبکر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عروة و النخعی و الشعبی و القاسم ومالک وشافعی وأصحاب الرأی لایمسح علیها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لا تلحقه المشقة فی نزعها فلم یجز المسح علیها،ولنا ما روی المغیرة‌بن شعبة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توضّاً رسول الله صلی الله علیه و آله ومسح علی الخفین و العمامة،قال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المذهب الجعفری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المسح علی الحائل من العمامة أو القناع أو</w:t>
      </w:r>
      <w:bookmarkStart w:id="151" w:name="pg5240_59125"/>
    </w:p>
    <w:p>
      <w:pPr>
        <w:pStyle w:val="BookText"/>
        <w:rPr/>
      </w:pPr>
      <w:bookmarkEnd w:id="151"/>
      <w:r>
        <w:rPr>
          <w:rFonts w:ascii="IRNazanin" w:hAnsi="IRNazanin" w:eastAsia="IRNazanin"/>
          <w:color w:val="111111"/>
          <w:sz w:val="28"/>
          <w:sz w:val="28"/>
          <w:szCs w:val="28"/>
          <w:rtl w:val="true"/>
          <w:lang w:bidi="fa-IR"/>
        </w:rPr>
        <w:t>غیرهما و إن کان شیئاً دقیقاً لم یمنع عن وصول الرطوبة إلی البثرة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مسح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إزالة الموانع و الحواجب و الیقین بوصول الرطوبة إلی البشرة</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کل ذلک کان عملاً بظاهر الکتاب فإنّ ظاهر المسح الّذی أمر الله تعالی به هو إمرار الید علی الرأس و الرجلین مع الماء ولا مصداقیة للمسح مع الحائل،فالمسح علی العمامة کان المسح علی العمامة لا المسح علی الرأس بحسب العرف و اللغة 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مسحت الشیء بالماء مسحاً،أمررت الید علیه </w:t>
      </w:r>
      <w:r>
        <w:rPr>
          <w:rStyle w:val="FootnoteAnchor"/>
          <w:rtl w:val="true"/>
        </w:rPr>
        <w:footnoteReference w:id="92"/>
      </w:r>
      <w:r>
        <w:rPr>
          <w:rFonts w:ascii="IRNazanin" w:hAnsi="IRNazanin" w:eastAsia="IRNazanin"/>
          <w:color w:val="111111"/>
          <w:sz w:val="28"/>
          <w:sz w:val="28"/>
          <w:szCs w:val="28"/>
          <w:rtl w:val="true"/>
          <w:lang w:bidi="fa-IR"/>
        </w:rPr>
        <w:t>و أمّا المسح فی حال الضرورة،فهو موضوع آخر لحکم آخر</w:t>
      </w:r>
      <w:r>
        <w:rPr>
          <w:rFonts w:eastAsia="IRNazanin" w:cs="IRNazanin"/>
          <w:color w:val="111111"/>
          <w:sz w:val="28"/>
          <w:szCs w:val="28"/>
          <w:rtl w:val="true"/>
          <w:lang w:bidi="fa-IR"/>
        </w:rPr>
        <w:t>.</w:t>
      </w:r>
    </w:p>
    <w:p>
      <w:pPr>
        <w:pStyle w:val="Heading4"/>
        <w:numPr>
          <w:ilvl w:val="3"/>
          <w:numId w:val="1"/>
        </w:numPr>
        <w:rPr/>
      </w:pPr>
      <w:bookmarkStart w:id="152" w:name="__RefHeading___Toc362412_581953129"/>
      <w:bookmarkStart w:id="153" w:name="_Toc60"/>
      <w:bookmarkEnd w:id="152"/>
      <w:r>
        <w:rPr>
          <w:rtl w:val="true"/>
        </w:rPr>
        <w:t>منشأ الاختلاف</w:t>
      </w:r>
      <w:bookmarkEnd w:id="1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هناک ناشئ عن الاختلاف فی الاجتهاد ومن الاختلاط بین حالة الاختیار وحالة الضرورة</w:t>
      </w:r>
      <w:r>
        <w:rPr>
          <w:rFonts w:eastAsia="IRNazanin" w:cs="IRNazanin"/>
          <w:color w:val="111111"/>
          <w:sz w:val="28"/>
          <w:szCs w:val="28"/>
          <w:rtl w:val="true"/>
          <w:lang w:bidi="fa-IR"/>
        </w:rPr>
        <w:t>.</w:t>
      </w:r>
      <w:bookmarkStart w:id="154" w:name="pg5240_59126"/>
    </w:p>
    <w:p>
      <w:pPr>
        <w:pStyle w:val="Heading3"/>
        <w:numPr>
          <w:ilvl w:val="2"/>
          <w:numId w:val="1"/>
        </w:numPr>
        <w:rPr/>
      </w:pPr>
      <w:bookmarkStart w:id="155" w:name="__RefHeading___Toc362414_581953129"/>
      <w:bookmarkStart w:id="156" w:name="_Toc61"/>
      <w:bookmarkEnd w:id="154"/>
      <w:bookmarkEnd w:id="155"/>
      <w:r>
        <w:rPr>
          <w:rtl w:val="true"/>
        </w:rPr>
        <w:t>الخلاصة</w:t>
      </w:r>
      <w:bookmarkEnd w:id="156"/>
    </w:p>
    <w:p>
      <w:pPr>
        <w:pStyle w:val="BookText"/>
        <w:rPr/>
      </w:pPr>
      <w:r>
        <w:rPr>
          <w:rFonts w:ascii="IRNazanin" w:hAnsi="IRNazanin" w:eastAsia="IRNazanin"/>
          <w:color w:val="111111"/>
          <w:sz w:val="28"/>
          <w:sz w:val="28"/>
          <w:szCs w:val="28"/>
          <w:rtl w:val="true"/>
          <w:lang w:bidi="fa-IR"/>
        </w:rPr>
        <w:t>یجب مسح الرأس بنداوة الوضوء فی مقدّم الرأس ویکفی المسمّی ولاخلاف فیه علی المذهب الجعفری،والمذهب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المسح فی مقدّم الرأس بمقدار کفّ الید علی 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ویفترض مسح جمیع الرأس علی المذهب الحنبلی و المالکی و أمّا الاُذنان فهما من الرأس علی المذهب الحنبلی فیجب مسحهما علی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مسح الرجلین من الأصابع إلی الکعبین علی 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غسل الرجلین علی المذاهب الأربعة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المسح علی الخفّین حال الاختیار علی المذاهب الأربعة بلاخلاف ولا یجوز علی المذهب الجعفری</w:t>
      </w:r>
      <w:r>
        <w:rPr>
          <w:rFonts w:eastAsia="IRNazanin" w:cs="IRNazanin"/>
          <w:color w:val="111111"/>
          <w:sz w:val="28"/>
          <w:szCs w:val="28"/>
          <w:rtl w:val="true"/>
          <w:lang w:bidi="fa-IR"/>
        </w:rPr>
        <w:t>.</w:t>
      </w:r>
      <w:bookmarkStart w:id="157" w:name="pg5240_59127"/>
    </w:p>
    <w:p>
      <w:pPr>
        <w:pStyle w:val="Heading3"/>
        <w:numPr>
          <w:ilvl w:val="2"/>
          <w:numId w:val="1"/>
        </w:numPr>
        <w:rPr/>
      </w:pPr>
      <w:bookmarkStart w:id="158" w:name="__RefHeading___Toc362416_581953129"/>
      <w:bookmarkStart w:id="159" w:name="_Toc62"/>
      <w:bookmarkEnd w:id="157"/>
      <w:bookmarkEnd w:id="158"/>
      <w:r>
        <w:rPr>
          <w:rtl w:val="true"/>
        </w:rPr>
        <w:t>الأسئلة</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کفایة مسمّی المسح فی مسح الرأس؟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منشأ الاختلاف فی تحدید المسح؟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وجوب مسح الرجلین؟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منشأ الاختلاف فی وجوب مسح الرجلین وغسلهما؟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اشرح التنازع الموجود بین العاملین فی آیة الوضوء</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القاعدة فی باب تنازع العاملین؟</w:t>
      </w:r>
      <w:bookmarkStart w:id="160" w:name="pg5240_59128"/>
    </w:p>
    <w:p>
      <w:pPr>
        <w:pStyle w:val="Heading2"/>
        <w:numPr>
          <w:ilvl w:val="1"/>
          <w:numId w:val="1"/>
        </w:numPr>
        <w:rPr/>
      </w:pPr>
      <w:bookmarkStart w:id="161" w:name="__RefHeading___Toc362418_581953129"/>
      <w:bookmarkStart w:id="162" w:name="_Toc63"/>
      <w:bookmarkEnd w:id="160"/>
      <w:bookmarkEnd w:id="161"/>
      <w:r>
        <w:rPr/>
        <w:t>4</w:t>
      </w:r>
      <w:r>
        <w:rPr>
          <w:rtl w:val="true"/>
        </w:rPr>
        <w:t xml:space="preserve">- </w:t>
      </w:r>
      <w:r>
        <w:rPr>
          <w:rtl w:val="true"/>
        </w:rPr>
        <w:t>شروط الوضوء</w:t>
      </w:r>
      <w:bookmarkEnd w:id="162"/>
    </w:p>
    <w:p>
      <w:pPr>
        <w:pStyle w:val="Heading3"/>
        <w:numPr>
          <w:ilvl w:val="2"/>
          <w:numId w:val="1"/>
        </w:numPr>
        <w:rPr/>
      </w:pPr>
      <w:bookmarkStart w:id="163" w:name="__RefHeading___Toc362420_581953129"/>
      <w:bookmarkStart w:id="164" w:name="_Toc64"/>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اختلفت الآراء بالنسبة إلی الشروط الّتی تلعب دوراً فی صحّة الوضوء وتفصیل الاختلاف بمایلی</w:t>
      </w:r>
      <w:r>
        <w:rPr>
          <w:rFonts w:eastAsia="IRNazanin" w:cs="IRNazanin"/>
          <w:color w:val="111111"/>
          <w:sz w:val="28"/>
          <w:szCs w:val="28"/>
          <w:rtl w:val="true"/>
          <w:lang w:bidi="fa-IR"/>
        </w:rPr>
        <w:t>:</w:t>
      </w:r>
    </w:p>
    <w:p>
      <w:pPr>
        <w:pStyle w:val="Heading3"/>
        <w:numPr>
          <w:ilvl w:val="2"/>
          <w:numId w:val="1"/>
        </w:numPr>
        <w:rPr/>
      </w:pPr>
      <w:bookmarkStart w:id="165" w:name="__RefHeading___Toc362422_581953129"/>
      <w:bookmarkStart w:id="166" w:name="_Toc65"/>
      <w:bookmarkEnd w:id="165"/>
      <w:r>
        <w:rPr>
          <w:rtl w:val="true"/>
        </w:rPr>
        <w:t>المذاهب الاربعة</w:t>
      </w:r>
      <w:bookmarkEnd w:id="166"/>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شروط صحّة الوضوء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المتوضّئ ممیزاً،فلا یصحّ وضوء صبی غیرممیز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لایوجد حائل یمنع وصول الماء إلی العضو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لایوجد من المتوضئ ما ینافی الوضوء،مثل أن یصدر منه ناقض للوضوء فی اثناء الوضوء</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ولاخلاف حول هذه الشروط الأربعة عند فقهاء المذاهب الأربعة،إلاّ أنّ الاختلاف بینهم بالنسبة إلی الزائد عن الشروط المذکورة،و هو علی التفصیل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الشافعیة زادوا علی ما ذکر فی شرائط الصحّة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عالماً بکیفیة الوضوء بمعنی أن یعرف أنّ الوضوء هو غسل الوجه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لوجوب تعلّم الأحکام ومعرفة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یمیز الفرض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لعدم تحقّق القصد بدون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ینوی فی أوّل الوضوء ویستمرّ ناویاً حتّی یفرغ من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 زادوا فی شروط الصحّة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مباحاً،فإذا توضّأ بماء مغصوب فإنّ وضوئه لایصحّ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ینوی الوضوء فإن لم ینو لم یصحّ وضوئه،فالنیة عندهم شرط لصحّة‌الوضوء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یتقدّم الاستجمار أو الاستنجاء علی الوضوء</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والنیة من شرائط الطهارة للأحداث کلّها،لایصحّ وضوء إلاّ بها،وروی ذلک عن علی علیه السلام وبه قال مالک و الشافعی،وقال الثوری وأصحاب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لاتشترط النیة فی طهارة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الدلیل علی الإشتراط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تفتقر إلی النیة کغسل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 ولکلّ امرئ مانوی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ولأنّها طهارة عن حدث فلم تصحّ بغیر 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 عبادة و العبادة لاتکون إلاّ منویة</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النیة شرط لصحّة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مأمور به وکلّ مأمور به یجب أن یکون منویاً؛لقوله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w:t>
      </w:r>
      <w:bookmarkStart w:id="167" w:name="pg5240_59130"/>
    </w:p>
    <w:p>
      <w:pPr>
        <w:pStyle w:val="BookText"/>
        <w:rPr/>
      </w:pPr>
      <w:bookmarkEnd w:id="167"/>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 xml:space="preserve">... . </w:t>
      </w:r>
      <w:r>
        <w:rPr>
          <w:rStyle w:val="FootnoteAnchor"/>
          <w:rtl w:val="true"/>
        </w:rPr>
        <w:footnoteReference w:id="96"/>
      </w:r>
      <w:r>
        <w:rPr>
          <w:rFonts w:ascii="IRNazanin" w:hAnsi="IRNazanin" w:eastAsia="IRNazanin"/>
          <w:color w:val="111111"/>
          <w:sz w:val="28"/>
          <w:sz w:val="28"/>
          <w:szCs w:val="28"/>
          <w:rtl w:val="true"/>
          <w:lang w:bidi="fa-IR"/>
        </w:rPr>
        <w:t>والإخلاص عبارة عن النیة الخالصة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أبوحنیفة فإنّه احتجّ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النیة لیست شرطاً لصحّة الوضوء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أوجب غسل الأعضاء الأربعة فی هذه الآیة ولم یوجب النیة فیها فإیجاب النیة زیادة علی النصّ،والزیادة علی النصّ نسخ،ونسخ القرآن بخبر الواحد وبالقیاس لایجوز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بینّا أنّه إنّما أوجبنا النیة فی الوضوء بدلالة القرآن</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أمّا تقدّم الاستنجاء علی الوضوء فهو من شروط الصحّة للوضوء علی المذهب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من الشروط علی المذهب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اجتهاده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الاستنجاء لصحّة الوضوء فلو توضّأ قبل الاستنجاء لم یصحّ کالتیمّم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الروایة الثانیة یصحّ الوضوء قبل الاستنجاء ویستجمر بعد ذلک بالأحجار أو یغسل فرجه،و هذه الروایة أصحّ وهی مذهب الشافعی؛لأنّها إزالة نجاسة فلم تشرط لصحّة الطهارة</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68" w:name="__RefHeading___Toc362424_581953129"/>
      <w:bookmarkStart w:id="169" w:name="_Toc66"/>
      <w:bookmarkEnd w:id="168"/>
      <w:r>
        <w:rPr>
          <w:rtl w:val="true"/>
        </w:rPr>
        <w:t>المذهب الجعفری</w:t>
      </w:r>
      <w:bookmarkEnd w:id="169"/>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الماء وطهارته وإباحته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فیه ولاإشکال علیه نصّأ وفتوی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وهی القصد إلی الفعل مع کون الداعی أمر الله تعالی</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الوضوء عبادة اتّفاقاً بمعنی أنّه لایترتّب علیه الأثر إلاّ إذا جاء به العبد بعنوان العبادة،ولاینبغی التأمّل فی أنّه</w:t>
      </w:r>
    </w:p>
    <w:p>
      <w:pPr>
        <w:pStyle w:val="BookText"/>
        <w:rPr/>
      </w:pPr>
      <w:r>
        <w:rPr>
          <w:rFonts w:ascii="IRNazanin" w:hAnsi="IRNazanin" w:eastAsia="IRNazanin"/>
          <w:color w:val="111111"/>
          <w:sz w:val="28"/>
          <w:sz w:val="28"/>
          <w:szCs w:val="28"/>
          <w:rtl w:val="true"/>
          <w:lang w:bidi="fa-IR"/>
        </w:rPr>
        <w:t>یعتبر فی تحقّق العنوان المذکور کون الإتیان بالفعل عن داعی أمر المولی</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بتقدیم الوجه ثمّ الید الیمنی ثمّ الید الیسری ثمّ مسح الرأس ثمّ الرجلین،ولو أخلّ بالترتیب ولو جهلاً أو نسیاناً بطل</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بمعنی عدم جفاف الأعضاء السابقة قبل الشروع فی اللاحقة من جهة الفصل بین الأعضاء،و أمّا إذا تابع فی الأفعال وحصل الجفاف من جهة حرارة الهواء أو غیر ذلک فلا بطلان،فالشرط فی الحقیقة أحد الأمرین من التتابع العرفی وعدم الجفاف</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الترتیب و الموالاة کانا من الشروط للوضوء إجماعاً ویدلّ علیه مصحّح زرارة</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هو مانقله زرارة 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بین الوضوء کما قال الله عزّوجلّ،ابدأ بالوجه ثمّ بالیدین ثمّ امسح الرجلین،ولا تقدّمنّ شیئاً بین یدی شیء،تخالف ما امرت به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دلّت علی التتابع و الترتیب دلالة تامّة وبه 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آیة الوضوء بصیاغتها الخاصّة تدلّنا علی اشتراط الترتیب و الموالاة فی الوضوء،کما قال المحقّق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الترتیب واجب فی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محصّلاً بل قیل یدلّ علیه فی الجملة أیضاً الکتاب؛قضائاً للفاء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،ویتمّ بضمّ عدم القول بالفصل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 شرطیاً،إجماعاً محصّلاً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شرط لصحّة الوضوء،وقال مالک وأبوحنیفة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الشافعی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وجوب الإبتداء بغسل الوجه،لأنّ الفاء للتعقیب،و إذا وجب الترتیب فی هذا العضو وجب فی غیره،لأنّه لاقائل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البدائة فی الذکر بالوجه،فوجب أن تقع البدائة به فی العمل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ولقوله علیه الصلاة و السلام ابدؤوا بما بدأ الله به،و هذا الخبر و إن ورد فی قصّة الصفا و المروة إلاّ أنّ العبرة بعموم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أبوحنیفة بهذه الآیة علی قوله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لاتوجب الترتیب فکانت الآیة خالیة عن إیجاب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 أفعال الوضوء لیست شرطاً لصحّة الوضوء فی القول الجدید للشافعی و هو قول أبی‌حنیفة،وقال مالک أنّه شرط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بدون الموالاة یفید حصول الطهارة فوجب أن نقول بجواز الصلاة بها لقوله علیه الصلاة و السلام مفتاح الصلاة الطهارة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لایکون علی المحلّ حائل یمنع وصول الماء إلی البشرة</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ذلک؛لعدم تحقّق غسل العضو مع الحائل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أفعال الوضوء حال الاختیار فلو باشرها الغیر أو أعانه فی الغسل أو المسح بطل</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ذلک؛لأنّ الأصل فی امتثال الأمر أن یکون مباشرة</w:t>
      </w:r>
    </w:p>
    <w:p>
      <w:pPr>
        <w:pStyle w:val="BookText"/>
        <w:rPr/>
      </w:pPr>
      <w:r>
        <w:rPr>
          <w:rFonts w:ascii="IRNazanin" w:hAnsi="IRNazanin" w:eastAsia="IRNazanin"/>
          <w:color w:val="111111"/>
          <w:sz w:val="28"/>
          <w:sz w:val="28"/>
          <w:szCs w:val="28"/>
          <w:rtl w:val="true"/>
          <w:lang w:bidi="fa-IR"/>
        </w:rPr>
        <w:t>والنیابة تحتاج إلی الدلیل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للإجماع علی عدم جواز التولیة فی الوضوء</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لایکون مانع من استعمال الماء من مرض أو خوف عطش أو غیرذلک</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ذلک؛لعدم مشروعیة الوضوء مع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قاعدة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الوقت واسعاً للوضوء و الصلاة،وإلاّ وجب التیمّم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ذلک؛لعدم المبرّر الشرعی للوضوء فی الوقت المضیق فإذا أتی به إنّ ذاک یصبح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ظرف الماء ومکان الوضوء ومصبّ مائه مباحاً فلایصحّ لو کان واحداً منها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؛للتصّرف فی مال الغیر فیکون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ظرف ماء الوضوء من أوانی الذهب و الفضّة وإلاّ بطل</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لحرمة استعمال تلک الأوانی بلاخلاف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التصرّف فی الظروف المغصوبة وأوانی الذهب و الفضّة منهی عنه بلا خلاف بین المسلمین فإذا کان التصرّف فیها بالتوضّی یصبح الوضوء منهیاً عنه،والنهی فی العبادة یوجب الفساد؛لأنّ المنهی شرعاً غیرصالح لأن یقع مطلوباً للشارع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أن یفصل فیها بین صورتی الإنحصار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فرضنا أنّ الماء منحصر بالماء الموجود فی الإناء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المکان أو المصبّ منحصر بالمغصوب منهما،یحکم ببطلان الوضوء؛لأنّه تصرّف فی مال الغیر من 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مبغوض فلا یتعلّق به الأمر وینتقل فرضه إلی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الحال فی أوانی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تصرّف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فرضنا عدم الانحصار،فالصحیح صحّة الوضوء حینئذ کما مرّ البحث عن أوانی الذهب و الفضّة،والوجه فیه أنّ المحرّم إنّما هو مقدّمة الوضوء أعنی الاغتراف من إناء ممنوع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الماء فالتصرّف فیه علی الفرض،ومن هنا لو أفطر فی نهار شهر رمضان بذلک الماء لم یکن إفطاراً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والمفروض أنّه مکلّف بالوضوء،لعدم انحصار الماء بما یستلزم الوضوء منه تصرّفاً حراماً وحرمة المقدّمة لاتسری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فالوضوء و إن کان مستلزماً للتصرّف الحرام،إلاّ أنّه لایتّصف بالحرمة ومعه لامانع من الامتثال به ووقوعه مصداقاً للواجب و إن کان الأحوط هو الاجتناب لوجود القائل بالحرمة و البطلان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والأمر کما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توضّأ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أوانی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طهارته و هو قول الشافعی وإسحق وابن‌المنذر وأصحاب الرأی؛لأنّ فعل الطهارة وماءها لایتعلّق بشیء من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لایصحّ،لأنّه استعمل المحرّم فی العبادة فلم یصحّ‌کالصلاة فی الدار المغصوبة و الأوّل أصحّ،ویفارق هذا،الصلاة فی الدار المغصوبة؛لأنّ أفعال الصلاة من القیام و العقود فی الدار المغصوبة محرّم لکونه تصرّفاً فی ملک غیره بغیر إذنه وشغلاً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وأفعال الوضوء من الغسل و المسح لیس بمحرّم إذ لیس هو استعمالا للإناء ولاتصرّفاً فیه و إنّما یقع ذلک بعد رفع الماء من الإناء وفصله عنه</w:t>
      </w:r>
      <w:r>
        <w:rPr>
          <w:rFonts w:eastAsia="IRNazanin" w:cs="IRNazanin"/>
          <w:color w:val="111111"/>
          <w:sz w:val="28"/>
          <w:szCs w:val="28"/>
          <w:rtl w:val="true"/>
          <w:lang w:bidi="fa-IR"/>
        </w:rPr>
        <w:t xml:space="preserve">. </w:t>
      </w:r>
      <w:r>
        <w:rPr>
          <w:rStyle w:val="FootnoteAnchor"/>
          <w:rtl w:val="true"/>
        </w:rPr>
        <w:footnoteReference w:id="116"/>
      </w:r>
      <w:bookmarkStart w:id="170" w:name="pg5240_59135"/>
    </w:p>
    <w:p>
      <w:pPr>
        <w:pStyle w:val="Heading3"/>
        <w:numPr>
          <w:ilvl w:val="2"/>
          <w:numId w:val="1"/>
        </w:numPr>
        <w:rPr/>
      </w:pPr>
      <w:bookmarkStart w:id="171" w:name="__RefHeading___Toc362426_581953129"/>
      <w:bookmarkStart w:id="172" w:name="_Toc67"/>
      <w:bookmarkEnd w:id="170"/>
      <w:bookmarkEnd w:id="171"/>
      <w:r>
        <w:rPr>
          <w:rtl w:val="true"/>
        </w:rPr>
        <w:t>منشأ الاختلاف</w:t>
      </w:r>
      <w:bookmarkEnd w:id="172"/>
    </w:p>
    <w:p>
      <w:pPr>
        <w:pStyle w:val="BookText"/>
        <w:rPr/>
      </w:pPr>
      <w:r>
        <w:rPr>
          <w:rFonts w:ascii="IRNazanin" w:hAnsi="IRNazanin" w:eastAsia="IRNazanin"/>
          <w:color w:val="111111"/>
          <w:sz w:val="28"/>
          <w:sz w:val="28"/>
          <w:szCs w:val="28"/>
          <w:rtl w:val="true"/>
          <w:lang w:bidi="fa-IR"/>
        </w:rPr>
        <w:t>تبین لنا أنّ الاختلاف حول الشروط ناشئ عن الاختلاف فی المبانی الاجتهادیة،والتحقیق أنّ أکثر الاختلاف وأهمّه ناشئ عن الاختلاف فی فهم المعنی من الشرط وتطبیق المفهوم علی المصداق فمن الجدیر أن ندرس أوّلاً معنی الشرط،ثمّ نتحدّث عمّا یصدق علیه الشرط</w:t>
      </w:r>
      <w:r>
        <w:rPr>
          <w:rFonts w:eastAsia="IRNazanin" w:cs="IRNazanin"/>
          <w:color w:val="111111"/>
          <w:sz w:val="28"/>
          <w:szCs w:val="28"/>
          <w:rtl w:val="true"/>
          <w:lang w:bidi="fa-IR"/>
        </w:rPr>
        <w:t>.</w:t>
      </w:r>
    </w:p>
    <w:p>
      <w:pPr>
        <w:pStyle w:val="Heading3"/>
        <w:numPr>
          <w:ilvl w:val="2"/>
          <w:numId w:val="1"/>
        </w:numPr>
        <w:rPr/>
      </w:pPr>
      <w:bookmarkStart w:id="173" w:name="__RefHeading___Toc362428_581953129"/>
      <w:bookmarkStart w:id="174" w:name="_Toc68"/>
      <w:bookmarkEnd w:id="173"/>
      <w:r>
        <w:rPr>
          <w:rtl w:val="true"/>
        </w:rPr>
        <w:t>ما هو الشرط</w:t>
      </w:r>
      <w:bookmarkEnd w:id="174"/>
    </w:p>
    <w:p>
      <w:pPr>
        <w:pStyle w:val="Heading4"/>
        <w:numPr>
          <w:ilvl w:val="3"/>
          <w:numId w:val="1"/>
        </w:numPr>
        <w:rPr/>
      </w:pPr>
      <w:bookmarkStart w:id="175" w:name="__RefHeading___Toc362430_581953129"/>
      <w:bookmarkStart w:id="176" w:name="_Toc69"/>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فقهاء السنّة بلاخلاف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أو 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حقیقة الشیء،والشرط ما توقّف علیه وجود الشیء،ولم یکن من حقیقته،مثلاً الصلاة من فرائضها التکبیرة و 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الخ،ومن شروط صحّتها دخول الوقت</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177" w:name="__RefHeading___Toc362432_581953129"/>
      <w:bookmarkStart w:id="178" w:name="_Toc70"/>
      <w:bookmarkEnd w:id="177"/>
      <w:r>
        <w:rPr>
          <w:rtl w:val="true"/>
        </w:rPr>
        <w:t>المذهب الجعفری</w:t>
      </w:r>
      <w:bookmarkEnd w:id="178"/>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هو بنفسه دخیل فی حقیقة المأموربه،ومقوّم لواقعه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بنفسها دخیلة فی حقیقة الصلاة و الشرائط تکون خارجة عن المأموربه 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وداخلة فیه تقیداً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وعلاقةً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کشرائط المأموربه مثل طهارة البدن للصلاة</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خلاف فی أنّ الشرط بحسب مفهومه الأصلی،خارج عن حقیقة المشروط وعلیه یحتاج فی إیجابه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الدلیل الخاص ویسمّی بدلیل الشرط وبعد ما تبین لنا معنی الشرط ومکانته الشرعیة،نبدأ بملاحظة معنی الشرط الّذی تسالم علیه الفقهاء،وما یصدق علیه الشرط فی باب الوضوء حتّی یتبین لنا منشأ</w:t>
      </w:r>
    </w:p>
    <w:p>
      <w:pPr>
        <w:pStyle w:val="BookText"/>
        <w:rPr/>
      </w:pPr>
      <w:r>
        <w:rPr>
          <w:rFonts w:ascii="IRNazanin" w:hAnsi="IRNazanin" w:eastAsia="IRNazanin"/>
          <w:color w:val="111111"/>
          <w:sz w:val="28"/>
          <w:sz w:val="28"/>
          <w:szCs w:val="28"/>
          <w:rtl w:val="true"/>
          <w:lang w:bidi="fa-IR"/>
        </w:rPr>
        <w:t>الاختلاف وتفصیل ذلک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بنا أنّ 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المذاهب الأربعة طهوریة الماء و هو من الشروط علی وفق المذهب الجعفری،وینطبق مع معنی الشرط بحسب الواقع،وکذلک الأمر بالنسبة إلی 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 من وصول الماء إلی البشرة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فیه ولا إشکال علیه،و أمّا 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المتوضّی ممیزاً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فلایمکن المساعدة علیه؛ذلک لأنّ التمییز شرط لصحّة الوضوء المستحب،لعدم کون الوضوء واجباً علی الصبی وعلیه فإنّ الحدیث عن هذا الشرط خارج عن نطاق البحث؛لأنّ البحث هنا فی إطار الوضوء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تحقّق الناقض فی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خارج عن حدود البحث؛ذلک لأنّ الحدیث عن تحقّق الناقض،وثیق الصلة بالبحث عن نواقض الوضوء،ولا علاقة له بالبحث عن شروط الوضوء،والمفروض أن یبحث فی باب النواقض حیث أنّ الناقض‌کما یبطل الوضوء بعد إتمام العمل کذلک یبطل الوضوء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لنا بکلّ وضوح أنّ منشأ الاختلاف بالنسبة إلی هذین 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التمییز،وعدم تحقّق الناقض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 عن الخلط بین شرط الواجب وشرط المستحب،وعن الخلط بین بحثی شروط الوضوء ونواقض الوضوء و أمّا السبعة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شرائط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الجعفری فمنشأ الاختلاف فیها علی 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المتوضّی،وسعة الوقت،للوضوء،ولإقامة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یعدّان من شروط الصحّة،ویتطابقان مع حقیقة الشرط،ومن حسن الحظّ أنّ هذین 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وفاق بین المذاهب أجمع،ولعلّ عدم ذکرهما کشروط الوضوء علی المذاهب الأربعة کان علی أساس وضوحهما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وثلاثة منها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و الترتیب و الموالاة،فالاختلاف فیها ناشئ عن الاختلاف فی انطباق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علیها،حیث أنّها من الشرائط الواجبة للوضوء</w:t>
      </w:r>
      <w:bookmarkStart w:id="179" w:name="pg5240_59137"/>
    </w:p>
    <w:p>
      <w:pPr>
        <w:pStyle w:val="BookText"/>
        <w:rPr/>
      </w:pPr>
      <w:bookmarkEnd w:id="179"/>
      <w:r>
        <w:rPr>
          <w:rFonts w:ascii="IRNazanin" w:hAnsi="IRNazanin" w:eastAsia="IRNazanin"/>
          <w:color w:val="111111"/>
          <w:sz w:val="28"/>
          <w:sz w:val="28"/>
          <w:szCs w:val="28"/>
          <w:rtl w:val="true"/>
          <w:lang w:bidi="fa-IR"/>
        </w:rPr>
        <w:t>ولیست من أجزاء الوضوء وفرائضه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لأنّها خارجة عن حقیقة الوضوء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الغسلتان و المسحتان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 وجوب هذه الشروط غیر دلیل وجوب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بالغسل و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ضوء هذا المعیار یصدق علیها معنی الشرط بحسب الواقع</w:t>
      </w:r>
      <w:r>
        <w:rPr>
          <w:rFonts w:eastAsia="IRNazanin" w:cs="IRNazanin"/>
          <w:color w:val="111111"/>
          <w:sz w:val="28"/>
          <w:szCs w:val="28"/>
          <w:rtl w:val="true"/>
          <w:lang w:bidi="fa-IR"/>
        </w:rPr>
        <w:t>.</w:t>
      </w:r>
    </w:p>
    <w:p>
      <w:pPr>
        <w:pStyle w:val="Heading4"/>
        <w:numPr>
          <w:ilvl w:val="3"/>
          <w:numId w:val="1"/>
        </w:numPr>
        <w:rPr/>
      </w:pPr>
      <w:bookmarkStart w:id="180" w:name="__RefHeading___Toc362434_581953129"/>
      <w:bookmarkStart w:id="181" w:name="_Toc71"/>
      <w:bookmarkEnd w:id="180"/>
      <w:r>
        <w:rPr>
          <w:rtl w:val="true"/>
        </w:rPr>
        <w:t>المذاهب الاربعة</w:t>
      </w:r>
      <w:bookmarkEnd w:id="181"/>
    </w:p>
    <w:p>
      <w:pPr>
        <w:pStyle w:val="BookText"/>
        <w:rPr/>
      </w:pPr>
      <w:r>
        <w:rPr>
          <w:rFonts w:ascii="IRNazanin" w:hAnsi="IRNazanin" w:eastAsia="IRNazanin"/>
          <w:color w:val="111111"/>
          <w:sz w:val="28"/>
          <w:sz w:val="28"/>
          <w:szCs w:val="28"/>
          <w:rtl w:val="true"/>
          <w:lang w:bidi="fa-IR"/>
        </w:rPr>
        <w:t>قد ذکر الجزیری آراء الفقهاء الأربعة حول تلک الموارد الثلاثة ببیان مبسوط ملخّصه بمایلی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و الموالاة و الترتیب من سنن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شرط الوضوء و الموالاة و الترتیب من فرائض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و الترتیب من فرائض الوضوء و الموالاة من سنن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و الموالاة من فرائض الوضوء،والترتیب سنّة</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182" w:name="__RefHeading___Toc362436_581953129"/>
      <w:bookmarkStart w:id="183" w:name="_Toc72"/>
      <w:bookmarkEnd w:id="182"/>
      <w:r>
        <w:rPr>
          <w:rtl w:val="true"/>
        </w:rPr>
        <w:t>منشأ الاختلاف</w:t>
      </w:r>
      <w:bookmarkEnd w:id="183"/>
    </w:p>
    <w:p>
      <w:pPr>
        <w:pStyle w:val="BookText"/>
        <w:rPr/>
      </w:pPr>
      <w:r>
        <w:rPr>
          <w:rFonts w:ascii="IRNazanin" w:hAnsi="IRNazanin" w:eastAsia="IRNazanin"/>
          <w:color w:val="111111"/>
          <w:sz w:val="28"/>
          <w:sz w:val="28"/>
          <w:szCs w:val="28"/>
          <w:rtl w:val="true"/>
          <w:lang w:bidi="fa-IR"/>
        </w:rPr>
        <w:t>إنّ الاختلاف بالنسبة إلی تلک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وسنّةً وفرضاً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المذاهب الأربعة ناشئ عن الاختلاف فی التطبیق،فکلّ واحد من الفقهاء یطبّق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معیار من المعاییر للشرط و السنّة و الفرض،وبما أنّ المعیار محلّ الوفاق حینئذ فإنّ الاختلاف ینحصر فی التطبیق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یسهّل الخطب أنّ الفقهاءکلّهم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المذاهب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علی مطلوبیة تلک الموارد إلزاماً وعدم جواز ترکها،و إنّما اختلفوا فی التعبیر عن المطلوب،شرطاً وسنّةً وفرضاً،ولامشاحة فی التعبیر والاصطلاح</w:t>
      </w:r>
      <w:r>
        <w:rPr>
          <w:rFonts w:eastAsia="IRNazanin" w:cs="IRNazanin"/>
          <w:color w:val="111111"/>
          <w:sz w:val="28"/>
          <w:szCs w:val="28"/>
          <w:rtl w:val="true"/>
          <w:lang w:bidi="fa-IR"/>
        </w:rPr>
        <w:t>.</w:t>
      </w:r>
      <w:bookmarkStart w:id="184" w:name="pg5240_59138"/>
    </w:p>
    <w:p>
      <w:pPr>
        <w:pStyle w:val="BookText"/>
        <w:rPr/>
      </w:pPr>
      <w:bookmarkEnd w:id="184"/>
      <w:r>
        <w:rPr>
          <w:rFonts w:ascii="IRNazanin" w:hAnsi="IRNazanin" w:eastAsia="IRNazanin"/>
          <w:color w:val="111111"/>
          <w:sz w:val="28"/>
          <w:sz w:val="28"/>
          <w:szCs w:val="28"/>
          <w:rtl w:val="true"/>
          <w:lang w:bidi="fa-IR"/>
        </w:rPr>
        <w:t>و أمّا الاثنان الأخیران من تلک الشروط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المکان و الماء وإنائه ومصبّه،وعدم کون الإناء من الذهب أو الفضّة،فالخلاف فیهما ناشئ عن الخلاف الأصولی حول اجتماع الأمر و النهی فالرأی الذاهب إلی جواز الاجتماع ینتج صحّة الوضوء فی الإناء الممنوع من التصرّف و الرأی الذاهب إلی امتناع الاجتماع ینتج بطلان الوضوء فی الإناء المذکور</w:t>
      </w:r>
      <w:r>
        <w:rPr>
          <w:rFonts w:eastAsia="IRNazanin" w:cs="IRNazanin"/>
          <w:color w:val="111111"/>
          <w:sz w:val="28"/>
          <w:szCs w:val="28"/>
          <w:rtl w:val="true"/>
          <w:lang w:bidi="fa-IR"/>
        </w:rPr>
        <w:t>.</w:t>
      </w:r>
    </w:p>
    <w:p>
      <w:pPr>
        <w:pStyle w:val="Heading3"/>
        <w:numPr>
          <w:ilvl w:val="2"/>
          <w:numId w:val="1"/>
        </w:numPr>
        <w:rPr/>
      </w:pPr>
      <w:bookmarkStart w:id="185" w:name="__RefHeading___Toc362438_581953129"/>
      <w:bookmarkStart w:id="186" w:name="_Toc73"/>
      <w:bookmarkEnd w:id="185"/>
      <w:r>
        <w:rPr>
          <w:rtl w:val="true"/>
        </w:rPr>
        <w:t>غایات الوضوء</w:t>
      </w:r>
      <w:bookmarkEnd w:id="186"/>
    </w:p>
    <w:p>
      <w:pPr>
        <w:pStyle w:val="Heading4"/>
        <w:numPr>
          <w:ilvl w:val="3"/>
          <w:numId w:val="1"/>
        </w:numPr>
        <w:rPr/>
      </w:pPr>
      <w:bookmarkStart w:id="187" w:name="__RefHeading___Toc362440_581953129"/>
      <w:bookmarkStart w:id="188" w:name="_Toc74"/>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إنّ الآراء حول مایستهدفه الوضوء،متقاربة و الخلاف فیها نادر،یمکن تلخیصه بمایلی</w:t>
      </w:r>
      <w:r>
        <w:rPr>
          <w:rFonts w:eastAsia="IRNazanin" w:cs="IRNazanin"/>
          <w:color w:val="111111"/>
          <w:sz w:val="28"/>
          <w:szCs w:val="28"/>
          <w:rtl w:val="true"/>
          <w:lang w:bidi="fa-IR"/>
        </w:rPr>
        <w:t>:</w:t>
      </w:r>
    </w:p>
    <w:p>
      <w:pPr>
        <w:pStyle w:val="Heading4"/>
        <w:numPr>
          <w:ilvl w:val="3"/>
          <w:numId w:val="1"/>
        </w:numPr>
        <w:rPr/>
      </w:pPr>
      <w:bookmarkStart w:id="189" w:name="__RefHeading___Toc362442_581953129"/>
      <w:bookmarkStart w:id="190" w:name="_Toc75"/>
      <w:bookmarkEnd w:id="189"/>
      <w:r>
        <w:rPr>
          <w:rtl w:val="true"/>
        </w:rPr>
        <w:t>المذاهب الاربعة</w:t>
      </w:r>
      <w:bookmarkEnd w:id="19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قد رتّب علی الوضوء رفع الحدث فتؤدّی به الفرائض و المندوبات من صلاة وسجود وتلاوة،وطواف بالبیت ومسّ المصحف،فلایحلّ لغیرالمتوضّی أن‌یفعلها</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w:t>
      </w:r>
    </w:p>
    <w:p>
      <w:pPr>
        <w:pStyle w:val="Heading4"/>
        <w:numPr>
          <w:ilvl w:val="3"/>
          <w:numId w:val="1"/>
        </w:numPr>
        <w:rPr/>
      </w:pPr>
      <w:bookmarkStart w:id="191" w:name="__RefHeading___Toc362444_581953129"/>
      <w:bookmarkStart w:id="192" w:name="_Toc76"/>
      <w:bookmarkEnd w:id="191"/>
      <w:r>
        <w:rPr>
          <w:rtl w:val="true"/>
        </w:rPr>
        <w:t>المذهب الجعفری</w:t>
      </w:r>
      <w:bookmarkEnd w:id="19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من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لصلاة واجبة،أو طواف واجب أو لمس کتابة القرآن إن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والمندوب ماعداه</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بلاخلاف واختلفت الآراء فی وصف الوضوء لصلاة الجنازة ولسجدتی التلاوة و الشکر ولکتابة القرآن،وجوباً وندباً ولااختلاف هناک نفیاً وإثباتاً،وعلیه فالأمر سهل،لعدم الاختلاف من ناحیة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لایحرم علی المحدث مسّ غیرالخطّ من ورق القرآن و الجلد و الغلاف</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حمله بعلاقته و هذا قول أبی‌حنیفة ومنع منه مالک و الشافعی،قال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لایحمل المصحف بعلاقته إلاّ و هو طاهر،تعظیماً للقرآن،والصحیح جوازه؛لأنّ النهی إنّما یتناول مسّه و الحمل لیس بمسّ</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والاختلاف هناک ناشئ عن الاجتهاد الخاصّ</w:t>
      </w:r>
      <w:r>
        <w:rPr>
          <w:rFonts w:eastAsia="IRNazanin" w:cs="IRNazanin"/>
          <w:color w:val="111111"/>
          <w:sz w:val="28"/>
          <w:szCs w:val="28"/>
          <w:rtl w:val="true"/>
          <w:lang w:bidi="fa-IR"/>
        </w:rPr>
        <w:t>.</w:t>
      </w:r>
      <w:bookmarkStart w:id="193" w:name="pg5240_59140"/>
    </w:p>
    <w:p>
      <w:pPr>
        <w:pStyle w:val="Heading3"/>
        <w:numPr>
          <w:ilvl w:val="2"/>
          <w:numId w:val="1"/>
        </w:numPr>
        <w:rPr/>
      </w:pPr>
      <w:bookmarkStart w:id="194" w:name="__RefHeading___Toc362446_581953129"/>
      <w:bookmarkStart w:id="195" w:name="_Toc77"/>
      <w:bookmarkEnd w:id="193"/>
      <w:bookmarkEnd w:id="194"/>
      <w:r>
        <w:rPr>
          <w:rtl w:val="true"/>
        </w:rPr>
        <w:t>الخلاصة</w:t>
      </w:r>
      <w:bookmarkEnd w:id="195"/>
    </w:p>
    <w:p>
      <w:pPr>
        <w:pStyle w:val="BookText"/>
        <w:rPr/>
      </w:pPr>
      <w:r>
        <w:rPr>
          <w:rFonts w:ascii="IRNazanin" w:hAnsi="IRNazanin" w:eastAsia="IRNazanin"/>
          <w:color w:val="111111"/>
          <w:sz w:val="28"/>
          <w:sz w:val="28"/>
          <w:szCs w:val="28"/>
          <w:rtl w:val="true"/>
          <w:lang w:bidi="fa-IR"/>
        </w:rPr>
        <w:t>شرائط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تسالم علیها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الماء،تمیز المتوضّی،عدم الحائل فی العضو،وعدم تحقّق الناقض فی الأثناء وزاد الحنبلی علیها ثلاثة أمور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الماء،</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الاستنجاء علی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الشافعی علی الشروط الأربعة،ثلاثة شروط اخری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بکیفیة الوضوء،</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تمیز الفرض من غیره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المالکی علی الشروط الأربعة شرطاً آخر و هو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وشرائط الوضوء علی المذهب الجعفری عشرة کاملة وهی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الماء مع طهارته وإباحته،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الحائل فی العضو،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المتوضّی للوضوء،</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 من استعمال الماء،</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الوقت للوضوء و الصلاة،</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مکان الوضوء،</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ظرف الماء من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من شرائط الوضوء،وقال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النیة من فرائض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شرط لصحّة الوضوء،وقال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الترتیب من فرائض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الموالاة شرط لصحّة الوضوء،وقال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من فرائض الوضوء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ورفع 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لصحّة الوضوء علی المذاهب کلّها إلاّ علی المذهب الشافعی</w:t>
      </w:r>
      <w:r>
        <w:rPr>
          <w:rFonts w:eastAsia="IRNazanin" w:cs="IRNazanin"/>
          <w:color w:val="111111"/>
          <w:sz w:val="28"/>
          <w:szCs w:val="28"/>
          <w:rtl w:val="true"/>
          <w:lang w:bidi="fa-IR"/>
        </w:rPr>
        <w:t>.</w:t>
      </w:r>
      <w:bookmarkStart w:id="196" w:name="pg5240_59141"/>
    </w:p>
    <w:p>
      <w:pPr>
        <w:pStyle w:val="Heading3"/>
        <w:numPr>
          <w:ilvl w:val="2"/>
          <w:numId w:val="1"/>
        </w:numPr>
        <w:rPr/>
      </w:pPr>
      <w:bookmarkStart w:id="197" w:name="__RefHeading___Toc362448_581953129"/>
      <w:bookmarkStart w:id="198" w:name="_Toc78"/>
      <w:bookmarkEnd w:id="196"/>
      <w:bookmarkEnd w:id="197"/>
      <w:r>
        <w:rPr>
          <w:rtl w:val="true"/>
        </w:rPr>
        <w:t>الأسئلة</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الفرق بین الشرط و الجزء؟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المقصود من الشرط هنا،هو شرط الوجوب أو شرط الصحّة؟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النیة من شروط الوضوء أو من أجزائه؟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منشأ الاختلاف حول کمّیة الشروط؟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الوضوء فی المکان المغصوب؟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الدلیل علی جواز حمل القرآن بدون الوضوء؟</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أن یطلق لفظ الفرض ویراد منه الشرط،أو أنّه یختصّ بإرادة الجزء و الرکن؟</w:t>
      </w:r>
      <w:bookmarkStart w:id="199" w:name="pg5240_59142"/>
    </w:p>
    <w:p>
      <w:pPr>
        <w:pStyle w:val="Heading2"/>
        <w:numPr>
          <w:ilvl w:val="1"/>
          <w:numId w:val="1"/>
        </w:numPr>
        <w:rPr/>
      </w:pPr>
      <w:bookmarkStart w:id="200" w:name="__RefHeading___Toc362450_581953129"/>
      <w:bookmarkStart w:id="201" w:name="_Toc79"/>
      <w:bookmarkEnd w:id="199"/>
      <w:bookmarkEnd w:id="200"/>
      <w:r>
        <w:rPr/>
        <w:t>5</w:t>
      </w:r>
      <w:r>
        <w:rPr>
          <w:rtl w:val="true"/>
        </w:rPr>
        <w:t xml:space="preserve">- </w:t>
      </w:r>
      <w:r>
        <w:rPr>
          <w:rtl w:val="true"/>
        </w:rPr>
        <w:t>نواقض الوضوء</w:t>
      </w:r>
      <w:bookmarkEnd w:id="201"/>
    </w:p>
    <w:p>
      <w:pPr>
        <w:pStyle w:val="Heading3"/>
        <w:numPr>
          <w:ilvl w:val="2"/>
          <w:numId w:val="1"/>
        </w:numPr>
        <w:rPr/>
      </w:pPr>
      <w:bookmarkStart w:id="202" w:name="__RefHeading___Toc362452_581953129"/>
      <w:bookmarkStart w:id="203" w:name="_Toc80"/>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ثمّة‌اختلافات هامّة بالنسبة‌إلی ناقضیة بعض الأحداث،وهی عبارة عن الأمور التالیة</w:t>
      </w:r>
      <w:r>
        <w:rPr>
          <w:rFonts w:eastAsia="IRNazanin" w:cs="IRNazanin"/>
          <w:color w:val="111111"/>
          <w:sz w:val="28"/>
          <w:szCs w:val="28"/>
          <w:rtl w:val="true"/>
          <w:lang w:bidi="fa-IR"/>
        </w:rPr>
        <w:t>:</w:t>
      </w:r>
    </w:p>
    <w:p>
      <w:pPr>
        <w:pStyle w:val="Heading3"/>
        <w:numPr>
          <w:ilvl w:val="2"/>
          <w:numId w:val="1"/>
        </w:numPr>
        <w:rPr/>
      </w:pPr>
      <w:bookmarkStart w:id="204" w:name="__RefHeading___Toc362454_581953129"/>
      <w:bookmarkStart w:id="205" w:name="_Toc81"/>
      <w:bookmarkEnd w:id="204"/>
      <w:r>
        <w:rPr/>
        <w:t>1</w:t>
      </w:r>
      <w:r>
        <w:rPr>
          <w:rtl w:val="true"/>
        </w:rPr>
        <w:t>.</w:t>
      </w:r>
      <w:r>
        <w:rPr>
          <w:rtl w:val="true"/>
        </w:rPr>
        <w:t>ناقضیة المذی و الودی للوضوء</w:t>
      </w:r>
      <w:bookmarkEnd w:id="205"/>
    </w:p>
    <w:p>
      <w:pPr>
        <w:pStyle w:val="Heading4"/>
        <w:numPr>
          <w:ilvl w:val="3"/>
          <w:numId w:val="1"/>
        </w:numPr>
        <w:rPr/>
      </w:pPr>
      <w:bookmarkStart w:id="206" w:name="__RefHeading___Toc362456_581953129"/>
      <w:bookmarkStart w:id="207" w:name="_Toc82"/>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اختلف الرأی فی هذا المورد بین المذهب الجعفری و المذاهب الأربعة 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208" w:name="__RefHeading___Toc362458_581953129"/>
      <w:bookmarkStart w:id="209" w:name="_Toc83"/>
      <w:bookmarkEnd w:id="208"/>
      <w:r>
        <w:rPr>
          <w:rtl w:val="true"/>
        </w:rPr>
        <w:t>المذاهب الاربعة</w:t>
      </w:r>
      <w:bookmarkEnd w:id="209"/>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 و الودی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الوضوء إجماعاً</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فالحکم مستند إلی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ولانصّ فیه</w:t>
      </w:r>
      <w:r>
        <w:rPr>
          <w:rFonts w:eastAsia="IRNazanin" w:cs="IRNazanin"/>
          <w:color w:val="111111"/>
          <w:sz w:val="28"/>
          <w:szCs w:val="28"/>
          <w:rtl w:val="true"/>
          <w:lang w:bidi="fa-IR"/>
        </w:rPr>
        <w:t>.</w:t>
      </w:r>
    </w:p>
    <w:p>
      <w:pPr>
        <w:pStyle w:val="Heading4"/>
        <w:numPr>
          <w:ilvl w:val="3"/>
          <w:numId w:val="1"/>
        </w:numPr>
        <w:rPr/>
      </w:pPr>
      <w:bookmarkStart w:id="210" w:name="__RefHeading___Toc362460_581953129"/>
      <w:bookmarkStart w:id="211" w:name="_Toc84"/>
      <w:bookmarkEnd w:id="210"/>
      <w:r>
        <w:rPr>
          <w:rtl w:val="true"/>
        </w:rPr>
        <w:t>المذهب الجعفری</w:t>
      </w:r>
      <w:bookmarkEnd w:id="2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لاینتقض الوضوء بخروج المذی أو الودی أو الوذی،والأوّل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مایخرج بعد الملاعبة،والثانی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مایخرج بعد خروج البول،والثالث</w:t>
      </w:r>
      <w:r>
        <w:rPr>
          <w:rFonts w:eastAsia="IRNazanin" w:cs="IRNazanin"/>
          <w:color w:val="111111"/>
          <w:sz w:val="28"/>
          <w:szCs w:val="28"/>
          <w:rtl w:val="true"/>
          <w:lang w:bidi="fa-IR"/>
        </w:rPr>
        <w:t>:</w:t>
      </w:r>
      <w:bookmarkStart w:id="212" w:name="pg5240_59143"/>
    </w:p>
    <w:p>
      <w:pPr>
        <w:pStyle w:val="BookText"/>
        <w:rPr/>
      </w:pPr>
      <w:bookmarkEnd w:id="212"/>
      <w:r>
        <w:rPr>
          <w:rFonts w:ascii="IRNazanin" w:hAnsi="IRNazanin" w:eastAsia="IRNazanin"/>
          <w:color w:val="111111"/>
          <w:sz w:val="28"/>
          <w:sz w:val="28"/>
          <w:szCs w:val="28"/>
          <w:rtl w:val="true"/>
          <w:lang w:bidi="fa-IR"/>
        </w:rPr>
        <w:t>مایخرج بعد خروج المنی</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ذلک؛للنصوص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سال من ذکرک شیء من مذی أو ودی وأنت فی‌الصلاة فلا تغسله ولاتقطع له الصلاة ولاتنقض له الوضوء،فإنّما ذلک بمنزلة‌النخامة</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213" w:name="__RefHeading___Toc362462_581953129"/>
      <w:bookmarkStart w:id="214" w:name="_Toc85"/>
      <w:bookmarkEnd w:id="213"/>
      <w:r>
        <w:rPr/>
        <w:t>2</w:t>
      </w:r>
      <w:r>
        <w:rPr>
          <w:rtl w:val="true"/>
        </w:rPr>
        <w:t>.</w:t>
      </w:r>
      <w:r>
        <w:rPr>
          <w:rtl w:val="true"/>
        </w:rPr>
        <w:t>ناقضیة الحدث الخارج من المَخْرَجَین</w:t>
      </w:r>
      <w:bookmarkEnd w:id="214"/>
    </w:p>
    <w:p>
      <w:pPr>
        <w:pStyle w:val="Heading4"/>
        <w:numPr>
          <w:ilvl w:val="3"/>
          <w:numId w:val="1"/>
        </w:numPr>
        <w:rPr/>
      </w:pPr>
      <w:bookmarkStart w:id="215" w:name="__RefHeading___Toc362464_581953129"/>
      <w:bookmarkStart w:id="216" w:name="_Toc86"/>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اختلفت الآراء حول ناقضیة ما یخرج من القبل أو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کالدم و الدود و الحصی و القیح وما شاکلها 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217" w:name="__RefHeading___Toc362466_581953129"/>
      <w:bookmarkStart w:id="218" w:name="_Toc87"/>
      <w:bookmarkEnd w:id="217"/>
      <w:r>
        <w:rPr>
          <w:rtl w:val="true"/>
        </w:rPr>
        <w:t>المذهب الجعفری</w:t>
      </w:r>
      <w:bookmarkEnd w:id="218"/>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الأحداث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الخارجة من المخرَجَین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کالقیح و الدم وکذا الدود أو نوی التمر ونحوهما إذا لم یکن متلطّخاً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ناقضة للوضوء</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ذلک؛للنصوص الدالّة علی حصر الناقض الخارج من المخرجَین بالبول و الغائط،منها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 الوضوء إلاّ من غائط أو بول أو ضرطة تسمع صوتها أو فسوة تجد ریحها</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دلّت علی الحصر دلالة کاملة</w:t>
      </w:r>
      <w:r>
        <w:rPr>
          <w:rFonts w:eastAsia="IRNazanin" w:cs="IRNazanin"/>
          <w:color w:val="111111"/>
          <w:sz w:val="28"/>
          <w:szCs w:val="28"/>
          <w:rtl w:val="true"/>
          <w:lang w:bidi="fa-IR"/>
        </w:rPr>
        <w:t>.</w:t>
      </w:r>
    </w:p>
    <w:p>
      <w:pPr>
        <w:pStyle w:val="Heading4"/>
        <w:numPr>
          <w:ilvl w:val="3"/>
          <w:numId w:val="1"/>
        </w:numPr>
        <w:rPr/>
      </w:pPr>
      <w:bookmarkStart w:id="219" w:name="__RefHeading___Toc362468_581953129"/>
      <w:bookmarkStart w:id="220" w:name="_Toc88"/>
      <w:bookmarkEnd w:id="219"/>
      <w:r>
        <w:rPr>
          <w:rtl w:val="true"/>
        </w:rPr>
        <w:t>المذهب المالکی</w:t>
      </w:r>
      <w:bookmarkEnd w:id="2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یذهب المالکیة إلی ناقضیة الخارج المعتاد من المخرجین فحسب</w:t>
      </w:r>
      <w:r>
        <w:rPr>
          <w:rFonts w:eastAsia="IRNazanin" w:cs="IRNazanin"/>
          <w:color w:val="111111"/>
          <w:sz w:val="28"/>
          <w:szCs w:val="28"/>
          <w:rtl w:val="true"/>
          <w:lang w:bidi="fa-IR"/>
        </w:rPr>
        <w:t>.</w:t>
      </w:r>
      <w:bookmarkStart w:id="221" w:name="pg5240_59144"/>
    </w:p>
    <w:p>
      <w:pPr>
        <w:pStyle w:val="Heading4"/>
        <w:numPr>
          <w:ilvl w:val="3"/>
          <w:numId w:val="1"/>
        </w:numPr>
        <w:rPr/>
      </w:pPr>
      <w:bookmarkStart w:id="222" w:name="__RefHeading___Toc362470_581953129"/>
      <w:bookmarkStart w:id="223" w:name="_Toc89"/>
      <w:bookmarkEnd w:id="221"/>
      <w:bookmarkEnd w:id="222"/>
      <w:r>
        <w:rPr>
          <w:rtl w:val="true"/>
        </w:rPr>
        <w:t>المذاهب الثلاثة الاُخری</w:t>
      </w:r>
      <w:bookmarkEnd w:id="223"/>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الخارج من السبیلین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نادراً وغیر 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کالدم و الدود و الحصی و الشعر،فینقض الوضوء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قال الشافعی وأصحاب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یوجب مالک الوضوء من هذا الضرب؛لأنّه نادر أشبه الخارج من غیر سبیل 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خارج من السبیل أشبه المذی ولأنّه لایخلو من بلّة تتعلّق به فینتقض الوضوء بها و قد أمر النبی صلی الله علیه و آله المستحاضة بالوضوء لکلّ صلاة ودمها غیرمعتاد </w:t>
      </w:r>
      <w:r>
        <w:rPr>
          <w:rStyle w:val="FootnoteAnchor"/>
          <w:rtl w:val="true"/>
        </w:rPr>
        <w:footnoteReference w:id="129"/>
      </w:r>
      <w:r>
        <w:rPr>
          <w:rFonts w:ascii="IRNazanin" w:hAnsi="IRNazanin" w:eastAsia="IRNazanin"/>
          <w:color w:val="111111"/>
          <w:sz w:val="28"/>
          <w:sz w:val="28"/>
          <w:szCs w:val="28"/>
          <w:rtl w:val="true"/>
          <w:lang w:bidi="fa-IR"/>
        </w:rPr>
        <w:t>فالحکم علی القیاس</w:t>
      </w:r>
      <w:r>
        <w:rPr>
          <w:rFonts w:eastAsia="IRNazanin" w:cs="IRNazanin"/>
          <w:color w:val="111111"/>
          <w:sz w:val="28"/>
          <w:szCs w:val="28"/>
          <w:rtl w:val="true"/>
          <w:lang w:bidi="fa-IR"/>
        </w:rPr>
        <w:t>.</w:t>
      </w:r>
    </w:p>
    <w:p>
      <w:pPr>
        <w:pStyle w:val="Heading4"/>
        <w:numPr>
          <w:ilvl w:val="3"/>
          <w:numId w:val="1"/>
        </w:numPr>
        <w:rPr/>
      </w:pPr>
      <w:bookmarkStart w:id="224" w:name="__RefHeading___Toc362472_581953129"/>
      <w:bookmarkStart w:id="225" w:name="_Toc90"/>
      <w:bookmarkEnd w:id="224"/>
      <w:r>
        <w:rPr>
          <w:rtl w:val="true"/>
        </w:rPr>
        <w:t>منشأ الاختلاف</w:t>
      </w:r>
      <w:bookmarkEnd w:id="225"/>
    </w:p>
    <w:p>
      <w:pPr>
        <w:pStyle w:val="BookText"/>
        <w:rPr/>
      </w:pPr>
      <w:r>
        <w:rPr>
          <w:rFonts w:ascii="IRNazanin" w:hAnsi="IRNazanin" w:eastAsia="IRNazanin"/>
          <w:color w:val="111111"/>
          <w:sz w:val="28"/>
          <w:sz w:val="28"/>
          <w:szCs w:val="28"/>
          <w:rtl w:val="true"/>
          <w:lang w:bidi="fa-IR"/>
        </w:rPr>
        <w:t>إنّ الاختلاف فی ناقضیة المذی ونحوه بین المذهب الجعفری و المذاهب الأربعة ناشئ عن الاختلاف فی مستند الحکم فإنّ المستند علی المذهب الجعفری هو النصّ الوارد من طریق آل‌البیت علیهم السلام،والمستند علی المذاهب الأربعة هو،الإجماع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فإنّ الاختلاف فی ناقضیة مایخرج من السبیلین ناشئ من الاختلاف فی مستند الحکم نصّاً وقیاساً</w:t>
      </w:r>
      <w:r>
        <w:rPr>
          <w:rFonts w:eastAsia="IRNazanin" w:cs="IRNazanin"/>
          <w:color w:val="111111"/>
          <w:sz w:val="28"/>
          <w:szCs w:val="28"/>
          <w:rtl w:val="true"/>
          <w:lang w:bidi="fa-IR"/>
        </w:rPr>
        <w:t>.</w:t>
      </w:r>
    </w:p>
    <w:p>
      <w:pPr>
        <w:pStyle w:val="Heading3"/>
        <w:numPr>
          <w:ilvl w:val="2"/>
          <w:numId w:val="1"/>
        </w:numPr>
        <w:rPr/>
      </w:pPr>
      <w:bookmarkStart w:id="226" w:name="__RefHeading___Toc362474_581953129"/>
      <w:bookmarkStart w:id="227" w:name="_Toc91"/>
      <w:bookmarkEnd w:id="226"/>
      <w:r>
        <w:rPr/>
        <w:t>3</w:t>
      </w:r>
      <w:r>
        <w:rPr>
          <w:rtl w:val="true"/>
        </w:rPr>
        <w:t>.</w:t>
      </w:r>
      <w:r>
        <w:rPr>
          <w:rtl w:val="true"/>
        </w:rPr>
        <w:t>ناقضیة النوم حدّاً</w:t>
      </w:r>
      <w:bookmarkEnd w:id="227"/>
    </w:p>
    <w:p>
      <w:pPr>
        <w:pStyle w:val="Heading4"/>
        <w:numPr>
          <w:ilvl w:val="3"/>
          <w:numId w:val="1"/>
        </w:numPr>
        <w:rPr/>
      </w:pPr>
      <w:bookmarkStart w:id="228" w:name="__RefHeading___Toc362476_581953129"/>
      <w:bookmarkStart w:id="229" w:name="_Toc92"/>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اختلفت الآراء بالنسبة إلی ناقضیة النوم للوضوء إطلاقاً وتقییداً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ذلک بمایلی</w:t>
      </w:r>
      <w:r>
        <w:rPr>
          <w:rFonts w:eastAsia="IRNazanin" w:cs="IRNazanin"/>
          <w:color w:val="111111"/>
          <w:sz w:val="28"/>
          <w:szCs w:val="28"/>
          <w:rtl w:val="true"/>
          <w:lang w:bidi="fa-IR"/>
        </w:rPr>
        <w:t>:</w:t>
      </w:r>
    </w:p>
    <w:p>
      <w:pPr>
        <w:pStyle w:val="Heading4"/>
        <w:numPr>
          <w:ilvl w:val="3"/>
          <w:numId w:val="1"/>
        </w:numPr>
        <w:rPr/>
      </w:pPr>
      <w:bookmarkStart w:id="230" w:name="__RefHeading___Toc362478_581953129"/>
      <w:bookmarkStart w:id="231" w:name="_Toc93"/>
      <w:bookmarkEnd w:id="230"/>
      <w:r>
        <w:rPr>
          <w:rtl w:val="true"/>
        </w:rPr>
        <w:t>المذهب الجعفری</w:t>
      </w:r>
      <w:bookmarkEnd w:id="2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إن کان فی حال المشی،</w:t>
      </w:r>
      <w:bookmarkStart w:id="232" w:name="pg5240_59145"/>
    </w:p>
    <w:p>
      <w:pPr>
        <w:pStyle w:val="BookText"/>
        <w:rPr/>
      </w:pPr>
      <w:bookmarkEnd w:id="232"/>
      <w:r>
        <w:rPr>
          <w:rFonts w:ascii="IRNazanin" w:hAnsi="IRNazanin" w:eastAsia="IRNazanin"/>
          <w:color w:val="111111"/>
          <w:sz w:val="28"/>
          <w:sz w:val="28"/>
          <w:szCs w:val="28"/>
          <w:rtl w:val="true"/>
          <w:lang w:bidi="fa-IR"/>
        </w:rPr>
        <w:t>إذا غلب علی القلب و السمع و البصر فلا تنقض الخفقة إذا لم تصل إلی الحدّ المذکور</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ذلک 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عبدالحمید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و هو راکع أو ساجد أو ماش علی أی الحالات فعلیه الوضوء</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وها هو الرأی علی المذهب الحنبلی و المالکی کما 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النوم ینقض الوضوء فی جمیع أحواله إلاّ إذا کان یسیراً فی العرف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النوم ینقض الوضوء إذا کان ثقیلاً،قصیراً کان أو طویلاً،سواء کان النائم مضطجعاً أو جالساً أوساجداً ولاینقض بالنوم الخفیف</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ذلک؛لما روی عن علی علیه السلام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نام فلیتوضّأ</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233" w:name="__RefHeading___Toc362480_581953129"/>
      <w:bookmarkStart w:id="234" w:name="_Toc94"/>
      <w:bookmarkEnd w:id="233"/>
      <w:r>
        <w:rPr>
          <w:rtl w:val="true"/>
        </w:rPr>
        <w:t>المذهب الحنفی</w:t>
      </w:r>
      <w:bookmarkEnd w:id="23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لاینقض بنفسه علی الصحیح،و إنّما ینقض فی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ینام مضطجعاً علی جنبه،الثانی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ینام مستلقیاً علی قفاه،الثالث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ینام علی أحد ورکیه؛لأنّه فی هذه الأحوال لایکون ظابطاً لنفسه،لاسترخاء مفاصله أمّا إذا نام و هو جالس ومقعدته متمکّنة من الأرض أو غیرها فإنّه لاوضوء علیه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 أنّ النوم لاینقض إلاّ فی حالة النوم مضطجعاً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الوضوء علی من نام مضطجعاً</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فإنّه إذا اضطجع استرخت مفاصله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قاس الحنفیة علی النوم مضطجعاً 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ینام مستلقیاً</w:t>
      </w:r>
      <w:bookmarkStart w:id="235" w:name="pg5240_59146"/>
    </w:p>
    <w:p>
      <w:pPr>
        <w:pStyle w:val="BookText"/>
        <w:rPr/>
      </w:pPr>
      <w:bookmarkEnd w:id="235"/>
      <w:r>
        <w:rPr>
          <w:rFonts w:ascii="IRNazanin" w:hAnsi="IRNazanin" w:eastAsia="IRNazanin"/>
          <w:color w:val="111111"/>
          <w:sz w:val="28"/>
          <w:sz w:val="28"/>
          <w:szCs w:val="28"/>
          <w:rtl w:val="true"/>
          <w:lang w:bidi="fa-IR"/>
        </w:rPr>
        <w:t>علی قفاه،أو ینام علی أحد ورکیه؛لأنّ العلّة فی النقض وهی استرخاء المفاصل موجودة فیهما</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236" w:name="__RefHeading___Toc362482_581953129"/>
      <w:bookmarkStart w:id="237" w:name="_Toc95"/>
      <w:bookmarkEnd w:id="236"/>
      <w:r>
        <w:rPr>
          <w:rtl w:val="true"/>
        </w:rPr>
        <w:t>المذهب الشافعی</w:t>
      </w:r>
      <w:bookmarkEnd w:id="237"/>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النوم ینقض الوضوء إذا لم یکن النائم متمکّناً مقعده بمقرّه </w:t>
      </w:r>
      <w:r>
        <w:rPr>
          <w:rStyle w:val="FootnoteAnchor"/>
          <w:rtl w:val="true"/>
        </w:rPr>
        <w:footnoteReference w:id="136"/>
      </w:r>
      <w:r>
        <w:rPr>
          <w:rFonts w:ascii="IRNazanin" w:hAnsi="IRNazanin" w:eastAsia="IRNazanin"/>
          <w:color w:val="111111"/>
          <w:sz w:val="28"/>
          <w:sz w:val="28"/>
          <w:szCs w:val="28"/>
          <w:rtl w:val="true"/>
          <w:lang w:bidi="fa-IR"/>
        </w:rPr>
        <w:t>فالنوم بنفسه لم یکن من النواقض علی هذین المذهبین و إنّما یکون ناقضاً إذا أوجب الظنّ بصدور الریح عن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فالناقض عندئذ هو الریح المظنون</w:t>
      </w:r>
      <w:r>
        <w:rPr>
          <w:rFonts w:eastAsia="IRNazanin" w:cs="IRNazanin"/>
          <w:color w:val="111111"/>
          <w:sz w:val="28"/>
          <w:szCs w:val="28"/>
          <w:rtl w:val="true"/>
          <w:lang w:bidi="fa-IR"/>
        </w:rPr>
        <w:t>.</w:t>
      </w:r>
    </w:p>
    <w:p>
      <w:pPr>
        <w:pStyle w:val="Heading4"/>
        <w:numPr>
          <w:ilvl w:val="3"/>
          <w:numId w:val="1"/>
        </w:numPr>
        <w:rPr/>
      </w:pPr>
      <w:bookmarkStart w:id="238" w:name="__RefHeading___Toc362484_581953129"/>
      <w:bookmarkStart w:id="239" w:name="_Toc96"/>
      <w:bookmarkEnd w:id="238"/>
      <w:r>
        <w:rPr>
          <w:rtl w:val="true"/>
        </w:rPr>
        <w:t>منشأ الاختلاف</w:t>
      </w:r>
      <w:bookmarkEnd w:id="239"/>
    </w:p>
    <w:p>
      <w:pPr>
        <w:pStyle w:val="BookText"/>
        <w:rPr/>
      </w:pPr>
      <w:r>
        <w:rPr>
          <w:rFonts w:ascii="IRNazanin" w:hAnsi="IRNazanin" w:eastAsia="IRNazanin"/>
          <w:color w:val="111111"/>
          <w:sz w:val="28"/>
          <w:sz w:val="28"/>
          <w:szCs w:val="28"/>
          <w:rtl w:val="true"/>
          <w:lang w:bidi="fa-IR"/>
        </w:rPr>
        <w:t>اتّضح بأنّ الاختلاف فی ناقضیة النوم مطلقاً ومقیداً ناشئ عن الاختلاف فی أنّ النوم بنفسه ناقض أو بواسطة صدور الریح؟</w:t>
      </w:r>
    </w:p>
    <w:p>
      <w:pPr>
        <w:pStyle w:val="BookText"/>
        <w:rPr/>
      </w:pPr>
      <w:r>
        <w:rPr>
          <w:rFonts w:ascii="IRNazanin" w:hAnsi="IRNazanin" w:eastAsia="IRNazanin"/>
          <w:color w:val="111111"/>
          <w:sz w:val="28"/>
          <w:sz w:val="28"/>
          <w:szCs w:val="28"/>
          <w:rtl w:val="true"/>
          <w:lang w:bidi="fa-IR"/>
        </w:rPr>
        <w:t>فالنوم ینقض الوضوء فی مطلق الأحوال علی المذهب الجعفری و الحنبلی و المالکی؛لأنّه کان بنفسه من النواقض نصّاً نظیر الاغماء الّذی یغلب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وعلیه،یمکننا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هو زوال العقل لاصدور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والنوم لاینقض الوضوء إلاّ إذا أوجب الظنّ بصدور الریح،علی المذهب الحنفی و الشافعی‌إذاً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الناقض للوضوء لیس هو مطلق النوم بل النوم الموجب لاسترخاء المفاصل</w:t>
      </w:r>
      <w:r>
        <w:rPr>
          <w:rFonts w:eastAsia="IRNazanin" w:cs="IRNazanin"/>
          <w:color w:val="111111"/>
          <w:sz w:val="28"/>
          <w:szCs w:val="28"/>
          <w:rtl w:val="true"/>
          <w:lang w:bidi="fa-IR"/>
        </w:rPr>
        <w:t>.</w:t>
      </w:r>
    </w:p>
    <w:p>
      <w:pPr>
        <w:pStyle w:val="Heading3"/>
        <w:numPr>
          <w:ilvl w:val="2"/>
          <w:numId w:val="1"/>
        </w:numPr>
        <w:rPr/>
      </w:pPr>
      <w:bookmarkStart w:id="240" w:name="__RefHeading___Toc362486_581953129"/>
      <w:bookmarkStart w:id="241" w:name="_Toc97"/>
      <w:bookmarkEnd w:id="240"/>
      <w:r>
        <w:rPr/>
        <w:t>4</w:t>
      </w:r>
      <w:r>
        <w:rPr>
          <w:rtl w:val="true"/>
        </w:rPr>
        <w:t>.</w:t>
      </w:r>
      <w:r>
        <w:rPr>
          <w:rtl w:val="true"/>
        </w:rPr>
        <w:t>ناقضیة الرعاف و القیءوخروج الدم من البدن</w:t>
      </w:r>
      <w:bookmarkEnd w:id="241"/>
    </w:p>
    <w:p>
      <w:pPr>
        <w:pStyle w:val="Heading4"/>
        <w:numPr>
          <w:ilvl w:val="3"/>
          <w:numId w:val="1"/>
        </w:numPr>
        <w:rPr/>
      </w:pPr>
      <w:bookmarkStart w:id="242" w:name="__RefHeading___Toc362488_581953129"/>
      <w:bookmarkStart w:id="243" w:name="_Toc98"/>
      <w:bookmarkEnd w:id="242"/>
      <w:r>
        <w:rPr>
          <w:rtl w:val="true"/>
        </w:rPr>
        <w:t>اشارة</w:t>
      </w:r>
      <w:bookmarkEnd w:id="2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حول ناقضیة تلک الأحداث وتفصیل الاختلاف بمایلی</w:t>
      </w:r>
      <w:r>
        <w:rPr>
          <w:rFonts w:eastAsia="IRNazanin" w:cs="IRNazanin"/>
          <w:color w:val="111111"/>
          <w:sz w:val="28"/>
          <w:szCs w:val="28"/>
          <w:rtl w:val="true"/>
          <w:lang w:bidi="fa-IR"/>
        </w:rPr>
        <w:t>:</w:t>
      </w:r>
      <w:bookmarkStart w:id="244" w:name="pg5240_59147"/>
    </w:p>
    <w:p>
      <w:pPr>
        <w:pStyle w:val="Heading4"/>
        <w:numPr>
          <w:ilvl w:val="3"/>
          <w:numId w:val="1"/>
        </w:numPr>
        <w:rPr/>
      </w:pPr>
      <w:bookmarkStart w:id="245" w:name="__RefHeading___Toc362490_581953129"/>
      <w:bookmarkStart w:id="246" w:name="_Toc99"/>
      <w:bookmarkEnd w:id="244"/>
      <w:bookmarkEnd w:id="245"/>
      <w:r>
        <w:rPr>
          <w:rtl w:val="true"/>
        </w:rPr>
        <w:t>المذهب الجعفری</w:t>
      </w:r>
      <w:bookmarkEnd w:id="246"/>
    </w:p>
    <w:p>
      <w:pPr>
        <w:pStyle w:val="BookText"/>
        <w:rPr/>
      </w:pPr>
      <w:r>
        <w:rPr>
          <w:rFonts w:ascii="IRNazanin" w:hAnsi="IRNazanin" w:eastAsia="IRNazanin"/>
          <w:color w:val="111111"/>
          <w:sz w:val="28"/>
          <w:sz w:val="28"/>
          <w:szCs w:val="28"/>
          <w:rtl w:val="true"/>
          <w:lang w:bidi="fa-IR"/>
        </w:rPr>
        <w:t>القیء و الرعاف و الحجامة کلّ ذلک لم یکن من النواقض ذلک 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الإمام موسی‌بن جعفر علیه السلام عن الرعاف و الحجامة و القیء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هذا شیئاً من الوضوء</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دلّت علی المطلوب دلالة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الحکم علی المذهب الشافعی و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من غیر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لاوضوء إلاّ فیما خرج من قبل أو دبر؛لأنّه خارج من غیر المخرج مع بقاء المخرج فلم یتعلّق به نقض الطهارة کالبصاق،ولأنّه لانصّ فیه ولایمکن قیاسه علی محلّ النص و هو الخارج من السبیلین</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47" w:name="__RefHeading___Toc362492_581953129"/>
      <w:bookmarkStart w:id="248" w:name="_Toc100"/>
      <w:bookmarkEnd w:id="247"/>
      <w:r>
        <w:rPr>
          <w:rtl w:val="true"/>
        </w:rPr>
        <w:t>المذهب الحنبلی</w:t>
      </w:r>
      <w:bookmarkEnd w:id="248"/>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الخارج من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الوضوء فی الجملة،روایة واحدة عن ابن‌عبّاس</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سال الدم ففیه الوضوء؛لعموم قوله علیه السلام من قاء أو رعف فی صلاته فلیتوضّأ</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خارج نجس ینقض الوضوء هذه مقدمة کبری مسلمة عندنا</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فان الرعاف و القیء و الدم السائل من نواقض الوضوء علی المذهب الحنفی</w:t>
      </w:r>
      <w:r>
        <w:rPr>
          <w:rFonts w:eastAsia="IRNazanin" w:cs="IRNazanin"/>
          <w:color w:val="111111"/>
          <w:sz w:val="28"/>
          <w:szCs w:val="28"/>
          <w:rtl w:val="true"/>
          <w:lang w:bidi="fa-IR"/>
        </w:rPr>
        <w:t xml:space="preserve">. </w:t>
      </w:r>
      <w:r>
        <w:rPr>
          <w:rStyle w:val="FootnoteAnchor"/>
          <w:rtl w:val="true"/>
        </w:rPr>
        <w:footnoteReference w:id="141"/>
      </w:r>
      <w:bookmarkStart w:id="249" w:name="pg5240_59148"/>
    </w:p>
    <w:p>
      <w:pPr>
        <w:pStyle w:val="Heading4"/>
        <w:numPr>
          <w:ilvl w:val="3"/>
          <w:numId w:val="1"/>
        </w:numPr>
        <w:rPr/>
      </w:pPr>
      <w:bookmarkStart w:id="250" w:name="__RefHeading___Toc362494_581953129"/>
      <w:bookmarkStart w:id="251" w:name="_Toc101"/>
      <w:bookmarkEnd w:id="249"/>
      <w:bookmarkEnd w:id="250"/>
      <w:r>
        <w:rPr>
          <w:rtl w:val="true"/>
        </w:rPr>
        <w:t>منشأ الاختلاف</w:t>
      </w:r>
      <w:bookmarkEnd w:id="251"/>
    </w:p>
    <w:p>
      <w:pPr>
        <w:pStyle w:val="BookText"/>
        <w:rPr/>
      </w:pPr>
      <w:r>
        <w:rPr>
          <w:rFonts w:ascii="IRNazanin" w:hAnsi="IRNazanin" w:eastAsia="IRNazanin"/>
          <w:color w:val="111111"/>
          <w:sz w:val="28"/>
          <w:sz w:val="28"/>
          <w:szCs w:val="28"/>
          <w:rtl w:val="true"/>
          <w:lang w:bidi="fa-IR"/>
        </w:rPr>
        <w:t>تبین لنا أنّ الاختلاف ناشئ عن الاختلاف فی النصوص فإنّ الروایات کانت متعارضة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متضارب بین النفی 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الجعفری و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الاختلاف بین المذاهب الأربعة ذاتها،ناشئ عن الاختلاف فی وجود النصّ وعدمه،وذلک بسبب الاختلاف فی صحّة النصّ وعدم صحّته سنداً</w:t>
      </w:r>
      <w:r>
        <w:rPr>
          <w:rFonts w:eastAsia="IRNazanin" w:cs="IRNazanin"/>
          <w:color w:val="111111"/>
          <w:sz w:val="28"/>
          <w:szCs w:val="28"/>
          <w:rtl w:val="true"/>
          <w:lang w:bidi="fa-IR"/>
        </w:rPr>
        <w:t>.</w:t>
      </w:r>
    </w:p>
    <w:p>
      <w:pPr>
        <w:pStyle w:val="Heading3"/>
        <w:numPr>
          <w:ilvl w:val="2"/>
          <w:numId w:val="1"/>
        </w:numPr>
        <w:rPr/>
      </w:pPr>
      <w:bookmarkStart w:id="252" w:name="__RefHeading___Toc362496_581953129"/>
      <w:bookmarkStart w:id="253" w:name="_Toc102"/>
      <w:bookmarkEnd w:id="252"/>
      <w:r>
        <w:rPr/>
        <w:t>5</w:t>
      </w:r>
      <w:r>
        <w:rPr>
          <w:rtl w:val="true"/>
        </w:rPr>
        <w:t>.</w:t>
      </w:r>
      <w:r>
        <w:rPr>
          <w:rtl w:val="true"/>
        </w:rPr>
        <w:t>بالنسبة إلی ناقضیة لمس المرأة</w:t>
      </w:r>
      <w:bookmarkEnd w:id="253"/>
    </w:p>
    <w:p>
      <w:pPr>
        <w:pStyle w:val="Heading4"/>
        <w:numPr>
          <w:ilvl w:val="3"/>
          <w:numId w:val="1"/>
        </w:numPr>
        <w:rPr/>
      </w:pPr>
      <w:bookmarkStart w:id="254" w:name="__RefHeading___Toc362498_581953129"/>
      <w:bookmarkStart w:id="255" w:name="_Toc103"/>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اختلفت الآراء حول ناقضیة اللمس بالنسبة‌إلی المرأة،وتفصیل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256" w:name="__RefHeading___Toc362500_581953129"/>
      <w:bookmarkStart w:id="257" w:name="_Toc104"/>
      <w:bookmarkEnd w:id="256"/>
      <w:r>
        <w:rPr>
          <w:rtl w:val="true"/>
        </w:rPr>
        <w:t>المذهب الجعفری</w:t>
      </w:r>
      <w:bookmarkEnd w:id="257"/>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جماعة من العلماء استحباب الوضوء عقیب المذی و الودی و القیء و الرعاف و التقبیل بشهوة ومسّ الفرج ولو فرج نفسه،ومسّ باطن الدبر،والإحلیل،والضحک فی الصلاة،لکنّ الاستحباب فی هذه الموارد غیر معلوم، </w:t>
      </w:r>
      <w:r>
        <w:rPr>
          <w:rStyle w:val="FootnoteAnchor"/>
          <w:rtl w:val="true"/>
        </w:rPr>
        <w:footnoteReference w:id="142"/>
      </w:r>
      <w:r>
        <w:rPr>
          <w:rFonts w:ascii="IRNazanin" w:hAnsi="IRNazanin" w:eastAsia="IRNazanin"/>
          <w:color w:val="111111"/>
          <w:sz w:val="28"/>
          <w:sz w:val="28"/>
          <w:szCs w:val="28"/>
          <w:rtl w:val="true"/>
          <w:lang w:bidi="fa-IR"/>
        </w:rPr>
        <w:t>لعدم الدلیل هناک وعلیه لاینتقض الوضوء بواسطة لمس المرأة،ذلک؛للنصوص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القُبلة ولاالمباشرة ولامسّ الفرج وضوء</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دلّت علی المطلوب دلالة تامّة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الملامسة الّتی تنقض الطهارة علی أساس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فهی عبارة عن المواقعة،کما روی فی روایة أخری 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bookmarkStart w:id="258" w:name="pg5240_59149"/>
    </w:p>
    <w:p>
      <w:pPr>
        <w:pStyle w:val="BookText"/>
        <w:rPr/>
      </w:pPr>
      <w:bookmarkEnd w:id="258"/>
      <w:r>
        <w:rPr>
          <w:rFonts w:ascii="Amiri" w:hAnsi="Amiri" w:eastAsia="Amiri" w:cs="Amiri"/>
          <w:color w:val="111111"/>
          <w:sz w:val="28"/>
          <w:sz w:val="28"/>
          <w:szCs w:val="28"/>
          <w:rtl w:val="true"/>
          <w:lang w:bidi="ar-SA"/>
        </w:rPr>
        <w:t xml:space="preserve">یعنی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المواقعة فی الفرج</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أمّا رأی المذهب الحنفی،فهو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أحمد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اللمس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ذلک عن علی وابن‌عبّاس،وبه قال أبوحنیفة؛لما روی أنّ النبی صلی الله علیه و آله قبّل امرأة من نسائه وخرج إلی الصلاة ولم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أبوداود و هو حدیث مشهور،ولأنّ الوجوب من الشرع ولم یرد بهذا شرع ولا هو فی معنی ماورد الشرع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الجماع بدلیل أنّ المسّ ارید به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آیات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اللمس ولأنّه ذکره بلفظ المفاعلة لاتکون أقلّ من اثنین </w:t>
      </w:r>
      <w:r>
        <w:rPr>
          <w:rStyle w:val="FootnoteAnchor"/>
          <w:rtl w:val="true"/>
        </w:rPr>
        <w:footnoteReference w:id="146"/>
      </w:r>
      <w:r>
        <w:rPr>
          <w:rFonts w:ascii="IRNazanin" w:hAnsi="IRNazanin" w:eastAsia="IRNazanin"/>
          <w:color w:val="111111"/>
          <w:sz w:val="28"/>
          <w:sz w:val="28"/>
          <w:szCs w:val="28"/>
          <w:rtl w:val="true"/>
          <w:lang w:bidi="fa-IR"/>
        </w:rPr>
        <w:t>فلا خلاف بین هذین المذهبین بالنسبة إلی الحکم المستفاد من الآیة إلاّ أنّ معنی المواقعة علی المذهب الحنفی أوسع،فإنّ تلاصق الفرجین مع انتشار القضیب من المواقعة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وینقض الوضوء</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259" w:name="__RefHeading___Toc362502_581953129"/>
      <w:bookmarkStart w:id="260" w:name="_Toc105"/>
      <w:bookmarkEnd w:id="259"/>
      <w:r>
        <w:rPr>
          <w:rtl w:val="true"/>
        </w:rPr>
        <w:t>المذاهب الثلاثة الاُخری</w:t>
      </w:r>
      <w:bookmarkEnd w:id="26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أحمد روایة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اللمس ینقض بکلّ حال،و هو مذهب الشافعی؛لعموم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اللمس ملاقاة البشرتین</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واختلف آراء المذاهب الثلاثة بالنسبة إلی مصداق اللمس الناقض للوضوء فالمقصود من اللمس الناقض علی المذهب المالکی هواللمس مع قصد اللذّة،و أمّا علی المذهب الشافعی و الحنبلی فیشترط فی اللمس الناقض أن یکون الملموس عاریاً أو مستوراً بستر خفیف</w:t>
      </w:r>
      <w:r>
        <w:rPr>
          <w:rFonts w:eastAsia="IRNazanin" w:cs="IRNazanin"/>
          <w:color w:val="111111"/>
          <w:sz w:val="28"/>
          <w:szCs w:val="28"/>
          <w:rtl w:val="true"/>
          <w:lang w:bidi="fa-IR"/>
        </w:rPr>
        <w:t xml:space="preserve">. </w:t>
      </w:r>
      <w:r>
        <w:rPr>
          <w:rStyle w:val="FootnoteAnchor"/>
          <w:rtl w:val="true"/>
        </w:rPr>
        <w:footnoteReference w:id="149"/>
      </w:r>
      <w:bookmarkStart w:id="261" w:name="pg5240_59150"/>
    </w:p>
    <w:p>
      <w:pPr>
        <w:pStyle w:val="BookText"/>
        <w:rPr/>
      </w:pPr>
      <w:bookmarkEnd w:id="261"/>
      <w:r>
        <w:rPr>
          <w:rFonts w:ascii="IRNazanin" w:hAnsi="IRNazanin" w:eastAsia="IRNazanin"/>
          <w:color w:val="111111"/>
          <w:sz w:val="28"/>
          <w:sz w:val="28"/>
          <w:szCs w:val="28"/>
          <w:rtl w:val="true"/>
          <w:lang w:bidi="fa-IR"/>
        </w:rPr>
        <w:t>وقال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الناقض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من بالغ لا من صغیر ولو راهق ووطؤه من جملة لمسه فلا ینقض،وان استحب الغسل</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262" w:name="__RefHeading___Toc362504_581953129"/>
      <w:bookmarkStart w:id="263" w:name="_Toc106"/>
      <w:bookmarkEnd w:id="262"/>
      <w:r>
        <w:rPr>
          <w:rtl w:val="true"/>
        </w:rPr>
        <w:t>منشأ الاختلاف</w:t>
      </w:r>
      <w:bookmarkEnd w:id="263"/>
    </w:p>
    <w:p>
      <w:pPr>
        <w:pStyle w:val="BookText"/>
        <w:rPr/>
      </w:pPr>
      <w:r>
        <w:rPr>
          <w:rFonts w:ascii="IRNazanin" w:hAnsi="IRNazanin" w:eastAsia="IRNazanin"/>
          <w:color w:val="111111"/>
          <w:sz w:val="28"/>
          <w:sz w:val="28"/>
          <w:szCs w:val="28"/>
          <w:rtl w:val="true"/>
          <w:lang w:bidi="fa-IR"/>
        </w:rPr>
        <w:t>تبین لنا أنّ الاختلاف ناشئ عن الأسباب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الواردة عن طریق آل البیت علیهم السلام و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الواردة عن طریق الصحابة بشکل متضارب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المعنی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بتفصیل مرّ بنا بیانه</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362506_581953129"/>
      <w:bookmarkStart w:id="265" w:name="_Toc107"/>
      <w:bookmarkEnd w:id="264"/>
      <w:r>
        <w:rPr/>
        <w:t>6</w:t>
      </w:r>
      <w:r>
        <w:rPr>
          <w:rtl w:val="true"/>
        </w:rPr>
        <w:t>.</w:t>
      </w:r>
      <w:r>
        <w:rPr>
          <w:rtl w:val="true"/>
        </w:rPr>
        <w:t>ناقضیة المسّ</w:t>
      </w:r>
      <w:bookmarkEnd w:id="265"/>
    </w:p>
    <w:p>
      <w:pPr>
        <w:pStyle w:val="Heading4"/>
        <w:numPr>
          <w:ilvl w:val="3"/>
          <w:numId w:val="1"/>
        </w:numPr>
        <w:rPr/>
      </w:pPr>
      <w:bookmarkStart w:id="266" w:name="__RefHeading___Toc362508_581953129"/>
      <w:bookmarkStart w:id="267" w:name="_Toc108"/>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اختلفت الآراءبالنسبة إلی ناقضیة مسّ الفرج للوضوء،إیجاباً وسلباً 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268" w:name="__RefHeading___Toc362510_581953129"/>
      <w:bookmarkStart w:id="269" w:name="_Toc109"/>
      <w:bookmarkEnd w:id="268"/>
      <w:r>
        <w:rPr>
          <w:rtl w:val="true"/>
        </w:rPr>
        <w:t>المذهب الحنفی</w:t>
      </w:r>
      <w:bookmarkEnd w:id="269"/>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 الذکر لاینقض الوضوء ولو کان بشهوة؛لأنّ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عن السؤال من ناقضیة ذاک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إلاّ بضعة منک فکان کسائره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أمّا وجهة نظر المذهب الجعفری فقد مرّت بنا روایة صحیحة عن الإمام الباقر علیه السلام فی تصریحها بعدم انتقاض الوضوء بواسطة المسّ</w:t>
      </w:r>
      <w:r>
        <w:rPr>
          <w:rFonts w:eastAsia="IRNazanin" w:cs="IRNazanin"/>
          <w:color w:val="111111"/>
          <w:sz w:val="28"/>
          <w:szCs w:val="28"/>
          <w:rtl w:val="true"/>
          <w:lang w:bidi="fa-IR"/>
        </w:rPr>
        <w:t>.</w:t>
      </w:r>
    </w:p>
    <w:p>
      <w:pPr>
        <w:pStyle w:val="Heading4"/>
        <w:numPr>
          <w:ilvl w:val="3"/>
          <w:numId w:val="1"/>
        </w:numPr>
        <w:rPr/>
      </w:pPr>
      <w:bookmarkStart w:id="270" w:name="__RefHeading___Toc362512_581953129"/>
      <w:bookmarkStart w:id="271" w:name="_Toc110"/>
      <w:bookmarkEnd w:id="270"/>
      <w:r>
        <w:rPr>
          <w:rtl w:val="true"/>
        </w:rPr>
        <w:t>المذاهب الثلاثة الاُخری</w:t>
      </w:r>
      <w:bookmarkEnd w:id="2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الوضوء و هو مذهب الشافعی و هو المشهور عن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 بسرة بنت صفوان أنّ</w:t>
      </w:r>
      <w:bookmarkStart w:id="272" w:name="pg5240_59151"/>
    </w:p>
    <w:p>
      <w:pPr>
        <w:pStyle w:val="BookText"/>
        <w:rPr/>
      </w:pPr>
      <w:bookmarkEnd w:id="272"/>
      <w:r>
        <w:rPr>
          <w:rFonts w:ascii="IRNazanin" w:hAnsi="IRNazanin" w:eastAsia="IRNazanin"/>
          <w:color w:val="111111"/>
          <w:sz w:val="28"/>
          <w:sz w:val="28"/>
          <w:szCs w:val="28"/>
          <w:rtl w:val="true"/>
          <w:lang w:bidi="fa-IR"/>
        </w:rPr>
        <w:t>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ذکره فلیتوضّأ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أخری عنه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فرجه فلیتوضّأ</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فالمسّ بلاحائل ینقض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أبی‌هریرة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افضی احدکم بیده إلی ذکره فقد وجب علیه الوضوء</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73" w:name="__RefHeading___Toc362514_581953129"/>
      <w:bookmarkStart w:id="274" w:name="_Toc111"/>
      <w:bookmarkEnd w:id="273"/>
      <w:r>
        <w:rPr/>
        <w:t>7</w:t>
      </w:r>
      <w:r>
        <w:rPr>
          <w:rtl w:val="true"/>
        </w:rPr>
        <w:t>.</w:t>
      </w:r>
      <w:r>
        <w:rPr>
          <w:rtl w:val="true"/>
        </w:rPr>
        <w:t>ناقضیة الضحک للوضوء</w:t>
      </w:r>
      <w:bookmarkEnd w:id="274"/>
    </w:p>
    <w:p>
      <w:pPr>
        <w:pStyle w:val="Heading4"/>
        <w:numPr>
          <w:ilvl w:val="3"/>
          <w:numId w:val="1"/>
        </w:numPr>
        <w:rPr/>
      </w:pPr>
      <w:bookmarkStart w:id="275" w:name="__RefHeading___Toc362516_581953129"/>
      <w:bookmarkStart w:id="276" w:name="_Toc112"/>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القهقهة فی الصلاة تنقض الوضوء؛و قد وردت فی ذلک أحادیث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الطبرانی عن 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 ضحک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ضحک أن یعید الصلاة</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277" w:name="__RefHeading___Toc362518_581953129"/>
      <w:bookmarkStart w:id="278" w:name="_Toc113"/>
      <w:bookmarkEnd w:id="277"/>
      <w:r>
        <w:rPr>
          <w:rtl w:val="true"/>
        </w:rPr>
        <w:t>المذاهب الثلاثة الأخری</w:t>
      </w:r>
      <w:bookmarkEnd w:id="278"/>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القهقهة وضوء،روی ذلک عن عروة ومالک و الشافعی،وقال أصحاب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 داخل الصلاة دون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أنّه معنی لایبطل الوضوء خارج الصلاة فلم یبطله داخلها کالکلام</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279" w:name="__RefHeading___Toc362520_581953129"/>
      <w:bookmarkStart w:id="280" w:name="_Toc114"/>
      <w:bookmarkEnd w:id="279"/>
      <w:r>
        <w:rPr/>
        <w:t>8</w:t>
      </w:r>
      <w:r>
        <w:rPr>
          <w:rtl w:val="true"/>
        </w:rPr>
        <w:t>.</w:t>
      </w:r>
      <w:r>
        <w:rPr>
          <w:rtl w:val="true"/>
        </w:rPr>
        <w:t>نقض الوضوء بأکل لحم الجزور</w:t>
      </w:r>
      <w:bookmarkEnd w:id="280"/>
    </w:p>
    <w:p>
      <w:pPr>
        <w:pStyle w:val="Heading4"/>
        <w:numPr>
          <w:ilvl w:val="3"/>
          <w:numId w:val="1"/>
        </w:numPr>
        <w:rPr/>
      </w:pPr>
      <w:bookmarkStart w:id="281" w:name="__RefHeading___Toc362522_581953129"/>
      <w:bookmarkStart w:id="282" w:name="_Toc115"/>
      <w:bookmarkEnd w:id="281"/>
      <w:r>
        <w:rPr>
          <w:rtl w:val="true"/>
        </w:rPr>
        <w:t>اشارة</w:t>
      </w:r>
      <w:bookmarkEnd w:id="28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 لحم الإبل ینقض الوضوء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البراءبن عازب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 آله عن لحوم الإبل؟فقال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توضّأوا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مسلم،وأبوداود</w:t>
      </w:r>
      <w:r>
        <w:rPr>
          <w:rFonts w:eastAsia="IRNazanin" w:cs="IRNazanin"/>
          <w:color w:val="111111"/>
          <w:sz w:val="28"/>
          <w:szCs w:val="28"/>
          <w:rtl w:val="true"/>
          <w:lang w:bidi="fa-IR"/>
        </w:rPr>
        <w:t xml:space="preserve">. </w:t>
      </w:r>
      <w:r>
        <w:rPr>
          <w:rStyle w:val="FootnoteAnchor"/>
          <w:rtl w:val="true"/>
        </w:rPr>
        <w:footnoteReference w:id="156"/>
      </w:r>
      <w:bookmarkStart w:id="283" w:name="pg5240_59152"/>
    </w:p>
    <w:p>
      <w:pPr>
        <w:pStyle w:val="BookText"/>
        <w:rPr/>
      </w:pPr>
      <w:bookmarkEnd w:id="283"/>
      <w:r>
        <w:rPr>
          <w:rFonts w:ascii="IRNazanin" w:hAnsi="IRNazanin" w:eastAsia="IRNazanin"/>
          <w:color w:val="111111"/>
          <w:sz w:val="28"/>
          <w:sz w:val="28"/>
          <w:szCs w:val="28"/>
          <w:rtl w:val="true"/>
          <w:lang w:bidi="fa-IR"/>
        </w:rPr>
        <w:t>فتبین لنا أنّ الحکم بناقضیة القهقهة للوضوء ممّا تفرّد به الحنفی و الحکم بناقضیة أکل لحم الجروز للوضوء ممّا تفرّد به الحنبلی</w:t>
      </w:r>
      <w:r>
        <w:rPr>
          <w:rFonts w:eastAsia="IRNazanin" w:cs="IRNazanin"/>
          <w:color w:val="111111"/>
          <w:sz w:val="28"/>
          <w:szCs w:val="28"/>
          <w:rtl w:val="true"/>
          <w:lang w:bidi="fa-IR"/>
        </w:rPr>
        <w:t>.</w:t>
      </w:r>
    </w:p>
    <w:p>
      <w:pPr>
        <w:pStyle w:val="Heading4"/>
        <w:numPr>
          <w:ilvl w:val="3"/>
          <w:numId w:val="1"/>
        </w:numPr>
        <w:rPr/>
      </w:pPr>
      <w:bookmarkStart w:id="284" w:name="__RefHeading___Toc362524_581953129"/>
      <w:bookmarkStart w:id="285" w:name="_Toc116"/>
      <w:bookmarkEnd w:id="284"/>
      <w:r>
        <w:rPr>
          <w:rtl w:val="true"/>
        </w:rPr>
        <w:t>منشأ الاختلاف</w:t>
      </w:r>
      <w:bookmarkEnd w:id="285"/>
    </w:p>
    <w:p>
      <w:pPr>
        <w:pStyle w:val="BookText"/>
        <w:rPr/>
      </w:pPr>
      <w:r>
        <w:rPr>
          <w:rFonts w:ascii="IRNazanin" w:hAnsi="IRNazanin" w:eastAsia="IRNazanin"/>
          <w:color w:val="111111"/>
          <w:sz w:val="28"/>
          <w:sz w:val="28"/>
          <w:szCs w:val="28"/>
          <w:rtl w:val="true"/>
          <w:lang w:bidi="fa-IR"/>
        </w:rPr>
        <w:t>تبین لنا بکلّ وضوح،أنّ الاختلاف فی ناقضیة المسّ ناشئ عن الاختلاف فی النصّ الوارد من طریق آل‌البیت علیهم السلام و الصحابة بشکل متضارب،فإنّ النصّ الوارد من طریق آل‌البیت علیهم السلام صرّح بعدم النقض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النصوص الواردة من طریق الصحابة فهی بذاتها متعارضة،فمنها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 مسّ الفرج ینقض الوضوء ومنها ما یدلّ علی عدم النقض وعلیه نشأ الاختلاف فی الحکم بین فقهاء المذاهب الأربعة علی أساس اجتهادهم بترجیح بعض النصوص علی بعض آخر</w:t>
      </w:r>
      <w:r>
        <w:rPr>
          <w:rFonts w:eastAsia="IRNazanin" w:cs="IRNazanin"/>
          <w:color w:val="111111"/>
          <w:sz w:val="28"/>
          <w:szCs w:val="28"/>
          <w:rtl w:val="true"/>
          <w:lang w:bidi="fa-IR"/>
        </w:rPr>
        <w:t>.</w:t>
      </w:r>
    </w:p>
    <w:p>
      <w:pPr>
        <w:pStyle w:val="Heading4"/>
        <w:numPr>
          <w:ilvl w:val="3"/>
          <w:numId w:val="1"/>
        </w:numPr>
        <w:rPr/>
      </w:pPr>
      <w:bookmarkStart w:id="286" w:name="__RefHeading___Toc362526_581953129"/>
      <w:bookmarkStart w:id="287" w:name="_Toc117"/>
      <w:bookmarkEnd w:id="286"/>
      <w:r>
        <w:rPr>
          <w:rtl w:val="true"/>
        </w:rPr>
        <w:t>الشکّ فی الحدث</w:t>
      </w:r>
      <w:bookmarkEnd w:id="287"/>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ینتقض الوضوء بالشکّ فی الحدث،أو سببه،کأن یشکّ بعد تحقّق الوضوء هل خرج منه ریح أو مسّ ذکره مثلاً أو لا؟فکلّ ذلک ینقض الوضوء؛لأنّ الذمّة لاتبرأ إلاّ بالیقین و الشاکّ لایقین 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الجزیری علی الرغم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لاینتقض الوضوء بالشکّ فی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المکلّف،إذا یعلم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بیقین،ثمّ یشک هل أحدث بعد ذلک الوضوء أو لا؟و هذا الشکّ لاینقض وضوئه؛لأنّه شکّ فی حصول الحدث بعد الوضوء و الشکّ لایزیل یقین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شکّ فی الوضوء بعد تمامه،أمّا إذا شکّ أثناء الوضوء فی عضو فإنّ علیه أن یعید تطهیر العضو الّذی شکّ فیه</w:t>
      </w:r>
      <w:r>
        <w:rPr>
          <w:rFonts w:eastAsia="IRNazanin" w:cs="IRNazanin"/>
          <w:color w:val="111111"/>
          <w:sz w:val="28"/>
          <w:szCs w:val="28"/>
          <w:rtl w:val="true"/>
          <w:lang w:bidi="fa-IR"/>
        </w:rPr>
        <w:t xml:space="preserve">. </w:t>
      </w:r>
      <w:r>
        <w:rPr>
          <w:rStyle w:val="FootnoteAnchor"/>
          <w:rtl w:val="true"/>
        </w:rPr>
        <w:footnoteReference w:id="157"/>
      </w:r>
      <w:bookmarkStart w:id="288" w:name="pg5240_59153"/>
    </w:p>
    <w:p>
      <w:pPr>
        <w:pStyle w:val="BookText"/>
        <w:rPr/>
      </w:pPr>
      <w:bookmarkEnd w:id="288"/>
      <w:r>
        <w:rPr>
          <w:rFonts w:ascii="IRNazanin" w:hAnsi="IRNazanin" w:eastAsia="IRNazanin"/>
          <w:color w:val="111111"/>
          <w:sz w:val="28"/>
          <w:sz w:val="28"/>
          <w:szCs w:val="28"/>
          <w:rtl w:val="true"/>
          <w:lang w:bidi="fa-IR"/>
        </w:rPr>
        <w:t>و أمّا حکم الشکّ فی الحدث،علی المذهب الجعفری،فهو بمایلی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تیقّن الحدث وشکّ فی الطهارة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ولوتیقّن الطهارة وشکّ فی الحدث بنی علی الطهارة </w:t>
      </w:r>
      <w:r>
        <w:rPr>
          <w:rStyle w:val="FootnoteAnchor"/>
          <w:rtl w:val="true"/>
        </w:rPr>
        <w:footnoteReference w:id="158"/>
      </w:r>
      <w:r>
        <w:rPr>
          <w:rFonts w:ascii="IRNazanin" w:hAnsi="IRNazanin" w:eastAsia="IRNazanin"/>
          <w:color w:val="111111"/>
          <w:sz w:val="28"/>
          <w:sz w:val="28"/>
          <w:szCs w:val="28"/>
          <w:rtl w:val="true"/>
          <w:lang w:bidi="fa-IR"/>
        </w:rPr>
        <w:t>ذلک؛علی أساس قاعدة لاستصحاب الثابتة بالنصّ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فعل من أفعال قبل الفراغ منه 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شکّ بعد الفراغ لم یلتفت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ذلک؛لقاعدة الفراغ الثابتة بالنصّ و الإجماع</w:t>
      </w:r>
      <w:r>
        <w:rPr>
          <w:rFonts w:eastAsia="IRNazanin" w:cs="IRNazanin"/>
          <w:color w:val="111111"/>
          <w:sz w:val="28"/>
          <w:szCs w:val="28"/>
          <w:rtl w:val="true"/>
          <w:lang w:bidi="fa-IR"/>
        </w:rPr>
        <w:t>.</w:t>
      </w:r>
    </w:p>
    <w:p>
      <w:pPr>
        <w:pStyle w:val="Heading4"/>
        <w:numPr>
          <w:ilvl w:val="3"/>
          <w:numId w:val="1"/>
        </w:numPr>
        <w:rPr/>
      </w:pPr>
      <w:bookmarkStart w:id="289" w:name="__RefHeading___Toc362528_581953129"/>
      <w:bookmarkStart w:id="290" w:name="_Toc118"/>
      <w:bookmarkEnd w:id="289"/>
      <w:r>
        <w:rPr>
          <w:rtl w:val="true"/>
        </w:rPr>
        <w:t>المذاهب الثلاثة الأخری</w:t>
      </w:r>
      <w:bookmarkEnd w:id="290"/>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تیقّن الطهارة،وشکّ فی الحدث،أو تیقّن الحدث،وشکّ فی الطهارة،فهو علی ما تیقّن بهما</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والمختلف فیه نزع الخف وفیه خلاف و الأصحّ أنّ مسح الخف یرفع الحدث فإذا نزعه عاد الحدث</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وقال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القهقهة حدثاً شرعاً لورود الحدیث فیها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ضحک منکم قهقهة فلیعد الوضوء و الصلاة جمیعاً</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291" w:name="__RefHeading___Toc362530_581953129"/>
      <w:bookmarkStart w:id="292" w:name="_Toc119"/>
      <w:bookmarkEnd w:id="291"/>
      <w:r>
        <w:rPr>
          <w:rtl w:val="true"/>
        </w:rPr>
        <w:t>منشأ الاختلاف</w:t>
      </w:r>
      <w:bookmarkEnd w:id="2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حکم الشک ناشئ عن الاختلاف فی النص والاجتهاد</w:t>
      </w:r>
      <w:r>
        <w:rPr>
          <w:rFonts w:eastAsia="IRNazanin" w:cs="IRNazanin"/>
          <w:color w:val="111111"/>
          <w:sz w:val="28"/>
          <w:szCs w:val="28"/>
          <w:rtl w:val="true"/>
          <w:lang w:bidi="fa-IR"/>
        </w:rPr>
        <w:t>.</w:t>
      </w:r>
      <w:bookmarkStart w:id="293" w:name="pg5240_59154"/>
    </w:p>
    <w:p>
      <w:pPr>
        <w:pStyle w:val="Heading3"/>
        <w:numPr>
          <w:ilvl w:val="2"/>
          <w:numId w:val="1"/>
        </w:numPr>
        <w:rPr/>
      </w:pPr>
      <w:bookmarkStart w:id="294" w:name="__RefHeading___Toc362532_581953129"/>
      <w:bookmarkStart w:id="295" w:name="_Toc120"/>
      <w:bookmarkEnd w:id="293"/>
      <w:bookmarkEnd w:id="294"/>
      <w:r>
        <w:rPr>
          <w:rtl w:val="true"/>
        </w:rPr>
        <w:t>الخلاصة</w:t>
      </w:r>
      <w:bookmarkEnd w:id="295"/>
    </w:p>
    <w:p>
      <w:pPr>
        <w:pStyle w:val="BookText"/>
        <w:rPr/>
      </w:pPr>
      <w:r>
        <w:rPr>
          <w:rFonts w:ascii="IRNazanin" w:hAnsi="IRNazanin" w:eastAsia="IRNazanin"/>
          <w:color w:val="111111"/>
          <w:sz w:val="28"/>
          <w:sz w:val="28"/>
          <w:szCs w:val="28"/>
          <w:rtl w:val="true"/>
          <w:lang w:bidi="fa-IR"/>
        </w:rPr>
        <w:t>لاینتقض الوضوء بالمذی و الودی علی المذهب الجعفری وینتقض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الحادث الخارج من السبیلین،الناقض للوضوء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فحسب،علی مذهبی الجعفری و المالکی،والخارج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کالدم و الدود ونحوهما ینقض الوضوء،علی المذاهب الثلاثة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النوم بذاته،من نواقض الوضوء علی المذهب الجعفری و الحنبلی و المالکی،ویکون ناقضاً بشرط أن یصبح مظنة لصدور الریح،علی المذهب الحنفی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القیء و الرعاف و الحجامة وخروج الدم و القیح من الجروح و القروح،کلّ ذلک لم یکن ناقضاً للوضوء علی المذهب الجعفری و الشافعی و المالکی،ویکون من النواقض،علی مذهبی الحنبلی و الحنفی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لاینتقض الوضوء بواسطة لمس المرأة ومسّ الذکر علی المذهب الجعفری،إلاّ أنّ الحکم فیها متفاوت بالنسبة إلی المذاهب الأربعة</w:t>
      </w:r>
      <w:r>
        <w:rPr>
          <w:rFonts w:eastAsia="IRNazanin" w:cs="IRNazanin"/>
          <w:color w:val="111111"/>
          <w:sz w:val="28"/>
          <w:szCs w:val="28"/>
          <w:rtl w:val="true"/>
          <w:lang w:bidi="fa-IR"/>
        </w:rPr>
        <w:t>.</w:t>
      </w:r>
      <w:bookmarkStart w:id="296" w:name="pg5240_59155"/>
    </w:p>
    <w:p>
      <w:pPr>
        <w:pStyle w:val="Heading3"/>
        <w:numPr>
          <w:ilvl w:val="2"/>
          <w:numId w:val="1"/>
        </w:numPr>
        <w:rPr/>
      </w:pPr>
      <w:bookmarkStart w:id="297" w:name="__RefHeading___Toc362534_581953129"/>
      <w:bookmarkStart w:id="298" w:name="_Toc121"/>
      <w:bookmarkEnd w:id="296"/>
      <w:bookmarkEnd w:id="297"/>
      <w:r>
        <w:rPr>
          <w:rtl w:val="true"/>
        </w:rPr>
        <w:t>الأسئلة</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معنی النوم،فی باب نواقض الوضوء؟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الدم الخارج من الجروح و القروح،ینقض الوضوء؟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معنی اللمس الناقض للوضوء فی الآیة الکریمة؟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القیء،والرعاف ینقضان الوضوء؟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حکم الشکّ فی فعل من الأفعال أثناء الوضوء؟</w:t>
      </w:r>
      <w:bookmarkStart w:id="299" w:name="pg5240_59156"/>
    </w:p>
    <w:p>
      <w:pPr>
        <w:pStyle w:val="Heading2"/>
        <w:numPr>
          <w:ilvl w:val="1"/>
          <w:numId w:val="1"/>
        </w:numPr>
        <w:rPr/>
      </w:pPr>
      <w:bookmarkStart w:id="300" w:name="__RefHeading___Toc362536_581953129"/>
      <w:bookmarkStart w:id="301" w:name="_Toc122"/>
      <w:bookmarkEnd w:id="299"/>
      <w:bookmarkEnd w:id="300"/>
      <w:r>
        <w:rPr/>
        <w:t>6</w:t>
      </w:r>
      <w:r>
        <w:rPr>
          <w:rtl w:val="true"/>
        </w:rPr>
        <w:t xml:space="preserve">- </w:t>
      </w:r>
      <w:r>
        <w:rPr>
          <w:rtl w:val="true"/>
        </w:rPr>
        <w:t>الغسل</w:t>
      </w:r>
      <w:bookmarkEnd w:id="301"/>
    </w:p>
    <w:p>
      <w:pPr>
        <w:pStyle w:val="Heading3"/>
        <w:numPr>
          <w:ilvl w:val="2"/>
          <w:numId w:val="1"/>
        </w:numPr>
        <w:rPr/>
      </w:pPr>
      <w:bookmarkStart w:id="302" w:name="__RefHeading___Toc362538_581953129"/>
      <w:bookmarkStart w:id="303" w:name="_Toc123"/>
      <w:bookmarkEnd w:id="302"/>
      <w:r>
        <w:rPr>
          <w:rtl w:val="true"/>
        </w:rPr>
        <w:t>واجبات الغسل</w:t>
      </w:r>
      <w:bookmarkEnd w:id="303"/>
    </w:p>
    <w:p>
      <w:pPr>
        <w:pStyle w:val="Heading4"/>
        <w:numPr>
          <w:ilvl w:val="3"/>
          <w:numId w:val="1"/>
        </w:numPr>
        <w:rPr/>
      </w:pPr>
      <w:bookmarkStart w:id="304" w:name="__RefHeading___Toc362540_581953129"/>
      <w:bookmarkStart w:id="305" w:name="_Toc124"/>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یوجد هناک عدة اختلافات بالنسبة إلی واجبات الغسل،بین المذاهب و التفصیل بما یلی</w:t>
      </w:r>
      <w:r>
        <w:rPr>
          <w:rFonts w:eastAsia="IRNazanin" w:cs="IRNazanin"/>
          <w:color w:val="111111"/>
          <w:sz w:val="28"/>
          <w:szCs w:val="28"/>
          <w:rtl w:val="true"/>
          <w:lang w:bidi="fa-IR"/>
        </w:rPr>
        <w:t>.</w:t>
      </w:r>
    </w:p>
    <w:p>
      <w:pPr>
        <w:pStyle w:val="Heading4"/>
        <w:numPr>
          <w:ilvl w:val="3"/>
          <w:numId w:val="1"/>
        </w:numPr>
        <w:rPr/>
      </w:pPr>
      <w:bookmarkStart w:id="306" w:name="__RefHeading___Toc362542_581953129"/>
      <w:bookmarkStart w:id="307" w:name="_Toc125"/>
      <w:bookmarkEnd w:id="306"/>
      <w:r>
        <w:rPr>
          <w:rtl w:val="true"/>
        </w:rPr>
        <w:t>المذهب الجعفری</w:t>
      </w:r>
      <w:bookmarkEnd w:id="3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الغسل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ویعتبر فیها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ظاهر البشرة فیجب تخلیل ما لا یصل الماء إلیه إلاّ بتخلیله،ولایجب غسل باطن العین و الأنف والاُذن وغیرها</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ذلک للنصوص الدالة علی غسل الجسد بتمامه وکماله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صحیحة زرارة عن الإمام الصادق علیه السلام سؤالاً عن غسل الجنابة،فأمر الإمام علیه السلام بغسل الکفین وتطهیر البدن من الخبث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تمضمض واستنشق،ثم تغسل جسدک من لدن قرنک إلی قدمیک</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دلت علی الترتیب وعلی أنّ الغسل هو تغسیل ظاهر الجسد کله و هو معناه العرفی ولا صلة له بغسل باطن البدن،ولا دلیل علی غسل الباطن</w:t>
      </w:r>
      <w:r>
        <w:rPr>
          <w:rFonts w:eastAsia="IRNazanin" w:cs="IRNazanin"/>
          <w:color w:val="111111"/>
          <w:sz w:val="28"/>
          <w:szCs w:val="28"/>
          <w:rtl w:val="true"/>
          <w:lang w:bidi="fa-IR"/>
        </w:rPr>
        <w:t>.</w:t>
      </w:r>
      <w:bookmarkStart w:id="308" w:name="pg5240_59157"/>
    </w:p>
    <w:p>
      <w:pPr>
        <w:pStyle w:val="BookText"/>
        <w:rPr/>
      </w:pPr>
      <w:bookmarkEnd w:id="308"/>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غسل ما تحت الشعر من البشرة وکذا الشعر الدقیق الذی یعد من توابع الجسد،والأحوط وجوب غسل الشعر مطلقاً </w:t>
      </w:r>
      <w:r>
        <w:rPr>
          <w:rStyle w:val="FootnoteAnchor"/>
          <w:rtl w:val="true"/>
        </w:rPr>
        <w:footnoteReference w:id="165"/>
      </w:r>
      <w:r>
        <w:rPr>
          <w:rFonts w:ascii="IRNazanin" w:hAnsi="IRNazanin" w:eastAsia="IRNazanin"/>
          <w:color w:val="111111"/>
          <w:sz w:val="28"/>
          <w:sz w:val="28"/>
          <w:szCs w:val="28"/>
          <w:rtl w:val="true"/>
          <w:lang w:bidi="fa-IR"/>
        </w:rPr>
        <w:t>وبما أنه لم یکن هناک دلیل علی وجوب غسل الشعر،کان غسله احتیاطاً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الترتیب فی الغسل الترتیبی و هو أفضل من الإرتماسی الّذی هو عبارة عن تغطیة البدن فی الماء مقارنة للنیة </w:t>
      </w:r>
      <w:r>
        <w:rPr>
          <w:rStyle w:val="FootnoteAnchor"/>
          <w:rtl w:val="true"/>
        </w:rPr>
        <w:footnoteReference w:id="166"/>
      </w:r>
      <w:r>
        <w:rPr>
          <w:rFonts w:ascii="IRNazanin" w:hAnsi="IRNazanin" w:eastAsia="IRNazanin"/>
          <w:color w:val="111111"/>
          <w:sz w:val="28"/>
          <w:sz w:val="28"/>
          <w:szCs w:val="28"/>
          <w:rtl w:val="true"/>
          <w:lang w:bidi="fa-IR"/>
        </w:rPr>
        <w:t>قد ورد فی ذیل الصحیحة المتلوة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رجلاً جنباً ارتمس فی الماء ارتماسة واحدة أجزأه ذلک </w:t>
      </w:r>
      <w:r>
        <w:rPr>
          <w:rStyle w:val="FootnoteAnchor"/>
          <w:rtl w:val="true"/>
        </w:rPr>
        <w:footnoteReference w:id="167"/>
      </w:r>
      <w:r>
        <w:rPr>
          <w:rFonts w:ascii="IRNazanin" w:hAnsi="IRNazanin" w:eastAsia="IRNazanin"/>
          <w:color w:val="111111"/>
          <w:sz w:val="28"/>
          <w:sz w:val="28"/>
          <w:szCs w:val="28"/>
          <w:rtl w:val="true"/>
          <w:lang w:bidi="fa-IR"/>
        </w:rPr>
        <w:t>دلت علی کفایة الإرتماس فی الماء تجاه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الماء وطهارتها وإباحته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بنا أدلة اعتبار هذه الأمور فی شروط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ولایجب الموالات فی الترتیبی</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ذلک لعدم الدلیل علی اعتبار ذلک و الذی یسهل الخطب أنّ الموالاة من ناحیة عملیة من مستلزمات الغسل،فلا أثر لهذا البحث بحسب الواقع</w:t>
      </w:r>
      <w:r>
        <w:rPr>
          <w:rFonts w:eastAsia="IRNazanin" w:cs="IRNazanin"/>
          <w:color w:val="111111"/>
          <w:sz w:val="28"/>
          <w:szCs w:val="28"/>
          <w:rtl w:val="true"/>
          <w:lang w:bidi="fa-IR"/>
        </w:rPr>
        <w:t>.</w:t>
      </w:r>
    </w:p>
    <w:p>
      <w:pPr>
        <w:pStyle w:val="Heading4"/>
        <w:numPr>
          <w:ilvl w:val="3"/>
          <w:numId w:val="1"/>
        </w:numPr>
        <w:rPr/>
      </w:pPr>
      <w:bookmarkStart w:id="309" w:name="__RefHeading___Toc362544_581953129"/>
      <w:bookmarkStart w:id="310" w:name="_Toc126"/>
      <w:bookmarkEnd w:id="309"/>
      <w:r>
        <w:rPr>
          <w:rtl w:val="true"/>
        </w:rPr>
        <w:t>المذهب الحنفی</w:t>
      </w:r>
      <w:bookmarkEnd w:id="31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الغسل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المضمضة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الاستنشاق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جمیع البدن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الحنابله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الغسل شیء واحد و هو تعمیم الجسد بالماء ویدخل فی الجسد الفم و الأنف فإنّه یجب غسلهما من الداخل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الشافعیة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الغسل إثنان فقط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وتعمیم ظاهر الجسد</w:t>
      </w:r>
      <w:bookmarkStart w:id="311" w:name="pg5240_59158"/>
    </w:p>
    <w:p>
      <w:pPr>
        <w:pStyle w:val="BookText"/>
        <w:rPr/>
      </w:pPr>
      <w:bookmarkEnd w:id="311"/>
      <w:r>
        <w:rPr>
          <w:rFonts w:ascii="IRNazanin" w:hAnsi="IRNazanin" w:eastAsia="IRNazanin"/>
          <w:color w:val="111111"/>
          <w:sz w:val="28"/>
          <w:sz w:val="28"/>
          <w:szCs w:val="28"/>
          <w:rtl w:val="true"/>
          <w:lang w:bidi="fa-IR"/>
        </w:rPr>
        <w:t xml:space="preserve">بالماء </w:t>
      </w:r>
      <w:r>
        <w:rPr>
          <w:rStyle w:val="FootnoteAnchor"/>
          <w:rtl w:val="true"/>
        </w:rPr>
        <w:footnoteReference w:id="169"/>
      </w:r>
      <w:r>
        <w:rPr>
          <w:rFonts w:ascii="IRNazanin" w:hAnsi="IRNazanin" w:eastAsia="IRNazanin"/>
          <w:color w:val="111111"/>
          <w:sz w:val="28"/>
          <w:sz w:val="28"/>
          <w:szCs w:val="28"/>
          <w:rtl w:val="true"/>
          <w:lang w:bidi="fa-IR"/>
        </w:rPr>
        <w:t>بما أن تلک الاختلافات کلها نظریة،لا تشکل اختلافاً بحسب الواقع،وبالتالی فلا یکون اختلاف عملی بالنسبة إلی الغسل بین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واختلفوا جمیعاً فی الشعر المضفور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فالحنفیة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إنّما الواجب هو أن یصل الماء إلی جذور الشعر،فإن کان الشعر غیر مضغور،فإنّه یجب تحریکه حتّی یدخل الماء فی باطنه،ولن یرخص للمرأة التی علی رأسها الطیب المانع من وصول الماء إلی جذور الشعر بل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علیها إزالة الطیب ولو کانت عروساً،و هذا الحکم اتفق علیه الحنفیة و الحنابلة و الشافعیة وخالف فیه المالکیة فقط،فهم الذین رخصوا للعروس بترک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والزینة وعدم غسل الرأس و هذه رخصة جمیلة </w:t>
      </w:r>
      <w:r>
        <w:rPr>
          <w:rStyle w:val="FootnoteAnchor"/>
          <w:rtl w:val="true"/>
        </w:rPr>
        <w:footnoteReference w:id="170"/>
      </w:r>
      <w:r>
        <w:rPr>
          <w:rFonts w:ascii="IRNazanin" w:hAnsi="IRNazanin" w:eastAsia="IRNazanin"/>
          <w:color w:val="111111"/>
          <w:sz w:val="28"/>
          <w:sz w:val="28"/>
          <w:szCs w:val="28"/>
          <w:rtl w:val="true"/>
          <w:lang w:bidi="fa-IR"/>
        </w:rPr>
        <w:t>فیقال إنّ تلک الرخصة الجمیلة تکون کهدیة متواضعة لجمال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علی المرأة نقض شعرها لغسلها من الجنابة روایة واحدً ولا نعلم فی هذا خلافاً إلاّ أنّه روی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یأمر النساء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غسل الحیض فنص أحمد علی أنّها تنقض شعرها فیه،لما روی عن عایشة أنّ النبی صلی الله علیه و آله قال لها إذا کانت حائضاً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 رأسک وامتشطی،ولأنّ الأصل وجوب نقض الشعر لیتیقن وصول الماء إلی ما تحته فعفی عنه فی غسل الجنابة لأنّه کثیر فیشق ذلک بخلاف الحیض</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312" w:name="__RefHeading___Toc362546_581953129"/>
      <w:bookmarkStart w:id="313" w:name="_Toc127"/>
      <w:bookmarkEnd w:id="312"/>
      <w:r>
        <w:rPr>
          <w:rtl w:val="true"/>
        </w:rPr>
        <w:t>المذهب الجعفری</w:t>
      </w:r>
      <w:bookmarkEnd w:id="31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تخلیل الشعر إذا شک فی وصول الماء إلی البشرة التی</w:t>
      </w:r>
      <w:bookmarkStart w:id="314" w:name="pg5240_59159"/>
    </w:p>
    <w:p>
      <w:pPr>
        <w:pStyle w:val="BookText"/>
        <w:rPr/>
      </w:pPr>
      <w:bookmarkEnd w:id="314"/>
      <w:r>
        <w:rPr>
          <w:rFonts w:ascii="IRNazanin" w:hAnsi="IRNazanin" w:eastAsia="IRNazanin"/>
          <w:color w:val="111111"/>
          <w:sz w:val="28"/>
          <w:sz w:val="28"/>
          <w:szCs w:val="28"/>
          <w:rtl w:val="true"/>
          <w:lang w:bidi="fa-IR"/>
        </w:rPr>
        <w:t xml:space="preserve">تحته ولا فرق بین غسل الجنابة وغیره من الأغسال الواجبة </w:t>
      </w:r>
      <w:r>
        <w:rPr>
          <w:rStyle w:val="FootnoteAnchor"/>
          <w:rtl w:val="true"/>
        </w:rPr>
        <w:footnoteReference w:id="172"/>
      </w:r>
      <w:r>
        <w:rPr>
          <w:rFonts w:ascii="IRNazanin" w:hAnsi="IRNazanin" w:eastAsia="IRNazanin"/>
          <w:color w:val="111111"/>
          <w:sz w:val="28"/>
          <w:sz w:val="28"/>
          <w:szCs w:val="28"/>
          <w:rtl w:val="true"/>
          <w:lang w:bidi="fa-IR"/>
        </w:rPr>
        <w:t>ذلک لوجوب إیصال الماء إلی جمیع أجزاء البدن المستفاد من النصوص وبه یتحقق معنی الغسل عرفاً ومع عدم وصول الماء تحت الشعر نشکّ فی تحقق الغسل فیستصحب العدم</w:t>
      </w:r>
      <w:r>
        <w:rPr>
          <w:rFonts w:eastAsia="IRNazanin" w:cs="IRNazanin"/>
          <w:color w:val="111111"/>
          <w:sz w:val="28"/>
          <w:szCs w:val="28"/>
          <w:rtl w:val="true"/>
          <w:lang w:bidi="fa-IR"/>
        </w:rPr>
        <w:t>.</w:t>
      </w:r>
    </w:p>
    <w:p>
      <w:pPr>
        <w:pStyle w:val="Heading4"/>
        <w:numPr>
          <w:ilvl w:val="3"/>
          <w:numId w:val="1"/>
        </w:numPr>
        <w:rPr/>
      </w:pPr>
      <w:bookmarkStart w:id="315" w:name="__RefHeading___Toc362548_581953129"/>
      <w:bookmarkStart w:id="316" w:name="_Toc128"/>
      <w:bookmarkEnd w:id="315"/>
      <w:r>
        <w:rPr>
          <w:rtl w:val="true"/>
        </w:rPr>
        <w:t>منشأ الاختلاف</w:t>
      </w:r>
      <w:bookmarkEnd w:id="316"/>
    </w:p>
    <w:p>
      <w:pPr>
        <w:pStyle w:val="BookText"/>
        <w:rPr/>
      </w:pPr>
      <w:r>
        <w:rPr>
          <w:rFonts w:ascii="IRNazanin" w:hAnsi="IRNazanin" w:eastAsia="IRNazanin"/>
          <w:color w:val="111111"/>
          <w:sz w:val="28"/>
          <w:sz w:val="28"/>
          <w:szCs w:val="28"/>
          <w:rtl w:val="true"/>
          <w:lang w:bidi="fa-IR"/>
        </w:rPr>
        <w:t>الاختلاف فی بعض المسائل الجزئیة بالنسبة إلی الغسل هناک ناشئ عن الاختلاف فی النص والاجتهاد</w:t>
      </w:r>
      <w:r>
        <w:rPr>
          <w:rFonts w:eastAsia="IRNazanin" w:cs="IRNazanin"/>
          <w:color w:val="111111"/>
          <w:sz w:val="28"/>
          <w:szCs w:val="28"/>
          <w:rtl w:val="true"/>
          <w:lang w:bidi="fa-IR"/>
        </w:rPr>
        <w:t>.</w:t>
      </w:r>
    </w:p>
    <w:p>
      <w:pPr>
        <w:pStyle w:val="Heading3"/>
        <w:numPr>
          <w:ilvl w:val="2"/>
          <w:numId w:val="1"/>
        </w:numPr>
        <w:rPr/>
      </w:pPr>
      <w:bookmarkStart w:id="317" w:name="__RefHeading___Toc362550_581953129"/>
      <w:bookmarkStart w:id="318" w:name="_Toc129"/>
      <w:bookmarkEnd w:id="317"/>
      <w:r>
        <w:rPr>
          <w:rtl w:val="true"/>
        </w:rPr>
        <w:t>غسل المیت</w:t>
      </w:r>
      <w:bookmarkEnd w:id="318"/>
    </w:p>
    <w:p>
      <w:pPr>
        <w:pStyle w:val="Heading4"/>
        <w:numPr>
          <w:ilvl w:val="3"/>
          <w:numId w:val="1"/>
        </w:numPr>
        <w:rPr/>
      </w:pPr>
      <w:bookmarkStart w:id="319" w:name="__RefHeading___Toc362552_581953129"/>
      <w:bookmarkStart w:id="320" w:name="_Toc130"/>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توجد هنا اختلاف یسیر بین المذهب الجعفری و المذاهب الأربعة بالنسبة إلی غسل المیت وتفصیله بما یلی</w:t>
      </w:r>
      <w:r>
        <w:rPr>
          <w:rFonts w:eastAsia="IRNazanin" w:cs="IRNazanin"/>
          <w:color w:val="111111"/>
          <w:sz w:val="28"/>
          <w:szCs w:val="28"/>
          <w:rtl w:val="true"/>
          <w:lang w:bidi="fa-IR"/>
        </w:rPr>
        <w:t>.</w:t>
      </w:r>
    </w:p>
    <w:p>
      <w:pPr>
        <w:pStyle w:val="Heading4"/>
        <w:numPr>
          <w:ilvl w:val="3"/>
          <w:numId w:val="1"/>
        </w:numPr>
        <w:rPr/>
      </w:pPr>
      <w:bookmarkStart w:id="321" w:name="__RefHeading___Toc362554_581953129"/>
      <w:bookmarkStart w:id="322" w:name="_Toc131"/>
      <w:bookmarkEnd w:id="321"/>
      <w:r>
        <w:rPr>
          <w:rtl w:val="true"/>
        </w:rPr>
        <w:t>المذهب الجعفری</w:t>
      </w:r>
      <w:bookmarkEnd w:id="322"/>
    </w:p>
    <w:p>
      <w:pPr>
        <w:pStyle w:val="BookText"/>
        <w:rPr/>
      </w:pPr>
      <w:r>
        <w:rPr>
          <w:rFonts w:ascii="IRNazanin" w:hAnsi="IRNazanin" w:eastAsia="IRNazanin"/>
          <w:color w:val="111111"/>
          <w:sz w:val="28"/>
          <w:sz w:val="28"/>
          <w:szCs w:val="28"/>
          <w:rtl w:val="true"/>
          <w:lang w:bidi="fa-IR"/>
        </w:rPr>
        <w:t>قال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تغسیله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السدر،الثانی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الکافور،الثالث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القراح</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هذا هو المشهور عند الفقها،وتدلنا علیه صحیحة ابن مسکان عن الإمام الصادق علیه السلام سألته عن غسل المیت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بماء وسدرثم اغسله علی إثر ذلک غسلة أخری بماء وکافور،واغسله الثلاثة بماء قراح</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دلت علی المطلوب دلالة کاملة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بالسدر و الکافور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بالقراح ثلاثة</w:t>
      </w:r>
      <w:bookmarkStart w:id="323" w:name="pg5240_59160"/>
    </w:p>
    <w:p>
      <w:pPr>
        <w:pStyle w:val="BookText"/>
        <w:rPr/>
      </w:pPr>
      <w:bookmarkEnd w:id="323"/>
      <w:r>
        <w:rPr>
          <w:rFonts w:ascii="IRNazanin" w:hAnsi="IRNazanin" w:eastAsia="IRNazanin"/>
          <w:color w:val="111111"/>
          <w:sz w:val="28"/>
          <w:sz w:val="28"/>
          <w:szCs w:val="28"/>
          <w:rtl w:val="true"/>
          <w:lang w:bidi="fa-IR"/>
        </w:rPr>
        <w:t xml:space="preserve">اغسال </w:t>
      </w:r>
      <w:r>
        <w:rPr>
          <w:rStyle w:val="FootnoteAnchor"/>
          <w:rtl w:val="true"/>
        </w:rPr>
        <w:footnoteReference w:id="175"/>
      </w:r>
      <w:r>
        <w:rPr>
          <w:rFonts w:ascii="IRNazanin" w:hAnsi="IRNazanin" w:eastAsia="IRNazanin"/>
          <w:color w:val="111111"/>
          <w:sz w:val="28"/>
          <w:sz w:val="28"/>
          <w:szCs w:val="28"/>
          <w:rtl w:val="true"/>
          <w:lang w:bidi="fa-IR"/>
        </w:rPr>
        <w:t>و هذا علی المشهور عند الفقهاء ولقاعدة المیسور وقاعدة الاستصحاب وإطلاق أدلة الغسل</w:t>
      </w:r>
      <w:r>
        <w:rPr>
          <w:rFonts w:eastAsia="IRNazanin" w:cs="IRNazanin"/>
          <w:color w:val="111111"/>
          <w:sz w:val="28"/>
          <w:szCs w:val="28"/>
          <w:rtl w:val="true"/>
          <w:lang w:bidi="fa-IR"/>
        </w:rPr>
        <w:t>.</w:t>
      </w:r>
    </w:p>
    <w:p>
      <w:pPr>
        <w:pStyle w:val="Heading4"/>
        <w:numPr>
          <w:ilvl w:val="3"/>
          <w:numId w:val="1"/>
        </w:numPr>
        <w:rPr/>
      </w:pPr>
      <w:bookmarkStart w:id="324" w:name="__RefHeading___Toc362556_581953129"/>
      <w:bookmarkStart w:id="325" w:name="_Toc132"/>
      <w:bookmarkEnd w:id="324"/>
      <w:r>
        <w:rPr>
          <w:rtl w:val="true"/>
        </w:rPr>
        <w:t>المذاهب الاربعة</w:t>
      </w:r>
      <w:bookmarkEnd w:id="325"/>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 فی غسل المیت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الغسلات إلی ثلاث،بحیث تعم کل غسلة منها جمیع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إحدی الغسلات الثلاث فرض و الغسلتان اللتان بعدها مندوبتان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المندوبات أن یجعل فی ماء الغسلة الأخیرة کافور ونحوه من الطیب إلاّ أنّ الکافور أفضل</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ویغسل الثلاثة بماء فیه کافور وسدر </w:t>
      </w:r>
      <w:r>
        <w:rPr>
          <w:rStyle w:val="FootnoteAnchor"/>
          <w:rtl w:val="true"/>
        </w:rPr>
        <w:footnoteReference w:id="177"/>
      </w:r>
      <w:r>
        <w:rPr>
          <w:rFonts w:ascii="IRNazanin" w:hAnsi="IRNazanin" w:eastAsia="IRNazanin"/>
          <w:color w:val="111111"/>
          <w:sz w:val="28"/>
          <w:sz w:val="28"/>
          <w:szCs w:val="28"/>
          <w:rtl w:val="true"/>
          <w:lang w:bidi="fa-IR"/>
        </w:rPr>
        <w:t>واستبان لنا أنّه لاخلاف هناک من ناحیة عملیة</w:t>
      </w:r>
      <w:r>
        <w:rPr>
          <w:rFonts w:eastAsia="IRNazanin" w:cs="IRNazanin"/>
          <w:color w:val="111111"/>
          <w:sz w:val="28"/>
          <w:szCs w:val="28"/>
          <w:rtl w:val="true"/>
          <w:lang w:bidi="fa-IR"/>
        </w:rPr>
        <w:t>.</w:t>
      </w:r>
    </w:p>
    <w:p>
      <w:pPr>
        <w:pStyle w:val="Heading4"/>
        <w:numPr>
          <w:ilvl w:val="3"/>
          <w:numId w:val="1"/>
        </w:numPr>
        <w:rPr/>
      </w:pPr>
      <w:bookmarkStart w:id="326" w:name="__RefHeading___Toc362558_581953129"/>
      <w:bookmarkStart w:id="327" w:name="_Toc133"/>
      <w:bookmarkEnd w:id="326"/>
      <w:r>
        <w:rPr>
          <w:rtl w:val="true"/>
        </w:rPr>
        <w:t>منشأ الاختلاف</w:t>
      </w:r>
      <w:bookmarkEnd w:id="32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الاختلاف فی السمات ناشئ عن عدم تحقق المقارنة السلمیة بین الفقهاء المسلمین</w:t>
      </w:r>
      <w:r>
        <w:rPr>
          <w:rFonts w:eastAsia="IRNazanin" w:cs="IRNazanin"/>
          <w:color w:val="111111"/>
          <w:sz w:val="28"/>
          <w:szCs w:val="28"/>
          <w:rtl w:val="true"/>
          <w:lang w:bidi="fa-IR"/>
        </w:rPr>
        <w:t>.</w:t>
      </w:r>
      <w:bookmarkStart w:id="328" w:name="pg5240_59161"/>
    </w:p>
    <w:p>
      <w:pPr>
        <w:pStyle w:val="Heading3"/>
        <w:numPr>
          <w:ilvl w:val="2"/>
          <w:numId w:val="1"/>
        </w:numPr>
        <w:rPr/>
      </w:pPr>
      <w:bookmarkStart w:id="329" w:name="__RefHeading___Toc362560_581953129"/>
      <w:bookmarkStart w:id="330" w:name="_Toc134"/>
      <w:bookmarkEnd w:id="328"/>
      <w:bookmarkEnd w:id="329"/>
      <w:r>
        <w:rPr>
          <w:rtl w:val="true"/>
        </w:rPr>
        <w:t>الخلاصة</w:t>
      </w:r>
      <w:bookmarkEnd w:id="330"/>
    </w:p>
    <w:p>
      <w:pPr>
        <w:pStyle w:val="BookText"/>
        <w:rPr/>
      </w:pPr>
      <w:r>
        <w:rPr>
          <w:rFonts w:ascii="IRNazanin" w:hAnsi="IRNazanin" w:eastAsia="IRNazanin"/>
          <w:color w:val="111111"/>
          <w:sz w:val="28"/>
          <w:sz w:val="28"/>
          <w:szCs w:val="28"/>
          <w:rtl w:val="true"/>
          <w:lang w:bidi="fa-IR"/>
        </w:rPr>
        <w:t>یجب غسل داخل الفم و الأنف فی الغسل علی مذهب الحنبلی و الحنفی ولا یجب ذلک علی المذاهب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لایجب علی العروس غسل رأسها فی الغسل،رعایة لحفظ الزینة،علی المذهب المالکیة فقط</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یختلف حکم الغسل بالنسبة إلی نقض الشعر المفتول فی الجنابة و الحیض علی المذاهب الأربعة ولا یختلف علی المذهب الجعفری</w:t>
      </w:r>
      <w:r>
        <w:rPr>
          <w:rFonts w:eastAsia="IRNazanin" w:cs="IRNazanin"/>
          <w:color w:val="111111"/>
          <w:sz w:val="28"/>
          <w:szCs w:val="28"/>
          <w:rtl w:val="true"/>
          <w:lang w:bidi="fa-IR"/>
        </w:rPr>
        <w:t>.</w:t>
      </w:r>
      <w:bookmarkStart w:id="331" w:name="pg5240_59162"/>
    </w:p>
    <w:p>
      <w:pPr>
        <w:pStyle w:val="Heading3"/>
        <w:numPr>
          <w:ilvl w:val="2"/>
          <w:numId w:val="1"/>
        </w:numPr>
        <w:rPr/>
      </w:pPr>
      <w:bookmarkStart w:id="332" w:name="__RefHeading___Toc362562_581953129"/>
      <w:bookmarkStart w:id="333" w:name="_Toc135"/>
      <w:bookmarkEnd w:id="331"/>
      <w:bookmarkEnd w:id="332"/>
      <w:r>
        <w:rPr>
          <w:rtl w:val="true"/>
        </w:rPr>
        <w:t>الأسئلة</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الفرق بین حکم غسل الجنابة و الحیض؟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الغسل شرعاً وعرفاً؟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تفصیل الغسلات الثلاث فی غسل المیت؟</w:t>
      </w:r>
      <w:bookmarkStart w:id="334" w:name="pg5240_59164"/>
    </w:p>
    <w:p>
      <w:pPr>
        <w:pStyle w:val="Heading2"/>
        <w:numPr>
          <w:ilvl w:val="1"/>
          <w:numId w:val="1"/>
        </w:numPr>
        <w:rPr/>
      </w:pPr>
      <w:bookmarkStart w:id="335" w:name="__RefHeading___Toc362564_581953129"/>
      <w:bookmarkStart w:id="336" w:name="_Toc136"/>
      <w:bookmarkEnd w:id="334"/>
      <w:bookmarkEnd w:id="335"/>
      <w:r>
        <w:rPr/>
        <w:t>7</w:t>
      </w:r>
      <w:r>
        <w:rPr>
          <w:rtl w:val="true"/>
        </w:rPr>
        <w:t xml:space="preserve">- </w:t>
      </w:r>
      <w:r>
        <w:rPr>
          <w:rtl w:val="true"/>
        </w:rPr>
        <w:t>التیمم</w:t>
      </w:r>
      <w:bookmarkEnd w:id="336"/>
    </w:p>
    <w:p>
      <w:pPr>
        <w:pStyle w:val="Heading3"/>
        <w:numPr>
          <w:ilvl w:val="2"/>
          <w:numId w:val="1"/>
        </w:numPr>
        <w:rPr/>
      </w:pPr>
      <w:bookmarkStart w:id="337" w:name="__RefHeading___Toc362566_581953129"/>
      <w:bookmarkStart w:id="338" w:name="_Toc137"/>
      <w:bookmarkEnd w:id="337"/>
      <w:r>
        <w:rPr>
          <w:rtl w:val="true"/>
        </w:rPr>
        <w:t>کیفیة التیمم</w:t>
      </w:r>
      <w:bookmarkEnd w:id="338"/>
    </w:p>
    <w:p>
      <w:pPr>
        <w:pStyle w:val="Heading4"/>
        <w:numPr>
          <w:ilvl w:val="3"/>
          <w:numId w:val="1"/>
        </w:numPr>
        <w:rPr/>
      </w:pPr>
      <w:bookmarkStart w:id="339" w:name="__RefHeading___Toc362568_581953129"/>
      <w:bookmarkStart w:id="340" w:name="_Toc138"/>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اختلف آراء الفقهاء بالنسبة إلی کیفیة التیمم،والتفصیل بما یلی</w:t>
      </w:r>
      <w:r>
        <w:rPr>
          <w:rFonts w:eastAsia="IRNazanin" w:cs="IRNazanin"/>
          <w:color w:val="111111"/>
          <w:sz w:val="28"/>
          <w:szCs w:val="28"/>
          <w:rtl w:val="true"/>
          <w:lang w:bidi="fa-IR"/>
        </w:rPr>
        <w:t>:</w:t>
      </w:r>
    </w:p>
    <w:p>
      <w:pPr>
        <w:pStyle w:val="Heading4"/>
        <w:numPr>
          <w:ilvl w:val="3"/>
          <w:numId w:val="1"/>
        </w:numPr>
        <w:rPr/>
      </w:pPr>
      <w:bookmarkStart w:id="341" w:name="__RefHeading___Toc362570_581953129"/>
      <w:bookmarkStart w:id="342" w:name="_Toc139"/>
      <w:bookmarkEnd w:id="341"/>
      <w:r>
        <w:rPr>
          <w:rtl w:val="true"/>
        </w:rPr>
        <w:t>المذهب الجعفری</w:t>
      </w:r>
      <w:bookmarkEnd w:id="342"/>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التیمم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باطن الیدین معاً دفعة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الجبهة بتمامها و الجبینین بهما من قصاص الشعر إلی طرف الأنف الأعلی وإلی الحاجبین،والأحوط مسحهما أیضاً ویعتبر کون المسح بمجموع الکفین علی المجموع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تمام ظاهر الکف الیمنی بباطن کف الیسری ثم مسح ظاهر الیسری بباطن الیمنی من الزند إلی أطراف الأصابع </w:t>
      </w:r>
      <w:r>
        <w:rPr>
          <w:rStyle w:val="FootnoteAnchor"/>
          <w:rtl w:val="true"/>
        </w:rPr>
        <w:footnoteReference w:id="178"/>
      </w:r>
      <w:r>
        <w:rPr>
          <w:rFonts w:ascii="IRNazanin" w:hAnsi="IRNazanin" w:eastAsia="IRNazanin"/>
          <w:color w:val="111111"/>
          <w:sz w:val="28"/>
          <w:sz w:val="28"/>
          <w:szCs w:val="28"/>
          <w:rtl w:val="true"/>
          <w:lang w:bidi="fa-IR"/>
        </w:rPr>
        <w:t>ویدلّنا علی ذلک عدة نصوص،منها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زرارة قال سألت أبا جعفر الإمام الباقر علیه السلام عن التیمم فضرب بیده علی الأرض ثم رفعها فنفضها ثم مسح بها جبینه وکفیه مرة واحدة</w:t>
      </w:r>
      <w:r>
        <w:rPr>
          <w:rFonts w:eastAsia="IRNazanin" w:cs="IRNazanin"/>
          <w:color w:val="111111"/>
          <w:sz w:val="28"/>
          <w:szCs w:val="28"/>
          <w:rtl w:val="true"/>
          <w:lang w:bidi="fa-IR"/>
        </w:rPr>
        <w:t xml:space="preserve">. </w:t>
      </w:r>
      <w:r>
        <w:rPr>
          <w:rStyle w:val="FootnoteAnchor"/>
          <w:rtl w:val="true"/>
        </w:rPr>
        <w:footnoteReference w:id="179"/>
      </w:r>
      <w:bookmarkStart w:id="343" w:name="pg5240_59165"/>
    </w:p>
    <w:p>
      <w:pPr>
        <w:pStyle w:val="BookText"/>
        <w:rPr/>
      </w:pPr>
      <w:bookmarkEnd w:id="343"/>
      <w:r>
        <w:rPr>
          <w:rFonts w:ascii="IRNazanin" w:hAnsi="IRNazanin" w:eastAsia="IRNazanin"/>
          <w:color w:val="111111"/>
          <w:sz w:val="28"/>
          <w:sz w:val="28"/>
          <w:szCs w:val="28"/>
          <w:rtl w:val="true"/>
          <w:lang w:bidi="fa-IR"/>
        </w:rPr>
        <w:t>ومن المعلوم أن الوجه یصدق علی الجبهة و الجبینین،فإذا وقع شخص بناصیته علی الأرض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بوجهه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التعفیر خضوعاً لله هو التتریب الجبهة و الجبینین،والتیمم نوع من التتریب فیجدر أن یکون کذلک و قد حدّرت الروایاتّ التیمم بالتحدید الصحیح وتم المطلوب</w:t>
      </w:r>
      <w:r>
        <w:rPr>
          <w:rFonts w:eastAsia="IRNazanin" w:cs="IRNazanin"/>
          <w:color w:val="111111"/>
          <w:sz w:val="28"/>
          <w:szCs w:val="28"/>
          <w:rtl w:val="true"/>
          <w:lang w:bidi="fa-IR"/>
        </w:rPr>
        <w:t>.</w:t>
      </w:r>
    </w:p>
    <w:p>
      <w:pPr>
        <w:pStyle w:val="Heading4"/>
        <w:numPr>
          <w:ilvl w:val="3"/>
          <w:numId w:val="1"/>
        </w:numPr>
        <w:rPr/>
      </w:pPr>
      <w:bookmarkStart w:id="344" w:name="__RefHeading___Toc362572_581953129"/>
      <w:bookmarkStart w:id="345" w:name="_Toc140"/>
      <w:bookmarkEnd w:id="344"/>
      <w:r>
        <w:rPr>
          <w:rtl w:val="true"/>
        </w:rPr>
        <w:t>المذهب الحنبلی</w:t>
      </w:r>
      <w:bookmarkEnd w:id="345"/>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المالکیة و الحنبلیة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الفرض مسح الیدین إلی الکوعین و أما المرفقین فهو سنة</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قال علماء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جمیع وجهه ولحیته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بِوُجُوهِکُمْ وَ أَیْدِیکُمْ مِنْهُ</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واللحیة من الوجه لمشارکتها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یدیه إلی کوعیه؛لقوله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وأیدیکُم،و إذا علق حکم بمطلق الیدین لم یدخل فیه الزراع لقطع السارق ومسّ الفرج،ولحدیث‌عمارقال بعثنی النبی صلی الله علیه و آله فی حاجة فاجنبت فلم‌أجد ماء فتمرغت فی الصعید کما تتمرغ الدابة ثمّ أتیت النبی صلی الله علیه و آله فذکرت ذلک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یکفیک أن تقول بیدیک هکذا،ثمّ ضرب بیدیه الأرض ضربة واحدة ثم مسح الشمال علی الیمین وظاهر کفیه ووجهه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لفظ أن النبی صلی الله علیه و آله أمر بالتیمم للوجه و الکفین صحّحه الترمذی</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حسن الحظ أن الروایة المتلوة رویت عن طریق آل‌البیت علیهم السلام بالنص التالی،عن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أبی‌جعفر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عماربن یاسر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إنّی أجنبت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 بیدیه علی الأرض ثم ضرب إحداهما علی الأخری ثم مسح بجبینیه،ثم مسح کفیه کل واحدة علی الأخری </w:t>
      </w:r>
      <w:r>
        <w:rPr>
          <w:rStyle w:val="FootnoteAnchor"/>
          <w:rtl w:val="true"/>
        </w:rPr>
        <w:footnoteReference w:id="183"/>
      </w:r>
      <w:r>
        <w:rPr>
          <w:rFonts w:ascii="IRNazanin" w:hAnsi="IRNazanin" w:eastAsia="IRNazanin"/>
          <w:color w:val="111111"/>
          <w:sz w:val="28"/>
          <w:sz w:val="28"/>
          <w:szCs w:val="28"/>
          <w:rtl w:val="true"/>
          <w:lang w:bidi="fa-IR"/>
        </w:rPr>
        <w:t>ونعم الوفاق</w:t>
      </w:r>
      <w:r>
        <w:rPr>
          <w:rFonts w:eastAsia="IRNazanin" w:cs="IRNazanin"/>
          <w:color w:val="111111"/>
          <w:sz w:val="28"/>
          <w:szCs w:val="28"/>
          <w:rtl w:val="true"/>
          <w:lang w:bidi="fa-IR"/>
        </w:rPr>
        <w:t>.</w:t>
      </w:r>
      <w:bookmarkStart w:id="346" w:name="pg5240_59166"/>
    </w:p>
    <w:p>
      <w:pPr>
        <w:pStyle w:val="Heading4"/>
        <w:numPr>
          <w:ilvl w:val="3"/>
          <w:numId w:val="1"/>
        </w:numPr>
        <w:rPr/>
      </w:pPr>
      <w:bookmarkStart w:id="347" w:name="__RefHeading___Toc362574_581953129"/>
      <w:bookmarkStart w:id="348" w:name="_Toc141"/>
      <w:bookmarkEnd w:id="346"/>
      <w:bookmarkEnd w:id="347"/>
      <w:r>
        <w:rPr>
          <w:rtl w:val="true"/>
        </w:rPr>
        <w:t>المذهب الحنفی</w:t>
      </w:r>
      <w:bookmarkEnd w:id="348"/>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مسح ما طال من اللحیة،ویجب مسح الیدین ومسح المرفقین</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قال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علمائنا بأن التیمم ضربتان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للوجه وضربة للیدین إلی المرفقین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 جابر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ضربتان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للوجه،وضربة للذراعین إلی المرفقین وأنّه بدل الوضوء</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ومعقول إذا کان التیمم بدلاً عن الوضوء علی الوجه و الیدین أن یؤتی بالتیمم علی ما یؤتی بالوضوء علیه،وعن ابن‌عمر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للوجه وضربة للیدین إلی المرفقین؛وروی عن النبی صلی الله علیه و آله أنه تیمّم فمسح وجهه وزراعیه</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349" w:name="__RefHeading___Toc362576_581953129"/>
      <w:bookmarkStart w:id="350" w:name="_Toc142"/>
      <w:bookmarkEnd w:id="349"/>
      <w:r>
        <w:rPr>
          <w:rtl w:val="true"/>
        </w:rPr>
        <w:t>معنی الصعید</w:t>
      </w:r>
      <w:bookmarkEnd w:id="350"/>
    </w:p>
    <w:p>
      <w:pPr>
        <w:pStyle w:val="Heading4"/>
        <w:numPr>
          <w:ilvl w:val="3"/>
          <w:numId w:val="1"/>
        </w:numPr>
        <w:rPr/>
      </w:pPr>
      <w:bookmarkStart w:id="351" w:name="__RefHeading___Toc362578_581953129"/>
      <w:bookmarkStart w:id="352" w:name="_Toc143"/>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اختلف المذهب المالکی و المذاهب الأخری بالنسبة إلی معنی الصعید بما یلی</w:t>
      </w:r>
      <w:r>
        <w:rPr>
          <w:rFonts w:eastAsia="IRNazanin" w:cs="IRNazanin"/>
          <w:color w:val="111111"/>
          <w:sz w:val="28"/>
          <w:szCs w:val="28"/>
          <w:rtl w:val="true"/>
          <w:lang w:bidi="fa-IR"/>
        </w:rPr>
        <w:t>.</w:t>
      </w:r>
    </w:p>
    <w:p>
      <w:pPr>
        <w:pStyle w:val="Heading4"/>
        <w:numPr>
          <w:ilvl w:val="3"/>
          <w:numId w:val="1"/>
        </w:numPr>
        <w:rPr/>
      </w:pPr>
      <w:bookmarkStart w:id="353" w:name="__RefHeading___Toc362580_581953129"/>
      <w:bookmarkStart w:id="354" w:name="_Toc144"/>
      <w:bookmarkEnd w:id="353"/>
      <w:r>
        <w:rPr>
          <w:rtl w:val="true"/>
        </w:rPr>
        <w:t>المذهب المالکی</w:t>
      </w:r>
      <w:bookmarkEnd w:id="35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بالصعید ما صعد أی ظهر من أجزاء الأرض فیشمل التراب و هو أفضل من غیره و الرمل و الحجر،وکذا الثلج؛لأنه و إن کان ماء منجمداً إلاّ أنّه أشبه بالحجر الّذی هو من أجزاء الأرض</w:t>
      </w:r>
      <w:r>
        <w:rPr>
          <w:rFonts w:eastAsia="IRNazanin" w:cs="IRNazanin"/>
          <w:color w:val="111111"/>
          <w:sz w:val="28"/>
          <w:szCs w:val="28"/>
          <w:rtl w:val="true"/>
          <w:lang w:bidi="fa-IR"/>
        </w:rPr>
        <w:t xml:space="preserve">. </w:t>
      </w:r>
      <w:r>
        <w:rPr>
          <w:rStyle w:val="FootnoteAnchor"/>
          <w:rtl w:val="true"/>
        </w:rPr>
        <w:footnoteReference w:id="187"/>
      </w:r>
      <w:bookmarkStart w:id="355" w:name="pg5240_59167"/>
    </w:p>
    <w:p>
      <w:pPr>
        <w:pStyle w:val="Heading4"/>
        <w:numPr>
          <w:ilvl w:val="3"/>
          <w:numId w:val="1"/>
        </w:numPr>
        <w:rPr/>
      </w:pPr>
      <w:bookmarkStart w:id="356" w:name="__RefHeading___Toc362582_581953129"/>
      <w:bookmarkStart w:id="357" w:name="_Toc145"/>
      <w:bookmarkEnd w:id="355"/>
      <w:bookmarkEnd w:id="356"/>
      <w:r>
        <w:rPr>
          <w:rtl w:val="true"/>
        </w:rPr>
        <w:t>المذهب الجعفری</w:t>
      </w:r>
      <w:bookmarkEnd w:id="357"/>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 التیمم بالثلج</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ذلک لعدم کون الثلج من أجزاء الأرض فلا یصدق علیه إسم الصعید قطعاً وما عثرنا علی اختلاف فیه إلاّ عن المالکیة</w:t>
      </w:r>
      <w:r>
        <w:rPr>
          <w:rFonts w:eastAsia="IRNazanin" w:cs="IRNazanin"/>
          <w:color w:val="111111"/>
          <w:sz w:val="28"/>
          <w:szCs w:val="28"/>
          <w:rtl w:val="true"/>
          <w:lang w:bidi="fa-IR"/>
        </w:rPr>
        <w:t>.</w:t>
      </w:r>
    </w:p>
    <w:p>
      <w:pPr>
        <w:pStyle w:val="Heading3"/>
        <w:numPr>
          <w:ilvl w:val="2"/>
          <w:numId w:val="1"/>
        </w:numPr>
        <w:rPr/>
      </w:pPr>
      <w:bookmarkStart w:id="358" w:name="__RefHeading___Toc362584_581953129"/>
      <w:bookmarkStart w:id="359" w:name="_Toc146"/>
      <w:bookmarkEnd w:id="358"/>
      <w:r>
        <w:rPr>
          <w:rtl w:val="true"/>
        </w:rPr>
        <w:t>رفع الساتر</w:t>
      </w:r>
      <w:bookmarkEnd w:id="359"/>
    </w:p>
    <w:p>
      <w:pPr>
        <w:pStyle w:val="Heading4"/>
        <w:numPr>
          <w:ilvl w:val="3"/>
          <w:numId w:val="1"/>
        </w:numPr>
        <w:rPr/>
      </w:pPr>
      <w:bookmarkStart w:id="360" w:name="__RefHeading___Toc362586_581953129"/>
      <w:bookmarkStart w:id="361" w:name="_Toc147"/>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اختلف الآراء بین الحنیفة و المذاهب الأخری بالنسبة إلی رفع الساتر عن موضع التیمم و التفصیل بما یلی</w:t>
      </w:r>
      <w:r>
        <w:rPr>
          <w:rFonts w:eastAsia="IRNazanin" w:cs="IRNazanin"/>
          <w:color w:val="111111"/>
          <w:sz w:val="28"/>
          <w:szCs w:val="28"/>
          <w:rtl w:val="true"/>
          <w:lang w:bidi="fa-IR"/>
        </w:rPr>
        <w:t>:</w:t>
      </w:r>
    </w:p>
    <w:p>
      <w:pPr>
        <w:pStyle w:val="Heading4"/>
        <w:numPr>
          <w:ilvl w:val="3"/>
          <w:numId w:val="1"/>
        </w:numPr>
        <w:rPr/>
      </w:pPr>
      <w:bookmarkStart w:id="362" w:name="__RefHeading___Toc362588_581953129"/>
      <w:bookmarkStart w:id="363" w:name="_Toc148"/>
      <w:bookmarkEnd w:id="362"/>
      <w:r>
        <w:rPr>
          <w:rtl w:val="true"/>
        </w:rPr>
        <w:t>المذهب الحنفی</w:t>
      </w:r>
      <w:bookmarkEnd w:id="363"/>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أن ینزع ما ستر شیئاً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کالخاتم و الأساور ویجب أن یمسح ما تحته،فلا یکفی تحریکه فی التیمم،بخلاف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الحنیفة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تحریک الخاتم الضیق و السواریکفی فی التیمم أیضاً؛لأنّ التحریک مسح لما تحته و الفرض هو المسح لاوصول الغبار</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أمّا المذهب الجعفری فقال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حائل فیجب نزعه</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الظهور بمکان و إنّما تعرض السید الیزدی تنبیهاً للعوام</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364" w:name="__RefHeading___Toc362590_581953129"/>
      <w:bookmarkStart w:id="365" w:name="_Toc149"/>
      <w:bookmarkEnd w:id="364"/>
      <w:r>
        <w:rPr>
          <w:rtl w:val="true"/>
        </w:rPr>
        <w:t>منشأ الاختلاف</w:t>
      </w:r>
      <w:bookmarkEnd w:id="3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الاختلاف بالنسبة إلی المسائل الجزئیة التی تتصل بالتیمم ناشئ عن الاختلاف فی النص والاجتهاد</w:t>
      </w:r>
      <w:r>
        <w:rPr>
          <w:rFonts w:eastAsia="IRNazanin" w:cs="IRNazanin"/>
          <w:color w:val="111111"/>
          <w:sz w:val="28"/>
          <w:szCs w:val="28"/>
          <w:rtl w:val="true"/>
          <w:lang w:bidi="fa-IR"/>
        </w:rPr>
        <w:t>.</w:t>
      </w:r>
      <w:bookmarkStart w:id="366" w:name="pg5240_59168"/>
    </w:p>
    <w:p>
      <w:pPr>
        <w:pStyle w:val="Heading3"/>
        <w:numPr>
          <w:ilvl w:val="2"/>
          <w:numId w:val="1"/>
        </w:numPr>
        <w:rPr/>
      </w:pPr>
      <w:bookmarkStart w:id="367" w:name="__RefHeading___Toc362592_581953129"/>
      <w:bookmarkStart w:id="368" w:name="_Toc150"/>
      <w:bookmarkEnd w:id="366"/>
      <w:bookmarkEnd w:id="367"/>
      <w:r>
        <w:rPr>
          <w:rtl w:val="true"/>
        </w:rPr>
        <w:t>الخلاصة</w:t>
      </w:r>
      <w:bookmarkEnd w:id="368"/>
    </w:p>
    <w:p>
      <w:pPr>
        <w:pStyle w:val="BookText"/>
        <w:rPr/>
      </w:pPr>
      <w:r>
        <w:rPr>
          <w:rFonts w:ascii="IRNazanin" w:hAnsi="IRNazanin" w:eastAsia="IRNazanin"/>
          <w:color w:val="111111"/>
          <w:sz w:val="28"/>
          <w:sz w:val="28"/>
          <w:szCs w:val="28"/>
          <w:rtl w:val="true"/>
          <w:lang w:bidi="fa-IR"/>
        </w:rPr>
        <w:t>التیمم ضربتان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للوجه وضربة للکفین علی المذهب الجعفری و الحنبلی و المالکی،ویجب مسح الیدین مع المرفقین علی المذهب الحنفی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الوجه عبارة عن مسح الجبهة و الجبینین علی المذهب الجعفری و هو مسح جمیع الوجه علی المذاهب الأربعة مع اختلاف فی اللحیة المسترسلة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نزع الخاتم حال التیمم علی المذاهب إلا الحنفیة فإنّهم قالوا بکفایة تحریک الخاتم</w:t>
      </w:r>
      <w:r>
        <w:rPr>
          <w:rFonts w:eastAsia="IRNazanin" w:cs="IRNazanin"/>
          <w:color w:val="111111"/>
          <w:sz w:val="28"/>
          <w:szCs w:val="28"/>
          <w:rtl w:val="true"/>
          <w:lang w:bidi="fa-IR"/>
        </w:rPr>
        <w:t>.</w:t>
      </w:r>
      <w:bookmarkStart w:id="369" w:name="pg5240_59169"/>
    </w:p>
    <w:p>
      <w:pPr>
        <w:pStyle w:val="Heading3"/>
        <w:numPr>
          <w:ilvl w:val="2"/>
          <w:numId w:val="1"/>
        </w:numPr>
        <w:rPr/>
      </w:pPr>
      <w:bookmarkStart w:id="370" w:name="__RefHeading___Toc362594_581953129"/>
      <w:bookmarkStart w:id="371" w:name="_Toc151"/>
      <w:bookmarkEnd w:id="369"/>
      <w:bookmarkEnd w:id="370"/>
      <w:r>
        <w:rPr>
          <w:rtl w:val="true"/>
        </w:rPr>
        <w:t>الأسئلة</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الوجه بحسب الاستعمال الصحیح؟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وجوب مسح الیدین إلی المرفقین؟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معنی الصعید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372" w:name="pg5240_59170"/>
    </w:p>
    <w:p>
      <w:pPr>
        <w:pStyle w:val="Heading2"/>
        <w:numPr>
          <w:ilvl w:val="1"/>
          <w:numId w:val="1"/>
        </w:numPr>
        <w:rPr/>
      </w:pPr>
      <w:bookmarkStart w:id="373" w:name="__RefHeading___Toc362596_581953129"/>
      <w:bookmarkStart w:id="374" w:name="_Toc152"/>
      <w:bookmarkEnd w:id="372"/>
      <w:bookmarkEnd w:id="373"/>
      <w:r>
        <w:rPr/>
        <w:t>8</w:t>
      </w:r>
      <w:r>
        <w:rPr>
          <w:rtl w:val="true"/>
        </w:rPr>
        <w:t xml:space="preserve">- </w:t>
      </w:r>
      <w:r>
        <w:rPr>
          <w:rtl w:val="true"/>
        </w:rPr>
        <w:t xml:space="preserve">أوقات الصلاة </w:t>
      </w:r>
      <w:r>
        <w:rPr>
          <w:rtl w:val="true"/>
        </w:rPr>
        <w:t>(</w:t>
      </w:r>
      <w:r>
        <w:rPr/>
        <w:t>1</w:t>
      </w:r>
      <w:r>
        <w:rPr>
          <w:rtl w:val="true"/>
        </w:rPr>
        <w:t>)</w:t>
      </w:r>
      <w:bookmarkEnd w:id="374"/>
    </w:p>
    <w:p>
      <w:pPr>
        <w:pStyle w:val="Heading3"/>
        <w:numPr>
          <w:ilvl w:val="2"/>
          <w:numId w:val="1"/>
        </w:numPr>
        <w:rPr/>
      </w:pPr>
      <w:bookmarkStart w:id="375" w:name="__RefHeading___Toc362598_581953129"/>
      <w:bookmarkStart w:id="376" w:name="_Toc153"/>
      <w:bookmarkEnd w:id="375"/>
      <w:r>
        <w:rPr>
          <w:rtl w:val="true"/>
        </w:rPr>
        <w:t>وقت الظهرین</w:t>
      </w:r>
      <w:bookmarkEnd w:id="376"/>
    </w:p>
    <w:p>
      <w:pPr>
        <w:pStyle w:val="Heading4"/>
        <w:numPr>
          <w:ilvl w:val="3"/>
          <w:numId w:val="1"/>
        </w:numPr>
        <w:rPr/>
      </w:pPr>
      <w:bookmarkStart w:id="377" w:name="__RefHeading___Toc362600_581953129"/>
      <w:bookmarkStart w:id="378" w:name="_Toc154"/>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اختلفت الآراء بالنسبة إلی وقت صلاة الظهر و العصر اختصاصاً واشتراکاً،وتفصیل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379" w:name="__RefHeading___Toc362602_581953129"/>
      <w:bookmarkStart w:id="380" w:name="_Toc155"/>
      <w:bookmarkEnd w:id="379"/>
      <w:r>
        <w:rPr>
          <w:rtl w:val="true"/>
        </w:rPr>
        <w:t>المذهب الجعفری</w:t>
      </w:r>
      <w:bookmarkEnd w:id="380"/>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الظهرین مابین الزوال و المغرب،ویختصّ الظهر بأوّله مقدار أدائها بحسب حال،ویختصّ العصر بآخره کذلک</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ذلک للنصوص الواردة فی الباب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عبیدبن زرارة،عن الإمام الصادق علیه السلام سئل عن وقت الظهر و العصر،فقال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دخل وقت الظهر و العصر جمیعاً،إلاّ أنّ هذه قبل هذه،ثمّ أنت فی وقت منهما جمیعاً حتّی تغیب الشمس</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دلّت علی المطلوب بتمامه وکماله</w:t>
      </w:r>
      <w:r>
        <w:rPr>
          <w:rFonts w:eastAsia="IRNazanin" w:cs="IRNazanin"/>
          <w:color w:val="111111"/>
          <w:sz w:val="28"/>
          <w:szCs w:val="28"/>
          <w:rtl w:val="true"/>
          <w:lang w:bidi="fa-IR"/>
        </w:rPr>
        <w:t>.</w:t>
      </w:r>
      <w:bookmarkStart w:id="381" w:name="pg5240_59171"/>
    </w:p>
    <w:p>
      <w:pPr>
        <w:pStyle w:val="BookText"/>
        <w:rPr/>
      </w:pPr>
      <w:bookmarkEnd w:id="381"/>
      <w:r>
        <w:rPr>
          <w:rFonts w:ascii="IRNazanin" w:hAnsi="IRNazanin" w:eastAsia="IRNazanin"/>
          <w:color w:val="111111"/>
          <w:sz w:val="28"/>
          <w:sz w:val="28"/>
          <w:szCs w:val="28"/>
          <w:rtl w:val="true"/>
          <w:lang w:bidi="fa-IR"/>
        </w:rPr>
        <w:t>وقال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فضیلة الظهر من الزوال إلی بلوغ الظلّ الحادث بعد الانعدام،أو بعد الانتهاء،مثل الشاخص،ووقت فضیلة العصر،من المثل إلی المثلین</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ذلک؛للنصوص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البزنطی قال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صلاة الظهر و العصر،فکتب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قامة للظهر وقامة للعصر</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دلّت علی المطلوب دلالة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فالّذی یزید علی الوقت الخاصّ،ووقت الفضیلة،هو الوقت المشترک بین الظهرین،ولم یکن هناک أی مانع من الجمع بین الصلاتین فی الوقت المشترک فی السفر و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الشیخ أحمد الصدیق الغماری من کبار علماء السنّة کتاباً فی جواز الجمع بین الصلاتین،سمّاه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الخطر عمّن جمع بین الصلاتین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الجمع بین الصلاتین فی السفر فهو مفتی به علی المذاهب الأربعة</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382" w:name="__RefHeading___Toc362604_581953129"/>
      <w:bookmarkStart w:id="383" w:name="_Toc156"/>
      <w:bookmarkEnd w:id="382"/>
      <w:r>
        <w:rPr>
          <w:rtl w:val="true"/>
        </w:rPr>
        <w:t>المذاهب الاربعة</w:t>
      </w:r>
      <w:bookmarkEnd w:id="383"/>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وقت الظهر عقب زوال الشمس مباشرةً،فمتی انحرفت الشمس عن وسط السماء فإنّ وقت الظهر یبتدئ ویستمرّ إلی أن یبلغ ظلّ کلّ شیء مثله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المالکی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وقت الظهر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وقته الضروری فهو من دخول وقت العصر الاختیاری ویستمرّ إلی وقت الغروب؛لقاعدة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ویبتدئ وقت العصر من زیادة ظلّ الشیء عن مثله بدون أن یحتسب الظلّ الّذی کان موجوداً عند الزوال،وینتهی إلی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الحنبلی و المالکی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للعصر وقتان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واختیاری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وقته الضروری فیبدأ باصفرار الشمس فی الأرض علی المذهب المالکی،وبعد أن یبلغ ظلّ کلّ شیء مثلیه علی المذهب الحنبلی،ویستمرّ إلی الغروب،علی المذهبین،و أمّا وقته الاختیاری فهو من زیادة الظلّ عن مثله علی المذهبین،ویستمرّ إلی اصفرار الشمس،علی المذهب المالکی وینتهی إذا بلغ ظلّ کلّ شیء مثلیه علی المذهب الحنبلی</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أمّا التحدید بالاصفرار فهو،لحدیث عبدالله‌بن عمر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العصر مالم تصفر الشمس 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التحدید ببلوغ المثلین فهو،لحدیث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مابین هذین من المثل إلی المثلین</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 بین الظهر و العصر اشتراکاً فی الوقت بقدر أربع رکعات فی الحضر واثنتین فی السفر،وهل اشتراکهما فی آخر وقت الظهر،أو فی أوّل وقت العصر؟قولان مشهوران</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الظهر،وأوّل وقت العصر،یشترکان فی قدر الصلاة،وحکی ذلک عن ابن‌المبارک؛لقول النبی صلی الله علیه و آله فی حدیث 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جبرئیل بین الظهر لوقت العصر بالأمس</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الاختیار إلی أن یصیر ظلّ کلّ شیء مثله،ووقت الأداء إلی أن یبقی من غروب الشمس قدر مایؤدّی فیه العصر؛ذلک لأنّ النبی صلی الله علیه و آله جمع بین الظهر و العصر فی الحضر</w:t>
      </w:r>
      <w:r>
        <w:rPr>
          <w:rFonts w:eastAsia="IRNazanin" w:cs="IRNazanin"/>
          <w:color w:val="111111"/>
          <w:sz w:val="28"/>
          <w:szCs w:val="28"/>
          <w:rtl w:val="true"/>
          <w:lang w:bidi="fa-IR"/>
        </w:rPr>
        <w:t xml:space="preserve">. </w:t>
      </w:r>
      <w:r>
        <w:rPr>
          <w:rStyle w:val="FootnoteAnchor"/>
          <w:rtl w:val="true"/>
        </w:rPr>
        <w:footnoteReference w:id="201"/>
      </w:r>
      <w:bookmarkStart w:id="384" w:name="pg5240_59173"/>
    </w:p>
    <w:p>
      <w:pPr>
        <w:pStyle w:val="BookText"/>
        <w:rPr/>
      </w:pPr>
      <w:bookmarkEnd w:id="384"/>
      <w:r>
        <w:rPr>
          <w:rFonts w:ascii="IRNazanin" w:hAnsi="IRNazanin" w:eastAsia="IRNazanin"/>
          <w:color w:val="111111"/>
          <w:sz w:val="28"/>
          <w:sz w:val="28"/>
          <w:szCs w:val="28"/>
          <w:rtl w:val="true"/>
          <w:lang w:bidi="fa-IR"/>
        </w:rPr>
        <w:t>والتحقیق،أنّه لاخلاف بین المذاهب الخمسة بالنسبة إلی تحقّق الوقت المشترک بین الصلاتین،وعلیه یمکننا أن نقول أنّ وقت الظهر الخاصّ أوّل الزوال بقدر ما یتّسع فیه أربع رکعات،ووقت العصر الخاصّ آخر النهار بقدر مایتّسع أربع رکعات،فلایستباح فی الوقت الخاصّ إلاّ الواجب المخصوص إجماعاً عند المذاهب کلّها،فیصبح الزائد عن الوقتین الخاصّین،وقتاً مشترکاً بین الصلاتین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المستفاد من الروایات؛ذلک لأنّ الوقت المشترک المستفاد من الروایات یتحقّق فی الفترة الحاصلة بین الوقتین الخاصّین واختصاصه بقدر أربع رکعات یحتاج إلی دلیل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وجود النصوص الواردة عن طریق رواة آل‌البیت علیهم السلام الّتی ترشدنا إلی المطلوب،منها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زراة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رسول‌الله صلی الله علیه و آله جمع بین الظهر و العصر بأذان وإقامتین،وجمع بین المغرب و العشاء بأذان واحد وإقامتین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ابن‌عبّاس أنّ رسول‌الله صلی الله علیه و آله جمع بین الظهر و العصر و المغرب و العشاء فی السفر و الحضر</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دلّت هاتان الروایتان،أنّ للجمع بین الصلاتین مجالاً واسعاً،والّذی یمنع من الجمع هو الوقت الخاصّ،بقدر أربع رکعات فی مبدأ الزوال ومنتهاه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بین الوقتین الخاصّین وقت مشترک یسمح للجمع بین الصلاتین،ذلک لإطلاق أدّلة الاشتراک وعدم المانع</w:t>
      </w:r>
      <w:r>
        <w:rPr>
          <w:rFonts w:eastAsia="IRNazanin" w:cs="IRNazanin"/>
          <w:color w:val="111111"/>
          <w:sz w:val="28"/>
          <w:szCs w:val="28"/>
          <w:rtl w:val="true"/>
          <w:lang w:bidi="fa-IR"/>
        </w:rPr>
        <w:t>.</w:t>
      </w:r>
    </w:p>
    <w:p>
      <w:pPr>
        <w:pStyle w:val="Heading3"/>
        <w:numPr>
          <w:ilvl w:val="2"/>
          <w:numId w:val="1"/>
        </w:numPr>
        <w:rPr/>
      </w:pPr>
      <w:bookmarkStart w:id="385" w:name="__RefHeading___Toc362606_581953129"/>
      <w:bookmarkStart w:id="386" w:name="_Toc157"/>
      <w:bookmarkEnd w:id="385"/>
      <w:r>
        <w:rPr>
          <w:rtl w:val="true"/>
        </w:rPr>
        <w:t>الجمع بین الصلاتین</w:t>
      </w:r>
      <w:bookmarkEnd w:id="386"/>
    </w:p>
    <w:p>
      <w:pPr>
        <w:pStyle w:val="Heading4"/>
        <w:numPr>
          <w:ilvl w:val="3"/>
          <w:numId w:val="1"/>
        </w:numPr>
        <w:rPr/>
      </w:pPr>
      <w:bookmarkStart w:id="387" w:name="__RefHeading___Toc362608_581953129"/>
      <w:bookmarkStart w:id="388" w:name="_Toc158"/>
      <w:bookmarkEnd w:id="387"/>
      <w:r>
        <w:rPr>
          <w:rtl w:val="true"/>
        </w:rPr>
        <w:t>اشارة</w:t>
      </w:r>
      <w:bookmarkEnd w:id="38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دخل وقت الظهر فإذا مضی بقدر مایصلّی فیه أربع رکعات دخل وقت العصر فکان الوقت مشترکاً بین الظهر و العصر إلی أن یصیر الظلّ قامتین؛لظاهر حدیث إمامة جبرئیل؛فإنّه ذکر أنّه صلّی الظهر فی الیوم الثانی فی</w:t>
      </w:r>
    </w:p>
    <w:p>
      <w:pPr>
        <w:pStyle w:val="BookText"/>
        <w:rPr/>
      </w:pPr>
      <w:r>
        <w:rPr>
          <w:rFonts w:ascii="IRNazanin" w:hAnsi="IRNazanin" w:eastAsia="IRNazanin"/>
          <w:color w:val="111111"/>
          <w:sz w:val="28"/>
          <w:sz w:val="28"/>
          <w:szCs w:val="28"/>
          <w:rtl w:val="true"/>
          <w:lang w:bidi="fa-IR"/>
        </w:rPr>
        <w:t>الوقت الّذی صلّی العصر فی الیوم الأوّل و هذا فاسد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لایدخل وقت صلاة حتّی یخرج وقت صلاة أخری</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قال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الحضر من غیر عذر السفر،واحتجوا بحدیث معاذ أنّ النبی صلی الله علیه و آله جمع بین الظهر و العصر فی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تبوک،وعن عایشة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رسول‌الله صلی الله علیه و آله یجمع بین الصلاتین إذا جدّ به السفر،وعن ابن‌عبّاس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صلّینا مع رسول‌الله صلی الله علیه و آله سبعاً جمعاً وثمانیاً جمعاً فالمراد بالسبع المغرب و العشاء وبالثمان الظهر و العصر،وعن ابن‌عبّاس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رسول‌الله صلی الله علیه و آله بین الظهر و العصر وبین المغرب و العشاء بالمدینة من غیر 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السرخسی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عدم جواز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أی فی مواقیتها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أی فرضاً موقتاً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أکبر الکبائر الجمع بین الصلاتین وتأویل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بینهما کان فعلاً لا وقتاً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وتأویل حدیث إمامة جبرئیل إنّه أراد بیان وقت استحباب الأداء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علیه السلام أنّه فعل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الجمع،عملاً بما صنعه الرسول،فکان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بین وقت الظهر و العصر تداخلاً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لاتداخل بل کلّ واحدة منهما مختص بوقته،ودلیلنا ماروینا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لایدخل وقت الصلاة حتّی یخرج وقت صلاة أخری</w:t>
      </w:r>
      <w:r>
        <w:rPr>
          <w:rFonts w:eastAsia="IRNazanin" w:cs="IRNazanin"/>
          <w:color w:val="111111"/>
          <w:sz w:val="28"/>
          <w:szCs w:val="28"/>
          <w:rtl w:val="true"/>
          <w:lang w:bidi="fa-IR"/>
        </w:rPr>
        <w:t xml:space="preserve">. </w:t>
      </w:r>
      <w:r>
        <w:rPr>
          <w:rStyle w:val="FootnoteAnchor"/>
          <w:rtl w:val="true"/>
        </w:rPr>
        <w:footnoteReference w:id="206"/>
      </w:r>
      <w:bookmarkStart w:id="389" w:name="pg5240_59175"/>
    </w:p>
    <w:p>
      <w:pPr>
        <w:pStyle w:val="BookText"/>
        <w:rPr/>
      </w:pPr>
      <w:bookmarkEnd w:id="389"/>
      <w:r>
        <w:rPr>
          <w:rFonts w:ascii="IRNazanin" w:hAnsi="IRNazanin" w:eastAsia="IRNazanin"/>
          <w:color w:val="111111"/>
          <w:sz w:val="28"/>
          <w:sz w:val="28"/>
          <w:szCs w:val="28"/>
          <w:rtl w:val="true"/>
          <w:lang w:bidi="fa-IR"/>
        </w:rPr>
        <w:t>والتحقیق أن ما ادعاه السرخسی من عدم جوازالجمع بین الصلاتین لایمکن الالتزام به،ذلک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مااستدل به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الوسطی،وکتاباً 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یدلّنا علی توقیت الصلاة بوقت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أو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یدل علی عدم جواز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لایدخل وقت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یدلنا علی أنّه لایدخل وقت صلاة الخاص حتّی یخرج وقت الصلاة الأخری و هذا هو المفتی به عند الفقهاء،أضف إلی‌ذلک أن هذا الحدیث خبر واحد یعارضه اخبار کثیرة فلا اعتبار له من حیث‌الاعتبار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بالنسبة إلی جواز الجمع کثیرة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بادر الیه السرخسی من تأویل حدیث جبرئیل،لایمکن المساعدة علیه؛ذلک لأنّ إمامة جبرئیل بحسب مناسبة الحکم و الموضوع،لم تکن فی مقام بیان استحباب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انکار الجمع علی خلاف عمل أمیرالمؤمنین علی‌بن أبی‌طالب علیه السلام وعمل ابن‌عبّاس وعمل ابن‌عمر حسب ما اعترفه،إجتراء علی أوثق الطرق وأجودها،ذلک لأنّه لم یأمر ولم یعمل علی علیه السلام إلاّ بما أمر وعمل به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السرخسی صرّح بأنّ الجمع بین الصلاتین کان فعلاً،أی واقعاً فتحقق الجمع بحسب الواقع،وبالتالی فما حاول الیه لاینتهی إلی نتیجة ایجابیة</w:t>
      </w:r>
      <w:r>
        <w:rPr>
          <w:rFonts w:eastAsia="IRNazanin" w:cs="IRNazanin"/>
          <w:color w:val="111111"/>
          <w:sz w:val="28"/>
          <w:szCs w:val="28"/>
          <w:rtl w:val="true"/>
          <w:lang w:bidi="fa-IR"/>
        </w:rPr>
        <w:t>.</w:t>
      </w:r>
    </w:p>
    <w:p>
      <w:pPr>
        <w:pStyle w:val="Heading4"/>
        <w:numPr>
          <w:ilvl w:val="3"/>
          <w:numId w:val="1"/>
        </w:numPr>
        <w:rPr/>
      </w:pPr>
      <w:bookmarkStart w:id="390" w:name="__RefHeading___Toc362610_581953129"/>
      <w:bookmarkStart w:id="391" w:name="_Toc159"/>
      <w:bookmarkEnd w:id="390"/>
      <w:r>
        <w:rPr>
          <w:rtl w:val="true"/>
        </w:rPr>
        <w:t>منشأ الاختلاف</w:t>
      </w:r>
      <w:bookmarkEnd w:id="3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هناک ناشئ عن اجتهاد الحنفیة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التقریب بین المذاهب وعدم التفاهم بین الفقهاء</w:t>
      </w:r>
      <w:r>
        <w:rPr>
          <w:rFonts w:eastAsia="IRNazanin" w:cs="IRNazanin"/>
          <w:color w:val="111111"/>
          <w:sz w:val="28"/>
          <w:szCs w:val="28"/>
          <w:rtl w:val="true"/>
          <w:lang w:bidi="fa-IR"/>
        </w:rPr>
        <w:t>.</w:t>
      </w:r>
      <w:bookmarkStart w:id="392" w:name="pg5240_59176"/>
    </w:p>
    <w:p>
      <w:pPr>
        <w:pStyle w:val="Heading3"/>
        <w:numPr>
          <w:ilvl w:val="2"/>
          <w:numId w:val="1"/>
        </w:numPr>
        <w:rPr/>
      </w:pPr>
      <w:bookmarkStart w:id="393" w:name="__RefHeading___Toc362612_581953129"/>
      <w:bookmarkStart w:id="394" w:name="_Toc160"/>
      <w:bookmarkEnd w:id="392"/>
      <w:bookmarkEnd w:id="393"/>
      <w:r>
        <w:rPr>
          <w:rtl w:val="true"/>
        </w:rPr>
        <w:t>الخلاصة</w:t>
      </w:r>
      <w:bookmarkEnd w:id="394"/>
    </w:p>
    <w:p>
      <w:pPr>
        <w:pStyle w:val="BookText"/>
        <w:rPr/>
      </w:pPr>
      <w:r>
        <w:rPr>
          <w:rFonts w:ascii="IRNazanin" w:hAnsi="IRNazanin" w:eastAsia="IRNazanin"/>
          <w:color w:val="111111"/>
          <w:sz w:val="28"/>
          <w:sz w:val="28"/>
          <w:szCs w:val="28"/>
          <w:rtl w:val="true"/>
          <w:lang w:bidi="fa-IR"/>
        </w:rPr>
        <w:t>لاخلاف بین المذاهب الخمسة بالنسبة إلی الوقت المشترک بین 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هناک عدة روایات من طریق أبناء السنّة تدلنا علی جواز الجمع بین الصلاتین منها روایة إمامة جبرئیل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لادلالة من الکتاب علی عدم جواز الجمع بین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أنّه جمع رسول الله صلی الله علیه و آله بین الصلاتین فی المدینة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لادلیل علی عدم جواز الجمع إلاّ ما نقل عن عمربن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الصلاتین من أکبر الکبائر</w:t>
      </w:r>
      <w:r>
        <w:rPr>
          <w:rFonts w:eastAsia="IRNazanin" w:cs="IRNazanin"/>
          <w:color w:val="111111"/>
          <w:sz w:val="28"/>
          <w:szCs w:val="28"/>
          <w:rtl w:val="true"/>
          <w:lang w:bidi="fa-IR"/>
        </w:rPr>
        <w:t>.</w:t>
      </w:r>
      <w:bookmarkStart w:id="395" w:name="pg5240_59177"/>
    </w:p>
    <w:p>
      <w:pPr>
        <w:pStyle w:val="Heading3"/>
        <w:numPr>
          <w:ilvl w:val="2"/>
          <w:numId w:val="1"/>
        </w:numPr>
        <w:rPr/>
      </w:pPr>
      <w:bookmarkStart w:id="396" w:name="__RefHeading___Toc362614_581953129"/>
      <w:bookmarkStart w:id="397" w:name="_Toc161"/>
      <w:bookmarkEnd w:id="395"/>
      <w:bookmarkEnd w:id="396"/>
      <w:r>
        <w:rPr>
          <w:rtl w:val="true"/>
        </w:rPr>
        <w:t>الأسئلة</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جواز الجمع بین الظهرین؟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دور الوقت المشترک بین الصلاتین؟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الجمع بین الصلاتین فی الحضر علی المذهب الحنبلی؟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القول بأن الجمع بین الصلاتین کان فعلاً؟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مدی دلالة الکتاب علی التوقیت؟</w:t>
      </w:r>
      <w:bookmarkStart w:id="398" w:name="pg5240_59178"/>
    </w:p>
    <w:p>
      <w:pPr>
        <w:pStyle w:val="Heading2"/>
        <w:numPr>
          <w:ilvl w:val="1"/>
          <w:numId w:val="1"/>
        </w:numPr>
        <w:rPr/>
      </w:pPr>
      <w:bookmarkStart w:id="399" w:name="__RefHeading___Toc362616_581953129"/>
      <w:bookmarkStart w:id="400" w:name="_Toc162"/>
      <w:bookmarkEnd w:id="398"/>
      <w:bookmarkEnd w:id="399"/>
      <w:r>
        <w:rPr/>
        <w:t>9</w:t>
      </w:r>
      <w:r>
        <w:rPr>
          <w:rtl w:val="true"/>
        </w:rPr>
        <w:t xml:space="preserve">- </w:t>
      </w:r>
      <w:r>
        <w:rPr>
          <w:rtl w:val="true"/>
        </w:rPr>
        <w:t xml:space="preserve">أوقات الصلاة </w:t>
      </w:r>
      <w:r>
        <w:rPr>
          <w:rtl w:val="true"/>
        </w:rPr>
        <w:t>(</w:t>
      </w:r>
      <w:r>
        <w:rPr/>
        <w:t>2</w:t>
      </w:r>
      <w:r>
        <w:rPr>
          <w:rtl w:val="true"/>
        </w:rPr>
        <w:t>)</w:t>
      </w:r>
      <w:bookmarkEnd w:id="400"/>
    </w:p>
    <w:p>
      <w:pPr>
        <w:pStyle w:val="Heading3"/>
        <w:numPr>
          <w:ilvl w:val="2"/>
          <w:numId w:val="1"/>
        </w:numPr>
        <w:rPr/>
      </w:pPr>
      <w:bookmarkStart w:id="401" w:name="__RefHeading___Toc362618_581953129"/>
      <w:bookmarkStart w:id="402" w:name="_Toc163"/>
      <w:bookmarkEnd w:id="401"/>
      <w:r>
        <w:rPr>
          <w:rtl w:val="true"/>
        </w:rPr>
        <w:t>وقت المغرب</w:t>
      </w:r>
      <w:bookmarkEnd w:id="402"/>
    </w:p>
    <w:p>
      <w:pPr>
        <w:pStyle w:val="Heading4"/>
        <w:numPr>
          <w:ilvl w:val="3"/>
          <w:numId w:val="1"/>
        </w:numPr>
        <w:rPr/>
      </w:pPr>
      <w:bookmarkStart w:id="403" w:name="__RefHeading___Toc362620_581953129"/>
      <w:bookmarkStart w:id="404" w:name="_Toc164"/>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اتّفقت المذاهب کلّها علی أنّ وقت المغرب یبتدئ من غروب الشمس و هو عبارة عن غیابها الظاهر واختلفت الآراء بالنسبة إلی تطبیق معنی الغیبوبة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405" w:name="__RefHeading___Toc362622_581953129"/>
      <w:bookmarkStart w:id="406" w:name="_Toc165"/>
      <w:bookmarkEnd w:id="405"/>
      <w:r>
        <w:rPr>
          <w:rtl w:val="true"/>
        </w:rPr>
        <w:t>المذاهب الاربعة</w:t>
      </w:r>
      <w:bookmarkEnd w:id="406"/>
    </w:p>
    <w:p>
      <w:pPr>
        <w:pStyle w:val="BookText"/>
        <w:rPr/>
      </w:pPr>
      <w:r>
        <w:rPr>
          <w:rFonts w:ascii="IRNazanin" w:hAnsi="IRNazanin" w:eastAsia="IRNazanin"/>
          <w:color w:val="111111"/>
          <w:sz w:val="28"/>
          <w:sz w:val="28"/>
          <w:szCs w:val="28"/>
          <w:rtl w:val="true"/>
          <w:lang w:bidi="fa-IR"/>
        </w:rPr>
        <w:t>یتحقّق غیبة الشمس وغروبها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باختفائها عن البصر،ذلک؛لصدق الغیبة عندئذ بحسب فهم العرف</w:t>
      </w:r>
      <w:r>
        <w:rPr>
          <w:rFonts w:eastAsia="IRNazanin" w:cs="IRNazanin"/>
          <w:color w:val="111111"/>
          <w:sz w:val="28"/>
          <w:szCs w:val="28"/>
          <w:rtl w:val="true"/>
          <w:lang w:bidi="fa-IR"/>
        </w:rPr>
        <w:t>.</w:t>
      </w:r>
    </w:p>
    <w:p>
      <w:pPr>
        <w:pStyle w:val="Heading4"/>
        <w:numPr>
          <w:ilvl w:val="3"/>
          <w:numId w:val="1"/>
        </w:numPr>
        <w:rPr/>
      </w:pPr>
      <w:bookmarkStart w:id="407" w:name="__RefHeading___Toc362624_581953129"/>
      <w:bookmarkStart w:id="408" w:name="_Toc166"/>
      <w:bookmarkEnd w:id="407"/>
      <w:r>
        <w:rPr>
          <w:rtl w:val="true"/>
        </w:rPr>
        <w:t>المذهب الجعفری</w:t>
      </w:r>
      <w:bookmarkEnd w:id="408"/>
    </w:p>
    <w:p>
      <w:pPr>
        <w:pStyle w:val="BookText"/>
        <w:rPr/>
      </w:pPr>
      <w:r>
        <w:rPr>
          <w:rFonts w:ascii="IRNazanin" w:hAnsi="IRNazanin" w:eastAsia="IRNazanin"/>
          <w:color w:val="111111"/>
          <w:sz w:val="28"/>
          <w:sz w:val="28"/>
          <w:szCs w:val="28"/>
          <w:rtl w:val="true"/>
          <w:lang w:bidi="fa-IR"/>
        </w:rPr>
        <w:t>یتحقّق غروب الشمس تماماً بزوال الحمرة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ولایتحقّق بمجرّد مواراة القرص عن العیان و هذا ما أثبتته العلوم التجربیة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الأوفق بالقواعد العلمیة و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عند الفقهاء السنیة أنّ وقت المغرب ینتهی بمغیب الشفق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دخول وقت المغرب بغروب الشمس فإجماع أهل العلم لانعلم</w:t>
      </w:r>
    </w:p>
    <w:p>
      <w:pPr>
        <w:pStyle w:val="BookText"/>
        <w:rPr/>
      </w:pPr>
      <w:r>
        <w:rPr>
          <w:rFonts w:ascii="IRNazanin" w:hAnsi="IRNazanin" w:eastAsia="IRNazanin"/>
          <w:color w:val="111111"/>
          <w:sz w:val="28"/>
          <w:sz w:val="28"/>
          <w:szCs w:val="28"/>
          <w:rtl w:val="true"/>
          <w:lang w:bidi="fa-IR"/>
        </w:rPr>
        <w:t>بینهم خلافاً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دالّة علیه وآخره مغیب الشفق</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 فضیلة المغرب من المغرب إلی ذهاب الشفق أی الحمرة المشرقیة</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الشفق الّذی یخرج به وقت المغرب ویدخل به وقت العشاء هو الحمرة،و هذا قول ابن‌عبّاس ومالک و الشافعی</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الشفق،البیاض،وبه قال إبوحنیفة،وروی عن ابن‌مسعود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آله یصلّی 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یسوَدّ الأفق</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الشفق،الحمرة من غروب الشمس إلی وقت العشاء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الشفق،البیاض؛لأنّ الحمرة تذهب إذا أظلمت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الشفق بحسب اللغة والاصطلاح هو الحمرة الحاصلة بعد غروب الشمس،و أمّا البیاض علی رأی الحنفی فهو أثر الشفق الوجودی وعلیه لابدّ أن یذهب البیاض حتّی یتحقّق مغیب الشفق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یسهّل الأمر أنّ فترة البیاض بعد مغیب الشفق قلیلة جداً،ولا بأس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امتداد لوقت المغرب الاختیاری،بل هو مضیق،ویقدّر بزمن یسع فعلها،وتحصیل شروطها،أمّا وقتها الضروری،فهو عن عقب الاختیاری،ویستمرّ إلی طلوع الفجر</w:t>
      </w:r>
      <w:r>
        <w:rPr>
          <w:rFonts w:eastAsia="IRNazanin" w:cs="IRNazanin"/>
          <w:color w:val="111111"/>
          <w:sz w:val="28"/>
          <w:szCs w:val="28"/>
          <w:rtl w:val="true"/>
          <w:lang w:bidi="fa-IR"/>
        </w:rPr>
        <w:t xml:space="preserve">. </w:t>
      </w:r>
      <w:r>
        <w:rPr>
          <w:rStyle w:val="FootnoteAnchor"/>
          <w:rtl w:val="true"/>
        </w:rPr>
        <w:footnoteReference w:id="212"/>
      </w:r>
      <w:bookmarkStart w:id="409" w:name="pg5240_59180"/>
    </w:p>
    <w:p>
      <w:pPr>
        <w:pStyle w:val="BookText"/>
        <w:rPr/>
      </w:pPr>
      <w:bookmarkEnd w:id="409"/>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وقت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مغیب الشمس؛لأنّ جبرئیل صلاّها بالنّبی صلی الله علیه و آله،فی الیومین لوقت واحد فی بیان مواقیت الصلاة</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توقیت المغرب من أوّل الغروب بقدر ما یتّسع لإقامة الصلاة مع شروطها ومقدّماتها لاینافی التوقیت من الغروب إلی مغیب الشفق،ذلک لأنّ الشفق لایدوم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إقامة الصلاة مع شروطها ومقدّماتها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فلا اختلاف إلاّ لفظیاً</w:t>
      </w:r>
      <w:r>
        <w:rPr>
          <w:rFonts w:eastAsia="IRNazanin" w:cs="IRNazanin"/>
          <w:color w:val="111111"/>
          <w:sz w:val="28"/>
          <w:szCs w:val="28"/>
          <w:rtl w:val="true"/>
          <w:lang w:bidi="fa-IR"/>
        </w:rPr>
        <w:t>.</w:t>
      </w:r>
    </w:p>
    <w:p>
      <w:pPr>
        <w:pStyle w:val="Heading3"/>
        <w:numPr>
          <w:ilvl w:val="2"/>
          <w:numId w:val="1"/>
        </w:numPr>
        <w:rPr/>
      </w:pPr>
      <w:bookmarkStart w:id="410" w:name="__RefHeading___Toc362626_581953129"/>
      <w:bookmarkStart w:id="411" w:name="_Toc167"/>
      <w:bookmarkEnd w:id="410"/>
      <w:r>
        <w:rPr>
          <w:rtl w:val="true"/>
        </w:rPr>
        <w:t>جواز تأخیر المغرب عن الوقت الخاص</w:t>
      </w:r>
      <w:bookmarkEnd w:id="411"/>
    </w:p>
    <w:p>
      <w:pPr>
        <w:pStyle w:val="Heading4"/>
        <w:numPr>
          <w:ilvl w:val="3"/>
          <w:numId w:val="1"/>
        </w:numPr>
        <w:rPr/>
      </w:pPr>
      <w:bookmarkStart w:id="412" w:name="__RefHeading___Toc362628_581953129"/>
      <w:bookmarkStart w:id="413" w:name="_Toc168"/>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اختلفت الآراء بالنسبة إلی جواز تأخیر المغرب عن أوّل وقتها إلی وقت العشاء الآخرة وعدم جوازه،وتفصیل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414" w:name="__RefHeading___Toc362630_581953129"/>
      <w:bookmarkStart w:id="415" w:name="_Toc169"/>
      <w:bookmarkEnd w:id="414"/>
      <w:r>
        <w:rPr>
          <w:rtl w:val="true"/>
        </w:rPr>
        <w:t>المذهب الجعفری</w:t>
      </w:r>
      <w:bookmarkEnd w:id="415"/>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فضیلة المغرب من المغرب إلی ذهاب الشفق ووقت فضیلة العشاء من ذهاب الشفق إلی ثلث اللیل،ویکون لهما وقتا إجزاء قبل ذهاب الشفق وبعد الثلث إلی النصف</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ذلک؛للنصوص الواردة فی الباب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مقتضی مانطقت به النصوص المتعدّدة جواز تأخیرها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سقوط الشفق مطلقاً،ولو فی غیر حال السفر و المرض،ومعه لا مجال للقول بأنّ وقت صلاة المغرب مطلقاً ینتهی بذهاب الشفق؛هذا مضافاً إلی أنّ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ظاهر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 </w:t>
      </w:r>
      <w:r>
        <w:rPr>
          <w:rStyle w:val="FootnoteAnchor"/>
          <w:rtl w:val="true"/>
        </w:rPr>
        <w:footnoteReference w:id="215"/>
      </w:r>
      <w:r>
        <w:rPr>
          <w:rFonts w:ascii="Amiri" w:hAnsi="Amiri" w:eastAsia="Amiri" w:cs="Amiri"/>
          <w:color w:val="111111"/>
          <w:sz w:val="28"/>
          <w:sz w:val="28"/>
          <w:szCs w:val="28"/>
          <w:rtl w:val="true"/>
          <w:lang w:bidi="ar-SA"/>
        </w:rPr>
        <w:t>لأنّ</w:t>
      </w:r>
      <w:bookmarkStart w:id="416" w:name="pg5240_59181"/>
    </w:p>
    <w:p>
      <w:pPr>
        <w:pStyle w:val="BookText"/>
        <w:rPr/>
      </w:pPr>
      <w:bookmarkEnd w:id="416"/>
      <w:r>
        <w:rPr>
          <w:rFonts w:ascii="IRNazanin" w:hAnsi="IRNazanin" w:eastAsia="IRNazanin"/>
          <w:color w:val="111111"/>
          <w:sz w:val="28"/>
          <w:sz w:val="28"/>
          <w:szCs w:val="28"/>
          <w:rtl w:val="true"/>
          <w:lang w:bidi="fa-IR"/>
        </w:rPr>
        <w:t>إطلاقها یقتضی جواز تأخیر المغرب عن سقوط الشفق حتّی مع الاختیار؛لأنّ الغسق بمعنی نصف اللیل،إذاً بمقتضی تلک الروایات وإطلاق الآیة المبارکة لابدّ من حمل قوله علیه السلام فی صحیحة زرارة وفُضیل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فوتها سقوط 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الأفضل أن یوتی بها إلی زمان السقوط،وأن لایؤخّر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تأخیر الصلاة عن أوّل وقتها لابدّ أن یکون لشیء من المرجّحات؛لأنّ الأفضل أن یؤتی بها أوّل الوقت</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417" w:name="__RefHeading___Toc362632_581953129"/>
      <w:bookmarkStart w:id="418" w:name="_Toc170"/>
      <w:bookmarkEnd w:id="417"/>
      <w:r>
        <w:rPr>
          <w:rtl w:val="true"/>
        </w:rPr>
        <w:t>المذاهب الاربعة</w:t>
      </w:r>
      <w:bookmarkEnd w:id="418"/>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وقت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مغیب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لاتزال امّتی بخیر ما لم یؤخّروا المغرب إلی أن یشتبک النجم،ولأنّ المسلمین مجمعون علی فعلها فی وقت واحد فی أوّل الوقت 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صلّی المغرب فی الیوم الثانی حین غاب الشفق،وفی لفظ رواه الترمذی،فأخّر المغرب إلی أن یغیب 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والنصوص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النصوص صحیحة لایجوز مخالفتها بشیء محتمل،ولانّها إحدی الصلوات فکان لها وقت متّسع کسائر الصلوات ولأنّها إحدی صلاتی جمع فکان وقتها متّصلاً بوقت الّتی تجمع إلیها کالظهر 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وأحادیثهم محمولة علی الاستحباب والاختیار،وکراهة التأخیر</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419" w:name="__RefHeading___Toc362634_581953129"/>
      <w:bookmarkStart w:id="420" w:name="_Toc171"/>
      <w:bookmarkEnd w:id="419"/>
      <w:r>
        <w:rPr>
          <w:rtl w:val="true"/>
        </w:rPr>
        <w:t>الجمع بین العشائین</w:t>
      </w:r>
      <w:bookmarkEnd w:id="42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العشائین للمختار،من المغرب إلی نصف اللیل،وتختصّ</w:t>
      </w:r>
      <w:bookmarkStart w:id="421" w:name="pg5240_59182"/>
    </w:p>
    <w:p>
      <w:pPr>
        <w:pStyle w:val="BookText"/>
        <w:rPr/>
      </w:pPr>
      <w:bookmarkEnd w:id="421"/>
      <w:r>
        <w:rPr>
          <w:rFonts w:ascii="IRNazanin" w:hAnsi="IRNazanin" w:eastAsia="IRNazanin"/>
          <w:color w:val="111111"/>
          <w:sz w:val="28"/>
          <w:sz w:val="28"/>
          <w:szCs w:val="28"/>
          <w:rtl w:val="true"/>
          <w:lang w:bidi="fa-IR"/>
        </w:rPr>
        <w:t>المغرب من أوّله بمقدار أدائها و العشاء من آخره کذلک،وما بینهما مشترک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ومجال للجمع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للمضطرّ فیمتدّ وقتهما له إلی الفجر الصادق</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ویوافقه ما مرّ بنا عن ابن‌قدامة بأنّ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صلاتی جمع فکان وقتها متّصلاً بوقت الّتی تجمع إلیها کالظهر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لاتفوت المغرب و العشاء حتّی الفجر،ونحوه قال عطاء،لما ذکرناه فی الظهر و العصر</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وعلیه فإنّ ما قلناه بالنسبة إلی وقت الجمع بین الظهرین،نقوله أیضاً،بالنسبة إلی الجمع بین العشائین،بالنحو الّذی أوضحناه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وقت المغرب مضیق علی المذاهب الأربعة،فإنّ الوقت إمّا یکون بقدر یسع إقامة الصلاة مع شرائطها أو یکون محدّداً بسقوط الشفق حیث لایسع أکثر من إقامة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فبطبیعة الحال یتّصل وقت المغرب بوقت العشاء ویتحقّق الجمع بین الصلاتین طبعاً</w:t>
      </w:r>
      <w:r>
        <w:rPr>
          <w:rFonts w:eastAsia="IRNazanin" w:cs="IRNazanin"/>
          <w:color w:val="111111"/>
          <w:sz w:val="28"/>
          <w:szCs w:val="28"/>
          <w:rtl w:val="true"/>
          <w:lang w:bidi="fa-IR"/>
        </w:rPr>
        <w:t>.</w:t>
      </w:r>
    </w:p>
    <w:p>
      <w:pPr>
        <w:pStyle w:val="Heading3"/>
        <w:numPr>
          <w:ilvl w:val="2"/>
          <w:numId w:val="1"/>
        </w:numPr>
        <w:rPr/>
      </w:pPr>
      <w:bookmarkStart w:id="422" w:name="__RefHeading___Toc362636_581953129"/>
      <w:bookmarkStart w:id="423" w:name="_Toc172"/>
      <w:bookmarkEnd w:id="422"/>
      <w:r>
        <w:rPr>
          <w:rtl w:val="true"/>
        </w:rPr>
        <w:t>وقت العشاء</w:t>
      </w:r>
      <w:bookmarkEnd w:id="423"/>
    </w:p>
    <w:p>
      <w:pPr>
        <w:pStyle w:val="Heading4"/>
        <w:numPr>
          <w:ilvl w:val="3"/>
          <w:numId w:val="1"/>
        </w:numPr>
        <w:rPr/>
      </w:pPr>
      <w:bookmarkStart w:id="424" w:name="__RefHeading___Toc362638_581953129"/>
      <w:bookmarkStart w:id="425" w:name="_Toc173"/>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اختلفت الآراء بالنسبة إلی تحدید وقت العشاء سعةً وضیقاً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426" w:name="__RefHeading___Toc362640_581953129"/>
      <w:bookmarkStart w:id="427" w:name="_Toc174"/>
      <w:bookmarkEnd w:id="426"/>
      <w:r>
        <w:rPr>
          <w:rtl w:val="true"/>
        </w:rPr>
        <w:t>المذاهب الاربعة</w:t>
      </w:r>
      <w:bookmarkEnd w:id="42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 العشاء یبتدئ من مغیب الشفق إلی طلوع الفجر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الحنبلی و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للعشاء وقتین،کالعصر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اختیاری،و هو من مغیب الشفق إلی مضی ثلث اللیل،ووقت ضرورة،و هو من أوّل ثلث الثانی من اللیل إلی طلوع الفجر الصادق</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قال زکریا الأنصاری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 العشاء من مغیب</w:t>
      </w:r>
      <w:bookmarkStart w:id="428" w:name="pg5240_59183"/>
    </w:p>
    <w:p>
      <w:pPr>
        <w:pStyle w:val="BookText"/>
        <w:rPr/>
      </w:pPr>
      <w:bookmarkEnd w:id="428"/>
      <w:r>
        <w:rPr>
          <w:rFonts w:ascii="IRNazanin" w:hAnsi="IRNazanin" w:eastAsia="IRNazanin"/>
          <w:color w:val="111111"/>
          <w:sz w:val="28"/>
          <w:sz w:val="28"/>
          <w:szCs w:val="28"/>
          <w:rtl w:val="true"/>
          <w:lang w:bidi="fa-IR"/>
        </w:rPr>
        <w:t>الشفق إلی طلوع فجر الصادق لخبر جبرئیل مع خبر مسلم</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الروایة فی آخر وقت الاختیاری،فروی عن أحمد أنّه ثلث اللیل؛لأنّ فی حدیث جبرئیل علیه السلام أنّه صلّی بالنبی صلی الله علیه و آله،فی المرّة الثانیة ثلث اللیل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ما بین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آخره نصف اللیل و هو أحد قولی الشافعی لما روی أنس‌بن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رسول الله صلی الله علیه و آله صلاة العشاء إلی نصف اللیل رواه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لایؤخّرها عن ثلث اللیل و إن أخّرها إلی نصف اللیل جاز،وما بعد النصف وقت ضرورة،الحکم فیه حکم وقت الضرورة فی صلاة العصر</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429" w:name="__RefHeading___Toc362642_581953129"/>
      <w:bookmarkStart w:id="430" w:name="_Toc175"/>
      <w:bookmarkEnd w:id="429"/>
      <w:r>
        <w:rPr>
          <w:rtl w:val="true"/>
        </w:rPr>
        <w:t>المذهب الجعفری</w:t>
      </w:r>
      <w:bookmarkEnd w:id="430"/>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فضیلة العشاء،من ذهاب الشفق إلی ثلث اللیل ووقت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الثلث إلی النصف،هذا للمختار،و أمّا المضطرّ فیمتدّ وقتهما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و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طلوع الفجر </w:t>
      </w:r>
      <w:r>
        <w:rPr>
          <w:rStyle w:val="FootnoteAnchor"/>
          <w:rtl w:val="true"/>
        </w:rPr>
        <w:footnoteReference w:id="223"/>
      </w:r>
      <w:r>
        <w:rPr>
          <w:rFonts w:ascii="IRNazanin" w:hAnsi="IRNazanin" w:eastAsia="IRNazanin"/>
          <w:color w:val="111111"/>
          <w:sz w:val="28"/>
          <w:sz w:val="28"/>
          <w:szCs w:val="28"/>
          <w:rtl w:val="true"/>
          <w:lang w:bidi="fa-IR"/>
        </w:rPr>
        <w:t>ذلک؛جمعاً بین النصوص</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بین الأصحاب رحمهم الله،أنّ العشاء الآخرة یمتدّ وقتها إلی نصف اللیل،وذلک؛لقوله تعالی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 </w:t>
      </w:r>
      <w:r>
        <w:rPr>
          <w:rStyle w:val="FootnoteAnchor"/>
          <w:rtl w:val="true"/>
        </w:rPr>
        <w:footnoteReference w:id="224"/>
      </w:r>
      <w:r>
        <w:rPr>
          <w:rFonts w:ascii="IRNazanin" w:hAnsi="IRNazanin" w:eastAsia="IRNazanin"/>
          <w:color w:val="111111"/>
          <w:sz w:val="28"/>
          <w:sz w:val="28"/>
          <w:szCs w:val="28"/>
          <w:rtl w:val="true"/>
          <w:lang w:bidi="fa-IR"/>
        </w:rPr>
        <w:t>بضمیمة ماوردت فی تفسیرها کصحیحة زرارة عن الإمام الباقر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وغسق اللیل هو انتصافه</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وتدلّ علیه أیضاً عدّة روایات،منها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بکربن محمّد عن الإمام الصادق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وقت العشاء الآخرة ذهاب الحمرة وآخر وقتها إلی غسق اللیل،یعنی نصف اللیل</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ومقتضی تلک الروایات أنّ وقت العشاء ینتهی إلی نصف اللیل</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ثمّة روایات أخری ترشدنا إلی أنّ منتهی وقت العشاء هو ثلث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معاویة‌بن عمّار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 العشاء الآخرة إلی ثلث اللیل</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دلّت علی أنّ منتهی الأمد للعشاء هو ثلث اللیل،وبه أفتی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النصوص متکافئة سنداً ومتضاربة دلالة،حینئذ لابدّ من الجمع بینها لعدم إمکان الطرح بعد صحّة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 الّذی یعزّزه فقه الحدیث وفقه الاستنباط،هو مطابقة الوقتین لوقت الفضیلة ووقت الأداء،وعلیه یمکننا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التحدید إلی ثلث اللیل هو وقت الفضیلة،والمقصود من التحدید إلی انتصاف اللیل هو وقت الأداء کما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ومقتضی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الأفضل فی صلاة العشاء أن یؤتی بها إلی ثلث اللیل</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والحکم مفتی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الطریقة الّتی سلکها ابن‌قدامة تجاه الجمع بین الروایات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امتداد وقت العشاء الآخرة بعد نصف اللیل إلی طلوع الفجر فیحتاج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یزال الوقت ممتدّاً حتّی یطلع الفجر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دلیل؟و الأحادیث السابقة حدّدت آخر وقت العشاء بنصف اللیل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حسن الحظّ أنّه وردت من طریق آل البیت علیهم السلام روایة تدلّ علی أنّ وقت الاضطرار یمتدّ إلی طلوع الفجر</w:t>
      </w:r>
      <w:r>
        <w:rPr>
          <w:rFonts w:eastAsia="IRNazanin" w:cs="IRNazanin"/>
          <w:color w:val="111111"/>
          <w:sz w:val="28"/>
          <w:szCs w:val="28"/>
          <w:rtl w:val="true"/>
          <w:lang w:bidi="fa-IR"/>
        </w:rPr>
        <w:t>.</w:t>
      </w:r>
      <w:bookmarkStart w:id="431" w:name="pg5240_59185"/>
    </w:p>
    <w:p>
      <w:pPr>
        <w:pStyle w:val="BookText"/>
        <w:rPr/>
      </w:pPr>
      <w:bookmarkEnd w:id="431"/>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المعذور فی التأخیر فلا ینبغی الإشکال فی امتداد وقتی الصلاتین فی حقّه إلی طلوع الفجر؛وذلک لصحیحة أبی‌بصیر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نام رجل ولم یصلّ صلاة المغرب و العشاء أو نسی فإن استیقظ قبل الفجر قدر ما یصلّیهما کلتیهما فلیصلّیهما،و إن خشی أن تفوته إحداهما فلیبدأ بالعشاء الآخرة</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وهی صریحة الدلالة علی امتداد وقتی العشائین بالنسبة إلی النائم و الناسی ونحوهما إلی طلوع الفجر،وقوله علیه السلام فلیبدأ بالعشاء الآخرة فیما إذا خشی فوات إحداهما ناظر إلی أنّ آخر الوقت یختصّ بصلاة العشاء</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فتمّ الدلیل علی امتداد وقت العشاء إلی طلوع الفجربالنسبة إلی المضطرّین</w:t>
      </w:r>
      <w:r>
        <w:rPr>
          <w:rFonts w:eastAsia="IRNazanin" w:cs="IRNazanin"/>
          <w:color w:val="111111"/>
          <w:sz w:val="28"/>
          <w:szCs w:val="28"/>
          <w:rtl w:val="true"/>
          <w:lang w:bidi="fa-IR"/>
        </w:rPr>
        <w:t>.</w:t>
      </w:r>
    </w:p>
    <w:p>
      <w:pPr>
        <w:pStyle w:val="Heading4"/>
        <w:numPr>
          <w:ilvl w:val="3"/>
          <w:numId w:val="1"/>
        </w:numPr>
        <w:rPr/>
      </w:pPr>
      <w:bookmarkStart w:id="432" w:name="__RefHeading___Toc362644_581953129"/>
      <w:bookmarkStart w:id="433" w:name="_Toc176"/>
      <w:bookmarkEnd w:id="432"/>
      <w:r>
        <w:rPr>
          <w:rtl w:val="true"/>
        </w:rPr>
        <w:t>منشأ الاختلاف</w:t>
      </w:r>
      <w:bookmarkEnd w:id="43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فی توقیت الفرائض الیومیة بین أئمّة المذاهب وبین فقهاء المذهب الواحد،بشتّی أنحائه ناشئ عن الاختلاف فی النصوص،فإنّ الروایات الواردة من طریق آل‌البیت علیهم السلام و الصحابة،متکثّرة ومتعارضة إلی حدّ یتعذر فیه الجمع بین الروایات،وعلیه استنبطکلّ فقیه بحسب اجتهاده حکماً أفضی فی النهایة إلی الاختلاف فی الأحکام،وممّا ضاعف من الاختلاف هنا،هو عدم المقارنة بین الآراء فاتّفقوا علی أن لایتّفقوا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تحقّقت المقارنة بین الآراء مباشرة هناک یمکن التفاهم البنّاء بین الفقهاء حیث یضع حلاً لمشکلة الاختلاف</w:t>
      </w:r>
      <w:r>
        <w:rPr>
          <w:rFonts w:eastAsia="IRNazanin" w:cs="IRNazanin"/>
          <w:color w:val="111111"/>
          <w:sz w:val="28"/>
          <w:szCs w:val="28"/>
          <w:rtl w:val="true"/>
          <w:lang w:bidi="fa-IR"/>
        </w:rPr>
        <w:t>.</w:t>
      </w:r>
      <w:bookmarkStart w:id="434" w:name="pg5240_59186"/>
    </w:p>
    <w:p>
      <w:pPr>
        <w:pStyle w:val="Heading3"/>
        <w:numPr>
          <w:ilvl w:val="2"/>
          <w:numId w:val="1"/>
        </w:numPr>
        <w:rPr/>
      </w:pPr>
      <w:bookmarkStart w:id="435" w:name="__RefHeading___Toc362646_581953129"/>
      <w:bookmarkStart w:id="436" w:name="_Toc177"/>
      <w:bookmarkEnd w:id="434"/>
      <w:bookmarkEnd w:id="435"/>
      <w:r>
        <w:rPr>
          <w:rtl w:val="true"/>
        </w:rPr>
        <w:t>الخلاصة</w:t>
      </w:r>
      <w:bookmarkEnd w:id="436"/>
    </w:p>
    <w:p>
      <w:pPr>
        <w:pStyle w:val="BookText"/>
        <w:rPr/>
      </w:pPr>
      <w:r>
        <w:rPr>
          <w:rFonts w:ascii="IRNazanin" w:hAnsi="IRNazanin" w:eastAsia="IRNazanin"/>
          <w:color w:val="111111"/>
          <w:sz w:val="28"/>
          <w:sz w:val="28"/>
          <w:szCs w:val="28"/>
          <w:rtl w:val="true"/>
          <w:lang w:bidi="fa-IR"/>
        </w:rPr>
        <w:t>لکلّ واحدة من الصلوات الخمس وقت محدّد خاصّ،وللظهرین و العشائین،وقت مشترک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لاخلاف بین المذاهب بالنسبة إلی مبدأ الأوقات إلاّ الیسیر و هو الاختلاف بالنسبة إلی معنی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الاختلافات وثیقة الصلة بمنتهی الأوقات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الأفضل أن یؤتی کلّ صلاة فی أوّل وقتها،و أنّ أول الوقت الرضوان وآخر الوقت الغفران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الاختلاف،هو اختلاف الروایات الواردة فی المصادر الروائیة بصفة عامّة</w:t>
      </w:r>
      <w:r>
        <w:rPr>
          <w:rFonts w:eastAsia="IRNazanin" w:cs="IRNazanin"/>
          <w:color w:val="111111"/>
          <w:sz w:val="28"/>
          <w:szCs w:val="28"/>
          <w:rtl w:val="true"/>
          <w:lang w:bidi="fa-IR"/>
        </w:rPr>
        <w:t>.</w:t>
      </w:r>
      <w:bookmarkStart w:id="437" w:name="pg5240_59187"/>
    </w:p>
    <w:p>
      <w:pPr>
        <w:pStyle w:val="Heading3"/>
        <w:numPr>
          <w:ilvl w:val="2"/>
          <w:numId w:val="1"/>
        </w:numPr>
        <w:rPr/>
      </w:pPr>
      <w:bookmarkStart w:id="438" w:name="__RefHeading___Toc362648_581953129"/>
      <w:bookmarkStart w:id="439" w:name="_Toc178"/>
      <w:bookmarkEnd w:id="437"/>
      <w:bookmarkEnd w:id="438"/>
      <w:r>
        <w:rPr>
          <w:rtl w:val="true"/>
        </w:rPr>
        <w:t>الأسئلة</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الوقت الاختیاری و الوقت الاضطراری؟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الشفق بحسب اللغة؟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یتحقّق غروب الشمس بمواراة القرص؟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الآیة الّتی تدلّ علی توقیت الفریضة؟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الأفضل الجمع بین الصلاتین أو التفریق،أو إقامة الصلاة فی أوّل وقتها؟</w:t>
      </w:r>
      <w:bookmarkStart w:id="440" w:name="pg5240_59188"/>
    </w:p>
    <w:p>
      <w:pPr>
        <w:pStyle w:val="Heading2"/>
        <w:numPr>
          <w:ilvl w:val="1"/>
          <w:numId w:val="1"/>
        </w:numPr>
        <w:rPr/>
      </w:pPr>
      <w:bookmarkStart w:id="441" w:name="__RefHeading___Toc362650_581953129"/>
      <w:bookmarkStart w:id="442" w:name="_Toc179"/>
      <w:bookmarkEnd w:id="440"/>
      <w:bookmarkEnd w:id="441"/>
      <w:r>
        <w:rPr/>
        <w:t>10</w:t>
      </w:r>
      <w:r>
        <w:rPr>
          <w:rtl w:val="true"/>
        </w:rPr>
        <w:t xml:space="preserve">- </w:t>
      </w:r>
      <w:r>
        <w:rPr>
          <w:rtl w:val="true"/>
        </w:rPr>
        <w:t>الأذان و الإقامة</w:t>
      </w:r>
      <w:bookmarkEnd w:id="442"/>
    </w:p>
    <w:p>
      <w:pPr>
        <w:pStyle w:val="Heading3"/>
        <w:numPr>
          <w:ilvl w:val="2"/>
          <w:numId w:val="1"/>
        </w:numPr>
        <w:rPr/>
      </w:pPr>
      <w:bookmarkStart w:id="443" w:name="__RefHeading___Toc362652_581953129"/>
      <w:bookmarkStart w:id="444" w:name="_Toc180"/>
      <w:bookmarkEnd w:id="443"/>
      <w:r>
        <w:rPr>
          <w:rtl w:val="true"/>
        </w:rPr>
        <w:t>حکم الأذان و الإقامة</w:t>
      </w:r>
      <w:bookmarkEnd w:id="444"/>
    </w:p>
    <w:p>
      <w:pPr>
        <w:pStyle w:val="Heading4"/>
        <w:numPr>
          <w:ilvl w:val="3"/>
          <w:numId w:val="1"/>
        </w:numPr>
        <w:rPr/>
      </w:pPr>
      <w:bookmarkStart w:id="445" w:name="__RefHeading___Toc362654_581953129"/>
      <w:bookmarkStart w:id="446" w:name="_Toc181"/>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اختلفت الآراء بالنسبة إلی حکم الأذان و الإقامة فرضاً وسنّةً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447" w:name="__RefHeading___Toc362656_581953129"/>
      <w:bookmarkStart w:id="448" w:name="_Toc182"/>
      <w:bookmarkEnd w:id="447"/>
      <w:r>
        <w:rPr>
          <w:rtl w:val="true"/>
        </w:rPr>
        <w:t>المذهب الجعفری</w:t>
      </w:r>
      <w:bookmarkEnd w:id="448"/>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تأکّد رجحانهما فی الفرائض الیومیة،وذهب بعض العلماء إلی وجوبهما</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449" w:name="__RefHeading___Toc362658_581953129"/>
      <w:bookmarkStart w:id="450" w:name="_Toc183"/>
      <w:bookmarkEnd w:id="449"/>
      <w:r>
        <w:rPr>
          <w:rtl w:val="true"/>
        </w:rPr>
        <w:t>المذاهب الاربعة</w:t>
      </w:r>
      <w:bookmarkEnd w:id="45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الأئمّة علی أنّ الأذان سنّة مؤکّدة ماعدا الحنابلة،فإنّهم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فرض کفایة</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أنّه اتّفقت المذاهب کلّها علی مطلوبیة الأذان و الإقامة،وعدم جواز ترکهما</w:t>
      </w:r>
      <w:bookmarkStart w:id="451" w:name="pg5240_59189"/>
    </w:p>
    <w:p>
      <w:pPr>
        <w:pStyle w:val="BookText"/>
        <w:rPr/>
      </w:pPr>
      <w:bookmarkEnd w:id="451"/>
      <w:r>
        <w:rPr>
          <w:rFonts w:ascii="IRNazanin" w:hAnsi="IRNazanin" w:eastAsia="IRNazanin"/>
          <w:color w:val="111111"/>
          <w:sz w:val="28"/>
          <w:sz w:val="28"/>
          <w:szCs w:val="28"/>
          <w:rtl w:val="true"/>
          <w:lang w:bidi="fa-IR"/>
        </w:rPr>
        <w:t>حال الاختیار،لم یتحقّق الاختلاف من ناحیة عملیة،فیمکننا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ثمّة اختلاف بحسب الواقع</w:t>
      </w:r>
      <w:r>
        <w:rPr>
          <w:rFonts w:eastAsia="IRNazanin" w:cs="IRNazanin"/>
          <w:color w:val="111111"/>
          <w:sz w:val="28"/>
          <w:szCs w:val="28"/>
          <w:rtl w:val="true"/>
          <w:lang w:bidi="fa-IR"/>
        </w:rPr>
        <w:t>.</w:t>
      </w:r>
    </w:p>
    <w:p>
      <w:pPr>
        <w:pStyle w:val="Heading3"/>
        <w:numPr>
          <w:ilvl w:val="2"/>
          <w:numId w:val="1"/>
        </w:numPr>
        <w:rPr/>
      </w:pPr>
      <w:bookmarkStart w:id="452" w:name="__RefHeading___Toc362660_581953129"/>
      <w:bookmarkStart w:id="453" w:name="_Toc184"/>
      <w:bookmarkEnd w:id="452"/>
      <w:r>
        <w:rPr>
          <w:rtl w:val="true"/>
        </w:rPr>
        <w:t>صیغ الأذان و الإقامة</w:t>
      </w:r>
      <w:bookmarkEnd w:id="453"/>
    </w:p>
    <w:p>
      <w:pPr>
        <w:pStyle w:val="Heading4"/>
        <w:numPr>
          <w:ilvl w:val="3"/>
          <w:numId w:val="1"/>
        </w:numPr>
        <w:rPr/>
      </w:pPr>
      <w:bookmarkStart w:id="454" w:name="__RefHeading___Toc362662_581953129"/>
      <w:bookmarkStart w:id="455" w:name="_Toc185"/>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اختلفت الآراء بالنسبة إلی عدد فصول الأذان و الإقامة،وتفصیل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456" w:name="__RefHeading___Toc362664_581953129"/>
      <w:bookmarkStart w:id="457" w:name="_Toc186"/>
      <w:bookmarkEnd w:id="456"/>
      <w:r>
        <w:rPr>
          <w:rtl w:val="true"/>
        </w:rPr>
        <w:t>المذاهب الاربعة</w:t>
      </w:r>
      <w:bookmarkEnd w:id="457"/>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الأذان هی التکبیر أربع مرّات و الشهادتین مرّتین وحی علی الصلاة وحی علی الفلاح مرّتین و التکبیر و التهلیل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الصیغة متّفق علیها بین ثلاثة من الأئمّة وخالف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مرّتین لا أربعاً</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الأذان أذان بلال،وجاء فی خبر عبدالله ابن زید و هو خمس عشرة کلمة،إلاّ أنّ مالکاًً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فی أوّله مرّتان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 مالک بأنّ ابن‌محیرز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الأذان الّذی یؤذّن به أبومحذورة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التکبیر فیه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حدیث عبدالله‌بن زید و الأخذ به أولی؛لأنّ بلالاً کان یؤذّن به مع رسول الله صلی الله علیه و آله دائماً سفراً وحضراً وأقرّه النبی صلی الله علیه و آله بعد أذان أبی‌محذورة</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ویزاد فی أذان الصبح بعد 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ندباً ویکره ترک هذه الزیادة،باتّفاق</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 أن یقول فی أذان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مرّتین بعد</w:t>
      </w:r>
      <w:bookmarkStart w:id="458" w:name="pg5240_59190"/>
    </w:p>
    <w:p>
      <w:pPr>
        <w:pStyle w:val="BookText"/>
        <w:rPr/>
      </w:pPr>
      <w:bookmarkEnd w:id="458"/>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ویسمّی التثویب،روی النسائی بإسناده عن ابن محذورة،قال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صلاة الصبح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أحدثه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التثویب الّذی کره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خرج منه ابن‌عمر من المسجد لمّا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التثویب بین الأذان و الإقامة فی الفجر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مرّتین حی علی الفلاح مرّتین</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قال الشافعی فی قوله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لاتثویب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الفجر</w:t>
      </w:r>
      <w:r>
        <w:rPr>
          <w:rFonts w:eastAsia="IRNazanin" w:cs="IRNazanin"/>
          <w:color w:val="111111"/>
          <w:sz w:val="28"/>
          <w:szCs w:val="28"/>
          <w:rtl w:val="true"/>
          <w:lang w:bidi="fa-IR"/>
        </w:rPr>
        <w:t xml:space="preserve">). </w:t>
      </w:r>
      <w:r>
        <w:rPr>
          <w:rStyle w:val="FootnoteAnchor"/>
          <w:rtl w:val="true"/>
        </w:rPr>
        <w:footnoteReference w:id="238"/>
      </w:r>
    </w:p>
    <w:p>
      <w:pPr>
        <w:pStyle w:val="Heading3"/>
        <w:numPr>
          <w:ilvl w:val="2"/>
          <w:numId w:val="1"/>
        </w:numPr>
        <w:rPr/>
      </w:pPr>
      <w:bookmarkStart w:id="459" w:name="__RefHeading___Toc362666_581953129"/>
      <w:bookmarkStart w:id="460" w:name="_Toc187"/>
      <w:bookmarkEnd w:id="459"/>
      <w:r>
        <w:rPr>
          <w:rtl w:val="true"/>
        </w:rPr>
        <w:t>التثویب المحدث</w:t>
      </w:r>
      <w:bookmarkEnd w:id="460"/>
    </w:p>
    <w:p>
      <w:pPr>
        <w:pStyle w:val="Heading4"/>
        <w:numPr>
          <w:ilvl w:val="3"/>
          <w:numId w:val="1"/>
        </w:numPr>
        <w:rPr/>
      </w:pPr>
      <w:bookmarkStart w:id="461" w:name="__RefHeading___Toc362668_581953129"/>
      <w:bookmarkStart w:id="462" w:name="_Toc188"/>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قال أبوبکر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التثویب المحدث،إنّما سمّاه محدثاً؛لأنّه أحدث فی زمن التابعین،ووصفه بالحسن؛لأنّهم استحسنواه و قد قال النبی صلی الله علیه و آله مارآه المؤمنون حسناً فهو عند الله حسن ومارآه المؤمنون قبیحاً فهو عند الله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محل التثویب قبل صلاة الفجر عند عامة العلماء</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لاشک فی أنّ التثویب لم یکن من الأذان فی النصوص ولم یکن له عین ولا أثر فی زمن الرسول وصرّح أبوبکر الکاشانی أنّه أحدث فی زمن التابعین،ولا شک أیضاًً أن کلّ شیء حدث فی العبادات من قبل الناس فهو بدعة فی الشرع،وعلیه کان التثویب بدعة بمعنی الکلمة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مارآه المؤمنون حسناً فهو عند الله حسن،فلا یمکن الاعتماد به،ذلک،أوّلاً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اعتبار ذلک الحدیث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یعارض ذاک الحدیث أحادیث أخری الواردة من طریق أبناء السنّة،منها قوله علیه السلام دین الله لایصاب بالعقول، </w:t>
      </w:r>
      <w:r>
        <w:rPr>
          <w:rStyle w:val="FootnoteAnchor"/>
          <w:rtl w:val="true"/>
        </w:rPr>
        <w:footnoteReference w:id="240"/>
      </w:r>
      <w:r>
        <w:rPr>
          <w:rFonts w:ascii="IRNazanin" w:hAnsi="IRNazanin" w:eastAsia="IRNazanin"/>
          <w:color w:val="111111"/>
          <w:sz w:val="28"/>
          <w:sz w:val="28"/>
          <w:szCs w:val="28"/>
          <w:rtl w:val="true"/>
          <w:lang w:bidi="fa-IR"/>
        </w:rPr>
        <w:t>وعلیه یقول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أمر الشرع به فهو حسن،وکلما نهی عنه فهو قبیح</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الحدیث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أَکْثَرُهُمْ لا یَعْقِلُونَ </w:t>
      </w:r>
      <w:r>
        <w:rPr>
          <w:rStyle w:val="FootnoteAnchor"/>
          <w:rtl w:val="true"/>
        </w:rPr>
        <w:footnoteReference w:id="24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أَکْثَرَهُمْ لا یَعْلَمُونَ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ثبت صدور الحدیث عن النبی صلی الله علیه و آله کان معناه تحسین مارآه المؤمنون حسناً من الأمور الأخلاقیة و المدنیة وکلّ ما یتصل بمعیشة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هناک إختلاف بالنسبة إلی التثویب کما ألمحنا إلیه فمن الناس من یحسنه ومنهم من یکرهه فلم یتحقّق تحسین المؤمنین کافة تجاه ذلک،فلا أساس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ألفاظ الإقامة فهی بالصیغة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الخرقی شیخ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مرّة و الشهادتین مرّة وحی علی الصلاة،حی علی الفلاح مرّة،و قد قامت الصلاة مرّتین ثمّ التکبیر و التهلیل مرّة وبهذا قال الشافعی،وقال أبوحنیفة</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الإقامة مثل الأذان ویزید فی الإقامة،قد قامت الصلاة مرّتین،لحدیث عبدالله‌بن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علّمه الأذان أمهل ثمّ قام فقال مثلها،رواه أبوداود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کلمات،تقول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 مرّة واحدة لما روی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بلال أن یشفع الأذان ویوتر الإقامة متّفق علیه</w:t>
      </w:r>
      <w:r>
        <w:rPr>
          <w:rFonts w:eastAsia="IRNazanin" w:cs="IRNazanin"/>
          <w:color w:val="111111"/>
          <w:sz w:val="28"/>
          <w:szCs w:val="28"/>
          <w:rtl w:val="true"/>
          <w:lang w:bidi="fa-IR"/>
        </w:rPr>
        <w:t>.</w:t>
      </w:r>
      <w:bookmarkStart w:id="463" w:name="pg5240_59192"/>
    </w:p>
    <w:p>
      <w:pPr>
        <w:pStyle w:val="BookText"/>
        <w:rPr/>
      </w:pPr>
      <w:bookmarkEnd w:id="463"/>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عبدالله‌بن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الأذان علی عهد رسول‌الله صلی الله علیه و آله مرّتین مرّتین و الإقامة مرّة مرّة،إلاّ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 قد قامت الصلاة،أخرجه النسائی</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قال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عامة العلماء الإقامة مثنی مثنی‌کالأذان</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464" w:name="__RefHeading___Toc362670_581953129"/>
      <w:bookmarkStart w:id="465" w:name="_Toc189"/>
      <w:bookmarkEnd w:id="464"/>
      <w:r>
        <w:rPr>
          <w:rtl w:val="true"/>
        </w:rPr>
        <w:t>المذهب الجعفری</w:t>
      </w:r>
      <w:bookmarkEnd w:id="465"/>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الأذان ثمانیة عشر،الله أکبر أربع مرّات،ثمّ أشهد أن لاإله إلاّ الله،ثمّ أشهد أنّ محمّداًً رسول الله،ثمّ حی علی الصلاة،ثمّ حی علی الفلاح،ثمّ حی علی خیر العمل،ثمّ الله أکبر،ثمّ لا إله إلاّ الله،کلّ فصل مرّتان،وکذلک الإقامة،إلاّ أنّ فصولها أجمع مثنی مثنی إلاّ التهلیل فی آخرها فمرّة،ویزاد فیها بعد الحیعلات قبل التکبیر،قد قامت الصلاة مرّتین،فتکون فصولها سبعة عشر،وتستحبّ الصلاة علی محمّد وآل محمّد عند ذکر اسمه الشریف،وإکمال الشهادتین بالشهادة لعلی علیه السلام بالولایة وإمرة المؤمنین فی الأذان وغیره</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الأذان ثمانیة عشر بالمنهج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وعلیه عمل الأصحاب،ویدلّ علیه من النصوص خبر الحضرمی وکلیب الأسدی جمیعاً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حکی لهما الأذان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بالصیاغة الّتی تسالم علیها الأصحاب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والإقامة کذلک،وفی صحیح زرارة عن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زرارة،تفتح الأذان بأربع تکبیرات وتختمه بتکبیرتین</w:t>
      </w:r>
    </w:p>
    <w:p>
      <w:pPr>
        <w:pStyle w:val="BookText"/>
        <w:rPr/>
      </w:pPr>
      <w:r>
        <w:rPr>
          <w:rFonts w:ascii="IRNazanin" w:hAnsi="IRNazanin" w:eastAsia="IRNazanin"/>
          <w:color w:val="111111"/>
          <w:sz w:val="28"/>
          <w:sz w:val="28"/>
          <w:szCs w:val="28"/>
          <w:rtl w:val="true"/>
          <w:lang w:bidi="fa-IR"/>
        </w:rPr>
        <w:t>وتهلیلتین</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أمّا لفظ الإقامة فهو أیضاً مذهب العلماء وأنّه لایختلف فیه الأصحاب و أنّ علیه عمل الأصحاب و أمّا لفظ الشهادة بالولایة لابأس بالإتیان به بقصد الاستحباب المطلق؛لما فی خبر الاحتجاج،إذا قال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فلیقل علی أمیرالمؤمنین </w:t>
      </w:r>
      <w:r>
        <w:rPr>
          <w:rStyle w:val="FootnoteAnchor"/>
          <w:rtl w:val="true"/>
        </w:rPr>
        <w:footnoteReference w:id="250"/>
      </w:r>
      <w:r>
        <w:rPr>
          <w:rFonts w:ascii="IRNazanin" w:hAnsi="IRNazanin" w:eastAsia="IRNazanin"/>
          <w:color w:val="111111"/>
          <w:sz w:val="28"/>
          <w:sz w:val="28"/>
          <w:szCs w:val="28"/>
          <w:rtl w:val="true"/>
          <w:lang w:bidi="fa-IR"/>
        </w:rPr>
        <w:t>بل ذلک فی هذه الأعصار معدود من شعائر الإیمان،فیکون من هذه الجهة راجحاً شرعاً،بل قد یکون واجباً لکن لا بعنوان الجزئیة من الأذان،ومن ذلک یظهر وجه ما فی البحار من أنّه لا یبعد کون الشهادة بالولایة من الأجزاء المستحبّة للأذان؛لشهادة الشیخ و العلامة و الشهید وغیرهم،بورود الأخبار بها،وأید ذلک بخبر القاسم‌بن معاویة المروی عن احتجاج الطبرسی عن الإمام الصادق علیه السلام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بذکرذلک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سبیل الجزئیة؛عملاً بالخبر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القاسم مع الاعتماد بقاعدة التسامح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یقدح مثله فی الموالاة و الترتیب،بل هی کالصلاة علی محمّد وآله وسلّم عند سماع اسمه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ویؤیده ما ذکره العلامة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أجلّة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رأی فی المعراج علی العرش کتابة بهذه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 صلی الله علیه و آله،أیدته بعلی ولی الله</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العلامة المجلسی ذلک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أبوالمفضّل الشیبانی،عن جعفربن محمّدبن جعفر العلوی،عن إسحاق‌بن جعفر عن أخیه موسی‌بن جعفر عن</w:t>
      </w:r>
      <w:bookmarkStart w:id="466" w:name="pg5240_59194"/>
    </w:p>
    <w:p>
      <w:pPr>
        <w:pStyle w:val="BookText"/>
        <w:rPr/>
      </w:pPr>
      <w:bookmarkEnd w:id="466"/>
      <w:r>
        <w:rPr>
          <w:rFonts w:ascii="IRNazanin" w:hAnsi="IRNazanin" w:eastAsia="IRNazanin"/>
          <w:color w:val="111111"/>
          <w:sz w:val="28"/>
          <w:sz w:val="28"/>
          <w:szCs w:val="28"/>
          <w:rtl w:val="true"/>
          <w:lang w:bidi="fa-IR"/>
        </w:rPr>
        <w:t>الأجلح الکندی عن أبی‌أمامة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 رأیت مکتوباً علی ساق العرش بالنور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محمّد رسول الله صلی الله علیه و آله أیدته بعلی علیه السلام </w:t>
      </w:r>
      <w:r>
        <w:rPr>
          <w:rStyle w:val="FootnoteAnchor"/>
          <w:rtl w:val="true"/>
        </w:rPr>
        <w:footnoteReference w:id="254"/>
      </w:r>
      <w:r>
        <w:rPr>
          <w:rFonts w:ascii="IRNazanin" w:hAnsi="IRNazanin" w:eastAsia="IRNazanin"/>
          <w:color w:val="111111"/>
          <w:sz w:val="28"/>
          <w:sz w:val="28"/>
          <w:szCs w:val="28"/>
          <w:rtl w:val="true"/>
          <w:lang w:bidi="fa-IR"/>
        </w:rPr>
        <w:t>ورواه أنس‌بن مالک عن رسول الله صلی الله علیه و آله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 رأیت علی ساق العرش مکتوباً لا إله إلاّ الله محمّد رسول الله أیدته بعلی</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فالخبر مع وروده عن الطریقین یفسح مجالاً للشهادة بالولایة</w:t>
      </w:r>
      <w:r>
        <w:rPr>
          <w:rFonts w:eastAsia="IRNazanin" w:cs="IRNazanin"/>
          <w:color w:val="111111"/>
          <w:sz w:val="28"/>
          <w:szCs w:val="28"/>
          <w:rtl w:val="true"/>
          <w:lang w:bidi="fa-IR"/>
        </w:rPr>
        <w:t>.</w:t>
      </w:r>
    </w:p>
    <w:p>
      <w:pPr>
        <w:pStyle w:val="Heading4"/>
        <w:numPr>
          <w:ilvl w:val="3"/>
          <w:numId w:val="1"/>
        </w:numPr>
        <w:rPr/>
      </w:pPr>
      <w:bookmarkStart w:id="467" w:name="__RefHeading___Toc362672_581953129"/>
      <w:bookmarkStart w:id="468" w:name="_Toc190"/>
      <w:bookmarkEnd w:id="467"/>
      <w:r>
        <w:rPr>
          <w:rtl w:val="true"/>
        </w:rPr>
        <w:t>منشأ الاختلاف</w:t>
      </w:r>
      <w:bookmarkEnd w:id="468"/>
    </w:p>
    <w:p>
      <w:pPr>
        <w:pStyle w:val="BookText"/>
        <w:rPr/>
      </w:pPr>
      <w:r>
        <w:rPr>
          <w:rFonts w:ascii="IRNazanin" w:hAnsi="IRNazanin" w:eastAsia="IRNazanin"/>
          <w:color w:val="111111"/>
          <w:sz w:val="28"/>
          <w:sz w:val="28"/>
          <w:szCs w:val="28"/>
          <w:rtl w:val="true"/>
          <w:lang w:bidi="fa-IR"/>
        </w:rPr>
        <w:t>تبین لنا أنّ منشأ الخلاف هو إختلاف النصوص الواردة عن الطریقین،والاجتهاد</w:t>
      </w:r>
      <w:r>
        <w:rPr>
          <w:rFonts w:eastAsia="IRNazanin" w:cs="IRNazanin"/>
          <w:color w:val="111111"/>
          <w:sz w:val="28"/>
          <w:szCs w:val="28"/>
          <w:rtl w:val="true"/>
          <w:lang w:bidi="fa-IR"/>
        </w:rPr>
        <w:t>.</w:t>
      </w:r>
    </w:p>
    <w:p>
      <w:pPr>
        <w:pStyle w:val="Heading3"/>
        <w:numPr>
          <w:ilvl w:val="2"/>
          <w:numId w:val="1"/>
        </w:numPr>
        <w:rPr/>
      </w:pPr>
      <w:bookmarkStart w:id="469" w:name="__RefHeading___Toc362674_581953129"/>
      <w:bookmarkStart w:id="470" w:name="_Toc191"/>
      <w:bookmarkEnd w:id="469"/>
      <w:r>
        <w:rPr>
          <w:rtl w:val="true"/>
        </w:rPr>
        <w:t>تکبیرة الإحرام</w:t>
      </w:r>
      <w:bookmarkEnd w:id="470"/>
    </w:p>
    <w:p>
      <w:pPr>
        <w:pStyle w:val="Heading4"/>
        <w:numPr>
          <w:ilvl w:val="3"/>
          <w:numId w:val="1"/>
        </w:numPr>
        <w:rPr/>
      </w:pPr>
      <w:bookmarkStart w:id="471" w:name="__RefHeading___Toc362676_581953129"/>
      <w:bookmarkStart w:id="472" w:name="_Toc192"/>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اختلفت الآراءفی لفظ تکبیرة الإحرام وصورتها الترکیبیة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473" w:name="__RefHeading___Toc362678_581953129"/>
      <w:bookmarkStart w:id="474" w:name="_Toc193"/>
      <w:bookmarkEnd w:id="473"/>
      <w:r>
        <w:rPr>
          <w:rtl w:val="true"/>
        </w:rPr>
        <w:t>المذاهب الاربعة</w:t>
      </w:r>
      <w:bookmarkEnd w:id="474"/>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ثلاثة من الأئمّة أنّ تکبیرة الإحرام هی أن یقول المصلی فی افتتاح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بشرائط خاصّة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وخالف الحنفیة،فقالوا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تکبیرة الإحرام لایشترط أن تکون بهذا اللفظ،قالوا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لایشترط افتتاح الصلاة بلفظة الله أکبر،إنّما الافتتاح بهذا اللفظ واجب،لا یترتّب علی ترکه بطلان الصلاة فی ذاتها،بل یترتّب علیه إثم تارک الواجب،والواجب أقلّ من الفرض،و أنّ تارکه یأثم إثماً لایوجب العذاب بالنار،و إنّما یوجب الحرمان من شفاعة النبی صلی الله علیه و آله یوم القیامة،وکفی بذلک زجراً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لاتبطل الصلاة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الصیغة الّتی تتوقّف علیها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الصیغة الّتی تدلّ علی تعظیم الله</w:t>
      </w:r>
    </w:p>
    <w:p>
      <w:pPr>
        <w:pStyle w:val="BookText"/>
        <w:rPr/>
      </w:pPr>
      <w:r>
        <w:rPr>
          <w:rFonts w:ascii="IRNazanin" w:hAnsi="IRNazanin" w:eastAsia="IRNazanin"/>
          <w:color w:val="111111"/>
          <w:sz w:val="28"/>
          <w:sz w:val="28"/>
          <w:szCs w:val="28"/>
          <w:rtl w:val="true"/>
          <w:lang w:bidi="fa-IR"/>
        </w:rPr>
        <w:t>عزّوجلّ وحده،فکلّ صیغة تدلّ علی ذلک یصحّ افتتاح الصلاة بها،کأن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رحیم أو الله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لاتدلّ إلاّ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 </w:t>
      </w:r>
      <w:r>
        <w:rPr>
          <w:rStyle w:val="FootnoteAnchor"/>
          <w:rtl w:val="true"/>
        </w:rPr>
        <w:footnoteReference w:id="256"/>
      </w:r>
      <w:r>
        <w:rPr>
          <w:rFonts w:ascii="IRNazanin" w:hAnsi="IRNazanin" w:eastAsia="IRNazanin"/>
          <w:color w:val="111111"/>
          <w:sz w:val="28"/>
          <w:sz w:val="28"/>
          <w:szCs w:val="28"/>
          <w:rtl w:val="true"/>
          <w:lang w:bidi="fa-IR"/>
        </w:rPr>
        <w:t>لیس معناه الإتیان بخصوص التکبیر بل معناه عظّم ربّک بکلّ ما یفید تعظیمه وکذلک التکبیر الواردفی الحدیث،تحریمها التکبیر وتحلیلها التسلیم،رواه أبوداود وغیره 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الإتیان بخصوص التکبیر واجب،لأنّ النبی صلی الله علیه و آله واظب علی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رأی الحنفیة،و قد عرفت أنّ الأئمّة الثلاثة اتّفقوا علی أن تکون بلفظ الله أکبر،کما هو الظاهر من هذه الأدلّة و قد أیده النبی صلی الله علیه و آله،بعمله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لاتنعقد إلاّ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عند إمامنا ومالک و الشافعی،وقال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تنعقد بکلّ اسم لله تعالی علی وجه التعظیم،کقوله الله عظیم أو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ذکر الله تعالی علی وجه التعظیم،أشبه قوله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 التکبیر،رواه أبوداود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للمسی فی صلاته إذا قمت إلی الصلاة فکبّر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النبی صلی الله علیه و آله یفتتح الصلاة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أکبر،لم ینقل عنه عدول عن ذلک حتّی فارق الدنیا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قاله أبوحنیفة یخالف دلالة الأخبار،فلایصار إلیه فإطلاق لفظ التکبیر ینصرف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غیرها</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قال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بالفارسیة أو فعلی قول أبی‌حنیفة یصیر شارعاً کیفما کان</w:t>
      </w:r>
      <w:r>
        <w:rPr>
          <w:rFonts w:eastAsia="IRNazanin" w:cs="IRNazanin"/>
          <w:color w:val="111111"/>
          <w:sz w:val="28"/>
          <w:szCs w:val="28"/>
          <w:rtl w:val="true"/>
          <w:lang w:bidi="fa-IR"/>
        </w:rPr>
        <w:t xml:space="preserve">. </w:t>
      </w:r>
      <w:r>
        <w:rPr>
          <w:rStyle w:val="FootnoteAnchor"/>
          <w:rtl w:val="true"/>
        </w:rPr>
        <w:footnoteReference w:id="259"/>
      </w:r>
      <w:bookmarkStart w:id="475" w:name="pg5240_59196"/>
    </w:p>
    <w:p>
      <w:pPr>
        <w:pStyle w:val="Heading4"/>
        <w:numPr>
          <w:ilvl w:val="3"/>
          <w:numId w:val="1"/>
        </w:numPr>
        <w:rPr/>
      </w:pPr>
      <w:bookmarkStart w:id="476" w:name="__RefHeading___Toc362680_581953129"/>
      <w:bookmarkStart w:id="477" w:name="_Toc194"/>
      <w:bookmarkEnd w:id="475"/>
      <w:bookmarkEnd w:id="476"/>
      <w:r>
        <w:rPr>
          <w:rtl w:val="true"/>
        </w:rPr>
        <w:t>المذهب الجعفری</w:t>
      </w:r>
      <w:bookmarkEnd w:id="477"/>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الإحرام أوّل الأجزاء الواجبة للصلاة،وصورتها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تغییر ولا تبدیل ولا یجزی مرادفها ولا ترجمتها بالعجمیة أو غیرها</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صورة التکبیر هی الله أکبر عند علمائنا؛لأنّه المتعارف من التکبیر،والمعهود من صاحب الشرع وأتباعه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المرسل</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کان رسول الله صلی الله علیه و آله إذا دخل فی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 أکبر،فیجب التأسی به هنا؛لقوله صلی الله علیه و آله</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لاأقلّ من أن یکون ذلک کلّه سبباً للشکّ فی الامتثال بغیر هذه الصورة</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وها هو الأوفق بالقواعد و الأحوط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الإجماع؛وأصالة الاحتیاط،لو شکّ فی جواز تبدیل إحدی الکلمتین بمرادفها من اللغة العربیة أو غیرها،بناءً علی المشهور من أنّ المرجع فی الدوران بین التعیین و التخییر هو الاحتیاط</w:t>
      </w:r>
      <w:r>
        <w:rPr>
          <w:rFonts w:eastAsia="IRNazanin" w:cs="IRNazanin"/>
          <w:color w:val="111111"/>
          <w:sz w:val="28"/>
          <w:szCs w:val="28"/>
          <w:rtl w:val="true"/>
          <w:lang w:bidi="fa-IR"/>
        </w:rPr>
        <w:t xml:space="preserve">. </w:t>
      </w:r>
      <w:r>
        <w:rPr>
          <w:rStyle w:val="FootnoteAnchor"/>
          <w:rtl w:val="true"/>
        </w:rPr>
        <w:footnoteReference w:id="264"/>
      </w:r>
    </w:p>
    <w:p>
      <w:pPr>
        <w:pStyle w:val="Heading3"/>
        <w:numPr>
          <w:ilvl w:val="2"/>
          <w:numId w:val="1"/>
        </w:numPr>
        <w:rPr/>
      </w:pPr>
      <w:bookmarkStart w:id="478" w:name="__RefHeading___Toc362682_581953129"/>
      <w:bookmarkStart w:id="479" w:name="_Toc195"/>
      <w:bookmarkEnd w:id="478"/>
      <w:r>
        <w:rPr>
          <w:rtl w:val="true"/>
        </w:rPr>
        <w:t>القرائة</w:t>
      </w:r>
      <w:bookmarkEnd w:id="479"/>
    </w:p>
    <w:p>
      <w:pPr>
        <w:pStyle w:val="Heading4"/>
        <w:numPr>
          <w:ilvl w:val="3"/>
          <w:numId w:val="1"/>
        </w:numPr>
        <w:rPr/>
      </w:pPr>
      <w:bookmarkStart w:id="480" w:name="__RefHeading___Toc362684_581953129"/>
      <w:bookmarkStart w:id="481" w:name="_Toc196"/>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اختلفت الآراءبالنسبة إلی خصائص القرائة فی الصلاة 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482" w:name="__RefHeading___Toc362686_581953129"/>
      <w:bookmarkStart w:id="483" w:name="_Toc197"/>
      <w:bookmarkEnd w:id="482"/>
      <w:r>
        <w:rPr>
          <w:rtl w:val="true"/>
        </w:rPr>
        <w:t>المذاهب الاربعة</w:t>
      </w:r>
      <w:bookmarkEnd w:id="48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ثلاثة من الأئمّة،علی أنّ قرائة الفاتحة فی جمیع رکعات الصلاة فرض،بحیث لو ترکها المصلی عامداً فی رکعة من الرکعات بطلت الصلاة،لا فرق</w:t>
      </w:r>
    </w:p>
    <w:p>
      <w:pPr>
        <w:pStyle w:val="BookText"/>
        <w:rPr/>
      </w:pPr>
      <w:r>
        <w:rPr>
          <w:rFonts w:ascii="IRNazanin" w:hAnsi="IRNazanin" w:eastAsia="IRNazanin"/>
          <w:color w:val="111111"/>
          <w:sz w:val="28"/>
          <w:sz w:val="28"/>
          <w:szCs w:val="28"/>
          <w:rtl w:val="true"/>
          <w:lang w:bidi="fa-IR"/>
        </w:rPr>
        <w:t>فی ذلک بین أن تکون الصلاة مفروضة أو غیر مفروضة؛أمّا دلیل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روی فی الصحیحین،من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لمن لم یقرأ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 الحنفیة فی ذلک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قرائة الفاتحة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الرکعتین الأولیین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فرضاً،و إنّما هی سنّة مؤکّدة بحیث لو ترکها عمداً فإنّ صلاته لاتبطل،قالوا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مطلق القرائة لاقرائة الفاتحة بخصوصها؛لقوله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 </w:t>
      </w:r>
      <w:r>
        <w:rPr>
          <w:rStyle w:val="FootnoteAnchor"/>
          <w:rtl w:val="true"/>
        </w:rPr>
        <w:footnoteReference w:id="265"/>
      </w:r>
      <w:r>
        <w:rPr>
          <w:rFonts w:ascii="IRNazanin" w:hAnsi="IRNazanin" w:eastAsia="IRNazanin"/>
          <w:color w:val="111111"/>
          <w:sz w:val="28"/>
          <w:sz w:val="28"/>
          <w:szCs w:val="28"/>
          <w:rtl w:val="true"/>
          <w:lang w:bidi="fa-IR"/>
        </w:rPr>
        <w:t>فإنّ المراد القرائة فی الصلاة،لأنّها هی المکلّف بها،ولما روی فی الصحیحین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إلی الصلاة،فأسبغ الوضوء،ثمّ استقبل القبلة ثمّ اقرأ ما تیسّر من القرآن،ولقوله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إلاّ بقرائة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باقی رکعات الفرض فإنّ قرائة الفاتحة فیه سنّة و أمّا النفل فإنّ قرائة الفاتحة واجبة فی جمیع رکعاته</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وقال الحنفی فی مصدر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ثالثة المغرب و الأخیرتین من الظهر و العصر و العشاء،فإن شاء المصلی قرأ،و إن شاء سبّح و إن شاء سکت، </w:t>
      </w:r>
      <w:r>
        <w:rPr>
          <w:rStyle w:val="FootnoteAnchor"/>
          <w:rtl w:val="true"/>
        </w:rPr>
        <w:footnoteReference w:id="267"/>
      </w:r>
      <w:r>
        <w:rPr>
          <w:rFonts w:ascii="IRNazanin" w:hAnsi="IRNazanin" w:eastAsia="IRNazanin"/>
          <w:color w:val="111111"/>
          <w:sz w:val="28"/>
          <w:sz w:val="28"/>
          <w:szCs w:val="28"/>
          <w:rtl w:val="true"/>
          <w:lang w:bidi="fa-IR"/>
        </w:rPr>
        <w:t>وقال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قرائة الفاتحة،سورة فی ابتدائها بسم الله الرحمن الرحیم،وقال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نعلم بین أهل العلم خلافاً فی أنّه یسنّ قرائة سورة مع الفاتحة فی الرکعتین الأولیین من‌کلّ صلاة؛والأصل فی هذا فعل النبی صلی الله علیه و آله و </w:t>
      </w:r>
      <w:r>
        <w:rPr>
          <w:rStyle w:val="FootnoteAnchor"/>
          <w:rtl w:val="true"/>
        </w:rPr>
        <w:footnoteReference w:id="268"/>
      </w:r>
      <w:r>
        <w:rPr>
          <w:rFonts w:ascii="IRNazanin" w:hAnsi="IRNazanin" w:eastAsia="IRNazanin"/>
          <w:color w:val="111111"/>
          <w:sz w:val="28"/>
          <w:sz w:val="28"/>
          <w:szCs w:val="28"/>
          <w:rtl w:val="true"/>
          <w:lang w:bidi="fa-IR"/>
        </w:rPr>
        <w:t>کان الحکم ممّا اتّفق علیه ثلاثة من أئمّة المذاهب الأربعة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الحنفی فقد مرّ بنا أنّ قرائة شیء من القرآن یکفی 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دلیل علی قرائة‌الفاتحة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فضلاًعن قرائة سورة بعد الفاتحة قال</w:t>
      </w:r>
      <w:bookmarkStart w:id="484" w:name="pg5240_59198"/>
    </w:p>
    <w:p>
      <w:pPr>
        <w:pStyle w:val="BookText"/>
        <w:rPr/>
      </w:pPr>
      <w:bookmarkEnd w:id="484"/>
      <w:r>
        <w:rPr>
          <w:rFonts w:ascii="IRNazanin" w:hAnsi="IRNazanin" w:eastAsia="IRNazanin"/>
          <w:color w:val="111111"/>
          <w:sz w:val="28"/>
          <w:sz w:val="28"/>
          <w:szCs w:val="28"/>
          <w:rtl w:val="true"/>
          <w:lang w:bidi="fa-IR"/>
        </w:rPr>
        <w:t>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القرائة المفروضة بثلاث آیات قصار أو آیة طویلة تعدلها،و هذا هو الأحوط</w:t>
      </w:r>
      <w:r>
        <w:rPr>
          <w:rFonts w:eastAsia="IRNazanin" w:cs="IRNazanin"/>
          <w:color w:val="111111"/>
          <w:sz w:val="28"/>
          <w:szCs w:val="28"/>
          <w:rtl w:val="true"/>
          <w:lang w:bidi="fa-IR"/>
        </w:rPr>
        <w:t xml:space="preserve">. </w:t>
      </w:r>
      <w:r>
        <w:rPr>
          <w:rStyle w:val="FootnoteAnchor"/>
          <w:rtl w:val="true"/>
        </w:rPr>
        <w:footnoteReference w:id="269"/>
      </w:r>
    </w:p>
    <w:p>
      <w:pPr>
        <w:pStyle w:val="Heading3"/>
        <w:numPr>
          <w:ilvl w:val="2"/>
          <w:numId w:val="1"/>
        </w:numPr>
        <w:rPr/>
      </w:pPr>
      <w:bookmarkStart w:id="485" w:name="__RefHeading___Toc362688_581953129"/>
      <w:bookmarkStart w:id="486" w:name="_Toc198"/>
      <w:bookmarkEnd w:id="485"/>
      <w:r>
        <w:rPr>
          <w:rtl w:val="true"/>
        </w:rPr>
        <w:t>جواز القراءت بغیر العربیة</w:t>
      </w:r>
      <w:bookmarkEnd w:id="486"/>
    </w:p>
    <w:p>
      <w:pPr>
        <w:pStyle w:val="Heading4"/>
        <w:numPr>
          <w:ilvl w:val="3"/>
          <w:numId w:val="1"/>
        </w:numPr>
        <w:rPr/>
      </w:pPr>
      <w:bookmarkStart w:id="487" w:name="__RefHeading___Toc362690_581953129"/>
      <w:bookmarkStart w:id="488" w:name="_Toc199"/>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قال أبوبکر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کما یثبت بالقرائة العربیة،یثبت بالقرائة الفارسیة،عند أبی‌حنیفة،سواء کان یحسن العربیة أم لم یحسن</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وقال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القرائة بغیر العربیة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یجوز لو لم یحسن العربیة،واحتجّ بقوله تعالی وَ أُوحِیَ إِلَیَّ هذَا الْقُرْآنُ لِأُنْذِرَکُمْ بِهِ وَ مَنْ بَلَغَ ولا ینذر کل قوم إلاّ بلسانهم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المذهب الجعفری</w:t>
      </w:r>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صلاة الصبح و الرکعتین الأولیین من سائر الفرائض قرائة سورة الحمد وسورة کاملة غیرها بعدها،أمّا فی الرکعة الثالثة من المغرب و الأخیرتین من الظهرین و العشاء یتخیر بین قرائة الحمد و التسبیحات الأربعة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الله،والحمدُلله ولا إله إلاّ الله و الله أکبر</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قرائة الفاتحة واجبة إجماعاً واستفادة الوجوب من النصوص المتفرّقة فی أبواب القرائة قطعیة،کصحیح محمّدبن مسلم عن الإمام‌الباقر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الّذی لایقرأ بفاتحة الکتاب فی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لاصلاة له إلاّ أن یقرأ بها فی جهر أو إخفات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الحکم یمنع من التوقّف فیه و أمّا</w:t>
      </w:r>
    </w:p>
    <w:p>
      <w:pPr>
        <w:pStyle w:val="BookText"/>
        <w:rPr/>
      </w:pPr>
      <w:r>
        <w:rPr>
          <w:rFonts w:ascii="IRNazanin" w:hAnsi="IRNazanin" w:eastAsia="IRNazanin"/>
          <w:color w:val="111111"/>
          <w:sz w:val="28"/>
          <w:sz w:val="28"/>
          <w:szCs w:val="28"/>
          <w:rtl w:val="true"/>
          <w:lang w:bidi="fa-IR"/>
        </w:rPr>
        <w:t>الدلیل علی وجوب قرائة السورة بعد الفاتحة فهو أیضاً إجماعی،واستدلّ له بجملة من النصوص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منصور 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تقرأ فی المکتوبة بأقلّ من سورة‌ولا بأکثر </w:t>
      </w:r>
      <w:r>
        <w:rPr>
          <w:rStyle w:val="FootnoteAnchor"/>
          <w:rtl w:val="true"/>
        </w:rPr>
        <w:footnoteReference w:id="274"/>
      </w:r>
      <w:r>
        <w:rPr>
          <w:rFonts w:ascii="IRNazanin" w:hAnsi="IRNazanin" w:eastAsia="IRNazanin"/>
          <w:color w:val="111111"/>
          <w:sz w:val="28"/>
          <w:sz w:val="28"/>
          <w:szCs w:val="28"/>
          <w:rtl w:val="true"/>
          <w:lang w:bidi="fa-IR"/>
        </w:rPr>
        <w:t>و الاحتیاط طریق النجاة</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قرائة السورة بعد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المتعارف المعهود من صلاتهم علیهم السلام الّتی أمرنا بالتأسّی بها؛کما دلّت علیه جملة من النصوص </w:t>
      </w:r>
      <w:r>
        <w:rPr>
          <w:rStyle w:val="FootnoteAnchor"/>
          <w:rtl w:val="true"/>
        </w:rPr>
        <w:footnoteReference w:id="276"/>
      </w:r>
      <w:r>
        <w:rPr>
          <w:rFonts w:ascii="IRNazanin" w:hAnsi="IRNazanin" w:eastAsia="IRNazanin"/>
          <w:color w:val="111111"/>
          <w:sz w:val="28"/>
          <w:sz w:val="28"/>
          <w:szCs w:val="28"/>
          <w:rtl w:val="true"/>
          <w:lang w:bidi="fa-IR"/>
        </w:rPr>
        <w:t>المتضمّنة لفعل أمیرالمؤمنین علیه السلام وفعل الإمام الرضا علیه السلام وغیرهما،بل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تواتر النقل </w:t>
      </w:r>
      <w:r>
        <w:rPr>
          <w:rStyle w:val="FootnoteAnchor"/>
          <w:rtl w:val="true"/>
        </w:rPr>
        <w:footnoteReference w:id="277"/>
      </w:r>
      <w:r>
        <w:rPr>
          <w:rFonts w:ascii="IRNazanin" w:hAnsi="IRNazanin" w:eastAsia="IRNazanin"/>
          <w:color w:val="111111"/>
          <w:sz w:val="28"/>
          <w:sz w:val="28"/>
          <w:szCs w:val="28"/>
          <w:rtl w:val="true"/>
          <w:lang w:bidi="fa-IR"/>
        </w:rPr>
        <w:t xml:space="preserve">عن النبی صلی الله علیه و آله،أنّه صلّی بالسورة بعد الحمد وداوم علیها و هو بنفسه مشعر بالوجوب،فضلاً عن قوله صلی الله علیه و آله </w:t>
      </w:r>
      <w:r>
        <w:rPr>
          <w:rStyle w:val="FootnoteAnchor"/>
          <w:rtl w:val="true"/>
        </w:rPr>
        <w:footnoteReference w:id="278"/>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أمّا الدلیل علی التخییر بین القرائة و التسبیح فی الرکعات الأخیرة فهو أیضاً،النصوص الواردة فی الباب مضافاً إلی تسالم الأصحاب علیه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الوظیفة هناک التخییر بلا خلاف ویشهد له جملة من النصوص منها موثّقة علی‌بن حنظلة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الرکعتین الأخیرتین ما أصنع فیهما؟فقال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فاقرأ فاتحة الکتاب و إن شئت فاذکر الله فهو سواء</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ونحوه غیره</w:t>
      </w:r>
      <w:r>
        <w:rPr>
          <w:rFonts w:eastAsia="IRNazanin" w:cs="IRNazanin"/>
          <w:color w:val="111111"/>
          <w:sz w:val="28"/>
          <w:szCs w:val="28"/>
          <w:rtl w:val="true"/>
          <w:lang w:bidi="fa-IR"/>
        </w:rPr>
        <w:t xml:space="preserve">. </w:t>
      </w:r>
      <w:r>
        <w:rPr>
          <w:rStyle w:val="FootnoteAnchor"/>
          <w:rtl w:val="true"/>
        </w:rPr>
        <w:footnoteReference w:id="281"/>
      </w:r>
      <w:bookmarkStart w:id="489" w:name="pg5240_59200"/>
    </w:p>
    <w:p>
      <w:pPr>
        <w:pStyle w:val="Heading4"/>
        <w:numPr>
          <w:ilvl w:val="3"/>
          <w:numId w:val="1"/>
        </w:numPr>
        <w:rPr/>
      </w:pPr>
      <w:bookmarkStart w:id="490" w:name="__RefHeading___Toc362692_581953129"/>
      <w:bookmarkStart w:id="491" w:name="_Toc200"/>
      <w:bookmarkEnd w:id="489"/>
      <w:bookmarkEnd w:id="490"/>
      <w:r>
        <w:rPr>
          <w:rtl w:val="true"/>
        </w:rPr>
        <w:t>منشأ الاختلاف</w:t>
      </w:r>
      <w:bookmarkEnd w:id="491"/>
    </w:p>
    <w:p>
      <w:pPr>
        <w:pStyle w:val="BookText"/>
        <w:rPr/>
      </w:pPr>
      <w:r>
        <w:rPr>
          <w:rFonts w:ascii="IRNazanin" w:hAnsi="IRNazanin" w:eastAsia="IRNazanin"/>
          <w:color w:val="111111"/>
          <w:sz w:val="28"/>
          <w:sz w:val="28"/>
          <w:szCs w:val="28"/>
          <w:rtl w:val="true"/>
          <w:lang w:bidi="fa-IR"/>
        </w:rPr>
        <w:t>تبین لنا أنّ الاختلاف فی تکبیرة الإحرام وفی قرائة الفاتحة وقرائة سورة بعدها،ناشئ عن الاختلاف فی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الجدیر بالذکر أنّ ذلک الاختلاف کان بین المذهب الحنفی و المذاهب الأخری،فإنّ تفرد الحنفی تجاه المسائل المذکورة أوجب الخلاف هناک وإلاّ لم یکن فی تلک المسائل اختلاف بین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الاختلاف بالنسبة‌إلی القرائة فی الرکعات الأخیرة فهو أیضاً ناشئ من الاختلاف فی الاجتهاد إلاّ أنّه یسیر جداً وأمره سهل</w:t>
      </w:r>
      <w:r>
        <w:rPr>
          <w:rFonts w:eastAsia="IRNazanin" w:cs="IRNazanin"/>
          <w:color w:val="111111"/>
          <w:sz w:val="28"/>
          <w:szCs w:val="28"/>
          <w:rtl w:val="true"/>
          <w:lang w:bidi="fa-IR"/>
        </w:rPr>
        <w:t>.</w:t>
      </w:r>
    </w:p>
    <w:p>
      <w:pPr>
        <w:pStyle w:val="Heading3"/>
        <w:numPr>
          <w:ilvl w:val="2"/>
          <w:numId w:val="1"/>
        </w:numPr>
        <w:rPr/>
      </w:pPr>
      <w:bookmarkStart w:id="492" w:name="__RefHeading___Toc362694_581953129"/>
      <w:bookmarkStart w:id="493" w:name="_Toc201"/>
      <w:bookmarkEnd w:id="492"/>
      <w:r>
        <w:rPr>
          <w:rtl w:val="true"/>
        </w:rPr>
        <w:t>الجهر و الإخفات</w:t>
      </w:r>
      <w:bookmarkEnd w:id="493"/>
    </w:p>
    <w:p>
      <w:pPr>
        <w:pStyle w:val="Heading4"/>
        <w:numPr>
          <w:ilvl w:val="3"/>
          <w:numId w:val="1"/>
        </w:numPr>
        <w:rPr/>
      </w:pPr>
      <w:bookmarkStart w:id="494" w:name="__RefHeading___Toc362696_581953129"/>
      <w:bookmarkStart w:id="495" w:name="_Toc202"/>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اختلفت الآراء فی الجهر و الإسرار،وجوباً واستحباباً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496" w:name="__RefHeading___Toc362698_581953129"/>
      <w:bookmarkStart w:id="497" w:name="_Toc203"/>
      <w:bookmarkEnd w:id="496"/>
      <w:r>
        <w:rPr>
          <w:rtl w:val="true"/>
        </w:rPr>
        <w:t>المذاهب الاربعة</w:t>
      </w:r>
      <w:bookmarkEnd w:id="497"/>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فی مواضع الجهر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الأولیین من العشائین و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والإسرار فی مواضع الإسرار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فی استحبابه و الأصل فیه فعل النبی صلی الله علیه و آله و قد ثبت ذلک بنقل الخلف عن السلف،فإن جهر فی موضع الإسرار أو أسرّ فی موضع الجهر ترک السنّة وصحّت صلاته</w:t>
      </w:r>
      <w:r>
        <w:rPr>
          <w:rFonts w:eastAsia="IRNazanin" w:cs="IRNazanin"/>
          <w:color w:val="111111"/>
          <w:sz w:val="28"/>
          <w:szCs w:val="28"/>
          <w:rtl w:val="true"/>
          <w:lang w:bidi="fa-IR"/>
        </w:rPr>
        <w:t xml:space="preserve">. </w:t>
      </w:r>
      <w:r>
        <w:rPr>
          <w:rStyle w:val="FootnoteAnchor"/>
          <w:rtl w:val="true"/>
        </w:rPr>
        <w:footnoteReference w:id="282"/>
      </w:r>
    </w:p>
    <w:p>
      <w:pPr>
        <w:pStyle w:val="Heading4"/>
        <w:numPr>
          <w:ilvl w:val="3"/>
          <w:numId w:val="1"/>
        </w:numPr>
        <w:rPr/>
      </w:pPr>
      <w:bookmarkStart w:id="498" w:name="__RefHeading___Toc362700_581953129"/>
      <w:bookmarkStart w:id="499" w:name="_Toc204"/>
      <w:bookmarkEnd w:id="498"/>
      <w:r>
        <w:rPr>
          <w:rtl w:val="true"/>
        </w:rPr>
        <w:t>المذهب الجعفری</w:t>
      </w:r>
      <w:bookmarkEnd w:id="49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الرجال الجهر بالقرائة فی الصبح،والرکعتین الأولیین من المغرب و العشاء ویجب الإخفات،فی الظهر و العصر فی غیر یوم الجمعة،و أمّا فیه فیستحب الجهر فی صلاة الجمعة و إذا جهر فی موضع الإخفات وأخفت فی</w:t>
      </w:r>
      <w:bookmarkStart w:id="500" w:name="pg5240_59201"/>
    </w:p>
    <w:p>
      <w:pPr>
        <w:pStyle w:val="BookText"/>
        <w:rPr/>
      </w:pPr>
      <w:bookmarkEnd w:id="500"/>
      <w:r>
        <w:rPr>
          <w:rFonts w:ascii="IRNazanin" w:hAnsi="IRNazanin" w:eastAsia="IRNazanin"/>
          <w:color w:val="111111"/>
          <w:sz w:val="28"/>
          <w:sz w:val="28"/>
          <w:szCs w:val="28"/>
          <w:rtl w:val="true"/>
          <w:lang w:bidi="fa-IR"/>
        </w:rPr>
        <w:t>موضع الجهر عمداً بطلت الصلاة،و إن کان ناسیاً أو جاهلاً صحّت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المشهور،بل عن الخلاف الإجماع علیه؛ویشهد له صحیح زرارة عن الإمام الباقر علیه السلام فی رجل جهر فیما لاینبغی الإجهار فیه وأخفی فیما لاینبغی الإخفاء فیه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فعل متعمداً فقد نقض صلاته وعلیه الإعادة،فإن فعل ذلک ناسیاً أوساهیاً أو لایدری،فلا شیء علیه،و قد تمّت صلاته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ومفهوم صحیحة الأخری عن الإمام الباقر علیه السلام،و هذان الصحیحان هما العمدة فی إثبات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مداومة النبی صلی الله علیه و آله علی‌الجهر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الجهر فی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ویقتضیه صحیح زرارة عن الإمام الباقر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والقرائة فیها الجهر</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وقریب منها غیرها المحمولة علی الاستحباب</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ولا خلاف هناک من ناحیة عملیة</w:t>
      </w:r>
      <w:r>
        <w:rPr>
          <w:rFonts w:eastAsia="IRNazanin" w:cs="IRNazanin"/>
          <w:color w:val="111111"/>
          <w:sz w:val="28"/>
          <w:szCs w:val="28"/>
          <w:rtl w:val="true"/>
          <w:lang w:bidi="fa-IR"/>
        </w:rPr>
        <w:t>.</w:t>
      </w:r>
    </w:p>
    <w:p>
      <w:pPr>
        <w:pStyle w:val="Heading3"/>
        <w:numPr>
          <w:ilvl w:val="2"/>
          <w:numId w:val="1"/>
        </w:numPr>
        <w:rPr/>
      </w:pPr>
      <w:bookmarkStart w:id="501" w:name="__RefHeading___Toc362702_581953129"/>
      <w:bookmarkStart w:id="502" w:name="_Toc205"/>
      <w:bookmarkEnd w:id="501"/>
      <w:r>
        <w:rPr>
          <w:rtl w:val="true"/>
        </w:rPr>
        <w:t>حکم البسملة فی القرائة</w:t>
      </w:r>
      <w:bookmarkEnd w:id="502"/>
    </w:p>
    <w:p>
      <w:pPr>
        <w:pStyle w:val="Heading4"/>
        <w:numPr>
          <w:ilvl w:val="3"/>
          <w:numId w:val="1"/>
        </w:numPr>
        <w:rPr/>
      </w:pPr>
      <w:bookmarkStart w:id="503" w:name="__RefHeading___Toc362704_581953129"/>
      <w:bookmarkStart w:id="504" w:name="_Toc206"/>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اختلفت الآراء بالنسبة إلی وجوب قرائة البسملة فی أوّل السورة وعدم وجوبه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505" w:name="__RefHeading___Toc362706_581953129"/>
      <w:bookmarkStart w:id="506" w:name="_Toc207"/>
      <w:bookmarkEnd w:id="505"/>
      <w:r>
        <w:rPr>
          <w:rtl w:val="true"/>
        </w:rPr>
        <w:t>المذهب الجعفری</w:t>
      </w:r>
      <w:bookmarkEnd w:id="50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 جزء من کلّ سورة فیجب قراءتها عدا سورة برائة</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والجهر بها واجب فی الجهریة ویستحبّ فی الاخفاتیة</w:t>
      </w:r>
      <w:r>
        <w:rPr>
          <w:rFonts w:eastAsia="IRNazanin" w:cs="IRNazanin"/>
          <w:color w:val="111111"/>
          <w:sz w:val="28"/>
          <w:szCs w:val="28"/>
          <w:rtl w:val="true"/>
          <w:lang w:bidi="fa-IR"/>
        </w:rPr>
        <w:t>.</w:t>
      </w:r>
      <w:bookmarkStart w:id="507" w:name="pg5240_59202"/>
    </w:p>
    <w:p>
      <w:pPr>
        <w:pStyle w:val="BookText"/>
        <w:rPr/>
      </w:pPr>
      <w:bookmarkEnd w:id="507"/>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کان کذلک اجماعاً؛ویشهد له جملة من النصوص کصحیح محمّدبن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الإمام الصادق علیه السلام عن السبع المثانی و القرآن العظیم أهی الفاتحة؟قال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السبع؟قال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أفضلهن</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ولا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حکایة الإجماعات القطعیة</w:t>
      </w:r>
      <w:r>
        <w:rPr>
          <w:rFonts w:eastAsia="IRNazanin" w:cs="IRNazanin"/>
          <w:color w:val="111111"/>
          <w:sz w:val="28"/>
          <w:szCs w:val="28"/>
          <w:rtl w:val="true"/>
          <w:lang w:bidi="fa-IR"/>
        </w:rPr>
        <w:t xml:space="preserve">. </w:t>
      </w:r>
      <w:r>
        <w:rPr>
          <w:rStyle w:val="FootnoteAnchor"/>
          <w:rtl w:val="true"/>
        </w:rPr>
        <w:footnoteReference w:id="289"/>
      </w:r>
    </w:p>
    <w:p>
      <w:pPr>
        <w:pStyle w:val="Heading4"/>
        <w:numPr>
          <w:ilvl w:val="3"/>
          <w:numId w:val="1"/>
        </w:numPr>
        <w:rPr/>
      </w:pPr>
      <w:bookmarkStart w:id="508" w:name="__RefHeading___Toc362708_581953129"/>
      <w:bookmarkStart w:id="509" w:name="_Toc208"/>
      <w:bookmarkEnd w:id="508"/>
      <w:r>
        <w:rPr>
          <w:rtl w:val="true"/>
        </w:rPr>
        <w:t>المذهب الشافعی</w:t>
      </w:r>
      <w:bookmarkEnd w:id="509"/>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 الآیة السابعة فإن ترکها أو بعضها لم تجزه الرکعة الّتی ترکهافیها</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وقال ابن الشربینی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 آیة،لما روی أنّه صلی الله علیه و آله عدّ الفاتحة سبع آیات وعدّ البسلمة آیة منها کما قال الدار قطنی أنّه صلی الله علیه و آله کان یجهر بالبسملة</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أبی‌هریرة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فعلّمنی الصلاة فقام النبی صلی الله علیه و آله فکبّر بنا فقرأ بنا بسملة فجهر بها فی کل رکعة</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قرأ فی الصلاة بسم الله الرحمن الرحیم وعدّها آیة و الحمدلله ربّ العالمین اثنین،و هو مذهب الشافعی؛لحدیث أبی‌هریرة أنّه قرأها فی الصلاة،و قد صحّ أنّه قال ما أسمعنا رسول الله صلی الله علیه و آله أسمعناکم وما أخفی علینا أخفینا علیکم،متّفق علیه</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والحکم علی القاعدة</w:t>
      </w:r>
      <w:r>
        <w:rPr>
          <w:rFonts w:eastAsia="IRNazanin" w:cs="IRNazanin"/>
          <w:color w:val="111111"/>
          <w:sz w:val="28"/>
          <w:szCs w:val="28"/>
          <w:rtl w:val="true"/>
          <w:lang w:bidi="fa-IR"/>
        </w:rPr>
        <w:t>.</w:t>
      </w:r>
      <w:bookmarkStart w:id="510" w:name="pg5240_59203"/>
    </w:p>
    <w:p>
      <w:pPr>
        <w:pStyle w:val="BookText"/>
        <w:rPr/>
      </w:pPr>
      <w:bookmarkEnd w:id="510"/>
      <w:r>
        <w:rPr>
          <w:rFonts w:ascii="IRNazanin" w:hAnsi="IRNazanin" w:eastAsia="IRNazanin"/>
          <w:color w:val="111111"/>
          <w:sz w:val="28"/>
          <w:sz w:val="28"/>
          <w:szCs w:val="28"/>
          <w:rtl w:val="true"/>
          <w:lang w:bidi="fa-IR"/>
        </w:rPr>
        <w:t>وقال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 آیة من الفاتحة فالإتیان بها فرض لاسنّة،فحکمها حکم الفاتحة فی الصلاة السرّیة أو الجهریة فعلی المصلّی أن یأتی بالتسمیة جهراً فی الصلاة الجهریة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بالفاتحة جهراً و إن لم یأت بها بطلت صلاته</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511" w:name="__RefHeading___Toc362710_581953129"/>
      <w:bookmarkStart w:id="512" w:name="_Toc209"/>
      <w:bookmarkEnd w:id="511"/>
      <w:r>
        <w:rPr>
          <w:rtl w:val="true"/>
        </w:rPr>
        <w:t>المذهب الحنبلی</w:t>
      </w:r>
      <w:bookmarkEnd w:id="512"/>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سنّة،والمصلّی یأتی بها فی کلّ رکعة سرّاً،ولیست آیة من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الحکم علی 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الإمام و المنفرد سرّاً فی أوّل کلّ رکعة سواء کانت الصلاة سرّیة أو جهریة</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والحکم مستند إلی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قرائة،بسم الله الرحمن الرحیم،مشروعة فی الصلاة فی أوّل الفاتحة،وأوّل کلّ سورة فی قول أکثر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خلف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أسمع أحداً یجهر ببسم الله الرحمن الرحیم،وفی لفظ،کلّهم یخفی بسم الله الرحمن الرحیم،وفی لفظ،أنّ رسول الله صلی الله علیه و آله کان یسرّ بسم الله الرحمن الرحیم</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513" w:name="__RefHeading___Toc362712_581953129"/>
      <w:bookmarkStart w:id="514" w:name="_Toc210"/>
      <w:bookmarkEnd w:id="513"/>
      <w:r>
        <w:rPr>
          <w:rtl w:val="true"/>
        </w:rPr>
        <w:t>المذهب المالکی</w:t>
      </w:r>
      <w:bookmarkEnd w:id="51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الإتیان بالتسمیة فی الصلاة المفروضة سواء کانت سرّیة أو جهریة</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والحکم مستفاد من النصوص</w:t>
      </w:r>
      <w:r>
        <w:rPr>
          <w:rFonts w:eastAsia="IRNazanin" w:cs="IRNazanin"/>
          <w:color w:val="111111"/>
          <w:sz w:val="28"/>
          <w:szCs w:val="28"/>
          <w:rtl w:val="true"/>
          <w:lang w:bidi="fa-IR"/>
        </w:rPr>
        <w:t>.</w:t>
      </w:r>
      <w:bookmarkStart w:id="515" w:name="pg5240_59204"/>
    </w:p>
    <w:p>
      <w:pPr>
        <w:pStyle w:val="BookText"/>
        <w:rPr/>
      </w:pPr>
      <w:bookmarkEnd w:id="515"/>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الفاتحة،لحدیث أنس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کان یفتتح الصلاة بالتکبیرة و القرائة بالحمدلله ربِّ العالمین،متّفق علیه</w:t>
      </w:r>
      <w:r>
        <w:rPr>
          <w:rFonts w:eastAsia="IRNazanin" w:cs="IRNazanin"/>
          <w:color w:val="111111"/>
          <w:sz w:val="28"/>
          <w:szCs w:val="28"/>
          <w:rtl w:val="true"/>
          <w:lang w:bidi="fa-IR"/>
        </w:rPr>
        <w:t>.</w:t>
      </w:r>
    </w:p>
    <w:p>
      <w:pPr>
        <w:pStyle w:val="Heading4"/>
        <w:numPr>
          <w:ilvl w:val="3"/>
          <w:numId w:val="1"/>
        </w:numPr>
        <w:rPr/>
      </w:pPr>
      <w:bookmarkStart w:id="516" w:name="__RefHeading___Toc362714_581953129"/>
      <w:bookmarkStart w:id="517" w:name="_Toc211"/>
      <w:bookmarkEnd w:id="516"/>
      <w:r>
        <w:rPr>
          <w:rtl w:val="true"/>
        </w:rPr>
        <w:t>منشأ الاختلاف</w:t>
      </w:r>
      <w:bookmarkEnd w:id="51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أنّ الاختلاف حول البسملة ناشئ عن الاختلاف بین النصوص الواردة عن الطریقین فاختلفت الآراء بین المجتهدین بحسب إجتهادهم فی فهم المقصود من الروایة،المعتمد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الأحوط هو قرائة البسملة تابعة للسورة جهراً وسرّاًً</w:t>
      </w:r>
      <w:r>
        <w:rPr>
          <w:rFonts w:eastAsia="IRNazanin" w:cs="IRNazanin"/>
          <w:color w:val="111111"/>
          <w:sz w:val="28"/>
          <w:szCs w:val="28"/>
          <w:rtl w:val="true"/>
          <w:lang w:bidi="fa-IR"/>
        </w:rPr>
        <w:t>.</w:t>
      </w:r>
      <w:bookmarkStart w:id="518" w:name="pg5240_59205"/>
    </w:p>
    <w:p>
      <w:pPr>
        <w:pStyle w:val="Heading3"/>
        <w:numPr>
          <w:ilvl w:val="2"/>
          <w:numId w:val="1"/>
        </w:numPr>
        <w:rPr/>
      </w:pPr>
      <w:bookmarkStart w:id="519" w:name="__RefHeading___Toc362716_581953129"/>
      <w:bookmarkStart w:id="520" w:name="_Toc212"/>
      <w:bookmarkEnd w:id="518"/>
      <w:bookmarkEnd w:id="519"/>
      <w:r>
        <w:rPr>
          <w:rtl w:val="true"/>
        </w:rPr>
        <w:t>الخلاصة</w:t>
      </w:r>
      <w:bookmarkEnd w:id="520"/>
    </w:p>
    <w:p>
      <w:pPr>
        <w:pStyle w:val="BookText"/>
        <w:rPr/>
      </w:pPr>
      <w:r>
        <w:rPr>
          <w:rFonts w:ascii="IRNazanin" w:hAnsi="IRNazanin" w:eastAsia="IRNazanin"/>
          <w:color w:val="111111"/>
          <w:sz w:val="28"/>
          <w:sz w:val="28"/>
          <w:szCs w:val="28"/>
          <w:rtl w:val="true"/>
          <w:lang w:bidi="fa-IR"/>
        </w:rPr>
        <w:t>لاخلاف فی أکثر فصول الأذان و الإقامة إلاّ فی کمّیتها عدداً وتختلف الآراء فی ثلاثة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بالولایة،فإنّها یستحب علی المذهب الجعفری ولا یستحبّ علی المذاهب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التثویب فإنّه یندب فی أذان الصبح علی المذاهب الأربعة ولیس کذلک علی المذهب الجعفری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حی علی خیر العمل فی الأذان و الإقامة علی المذهب الجعفری ولیس کذلک علی المذاهب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 الإحرام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 الله أکبر علی المذاهب کلّها إلاّ الحنفی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لاینحصر افتتاح الصلاة بلفظة الله أکبر،ویمکن الافتتاح بلفظ الله کریم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قرائة الفاتحة فی جمیع الصلوات علی المذاهب کلّها،إلاّ الحنفی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مطلق القرائة لاقرائة الفاتحة خاصّة وتکفی هناک ثلاث آیات فحسب ویجوز القرائة باللغة الفارسیة ویستحبّ قرائة السورة بعد الفاتحة علی ثلاثة مذاهب وتجب علی 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الرکعتین الأخیرتین فإنّ قرائة الفاتحة فرض علی ثلاثة مذاهب ویتخیر بین قرائة الفاتحة و التسبیح علی المذهب الجعفری وعلی الحنفی للمصلی أن یقرأ أو یسبّح أو یسکت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الجهر و الإخفات فی موضعهما علی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ویجبان علی المذهب الجعفری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السورة ویجب قراءتها و الجهر بها فی الجهریة علی المذهب الجعفری و المذهب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البسلمة لیست آیة من السورة وقراءتها سنّة سرّاً علی المذهب الحنبلی و الحنفی،ویکره قرائة البسملة علی المذهب المالکی</w:t>
      </w:r>
      <w:r>
        <w:rPr>
          <w:rFonts w:eastAsia="IRNazanin" w:cs="IRNazanin"/>
          <w:color w:val="111111"/>
          <w:sz w:val="28"/>
          <w:szCs w:val="28"/>
          <w:rtl w:val="true"/>
          <w:lang w:bidi="fa-IR"/>
        </w:rPr>
        <w:t>.</w:t>
      </w:r>
      <w:bookmarkStart w:id="521" w:name="pg5240_59206"/>
    </w:p>
    <w:p>
      <w:pPr>
        <w:pStyle w:val="Heading3"/>
        <w:numPr>
          <w:ilvl w:val="2"/>
          <w:numId w:val="1"/>
        </w:numPr>
        <w:rPr/>
      </w:pPr>
      <w:bookmarkStart w:id="522" w:name="__RefHeading___Toc362718_581953129"/>
      <w:bookmarkStart w:id="523" w:name="_Toc213"/>
      <w:bookmarkEnd w:id="521"/>
      <w:bookmarkEnd w:id="522"/>
      <w:r>
        <w:rPr>
          <w:rtl w:val="true"/>
        </w:rPr>
        <w:t>الأسئلة</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استحباب الشهادة بالولایة فی الأذان؟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التثویب فی الأذان؟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تفتتح الصلاة بغیر لفظة الله أکبر؟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وجوب قرائة الفاتحة فی الصلاة؟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الإجهار فی الصلوات الجهریة أو یستحب؟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أنّ البسملة جزء من السورة؟</w:t>
      </w:r>
      <w:bookmarkStart w:id="524" w:name="pg5240_59208"/>
    </w:p>
    <w:p>
      <w:pPr>
        <w:pStyle w:val="Heading2"/>
        <w:numPr>
          <w:ilvl w:val="1"/>
          <w:numId w:val="1"/>
        </w:numPr>
        <w:rPr/>
      </w:pPr>
      <w:bookmarkStart w:id="525" w:name="__RefHeading___Toc362720_581953129"/>
      <w:bookmarkStart w:id="526" w:name="_Toc214"/>
      <w:bookmarkEnd w:id="524"/>
      <w:bookmarkEnd w:id="525"/>
      <w:r>
        <w:rPr/>
        <w:t>11</w:t>
      </w:r>
      <w:r>
        <w:rPr>
          <w:rtl w:val="true"/>
        </w:rPr>
        <w:t xml:space="preserve">- </w:t>
      </w:r>
      <w:r>
        <w:rPr>
          <w:rtl w:val="true"/>
        </w:rPr>
        <w:t>أفعال الصلاة</w:t>
      </w:r>
      <w:bookmarkEnd w:id="526"/>
    </w:p>
    <w:p>
      <w:pPr>
        <w:pStyle w:val="Heading3"/>
        <w:numPr>
          <w:ilvl w:val="2"/>
          <w:numId w:val="1"/>
        </w:numPr>
        <w:rPr/>
      </w:pPr>
      <w:bookmarkStart w:id="527" w:name="__RefHeading___Toc362722_581953129"/>
      <w:bookmarkStart w:id="528" w:name="_Toc215"/>
      <w:bookmarkEnd w:id="527"/>
      <w:r>
        <w:rPr>
          <w:rtl w:val="true"/>
        </w:rPr>
        <w:t>التکتّف والاسترسال</w:t>
      </w:r>
      <w:bookmarkEnd w:id="528"/>
    </w:p>
    <w:p>
      <w:pPr>
        <w:pStyle w:val="Heading4"/>
        <w:numPr>
          <w:ilvl w:val="3"/>
          <w:numId w:val="1"/>
        </w:numPr>
        <w:rPr/>
      </w:pPr>
      <w:bookmarkStart w:id="529" w:name="__RefHeading___Toc362724_581953129"/>
      <w:bookmarkStart w:id="530" w:name="_Toc216"/>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اختلفت الآراء حول جواز التکتّف حال القیام وعدم جوازه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531" w:name="__RefHeading___Toc362726_581953129"/>
      <w:bookmarkStart w:id="532" w:name="_Toc217"/>
      <w:bookmarkEnd w:id="531"/>
      <w:r>
        <w:rPr>
          <w:rtl w:val="true"/>
        </w:rPr>
        <w:t>المذهب الجعفری</w:t>
      </w:r>
      <w:bookmarkEnd w:id="532"/>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مبطلات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بمعنی وضع إحدی الیدین علی الاُخری</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کان کذلک علی المشهور بل عن غیر واحد دعوی الإجماع علیه؛والعمدة فیه من النصوص صحیح محمّدبن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یضع یده فی الصلاة وحکی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الیمنی علی الیسری،فقال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التکفیر،لاتفعل</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زرارة عن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تکفّر فإنّما یصنع ذلک المجوس</w:t>
      </w:r>
      <w:r>
        <w:rPr>
          <w:rFonts w:eastAsia="IRNazanin" w:cs="IRNazanin"/>
          <w:color w:val="111111"/>
          <w:sz w:val="28"/>
          <w:szCs w:val="28"/>
          <w:rtl w:val="true"/>
          <w:lang w:bidi="fa-IR"/>
        </w:rPr>
        <w:t>».</w:t>
      </w:r>
      <w:bookmarkStart w:id="533" w:name="pg5240_59209"/>
    </w:p>
    <w:p>
      <w:pPr>
        <w:pStyle w:val="BookText"/>
        <w:rPr/>
      </w:pPr>
      <w:bookmarkEnd w:id="533"/>
      <w:r>
        <w:rPr>
          <w:rFonts w:ascii="IRNazanin" w:hAnsi="IRNazanin" w:eastAsia="IRNazanin"/>
          <w:color w:val="111111"/>
          <w:sz w:val="28"/>
          <w:sz w:val="28"/>
          <w:szCs w:val="28"/>
          <w:rtl w:val="true"/>
          <w:lang w:bidi="fa-IR"/>
        </w:rPr>
        <w:t>ولا یبعد البناء علی الکراهة الذاتیة لظاهر تعلیل النهی،بأنّ فیه تشبیهاً بالمجوس</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أضف إلی ذلک أنّ التکتّف خلاف الأصل وخلاف الحالة الطبیعیة،یحتاج إلی الدلیل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وقصد التذلّل منه استحسان بدوی،لایمکن المساعدة علیه وبما أنّ العبادات توقیفیة کان التکتّف علی خلاف الاحتیاط</w:t>
      </w:r>
      <w:r>
        <w:rPr>
          <w:rFonts w:eastAsia="IRNazanin" w:cs="IRNazanin"/>
          <w:color w:val="111111"/>
          <w:sz w:val="28"/>
          <w:szCs w:val="28"/>
          <w:rtl w:val="true"/>
          <w:lang w:bidi="fa-IR"/>
        </w:rPr>
        <w:t>.</w:t>
      </w:r>
    </w:p>
    <w:p>
      <w:pPr>
        <w:pStyle w:val="Heading4"/>
        <w:numPr>
          <w:ilvl w:val="3"/>
          <w:numId w:val="1"/>
        </w:numPr>
        <w:rPr/>
      </w:pPr>
      <w:bookmarkStart w:id="534" w:name="__RefHeading___Toc362728_581953129"/>
      <w:bookmarkStart w:id="535" w:name="_Toc218"/>
      <w:bookmarkEnd w:id="534"/>
      <w:r>
        <w:rPr>
          <w:rtl w:val="true"/>
        </w:rPr>
        <w:t>المذاهب الاربعة</w:t>
      </w:r>
      <w:bookmarkEnd w:id="535"/>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 وضع الید الیمنی علی الیسری و هو سنّة باتّفاق ثلاثة من الأئمّة وقال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 به التسنّن کان مندوباً و أمّا إن قصد الاعتماد فإنّه یکره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وضع الیمنی علی الیسری فی الصلاة فمن 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أکثر أهل العلم،یروی ذلک عن أبی‌هریرة،وظاهر مذهب مالک الّذی علیه أصحابه إرسال الیدین،وروی ذلک عن ابن الزبیر،فنقل النصوص و الأقوال حول موضع وضع الیدین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 مروی و الأمر فی ذلک واسع</w:t>
      </w:r>
      <w:r>
        <w:rPr>
          <w:rFonts w:eastAsia="IRNazanin" w:cs="IRNazanin"/>
          <w:color w:val="111111"/>
          <w:sz w:val="28"/>
          <w:szCs w:val="28"/>
          <w:rtl w:val="true"/>
          <w:lang w:bidi="fa-IR"/>
        </w:rPr>
        <w:t xml:space="preserve">. </w:t>
      </w:r>
      <w:r>
        <w:rPr>
          <w:rStyle w:val="FootnoteAnchor"/>
          <w:rtl w:val="true"/>
        </w:rPr>
        <w:footnoteReference w:id="302"/>
      </w:r>
    </w:p>
    <w:p>
      <w:pPr>
        <w:pStyle w:val="Heading4"/>
        <w:numPr>
          <w:ilvl w:val="3"/>
          <w:numId w:val="1"/>
        </w:numPr>
        <w:rPr/>
      </w:pPr>
      <w:bookmarkStart w:id="536" w:name="__RefHeading___Toc362730_581953129"/>
      <w:bookmarkStart w:id="537" w:name="_Toc219"/>
      <w:bookmarkEnd w:id="536"/>
      <w:r>
        <w:rPr>
          <w:rtl w:val="true"/>
        </w:rPr>
        <w:t>منشأ الاختلاف</w:t>
      </w:r>
      <w:bookmarkEnd w:id="537"/>
    </w:p>
    <w:p>
      <w:pPr>
        <w:pStyle w:val="BookText"/>
        <w:rPr/>
      </w:pPr>
      <w:r>
        <w:rPr>
          <w:rFonts w:ascii="IRNazanin" w:hAnsi="IRNazanin" w:eastAsia="IRNazanin"/>
          <w:color w:val="111111"/>
          <w:sz w:val="28"/>
          <w:sz w:val="28"/>
          <w:szCs w:val="28"/>
          <w:rtl w:val="true"/>
          <w:lang w:bidi="fa-IR"/>
        </w:rPr>
        <w:t>تبین ممّا تقدّم أنّ الاختلاف ناشئ عن الاختلاف فی النصوص والاجتهاد ولکن ممّا یسهّل الخطب أنّ التکتّف علی قول ثلاثة من الأئمّة الأربعة لیس بواجب،وعلیه یمکننا أن نقول أنّه لامضادّة بین الآراء فی التکتّف</w:t>
      </w:r>
      <w:r>
        <w:rPr>
          <w:rFonts w:eastAsia="IRNazanin" w:cs="IRNazanin"/>
          <w:color w:val="111111"/>
          <w:sz w:val="28"/>
          <w:szCs w:val="28"/>
          <w:rtl w:val="true"/>
          <w:lang w:bidi="fa-IR"/>
        </w:rPr>
        <w:t>.</w:t>
      </w:r>
    </w:p>
    <w:p>
      <w:pPr>
        <w:pStyle w:val="Heading3"/>
        <w:numPr>
          <w:ilvl w:val="2"/>
          <w:numId w:val="1"/>
        </w:numPr>
        <w:rPr/>
      </w:pPr>
      <w:bookmarkStart w:id="538" w:name="__RefHeading___Toc362732_581953129"/>
      <w:bookmarkStart w:id="539" w:name="_Toc220"/>
      <w:bookmarkEnd w:id="538"/>
      <w:r>
        <w:rPr>
          <w:rtl w:val="true"/>
        </w:rPr>
        <w:t>حول کلمة آمین فی الصلاة</w:t>
      </w:r>
      <w:bookmarkEnd w:id="539"/>
    </w:p>
    <w:p>
      <w:pPr>
        <w:pStyle w:val="Heading4"/>
        <w:numPr>
          <w:ilvl w:val="3"/>
          <w:numId w:val="1"/>
        </w:numPr>
        <w:rPr/>
      </w:pPr>
      <w:bookmarkStart w:id="540" w:name="__RefHeading___Toc362734_581953129"/>
      <w:bookmarkStart w:id="541" w:name="_Toc221"/>
      <w:bookmarkEnd w:id="540"/>
      <w:r>
        <w:rPr>
          <w:rtl w:val="true"/>
        </w:rPr>
        <w:t>اشارة</w:t>
      </w:r>
      <w:bookmarkEnd w:id="54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فی قول آمین بعد سورة الفاتحة إثباتاًً ونفیاً وتفصیل الاختلاف بما یلی</w:t>
      </w:r>
      <w:r>
        <w:rPr>
          <w:rFonts w:eastAsia="IRNazanin" w:cs="IRNazanin"/>
          <w:color w:val="111111"/>
          <w:sz w:val="28"/>
          <w:szCs w:val="28"/>
          <w:rtl w:val="true"/>
          <w:lang w:bidi="fa-IR"/>
        </w:rPr>
        <w:t>:</w:t>
      </w:r>
      <w:bookmarkStart w:id="542" w:name="pg5240_59210"/>
    </w:p>
    <w:p>
      <w:pPr>
        <w:pStyle w:val="Heading4"/>
        <w:numPr>
          <w:ilvl w:val="3"/>
          <w:numId w:val="1"/>
        </w:numPr>
        <w:rPr/>
      </w:pPr>
      <w:bookmarkStart w:id="543" w:name="__RefHeading___Toc362736_581953129"/>
      <w:bookmarkStart w:id="544" w:name="_Toc222"/>
      <w:bookmarkEnd w:id="542"/>
      <w:bookmarkEnd w:id="543"/>
      <w:r>
        <w:rPr>
          <w:rtl w:val="true"/>
        </w:rPr>
        <w:t>المذاهب الاربعة</w:t>
      </w:r>
      <w:bookmarkEnd w:id="544"/>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سنن الصلاة أن یقول المصلّی عقب الفراغ من قرائة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آمین،و هذا القدر متّفق علیه بین ثلاثة من الأئمّة،وقال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مندوب لاسنّة</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التأمین عند فراغ الفاتحة سنّة للإمام و المأموم وقال أصحاب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لایحسن التأمین للإمام؛لما روی مالک عن أبی‌هریرة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ما روی أبوهریرة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إذا أمّن الإمام فأمّنوا</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دلّت علی المطلوب دلالة تامّة</w:t>
      </w:r>
      <w:r>
        <w:rPr>
          <w:rFonts w:eastAsia="IRNazanin" w:cs="IRNazanin"/>
          <w:color w:val="111111"/>
          <w:sz w:val="28"/>
          <w:szCs w:val="28"/>
          <w:rtl w:val="true"/>
          <w:lang w:bidi="fa-IR"/>
        </w:rPr>
        <w:t>.</w:t>
      </w:r>
    </w:p>
    <w:p>
      <w:pPr>
        <w:pStyle w:val="Heading4"/>
        <w:numPr>
          <w:ilvl w:val="3"/>
          <w:numId w:val="1"/>
        </w:numPr>
        <w:rPr/>
      </w:pPr>
      <w:bookmarkStart w:id="545" w:name="__RefHeading___Toc362738_581953129"/>
      <w:bookmarkStart w:id="546" w:name="_Toc223"/>
      <w:bookmarkEnd w:id="545"/>
      <w:r>
        <w:rPr>
          <w:rtl w:val="true"/>
        </w:rPr>
        <w:t>المذهب الجعفری</w:t>
      </w:r>
      <w:bookmarkEnd w:id="546"/>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مبطلات الصلاة تعمّد قول آمین بعد تمام الفاتحة</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کان ذلک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البطلان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له بجملة من النصوص،کمصحّح جمیل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خلف إمام،فقرأ الحمد،وفرغ من قراءتها،فقل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العالمین،ولا تقل آمین</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إرادة الحرمة خاصّة من النهی هنا،أمکن القول بالبطلان أیضاً من حیث اندارجه بسببها</w:t>
      </w:r>
      <w:bookmarkStart w:id="547" w:name="pg5240_59211"/>
    </w:p>
    <w:p>
      <w:pPr>
        <w:pStyle w:val="BookText"/>
        <w:rPr/>
      </w:pPr>
      <w:bookmarkEnd w:id="547"/>
      <w:r>
        <w:rPr>
          <w:rFonts w:ascii="IRNazanin" w:hAnsi="IRNazanin" w:eastAsia="IRNazanin"/>
          <w:color w:val="111111"/>
          <w:sz w:val="28"/>
          <w:sz w:val="28"/>
          <w:szCs w:val="28"/>
          <w:rtl w:val="true"/>
          <w:lang w:bidi="fa-IR"/>
        </w:rPr>
        <w:t>فی کلام الآدمیین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إنّها من الدعاء؛ضرورة ظهور أدلّة الرخصة المستفادة من الأمر به فی المحلّل منه،مع إمکان إنکار أصل الدعائیة فیها</w:t>
      </w:r>
      <w:r>
        <w:rPr>
          <w:rFonts w:eastAsia="IRNazanin" w:cs="IRNazanin"/>
          <w:color w:val="111111"/>
          <w:sz w:val="28"/>
          <w:szCs w:val="28"/>
          <w:rtl w:val="true"/>
          <w:lang w:bidi="fa-IR"/>
        </w:rPr>
        <w:t xml:space="preserve">. </w:t>
      </w:r>
      <w:r>
        <w:rPr>
          <w:rStyle w:val="FootnoteAnchor"/>
          <w:rtl w:val="true"/>
        </w:rPr>
        <w:footnoteReference w:id="308"/>
      </w:r>
    </w:p>
    <w:p>
      <w:pPr>
        <w:pStyle w:val="Heading4"/>
        <w:numPr>
          <w:ilvl w:val="3"/>
          <w:numId w:val="1"/>
        </w:numPr>
        <w:rPr/>
      </w:pPr>
      <w:bookmarkStart w:id="548" w:name="__RefHeading___Toc362740_581953129"/>
      <w:bookmarkStart w:id="549" w:name="_Toc224"/>
      <w:bookmarkEnd w:id="548"/>
      <w:r>
        <w:rPr>
          <w:rtl w:val="true"/>
        </w:rPr>
        <w:t>منشأ الاختلاف</w:t>
      </w:r>
      <w:bookmarkEnd w:id="549"/>
    </w:p>
    <w:p>
      <w:pPr>
        <w:pStyle w:val="BookText"/>
        <w:rPr/>
      </w:pPr>
      <w:r>
        <w:rPr>
          <w:rFonts w:ascii="IRNazanin" w:hAnsi="IRNazanin" w:eastAsia="IRNazanin"/>
          <w:color w:val="111111"/>
          <w:sz w:val="28"/>
          <w:sz w:val="28"/>
          <w:szCs w:val="28"/>
          <w:rtl w:val="true"/>
          <w:lang w:bidi="fa-IR"/>
        </w:rPr>
        <w:t>تبین لنا أنّ الاختلاف حول کلمة آمین ناشئ عن الاختلاف بین النصوص الواردة من الطریقین فإنّ النصوص متعارضة نفیاً وإثباتاً،والأوفق بالقواعد والاُصول بعد تعارض النصوص وتساقطها،ترک ذلک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إثبات مشروعیته</w:t>
      </w:r>
      <w:r>
        <w:rPr>
          <w:rFonts w:eastAsia="IRNazanin" w:cs="IRNazanin"/>
          <w:color w:val="111111"/>
          <w:sz w:val="28"/>
          <w:szCs w:val="28"/>
          <w:rtl w:val="true"/>
          <w:lang w:bidi="fa-IR"/>
        </w:rPr>
        <w:t>.</w:t>
      </w:r>
    </w:p>
    <w:p>
      <w:pPr>
        <w:pStyle w:val="Heading3"/>
        <w:numPr>
          <w:ilvl w:val="2"/>
          <w:numId w:val="1"/>
        </w:numPr>
        <w:rPr/>
      </w:pPr>
      <w:bookmarkStart w:id="550" w:name="__RefHeading___Toc362742_581953129"/>
      <w:bookmarkStart w:id="551" w:name="_Toc225"/>
      <w:bookmarkEnd w:id="550"/>
      <w:r>
        <w:rPr>
          <w:rtl w:val="true"/>
        </w:rPr>
        <w:t>القنوت</w:t>
      </w:r>
      <w:bookmarkEnd w:id="551"/>
    </w:p>
    <w:p>
      <w:pPr>
        <w:pStyle w:val="Heading4"/>
        <w:numPr>
          <w:ilvl w:val="3"/>
          <w:numId w:val="1"/>
        </w:numPr>
        <w:rPr/>
      </w:pPr>
      <w:bookmarkStart w:id="552" w:name="__RefHeading___Toc362744_581953129"/>
      <w:bookmarkStart w:id="553" w:name="_Toc226"/>
      <w:bookmarkEnd w:id="552"/>
      <w:r>
        <w:rPr>
          <w:rtl w:val="true"/>
        </w:rPr>
        <w:t>اشارة</w:t>
      </w:r>
      <w:bookmarkEnd w:id="553"/>
    </w:p>
    <w:p>
      <w:pPr>
        <w:pStyle w:val="BookText"/>
        <w:rPr/>
      </w:pPr>
      <w:r>
        <w:rPr>
          <w:rFonts w:ascii="IRNazanin" w:hAnsi="IRNazanin" w:eastAsia="IRNazanin"/>
          <w:color w:val="111111"/>
          <w:sz w:val="28"/>
          <w:sz w:val="28"/>
          <w:szCs w:val="28"/>
          <w:rtl w:val="true"/>
          <w:lang w:bidi="fa-IR"/>
        </w:rPr>
        <w:t>اختلفت الآراء حول القنوت کمّاً وکیفاً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554" w:name="__RefHeading___Toc362746_581953129"/>
      <w:bookmarkStart w:id="555" w:name="_Toc227"/>
      <w:bookmarkEnd w:id="554"/>
      <w:r>
        <w:rPr>
          <w:rtl w:val="true"/>
        </w:rPr>
        <w:t>المذهب الجعفری</w:t>
      </w:r>
      <w:bookmarkEnd w:id="555"/>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مستحبّ فی جمیع الفرائض الیومیة ونوافلها بل جمیع النوافل،و هو فی کلّ صلاة مرّة قبل الرکوع من الرکعة الثانیة وقبل الرکوع فی صلاة الوتر</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بین المسلمین فی مشروعیته فی الصلاة وفی صحیحة زرارة عن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کلّ الصلوات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وفی خبر الأعمش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والقنوت فی جمیع الصلوات سنّة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الرکعة الثانیة قبل الرکوع وبعد القرائة</w:t>
      </w:r>
      <w:r>
        <w:rPr>
          <w:rFonts w:eastAsia="IRNazanin" w:cs="IRNazanin"/>
          <w:color w:val="111111"/>
          <w:sz w:val="28"/>
          <w:szCs w:val="28"/>
          <w:rtl w:val="true"/>
          <w:lang w:bidi="fa-IR"/>
        </w:rPr>
        <w:t xml:space="preserve">». </w:t>
      </w:r>
      <w:r>
        <w:rPr>
          <w:rStyle w:val="FootnoteAnchor"/>
          <w:rtl w:val="true"/>
        </w:rPr>
        <w:footnoteReference w:id="311"/>
      </w:r>
      <w:bookmarkStart w:id="556" w:name="pg5240_59212"/>
    </w:p>
    <w:p>
      <w:pPr>
        <w:pStyle w:val="BookText"/>
        <w:rPr/>
      </w:pPr>
      <w:bookmarkEnd w:id="556"/>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کثرة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أخبار الاستحباب کادت تبلغ التواتر وأفتی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فی الجهریة آکد</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ویمکننا أن نستند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مشروعیة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قُومُوا لِلّهِ قانِتِینَ </w:t>
      </w:r>
      <w:r>
        <w:rPr>
          <w:rStyle w:val="FootnoteAnchor"/>
          <w:rtl w:val="true"/>
        </w:rPr>
        <w:footnoteReference w:id="313"/>
      </w:r>
      <w:r>
        <w:rPr>
          <w:rFonts w:ascii="IRNazanin" w:hAnsi="IRNazanin" w:eastAsia="IRNazanin"/>
          <w:color w:val="111111"/>
          <w:sz w:val="28"/>
          <w:sz w:val="28"/>
          <w:szCs w:val="28"/>
          <w:rtl w:val="true"/>
          <w:lang w:bidi="fa-IR"/>
        </w:rPr>
        <w:t>بناءً علی ما فی مجمع البیان عن الإمام الصادق علیه السلام فی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داعین فی الصلاة حال القیام </w:t>
      </w:r>
      <w:r>
        <w:rPr>
          <w:rStyle w:val="FootnoteAnchor"/>
          <w:rtl w:val="true"/>
        </w:rPr>
        <w:footnoteReference w:id="314"/>
      </w:r>
      <w:r>
        <w:rPr>
          <w:rFonts w:ascii="IRNazanin" w:hAnsi="IRNazanin" w:eastAsia="IRNazanin"/>
          <w:color w:val="111111"/>
          <w:sz w:val="28"/>
          <w:sz w:val="28"/>
          <w:szCs w:val="28"/>
          <w:rtl w:val="true"/>
          <w:lang w:bidi="fa-IR"/>
        </w:rPr>
        <w:t>و هو تفسیر یناسب المعنی الشرعی المتعارف عند المتشرّعة</w:t>
      </w:r>
      <w:r>
        <w:rPr>
          <w:rFonts w:eastAsia="IRNazanin" w:cs="IRNazanin"/>
          <w:color w:val="111111"/>
          <w:sz w:val="28"/>
          <w:szCs w:val="28"/>
          <w:rtl w:val="true"/>
          <w:lang w:bidi="fa-IR"/>
        </w:rPr>
        <w:t>.</w:t>
      </w:r>
    </w:p>
    <w:p>
      <w:pPr>
        <w:pStyle w:val="Heading4"/>
        <w:numPr>
          <w:ilvl w:val="3"/>
          <w:numId w:val="1"/>
        </w:numPr>
        <w:rPr/>
      </w:pPr>
      <w:bookmarkStart w:id="557" w:name="__RefHeading___Toc362748_581953129"/>
      <w:bookmarkStart w:id="558" w:name="_Toc228"/>
      <w:bookmarkEnd w:id="557"/>
      <w:r>
        <w:rPr>
          <w:rtl w:val="true"/>
        </w:rPr>
        <w:t>المذهب الحنبلی</w:t>
      </w:r>
      <w:bookmarkEnd w:id="558"/>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القنوت فی غیر الوتر إلاّ إذا نزل بالمسلمین نازلة فیسنّ للسلطان ونائبه أن یقنت فی جمیع الصلوات</w:t>
      </w:r>
      <w:r>
        <w:rPr>
          <w:rFonts w:eastAsia="IRNazanin" w:cs="IRNazanin"/>
          <w:color w:val="111111"/>
          <w:sz w:val="28"/>
          <w:szCs w:val="28"/>
          <w:rtl w:val="true"/>
          <w:lang w:bidi="fa-IR"/>
        </w:rPr>
        <w:t xml:space="preserve">. </w:t>
      </w:r>
      <w:r>
        <w:rPr>
          <w:rStyle w:val="FootnoteAnchor"/>
          <w:rtl w:val="true"/>
        </w:rPr>
        <w:footnoteReference w:id="315"/>
      </w:r>
    </w:p>
    <w:p>
      <w:pPr>
        <w:pStyle w:val="Heading4"/>
        <w:numPr>
          <w:ilvl w:val="3"/>
          <w:numId w:val="1"/>
        </w:numPr>
        <w:rPr/>
      </w:pPr>
      <w:bookmarkStart w:id="559" w:name="__RefHeading___Toc362750_581953129"/>
      <w:bookmarkStart w:id="560" w:name="_Toc229"/>
      <w:bookmarkEnd w:id="559"/>
      <w:r>
        <w:rPr>
          <w:rtl w:val="true"/>
        </w:rPr>
        <w:t>المذهب الحنفی</w:t>
      </w:r>
      <w:bookmarkEnd w:id="560"/>
    </w:p>
    <w:p>
      <w:pPr>
        <w:pStyle w:val="BookText"/>
        <w:rPr/>
      </w:pPr>
      <w:r>
        <w:rPr>
          <w:rFonts w:ascii="IRNazanin" w:hAnsi="IRNazanin" w:eastAsia="IRNazanin"/>
          <w:color w:val="111111"/>
          <w:sz w:val="28"/>
          <w:sz w:val="28"/>
          <w:szCs w:val="28"/>
          <w:rtl w:val="true"/>
          <w:lang w:bidi="fa-IR"/>
        </w:rPr>
        <w:t>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واجب عند أبی‌حنیفة فی الوتر فی جمیع السنة</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یقنت فی غیر الوتر إلاّ فی النوازل،أی شدائد الدهر،فیسنّ له أن یقنت فی الصبح</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561" w:name="__RefHeading___Toc362752_581953129"/>
      <w:bookmarkStart w:id="562" w:name="_Toc230"/>
      <w:bookmarkEnd w:id="561"/>
      <w:r>
        <w:rPr>
          <w:rtl w:val="true"/>
        </w:rPr>
        <w:t>المذهب الشافعی</w:t>
      </w:r>
      <w:bookmarkEnd w:id="56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القنوت مستحبّ بعد الرفع من الرکوع فی الرکعة الثانیة من</w:t>
      </w:r>
      <w:bookmarkStart w:id="563" w:name="pg5240_59213"/>
    </w:p>
    <w:p>
      <w:pPr>
        <w:pStyle w:val="BookText"/>
        <w:rPr/>
      </w:pPr>
      <w:bookmarkEnd w:id="563"/>
      <w:r>
        <w:rPr>
          <w:rFonts w:ascii="IRNazanin" w:hAnsi="IRNazanin" w:eastAsia="IRNazanin"/>
          <w:color w:val="111111"/>
          <w:sz w:val="28"/>
          <w:sz w:val="28"/>
          <w:szCs w:val="28"/>
          <w:rtl w:val="true"/>
          <w:lang w:bidi="fa-IR"/>
        </w:rPr>
        <w:t>الصبح‌وکذلک فی الرکعة الأخیرة من الوتر</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 القنوت فی الرکعة الأخیرة من الوتر،کما یسنّ القنوت بعد الرفع من رکوع الثانیة فی صبح کلّ یوم ویسنّ أن یقنت للشدائد فی جمیع أوقات الصلاة</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564" w:name="__RefHeading___Toc362754_581953129"/>
      <w:bookmarkStart w:id="565" w:name="_Toc231"/>
      <w:bookmarkEnd w:id="564"/>
      <w:r>
        <w:rPr>
          <w:rtl w:val="true"/>
        </w:rPr>
        <w:t>المذهب المالکی</w:t>
      </w:r>
      <w:bookmarkEnd w:id="565"/>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لاقنوت فی الوتر و إنّما هو مندوب فی صلاة الصبح فقط</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وکلّ یستند إلی مستند نشیر إلیه بالنصّ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القنوت مسنون فی الوتر؛ووجهه ما روی أنَّ رسول الله صلی الله علیه و آله کان یوتر فیقنت قبل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یقول فی قنوت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الحسن‌بن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صلی الله علیه و آله کلمات أقولهنّ فی 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فیمن هدیت وعافنی فیمن عافیت وتولّنی فیمن تولّیت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أبوداود و الترمذی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ولا نعرف عن النبی صلی الله علیه و آله فی القنوت شیئاً أحسن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یسنّ القنوت فی الصبح،ولا غیره سوی الوتر،وبه قال أبوحنیفة وروی ذلک عن ابن‌عبّاس وابن‌عمر وابن‌مسعود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نزل بالمسلمین نازلة فللإمام أن یقنت فی صلاة الصبح؛نصّ علیه أحمد قال الأثرم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عبدالله،سئل عن القنوت فی الفجر؟فقال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 بالمسلمین نازلة قنت الإمام وأمّن مَن خلفه</w:t>
      </w:r>
      <w:r>
        <w:rPr>
          <w:rFonts w:eastAsia="IRNazanin" w:cs="IRNazanin"/>
          <w:color w:val="111111"/>
          <w:sz w:val="28"/>
          <w:szCs w:val="28"/>
          <w:rtl w:val="true"/>
          <w:lang w:bidi="fa-IR"/>
        </w:rPr>
        <w:t>».</w:t>
      </w:r>
      <w:bookmarkStart w:id="566" w:name="pg5240_59214"/>
    </w:p>
    <w:p>
      <w:pPr>
        <w:pStyle w:val="BookText"/>
        <w:rPr/>
      </w:pPr>
      <w:bookmarkEnd w:id="566"/>
      <w:r>
        <w:rPr>
          <w:rFonts w:ascii="IRNazanin" w:hAnsi="IRNazanin" w:eastAsia="IRNazanin"/>
          <w:color w:val="111111"/>
          <w:sz w:val="28"/>
          <w:sz w:val="28"/>
          <w:szCs w:val="28"/>
          <w:rtl w:val="true"/>
          <w:lang w:bidi="fa-IR"/>
        </w:rPr>
        <w:t>وقال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 القنوت فی صلاة الصبح فی جمیع الزمان لأنّ أنساً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رسول الله صلی الله علیه و آله یقنت فی الفجر حتّی فارق الدنیا</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567" w:name="__RefHeading___Toc362756_581953129"/>
      <w:bookmarkStart w:id="568" w:name="_Toc232"/>
      <w:bookmarkEnd w:id="567"/>
      <w:r>
        <w:rPr>
          <w:rtl w:val="true"/>
        </w:rPr>
        <w:t>منشأ الاختلاف</w:t>
      </w:r>
      <w:bookmarkEnd w:id="568"/>
    </w:p>
    <w:p>
      <w:pPr>
        <w:pStyle w:val="BookText"/>
        <w:rPr/>
      </w:pPr>
      <w:r>
        <w:rPr>
          <w:rFonts w:ascii="IRNazanin" w:hAnsi="IRNazanin" w:eastAsia="IRNazanin"/>
          <w:color w:val="111111"/>
          <w:sz w:val="28"/>
          <w:sz w:val="28"/>
          <w:szCs w:val="28"/>
          <w:rtl w:val="true"/>
          <w:lang w:bidi="fa-IR"/>
        </w:rPr>
        <w:t>اتّضح بأنّ الاختلاف ناشئ عن الاختلاف فی النصوص الواردة عن الطریقین،وبما أنّ الفقهاء کلّهم اتّفقوا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القنوت لم یکن من الفرائض وعلیه فالأمر سهل</w:t>
      </w:r>
      <w:r>
        <w:rPr>
          <w:rFonts w:eastAsia="IRNazanin" w:cs="IRNazanin"/>
          <w:color w:val="111111"/>
          <w:sz w:val="28"/>
          <w:szCs w:val="28"/>
          <w:rtl w:val="true"/>
          <w:lang w:bidi="fa-IR"/>
        </w:rPr>
        <w:t>.</w:t>
      </w:r>
    </w:p>
    <w:p>
      <w:pPr>
        <w:pStyle w:val="Heading3"/>
        <w:numPr>
          <w:ilvl w:val="2"/>
          <w:numId w:val="1"/>
        </w:numPr>
        <w:rPr/>
      </w:pPr>
      <w:bookmarkStart w:id="569" w:name="__RefHeading___Toc362758_581953129"/>
      <w:bookmarkStart w:id="570" w:name="_Toc233"/>
      <w:bookmarkEnd w:id="569"/>
      <w:r>
        <w:rPr>
          <w:rtl w:val="true"/>
        </w:rPr>
        <w:t>خصائص الرکوع و السجود و التشهّد</w:t>
      </w:r>
      <w:bookmarkEnd w:id="570"/>
    </w:p>
    <w:p>
      <w:pPr>
        <w:pStyle w:val="Heading4"/>
        <w:numPr>
          <w:ilvl w:val="3"/>
          <w:numId w:val="1"/>
        </w:numPr>
        <w:rPr/>
      </w:pPr>
      <w:bookmarkStart w:id="571" w:name="__RefHeading___Toc362760_581953129"/>
      <w:bookmarkStart w:id="572" w:name="_Toc234"/>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اختلفت الآراء بالنسبة إلی الأعمال الّتی تتعلّق بالرکوع و السجود و التشهّد کخصائص لها،وتفصیل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573" w:name="__RefHeading___Toc362762_581953129"/>
      <w:bookmarkStart w:id="574" w:name="_Toc235"/>
      <w:bookmarkEnd w:id="573"/>
      <w:r>
        <w:rPr>
          <w:rtl w:val="true"/>
        </w:rPr>
        <w:t>المذهب الجعفری</w:t>
      </w:r>
      <w:bookmarkEnd w:id="574"/>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الرکوع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الانحناء علی الوجه المتعارف،بمقدار تصل یداه إلی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الذکر،والأحوط اختیار التسبیح من أفراده،مخیراًَ بین الثلاث من الصغری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الله،وبین التسبیحة الکبری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وبحمده،و إن کان الأقوی کفایة مطلق الذکر من التسبیح و التحمید و التهلیل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 فیه بمقدار الذکر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الرأس منه حتّی ینتصب قائماً فلو سجد قبل ذلک عامداً بطلت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 حال القیام بعد الرفع،فترکها عمداً مبطل للصلاة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السجود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المساجد السبعة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الذکر،والأقوی کفایة مطلقه و الأحوط اختیار التسبیح علی نحو ما مرّ فی الرکوع إلاّ أنّ التسبیحة الکبری یبدّل العظیم بالأعلی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 فیه بمقدار الذکر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الرأس و الجلوس مطمئنّاً ثمّ الانحناء للسجدة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محمّد وآل محمّد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وأشهد أنّ محمّد عبده ورسوله أللهمّ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بمقدار الذکر المذکور و الطمأنینة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واجب علی الأقوی وجزء من الصلاة،ومخرج منها ومحلّل للمنافیات المحرّمة بتکبیرة الإحرام وله صیغتان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عبادالله الصالحین،والسلام علیکم ورحمة الله وبرکاته،والواجب إحداهما فإن قدّم الأولی کانت الثانیة مستحبّة،و إن قدّم الثانیة اقتصر علیها،و أمّا السلام علیک أیها النبی ورحمة الله وبرکاته،فلیس من صیغ السلام بل هو من توابع التشهّد بل هو مستحبّ و إن کان الأحوط عدم ترکه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وهناک مستحبّات کثیرة لامجال لذکرها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إجماع الفقهاء وتسالم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الکثیرة الواردة من طریق آل‌البیت علیهم السلام المبینة لفرائض الصلاة ومستحبّاتها،وکثرة النصوص کادت أن تبلغ حدّ التواتر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حمّادبن عیسی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یتضمّن تعلیم الصلاة بتمامها وکمالها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الإمام علیه السلام مستقبل القبلة منتصباً فأرسل یدیه</w:t>
      </w:r>
      <w:bookmarkStart w:id="575" w:name="pg5240_59218"/>
    </w:p>
    <w:p>
      <w:pPr>
        <w:pStyle w:val="BookText"/>
        <w:rPr/>
      </w:pPr>
      <w:bookmarkEnd w:id="575"/>
      <w:r>
        <w:rPr>
          <w:rFonts w:ascii="IRNazanin" w:hAnsi="IRNazanin" w:eastAsia="IRNazanin"/>
          <w:color w:val="111111"/>
          <w:sz w:val="28"/>
          <w:sz w:val="28"/>
          <w:szCs w:val="28"/>
          <w:rtl w:val="true"/>
          <w:lang w:bidi="fa-IR"/>
        </w:rPr>
        <w:t>جمیعاً علی فخذیه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أکبرثمّ قرأ الحمد بترتیل وقل هو الله أحد فعلّمه القیام و الرکوع و السجود و الطمأنینة و الذکر و التشهّد و التسلیم،تامّة کاملة إلی أن قال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التشهّد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یاحمّاد هکذا صلّ ولم یزد علی ذلک شیئاً</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فتنطلق منهجیة الصلاة فی الفتوی،من منطلق روائی صحّ صدوره عن الإمام الصادق علیه السلام کما 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الصلاة و السلام،بین افعال الصلاة کاملة،فی تعلیم حمّاد،کی یعلم حصول الامتثال</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هذا هو الاُسلوب الراشد الّذی صدر من أهله ووقع فی محلّه</w:t>
      </w:r>
      <w:r>
        <w:rPr>
          <w:rFonts w:eastAsia="IRNazanin" w:cs="IRNazanin"/>
          <w:color w:val="111111"/>
          <w:sz w:val="28"/>
          <w:szCs w:val="28"/>
          <w:rtl w:val="true"/>
          <w:lang w:bidi="fa-IR"/>
        </w:rPr>
        <w:t>.</w:t>
      </w:r>
    </w:p>
    <w:p>
      <w:pPr>
        <w:pStyle w:val="Heading4"/>
        <w:numPr>
          <w:ilvl w:val="3"/>
          <w:numId w:val="1"/>
        </w:numPr>
        <w:rPr/>
      </w:pPr>
      <w:bookmarkStart w:id="576" w:name="__RefHeading___Toc362764_581953129"/>
      <w:bookmarkStart w:id="577" w:name="_Toc236"/>
      <w:bookmarkEnd w:id="576"/>
      <w:r>
        <w:rPr>
          <w:rtl w:val="true"/>
        </w:rPr>
        <w:t>المذهب الحنبلی</w:t>
      </w:r>
      <w:bookmarkEnd w:id="577"/>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المجزئ فی الرکوع بالنسبة للقائم انحناؤه بحیث یمکنه مسّ رکبتیه وها هو الرأی علی المذهب الشافعی و المالکی باختلاف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الرکوع بطأطأة الرأس،بأن ینحنی إنحناء یکون إلی حال الرکوع أقرب فلو فعل ذلک صحّت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الأئمّة الثلاثة علی فرضیة الرفع من الرکوع ومن السجود والاعتدال،والطمأنینة وخالف الحنفیة فی فرضیتها،قالوا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ترکها المصلّی لاتبطل صلاته ولکنّه یأثم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 ثلاثة من الأئمّة علی أنّه یفترض علی المصلّی أن یجلس بین کلّ سجدتین من صلاته فلو سجد مرّة ثمّ رفع رأسه،ولم یجلس،وسجد ثانیاً،فإنّ صلاته لاتصحّ،وخالف الحنفیة فی ذلک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الجلوس بین السجدتین لیس فرضاً فی الصلاة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القائلون بفرضیة الجلوس وغیره من الفرائض المتقدّمة بما رواه البخاری،ومسلم من أنّ النبی صلی الله علیه و آله رأی رجلاً یصلّی صلاة ناقصة فعلّمه کیف یصلّی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إلی الصلاة فکبّر ثمّ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ثمّ ارکع حتّی تطمئنّ راکعاً،ثمّ ارفع حتّی تعتدل قائماً،ثمّ اسجد حتّی تطمئنّ ساجداً،ثمّ ارفع حتّی تستوی قائماً،ثمّ افعل ذلک فی صلاتک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أنّ الحنفیة لم یوافقوا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المذکور لایدلّ علی الفرضیة،و إنّمایدلّ علی أنّ النبی صلی الله علیه و آله یرید تعلیم الرجل‌الصلاة الکاملة الشاملة علی الفرائض و السنن</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قال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والقرار فی الرکوع و السجود فلیس بفرض عند أبی‌حنیفة،وعلی هذا،القومة الّتی بعد الرکوع و القعدة الّتی بین السجدتین،لقوله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اِرْکَعُوا وَ اسْجُدُوا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والرکوع هو الإنحناء و السجود هو الوضع فلا تجوز الزیادة علیه بخبر الواحد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تلک الأعمال؛لأنّ الله تعالی لم یأمربه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أمر بالرکوع و السجود و القیام فلایجب غیره،ولنا أنّ النبی صلی الله علیه و آله أمر به المسیء فی صلاته،فی حدیث تعلیم الصلاة بتمامها وکمالها وداوم علی فعله</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إنّما هو فی اتّباع رأی الأئمّة الثلاثة،خصوصاً أنّ الحنفیة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تصحّ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الإثم</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ثلاثة من الأئمّة علی أنّ الخروج من الصلاة بعد تمامها لابدّ أن یکون بلفظ السلام،وإلاّ بطلت صلاته،وخالف الحنفیة فی ذلک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الخروج من</w:t>
      </w:r>
      <w:bookmarkStart w:id="578" w:name="pg5240_59222"/>
    </w:p>
    <w:p>
      <w:pPr>
        <w:pStyle w:val="BookText"/>
        <w:rPr/>
      </w:pPr>
      <w:bookmarkEnd w:id="578"/>
      <w:r>
        <w:rPr>
          <w:rFonts w:ascii="IRNazanin" w:hAnsi="IRNazanin" w:eastAsia="IRNazanin"/>
          <w:color w:val="111111"/>
          <w:sz w:val="28"/>
          <w:sz w:val="28"/>
          <w:szCs w:val="28"/>
          <w:rtl w:val="true"/>
          <w:lang w:bidi="fa-IR"/>
        </w:rPr>
        <w:t>الصلاة یکون بأی عمل مناف لها ولو بنقض الوضوء فلو خرج من الصلاة بغیر السلام،ولو بالحدث صحّت صلاته</w:t>
      </w:r>
      <w:r>
        <w:rPr>
          <w:rFonts w:eastAsia="IRNazanin" w:cs="IRNazanin"/>
          <w:color w:val="111111"/>
          <w:sz w:val="28"/>
          <w:szCs w:val="28"/>
          <w:rtl w:val="true"/>
          <w:lang w:bidi="fa-IR"/>
        </w:rPr>
        <w:t xml:space="preserve">. </w:t>
      </w:r>
      <w:r>
        <w:rPr>
          <w:rStyle w:val="FootnoteAnchor"/>
          <w:rtl w:val="true"/>
        </w:rPr>
        <w:footnoteReference w:id="329"/>
      </w:r>
    </w:p>
    <w:p>
      <w:pPr>
        <w:pStyle w:val="Heading4"/>
        <w:numPr>
          <w:ilvl w:val="3"/>
          <w:numId w:val="1"/>
        </w:numPr>
        <w:rPr/>
      </w:pPr>
      <w:bookmarkStart w:id="579" w:name="__RefHeading___Toc362766_581953129"/>
      <w:bookmarkStart w:id="580" w:name="_Toc237"/>
      <w:bookmarkEnd w:id="579"/>
      <w:r>
        <w:rPr>
          <w:rtl w:val="true"/>
        </w:rPr>
        <w:t>منشأ الاختلاف</w:t>
      </w:r>
      <w:bookmarkEnd w:id="580"/>
    </w:p>
    <w:p>
      <w:pPr>
        <w:pStyle w:val="BookText"/>
        <w:rPr/>
      </w:pPr>
      <w:r>
        <w:rPr>
          <w:rFonts w:ascii="IRNazanin" w:hAnsi="IRNazanin" w:eastAsia="IRNazanin"/>
          <w:color w:val="111111"/>
          <w:sz w:val="28"/>
          <w:sz w:val="28"/>
          <w:szCs w:val="28"/>
          <w:rtl w:val="true"/>
          <w:lang w:bidi="fa-IR"/>
        </w:rPr>
        <w:t>إلی هنا ظهر أنّ الاختلاف فی ممارسة الأعمال المذکورة ناشئ عن الرأی المخالف الّذی صدر عن الحنفی علی أساس الاجتهاد الخاص،ولولا هذا الرأی لم یکن هناک بین الفقهاء خلاف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الفقهاء الأربعة بالنسبة إلی التشهّد وجوباً وندباً وتفصیل الاختلاف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و التشهّد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الرکعتین فی المغرب و الرباعیات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واجبان علی إحدی الروایتین وعلی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بواجبین و هو قول أبی‌حنیفة ومالک و الشافعی؛لأنّهما یسقطان بالسهو فأشبها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فعله وداوم علی فعله وأمر به فی حدیث ابن‌عبّاس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والجلوس له من أرکان الصلاة وممّن قال بوجوبه ابن‌عمر وابن‌مسعود و الشافعی،ولم یوجبه مالک ولا أبوحنیفة،تعلّقاً بأنّ النبی صلی الله علیه و آله لم یعلّمه الأعرابی فدلّ علی أنّه غیر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أمر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یقتضی الوجوب،وفعله وداوم علیه</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581" w:name="__RefHeading___Toc362768_581953129"/>
      <w:bookmarkStart w:id="582" w:name="_Toc238"/>
      <w:bookmarkEnd w:id="581"/>
      <w:r>
        <w:rPr>
          <w:rtl w:val="true"/>
        </w:rPr>
        <w:t>اختلف فقهاء المذاهب</w:t>
      </w:r>
      <w:bookmarkEnd w:id="582"/>
    </w:p>
    <w:p>
      <w:pPr>
        <w:pStyle w:val="Heading4"/>
        <w:numPr>
          <w:ilvl w:val="3"/>
          <w:numId w:val="1"/>
        </w:numPr>
        <w:rPr/>
      </w:pPr>
      <w:bookmarkStart w:id="583" w:name="__RefHeading___Toc362770_581953129"/>
      <w:bookmarkStart w:id="584" w:name="_Toc239"/>
      <w:bookmarkEnd w:id="583"/>
      <w:r>
        <w:rPr>
          <w:rtl w:val="true"/>
        </w:rPr>
        <w:t>اشارة</w:t>
      </w:r>
      <w:bookmarkEnd w:id="584"/>
    </w:p>
    <w:p>
      <w:pPr>
        <w:pStyle w:val="BookText"/>
        <w:rPr/>
      </w:pPr>
      <w:r>
        <w:rPr>
          <w:rFonts w:ascii="IRNazanin" w:hAnsi="IRNazanin" w:eastAsia="IRNazanin"/>
          <w:color w:val="111111"/>
          <w:sz w:val="28"/>
          <w:sz w:val="28"/>
          <w:szCs w:val="28"/>
          <w:rtl w:val="true"/>
          <w:lang w:bidi="fa-IR"/>
        </w:rPr>
        <w:t>الأربعة بالنسبة إلی ذکر الرکوع و السجود،وجوباً وندباً والاختلاف بما یلی</w:t>
      </w:r>
      <w:r>
        <w:rPr>
          <w:rFonts w:eastAsia="IRNazanin" w:cs="IRNazanin"/>
          <w:color w:val="111111"/>
          <w:sz w:val="28"/>
          <w:szCs w:val="28"/>
          <w:rtl w:val="true"/>
          <w:lang w:bidi="fa-IR"/>
        </w:rPr>
        <w:t>:</w:t>
      </w:r>
    </w:p>
    <w:p>
      <w:pPr>
        <w:pStyle w:val="Heading4"/>
        <w:numPr>
          <w:ilvl w:val="3"/>
          <w:numId w:val="1"/>
        </w:numPr>
        <w:rPr/>
      </w:pPr>
      <w:bookmarkStart w:id="585" w:name="__RefHeading___Toc362772_581953129"/>
      <w:bookmarkStart w:id="586" w:name="_Toc240"/>
      <w:bookmarkEnd w:id="585"/>
      <w:r>
        <w:rPr>
          <w:rtl w:val="true"/>
        </w:rPr>
        <w:t>المذهب الحنبلی</w:t>
      </w:r>
      <w:bookmarkEnd w:id="5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بصیغة التسبیح المذکورة واجب</w:t>
      </w:r>
      <w:r>
        <w:rPr>
          <w:rFonts w:eastAsia="IRNazanin" w:cs="IRNazanin"/>
          <w:color w:val="111111"/>
          <w:sz w:val="28"/>
          <w:szCs w:val="28"/>
          <w:rtl w:val="true"/>
          <w:lang w:bidi="fa-IR"/>
        </w:rPr>
        <w:t>.</w:t>
      </w:r>
      <w:bookmarkStart w:id="587" w:name="pg5240_59224"/>
    </w:p>
    <w:p>
      <w:pPr>
        <w:pStyle w:val="Heading4"/>
        <w:numPr>
          <w:ilvl w:val="3"/>
          <w:numId w:val="1"/>
        </w:numPr>
        <w:rPr/>
      </w:pPr>
      <w:bookmarkStart w:id="588" w:name="__RefHeading___Toc362774_581953129"/>
      <w:bookmarkStart w:id="589" w:name="_Toc241"/>
      <w:bookmarkEnd w:id="587"/>
      <w:bookmarkEnd w:id="588"/>
      <w:r>
        <w:rPr>
          <w:rtl w:val="true"/>
        </w:rPr>
        <w:t>المذاهب الثلاثة الأخری</w:t>
      </w:r>
      <w:bookmarkEnd w:id="589"/>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فی الرکوع و السجود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المذاهب الثلاثة الأخری</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عقبة‌بن عامر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فَسَبِّحْ بِاسْمِ رَبِّکَ الْعَظِیمِ ،قال النبی صلی الله علیه و آله اجعلوها فی رکوعکم وعن ابن مسعود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رکع أحدکم فلیقل ثلاث مرّات سبحان ربّی العظیم،وروی حذیفة أنّ النبی صلی الله علیه و آله کان یقول فی رکوعه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وبحمده،وفی سجوده سبحان ربّی الأعلی وبحمده،وعن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الذکر وما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 و هو قول أکثر الفقهاء؛لأنّ النبی صلی الله علیه و آله لم یعلّمه المسیء فی صلاته،ولا یجوز تأخیر البیان عن وقت الحاجة ولأنّه لو کان واجباً لم یسقط بالسهوکالأرکان</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اختلف فقهاء المذاهب الأربعة بالنسبة إلی کیفیة السجود والاختلاف بما یلی</w:t>
      </w:r>
      <w:r>
        <w:rPr>
          <w:rFonts w:eastAsia="IRNazanin" w:cs="IRNazanin"/>
          <w:color w:val="111111"/>
          <w:sz w:val="28"/>
          <w:szCs w:val="28"/>
          <w:rtl w:val="true"/>
          <w:lang w:bidi="fa-IR"/>
        </w:rPr>
        <w:t>:</w:t>
      </w:r>
    </w:p>
    <w:p>
      <w:pPr>
        <w:pStyle w:val="Heading4"/>
        <w:numPr>
          <w:ilvl w:val="3"/>
          <w:numId w:val="1"/>
        </w:numPr>
        <w:rPr/>
      </w:pPr>
      <w:bookmarkStart w:id="590" w:name="__RefHeading___Toc362776_581953129"/>
      <w:bookmarkStart w:id="591" w:name="_Toc242"/>
      <w:bookmarkEnd w:id="590"/>
      <w:r>
        <w:rPr>
          <w:rtl w:val="true"/>
        </w:rPr>
        <w:t>المذهب الحنبلی</w:t>
      </w:r>
      <w:bookmarkEnd w:id="591"/>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والسجود علی جمیع هذه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إلاّ الأنف وقال مالک وأبوحنیفة و الشافعی؛أنّه لایجب،والسجود علی الجبهة؛لقول النبی صلی الله علیه و آله سجد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ابن‌عبّاس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بالسجود علی سبعة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Style w:val="FootnoteAnchor"/>
          <w:rtl w:val="true"/>
        </w:rPr>
        <w:footnoteReference w:id="333"/>
      </w:r>
    </w:p>
    <w:p>
      <w:pPr>
        <w:pStyle w:val="Heading4"/>
        <w:numPr>
          <w:ilvl w:val="3"/>
          <w:numId w:val="1"/>
        </w:numPr>
        <w:rPr/>
      </w:pPr>
      <w:bookmarkStart w:id="592" w:name="__RefHeading___Toc362778_581953129"/>
      <w:bookmarkStart w:id="593" w:name="_Toc243"/>
      <w:bookmarkEnd w:id="592"/>
      <w:r>
        <w:rPr>
          <w:rtl w:val="true"/>
        </w:rPr>
        <w:t>منشأ الاختلاف</w:t>
      </w:r>
      <w:bookmarkEnd w:id="59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ممّا تقدّم أنّ الاختلاف ناشئ عن الاختلاف فی النصوص وعن الاختلاف فی</w:t>
      </w:r>
      <w:bookmarkStart w:id="594" w:name="pg5240_59226"/>
    </w:p>
    <w:p>
      <w:pPr>
        <w:pStyle w:val="BookText"/>
        <w:rPr/>
      </w:pPr>
      <w:bookmarkEnd w:id="594"/>
      <w:r>
        <w:rPr>
          <w:rFonts w:ascii="IRNazanin" w:hAnsi="IRNazanin" w:eastAsia="IRNazanin"/>
          <w:color w:val="111111"/>
          <w:sz w:val="28"/>
          <w:sz w:val="28"/>
          <w:szCs w:val="28"/>
          <w:rtl w:val="true"/>
          <w:lang w:bidi="fa-IR"/>
        </w:rPr>
        <w:t>الاجتهاد من حیث المبانی الاستنباطیة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وثمّة اختلافات یسیرة بالنسبة إلی المستحبّات کالاختلاف فی صیغ الذکر وفی ابتداء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المذاهب الأربعة مع اختلاف یسیر بینهم،والذکر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وخیر الأسماء لله،علی 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ابن‌عمر أنّه‌کان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التشهّد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وبما أنّ باب المستحبّات واسع،فالاختلاف فیها لایشکّل خطراً تجاه الوحدة العبادیة</w:t>
      </w:r>
      <w:r>
        <w:rPr>
          <w:rFonts w:eastAsia="IRNazanin" w:cs="IRNazanin"/>
          <w:color w:val="111111"/>
          <w:sz w:val="28"/>
          <w:szCs w:val="28"/>
          <w:rtl w:val="true"/>
          <w:lang w:bidi="fa-IR"/>
        </w:rPr>
        <w:t>.</w:t>
      </w:r>
    </w:p>
    <w:p>
      <w:pPr>
        <w:pStyle w:val="Heading3"/>
        <w:numPr>
          <w:ilvl w:val="2"/>
          <w:numId w:val="1"/>
        </w:numPr>
        <w:rPr/>
      </w:pPr>
      <w:bookmarkStart w:id="595" w:name="__RefHeading___Toc362780_581953129"/>
      <w:bookmarkStart w:id="596" w:name="_Toc244"/>
      <w:bookmarkEnd w:id="595"/>
      <w:r>
        <w:rPr>
          <w:rtl w:val="true"/>
        </w:rPr>
        <w:t>کیفیة صلاة العاجز</w:t>
      </w:r>
      <w:bookmarkEnd w:id="596"/>
    </w:p>
    <w:p>
      <w:pPr>
        <w:pStyle w:val="Heading4"/>
        <w:numPr>
          <w:ilvl w:val="3"/>
          <w:numId w:val="1"/>
        </w:numPr>
        <w:rPr/>
      </w:pPr>
      <w:bookmarkStart w:id="597" w:name="__RefHeading___Toc362782_581953129"/>
      <w:bookmarkStart w:id="598" w:name="_Toc245"/>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ثمّة اختلاف یسیر حول کیفیة صلاة العاجز،و هو بما یلی</w:t>
      </w:r>
      <w:r>
        <w:rPr>
          <w:rFonts w:eastAsia="IRNazanin" w:cs="IRNazanin"/>
          <w:color w:val="111111"/>
          <w:sz w:val="28"/>
          <w:szCs w:val="28"/>
          <w:rtl w:val="true"/>
          <w:lang w:bidi="fa-IR"/>
        </w:rPr>
        <w:t>:</w:t>
      </w:r>
    </w:p>
    <w:p>
      <w:pPr>
        <w:pStyle w:val="Heading4"/>
        <w:numPr>
          <w:ilvl w:val="3"/>
          <w:numId w:val="1"/>
        </w:numPr>
        <w:rPr/>
      </w:pPr>
      <w:bookmarkStart w:id="599" w:name="__RefHeading___Toc362784_581953129"/>
      <w:bookmarkStart w:id="600" w:name="_Toc246"/>
      <w:bookmarkEnd w:id="599"/>
      <w:r>
        <w:rPr>
          <w:rtl w:val="true"/>
        </w:rPr>
        <w:t>أکثر المذاهب</w:t>
      </w:r>
      <w:bookmarkEnd w:id="600"/>
    </w:p>
    <w:p>
      <w:pPr>
        <w:pStyle w:val="BookText"/>
        <w:rPr/>
      </w:pPr>
      <w:r>
        <w:rPr>
          <w:rFonts w:ascii="IRNazanin" w:hAnsi="IRNazanin" w:eastAsia="IRNazanin"/>
          <w:color w:val="111111"/>
          <w:sz w:val="28"/>
          <w:sz w:val="28"/>
          <w:szCs w:val="28"/>
          <w:rtl w:val="true"/>
          <w:lang w:bidi="fa-IR"/>
        </w:rPr>
        <w:t>إذا عجز المکلّف عن القیام و القعود یصلّی مضطجعاً علی الجانب الأیمن</w:t>
      </w:r>
      <w:r>
        <w:rPr>
          <w:rFonts w:eastAsia="IRNazanin" w:cs="IRNazanin"/>
          <w:color w:val="111111"/>
          <w:sz w:val="28"/>
          <w:szCs w:val="28"/>
          <w:rtl w:val="true"/>
          <w:lang w:bidi="fa-IR"/>
        </w:rPr>
        <w:t>.</w:t>
      </w:r>
    </w:p>
    <w:p>
      <w:pPr>
        <w:pStyle w:val="Heading4"/>
        <w:numPr>
          <w:ilvl w:val="3"/>
          <w:numId w:val="1"/>
        </w:numPr>
        <w:rPr/>
      </w:pPr>
      <w:bookmarkStart w:id="601" w:name="__RefHeading___Toc362786_581953129"/>
      <w:bookmarkStart w:id="602" w:name="_Toc247"/>
      <w:bookmarkEnd w:id="601"/>
      <w:r>
        <w:rPr>
          <w:rtl w:val="true"/>
        </w:rPr>
        <w:t>المذهب الحنفی</w:t>
      </w:r>
      <w:bookmarkEnd w:id="602"/>
    </w:p>
    <w:p>
      <w:pPr>
        <w:pStyle w:val="BookText"/>
        <w:rPr/>
      </w:pPr>
      <w:r>
        <w:rPr>
          <w:rFonts w:ascii="IRNazanin" w:hAnsi="IRNazanin" w:eastAsia="IRNazanin"/>
          <w:color w:val="111111"/>
          <w:sz w:val="28"/>
          <w:sz w:val="28"/>
          <w:szCs w:val="28"/>
          <w:rtl w:val="true"/>
          <w:lang w:bidi="fa-IR"/>
        </w:rPr>
        <w:t>قال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أن یصلّی مستلقیاً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عجز عن الاضطجاع یصلّی مستلقیاً علی ظهره ویستقبل القبلة بالرجلین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عجزعن الإیماء بالرأس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الاستلقاء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 بالطرف علی أکثر المذاهب،وتسقط الصلاة فی هذه الحالة الأخیرة علی المذهب الحنفی</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یقدر علی الإیماء برأسه أومأ بطرفه ونوی بقلبه ولا تسقط الصلاة عنه مادام عقله ثابتاً وحکی عن أبی‌حنیفة أنّ الصلاة تسقط عنه</w:t>
      </w:r>
      <w:r>
        <w:rPr>
          <w:rFonts w:eastAsia="IRNazanin" w:cs="IRNazanin"/>
          <w:color w:val="111111"/>
          <w:sz w:val="28"/>
          <w:szCs w:val="28"/>
          <w:rtl w:val="true"/>
          <w:lang w:bidi="fa-IR"/>
        </w:rPr>
        <w:t xml:space="preserve">. </w:t>
      </w:r>
      <w:r>
        <w:rPr>
          <w:rStyle w:val="FootnoteAnchor"/>
          <w:rtl w:val="true"/>
        </w:rPr>
        <w:footnoteReference w:id="336"/>
      </w:r>
      <w:bookmarkStart w:id="603" w:name="pg5240_59229"/>
    </w:p>
    <w:p>
      <w:pPr>
        <w:pStyle w:val="Heading4"/>
        <w:numPr>
          <w:ilvl w:val="3"/>
          <w:numId w:val="1"/>
        </w:numPr>
        <w:rPr/>
      </w:pPr>
      <w:bookmarkStart w:id="604" w:name="__RefHeading___Toc362788_581953129"/>
      <w:bookmarkStart w:id="605" w:name="_Toc248"/>
      <w:bookmarkEnd w:id="603"/>
      <w:bookmarkEnd w:id="604"/>
      <w:r>
        <w:rPr>
          <w:rtl w:val="true"/>
        </w:rPr>
        <w:t>منشأ الاختلاف</w:t>
      </w:r>
      <w:bookmarkEnd w:id="605"/>
    </w:p>
    <w:p>
      <w:pPr>
        <w:pStyle w:val="BookText"/>
        <w:rPr/>
      </w:pPr>
      <w:r>
        <w:rPr>
          <w:rFonts w:ascii="IRNazanin" w:hAnsi="IRNazanin" w:eastAsia="IRNazanin"/>
          <w:color w:val="111111"/>
          <w:sz w:val="28"/>
          <w:sz w:val="28"/>
          <w:szCs w:val="28"/>
          <w:rtl w:val="true"/>
          <w:lang w:bidi="fa-IR"/>
        </w:rPr>
        <w:t>الاختلاف ناشئ عن الاختلاف فی الاجتهاد بالنسبة إلی صدق الصلاة مع الاتّفاق علی أنّ الصلاة لاتسقط بحال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المذهب الحنفی،هناک لم یکن بعد العجز عن الإیماء بالرأس،عمل یصدق علیه الصلاة وعلی المذاهب الأربعة الأخری،أنّه،ثمّة بعد العجز عن الإیماء بالرأس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الأحوال وهی الإیماء بالطرف،فلیأت بها علی هذا الحال،والصلاة لاتسقط بحال من الأحوال</w:t>
      </w:r>
      <w:r>
        <w:rPr>
          <w:rFonts w:eastAsia="IRNazanin" w:cs="IRNazanin"/>
          <w:color w:val="111111"/>
          <w:sz w:val="28"/>
          <w:szCs w:val="28"/>
          <w:rtl w:val="true"/>
          <w:lang w:bidi="fa-IR"/>
        </w:rPr>
        <w:t>.</w:t>
      </w:r>
      <w:bookmarkStart w:id="606" w:name="pg5240_59230"/>
    </w:p>
    <w:p>
      <w:pPr>
        <w:pStyle w:val="Heading3"/>
        <w:numPr>
          <w:ilvl w:val="2"/>
          <w:numId w:val="1"/>
        </w:numPr>
        <w:rPr/>
      </w:pPr>
      <w:bookmarkStart w:id="607" w:name="__RefHeading___Toc362790_581953129"/>
      <w:bookmarkStart w:id="608" w:name="_Toc249"/>
      <w:bookmarkEnd w:id="606"/>
      <w:bookmarkEnd w:id="607"/>
      <w:r>
        <w:rPr>
          <w:rtl w:val="true"/>
        </w:rPr>
        <w:t>الخلاصة</w:t>
      </w:r>
      <w:bookmarkEnd w:id="608"/>
    </w:p>
    <w:p>
      <w:pPr>
        <w:pStyle w:val="BookText"/>
        <w:rPr/>
      </w:pPr>
      <w:r>
        <w:rPr>
          <w:rFonts w:ascii="IRNazanin" w:hAnsi="IRNazanin" w:eastAsia="IRNazanin"/>
          <w:color w:val="111111"/>
          <w:sz w:val="28"/>
          <w:sz w:val="28"/>
          <w:szCs w:val="28"/>
          <w:rtl w:val="true"/>
          <w:lang w:bidi="fa-IR"/>
        </w:rPr>
        <w:t>یجب إرسال الیدین حال القیام فی الصلاة علی المذهب الجعفری،ویجوز ذلک علی المذهب المالکی،ویسنّ التکتّف علی المذاهب الثلاثة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آمین بعد الفاتحة یسنّ ویندب علی المذاهب الأربعة،ولایجوز علی 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القنوت یستحبّ فی جمیع الفرائض و النوافل علی المذهب الجعفری،ویستحبّ فی الصبح فقط علی المذهب المالکی،وفی الوترعلی المذهب الحنبلی و الشافعی وفی الصبح کذلک علی المذهب الحنفی،ویستحبّ فی الوتر و الصبح علی المذهب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لایجب الانحناء التام،والرفع من الرکوع و السجود والاعتدال و الطمأنینة علی المذهب الحنفی،ویجب ذلک کلّه علی المذاهب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لاینحصر الخروج من الصلاة بلفظ السلام بل یمکن الخروج بواسطة نقض الوضوء مثلاً،علی المذهب الحنفی،وینحصر بذلک اللفظ علی المذاهب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التشهّد الأوّل،واجب علی المذهب الجعفری و الحنبلی،ولیس بواجب علی المذاهب الاُخری،ولایجب التشهّد الأخیر علی المذهب الحنفی و المالکی ویجب علی المذاهب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والذکر فی الرکوع و السجود،واجب علی المذهب الجعفری و الحنبلی وسنّة علی المذاهب الاُخری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تسقط الصلاة بعد العجز عن الإیماء بالرأس،علی المذهب الحنفی،ولا تسقط علی المذاهب الاُخری</w:t>
      </w:r>
      <w:r>
        <w:rPr>
          <w:rFonts w:eastAsia="IRNazanin" w:cs="IRNazanin"/>
          <w:color w:val="111111"/>
          <w:sz w:val="28"/>
          <w:szCs w:val="28"/>
          <w:rtl w:val="true"/>
          <w:lang w:bidi="fa-IR"/>
        </w:rPr>
        <w:t>.</w:t>
      </w:r>
      <w:bookmarkStart w:id="609" w:name="pg5240_59233"/>
    </w:p>
    <w:p>
      <w:pPr>
        <w:pStyle w:val="Heading3"/>
        <w:numPr>
          <w:ilvl w:val="2"/>
          <w:numId w:val="1"/>
        </w:numPr>
        <w:rPr/>
      </w:pPr>
      <w:bookmarkStart w:id="610" w:name="__RefHeading___Toc362792_581953129"/>
      <w:bookmarkStart w:id="611" w:name="_Toc250"/>
      <w:bookmarkEnd w:id="609"/>
      <w:bookmarkEnd w:id="610"/>
      <w:r>
        <w:rPr>
          <w:rtl w:val="true"/>
        </w:rPr>
        <w:t>الأسئلة</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الأصل هو التکتّف أو الاسترسال؟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جواز قول آمین بعد الفاتحة؟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یستحبّ القنوت فی جمیع الصلوات؟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وجوب الطمأنینة فی الرکوع و السجود؟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الخروج من الصلاة بغیر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وجوب الذکر فی الرکوع و السجود؟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تسقط الصلاة عمّن عجز من القیام و القعود،والإیماء بالرأس؟</w:t>
      </w:r>
      <w:bookmarkStart w:id="612" w:name="pg5240_59234"/>
    </w:p>
    <w:p>
      <w:pPr>
        <w:pStyle w:val="Heading2"/>
        <w:numPr>
          <w:ilvl w:val="1"/>
          <w:numId w:val="1"/>
        </w:numPr>
        <w:rPr/>
      </w:pPr>
      <w:bookmarkStart w:id="613" w:name="__RefHeading___Toc362794_581953129"/>
      <w:bookmarkStart w:id="614" w:name="_Toc251"/>
      <w:bookmarkEnd w:id="612"/>
      <w:bookmarkEnd w:id="613"/>
      <w:r>
        <w:rPr/>
        <w:t>12</w:t>
      </w:r>
      <w:r>
        <w:rPr>
          <w:rtl w:val="true"/>
        </w:rPr>
        <w:t xml:space="preserve">- </w:t>
      </w:r>
      <w:r>
        <w:rPr>
          <w:rtl w:val="true"/>
        </w:rPr>
        <w:t>مباحث القبلة ولباس المصلّی</w:t>
      </w:r>
      <w:bookmarkEnd w:id="614"/>
    </w:p>
    <w:p>
      <w:pPr>
        <w:pStyle w:val="Heading3"/>
        <w:numPr>
          <w:ilvl w:val="2"/>
          <w:numId w:val="1"/>
        </w:numPr>
        <w:rPr/>
      </w:pPr>
      <w:bookmarkStart w:id="615" w:name="__RefHeading___Toc362796_581953129"/>
      <w:bookmarkStart w:id="616" w:name="_Toc252"/>
      <w:bookmarkEnd w:id="615"/>
      <w:r>
        <w:rPr>
          <w:rtl w:val="true"/>
        </w:rPr>
        <w:t>حکم الانحراف عن القبلة اشتباهاً</w:t>
      </w:r>
      <w:bookmarkEnd w:id="616"/>
    </w:p>
    <w:p>
      <w:pPr>
        <w:pStyle w:val="Heading4"/>
        <w:numPr>
          <w:ilvl w:val="3"/>
          <w:numId w:val="1"/>
        </w:numPr>
        <w:rPr/>
      </w:pPr>
      <w:bookmarkStart w:id="617" w:name="__RefHeading___Toc362798_581953129"/>
      <w:bookmarkStart w:id="618" w:name="_Toc253"/>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اختلفت الآراء فی الحکم بالنسبة إلی الاشتباه فی تعیین القبلة،وتفصیل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619" w:name="__RefHeading___Toc362800_581953129"/>
      <w:bookmarkStart w:id="620" w:name="_Toc254"/>
      <w:bookmarkEnd w:id="619"/>
      <w:r>
        <w:rPr>
          <w:rtl w:val="true"/>
        </w:rPr>
        <w:t>المذهب الجعفری</w:t>
      </w:r>
      <w:bookmarkEnd w:id="620"/>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إلی جهة اعتقد أنّها القبلة ثمّ تبین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إتمام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منحرفاً إلی مابین الیمین و الشمال،صحّت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التفت فی الأثناء مضی ماسبق واستقبل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تجاوز انحرافه عمّا بین الیمین و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وتحقّق الاستدبار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الصلاة فی الوقت سواء کان فی أثناء الصلاة أو بعدها،ولایجب القضاء إذا التفت خارج الوقت</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ذلک،کلّه للنصوص،الواردة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معاویة‌بن عمّار أنّه سأل الإمام الصادق علیه السلام عن الرجل یقوم فی الصلاة ثمّ ینظر بعد ما فرغ فیری أنّه قد انحرف عن القبلة یمینا أو شمالاً،فقال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مضت صلاته وما بین المشرق</w:t>
      </w:r>
      <w:bookmarkStart w:id="621" w:name="pg5240_59236"/>
    </w:p>
    <w:p>
      <w:pPr>
        <w:pStyle w:val="BookText"/>
        <w:rPr/>
      </w:pPr>
      <w:bookmarkEnd w:id="621"/>
      <w:r>
        <w:rPr>
          <w:rFonts w:ascii="Amiri" w:hAnsi="Amiri" w:eastAsia="Amiri" w:cs="Amiri"/>
          <w:color w:val="111111"/>
          <w:sz w:val="28"/>
          <w:sz w:val="28"/>
          <w:szCs w:val="28"/>
          <w:rtl w:val="true"/>
          <w:lang w:bidi="ar-SA"/>
        </w:rPr>
        <w:t>والمغرب قبلة</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دلّت علی أنّ کشف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الاستدبار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الصلاة لایضرّ بصحّة الصلاة؛ذلک لأنّ القبلة واسعة وحدّها بُعد المشرقین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موثّقة عمّار،عن الإمام الصادق علیه السلام فی رجل صلّی علی غیر القبلة فیعلم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الصلاة قبل أن یفرغ من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متوجّهاً فیما بین المشرق و المغرب فلیجعل وجهه‌إلی القبلة ساعة یعلم،و إن کان متوجّهاً إلی دبر القبلة فلیقطع الصلاة ثمّ یحوّل وجهه إلی القبلة ثمّ یفتتح الصلاة</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دلّت علی أنّ کشف الخطأ أثناء الصلاة یوجب التحوّل إلی القبلة إن کان الخطأ مادون الاستدبار،و إذا بلغ الانحراف إلی مستوی الاستدبار بطلت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عبدالرحمن‌بن عبدالله البصری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وأنت علی غیر القبلة واستبان لک أنّک علی غیر القبلة،وأنت فی وقت فأعد،و إن فاتک الوقت فلا تعد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دلّت علی أنّ کشف الخطأ،التام یوجب الإعادة ولا یوجب القضاء فالأحکام المتقدّمة جمیعاً،علی ما أفاده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تنطلق من منطلق روائی معتبر کما هو واضح</w:t>
      </w:r>
      <w:r>
        <w:rPr>
          <w:rFonts w:eastAsia="IRNazanin" w:cs="IRNazanin"/>
          <w:color w:val="111111"/>
          <w:sz w:val="28"/>
          <w:szCs w:val="28"/>
          <w:rtl w:val="true"/>
          <w:lang w:bidi="fa-IR"/>
        </w:rPr>
        <w:t>.</w:t>
      </w:r>
    </w:p>
    <w:p>
      <w:pPr>
        <w:pStyle w:val="Heading4"/>
        <w:numPr>
          <w:ilvl w:val="3"/>
          <w:numId w:val="1"/>
        </w:numPr>
        <w:rPr/>
      </w:pPr>
      <w:bookmarkStart w:id="622" w:name="__RefHeading___Toc362802_581953129"/>
      <w:bookmarkStart w:id="623" w:name="_Toc255"/>
      <w:bookmarkEnd w:id="622"/>
      <w:r>
        <w:rPr>
          <w:rtl w:val="true"/>
        </w:rPr>
        <w:t>المذهب الحنبلی</w:t>
      </w:r>
      <w:bookmarkEnd w:id="623"/>
    </w:p>
    <w:p>
      <w:p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بالاجتهاد إلی جهة ثمّ علم أنّه قد أخطأ القبلة لم یکن علیه الإعادة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قال مالک وأبوحنیفة و الشافعی فی أحد قولیه 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عامر ابن ربیعة عن أبیه قال کنّا مع النبی صلی الله علیه و آله،فی سفر،فی لیلة مظلمة فلم ندر أین القبلة،فصلّی‌کلّ رجل حیاله فلمّا أصبحنا ذکرنا ذلک للنبی صلی الله علیه و آله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 </w:t>
      </w:r>
      <w:r>
        <w:rPr>
          <w:rStyle w:val="FootnoteAnchor"/>
          <w:rtl w:val="true"/>
        </w:rPr>
        <w:footnoteReference w:id="341"/>
      </w:r>
      <w:r>
        <w:rPr>
          <w:rFonts w:ascii="IRNazanin" w:hAnsi="IRNazanin" w:eastAsia="IRNazanin"/>
          <w:color w:val="111111"/>
          <w:sz w:val="28"/>
          <w:sz w:val="28"/>
          <w:szCs w:val="28"/>
          <w:rtl w:val="true"/>
          <w:lang w:bidi="fa-IR"/>
        </w:rPr>
        <w:t>ورواه</w:t>
      </w:r>
      <w:bookmarkStart w:id="624" w:name="pg5240_59239"/>
    </w:p>
    <w:p>
      <w:pPr>
        <w:pStyle w:val="BookText"/>
        <w:rPr/>
      </w:pPr>
      <w:bookmarkEnd w:id="624"/>
      <w:r>
        <w:rPr>
          <w:rFonts w:ascii="IRNazanin" w:hAnsi="IRNazanin" w:eastAsia="IRNazanin"/>
          <w:color w:val="111111"/>
          <w:sz w:val="28"/>
          <w:sz w:val="28"/>
          <w:szCs w:val="28"/>
          <w:rtl w:val="true"/>
          <w:lang w:bidi="fa-IR"/>
        </w:rPr>
        <w:t>ابن‌ماجه و الترمذی وقال حدیث حسن</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دلّت علی أنّ کشف الخطأ فی تطبیق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إتمام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 الإعادة و القضاء،و هذا الرأی یوافق المذهب الجعفری بالنسبة إلی عدم وجوب القضاء ویخالفه بالنسبة إلی عدم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بان له یقین الخطأ و هو فی الصلاة استدار إلی جهة الکعبة وبنی علی ما مضی من الصلاة؛لأنّ ما مضی منها کان صحیحاً فجاز البناء علیه</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هذا ما یتوافق بدوره مع المذهب الجعفری</w:t>
      </w:r>
      <w:r>
        <w:rPr>
          <w:rFonts w:eastAsia="IRNazanin" w:cs="IRNazanin"/>
          <w:color w:val="111111"/>
          <w:sz w:val="28"/>
          <w:szCs w:val="28"/>
          <w:rtl w:val="true"/>
          <w:lang w:bidi="fa-IR"/>
        </w:rPr>
        <w:t>.</w:t>
      </w:r>
    </w:p>
    <w:p>
      <w:pPr>
        <w:pStyle w:val="Heading3"/>
        <w:numPr>
          <w:ilvl w:val="2"/>
          <w:numId w:val="1"/>
        </w:numPr>
        <w:rPr/>
      </w:pPr>
      <w:bookmarkStart w:id="625" w:name="__RefHeading___Toc362804_581953129"/>
      <w:bookmarkStart w:id="626" w:name="_Toc256"/>
      <w:bookmarkEnd w:id="625"/>
      <w:r>
        <w:rPr>
          <w:rtl w:val="true"/>
        </w:rPr>
        <w:t>وظیفة الجاهل بالقبلة</w:t>
      </w:r>
      <w:bookmarkEnd w:id="626"/>
    </w:p>
    <w:p>
      <w:pPr>
        <w:pStyle w:val="Heading4"/>
        <w:numPr>
          <w:ilvl w:val="3"/>
          <w:numId w:val="1"/>
        </w:numPr>
        <w:rPr/>
      </w:pPr>
      <w:bookmarkStart w:id="627" w:name="__RefHeading___Toc362806_581953129"/>
      <w:bookmarkStart w:id="628" w:name="_Toc257"/>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اختلفت الآراء بالنسبة إلی حکم من لایعرف جهة القبلة بعد الفحص والاجتهاد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629" w:name="__RefHeading___Toc362808_581953129"/>
      <w:bookmarkStart w:id="630" w:name="_Toc258"/>
      <w:bookmarkEnd w:id="629"/>
      <w:r>
        <w:rPr>
          <w:rtl w:val="true"/>
        </w:rPr>
        <w:t>المذاهب الاربعة</w:t>
      </w:r>
      <w:bookmarkEnd w:id="63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اجتهد فی معرفة القبلة فلم یرجّح جهة علی أخری،فإنّه فی هذه الحالة یصلّی إلی أی جهة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تجب علیه الإعادة فی تلک الصلاة علی المذهب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لهم</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ذلک للإجماع</w:t>
      </w:r>
      <w:r>
        <w:rPr>
          <w:rFonts w:eastAsia="IRNazanin" w:cs="IRNazanin"/>
          <w:color w:val="111111"/>
          <w:sz w:val="28"/>
          <w:szCs w:val="28"/>
          <w:rtl w:val="true"/>
          <w:lang w:bidi="fa-IR"/>
        </w:rPr>
        <w:t>.</w:t>
      </w:r>
    </w:p>
    <w:p>
      <w:pPr>
        <w:pStyle w:val="Heading4"/>
        <w:numPr>
          <w:ilvl w:val="3"/>
          <w:numId w:val="1"/>
        </w:numPr>
        <w:rPr/>
      </w:pPr>
      <w:bookmarkStart w:id="631" w:name="__RefHeading___Toc362810_581953129"/>
      <w:bookmarkStart w:id="632" w:name="_Toc259"/>
      <w:bookmarkEnd w:id="631"/>
      <w:r>
        <w:rPr>
          <w:rtl w:val="true"/>
        </w:rPr>
        <w:t>المذهب الجعفری</w:t>
      </w:r>
      <w:bookmarkEnd w:id="632"/>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الوظیفة عند الجهل هی الصلاة علی جهات أربع عملاً بالاحتیاط</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الجهل بها صلّی إلی أی جهة شاء</w:t>
      </w:r>
      <w:r>
        <w:rPr>
          <w:rFonts w:eastAsia="IRNazanin" w:cs="IRNazanin"/>
          <w:color w:val="111111"/>
          <w:sz w:val="28"/>
          <w:szCs w:val="28"/>
          <w:rtl w:val="true"/>
          <w:lang w:bidi="fa-IR"/>
        </w:rPr>
        <w:t xml:space="preserve">. </w:t>
      </w:r>
      <w:r>
        <w:rPr>
          <w:rStyle w:val="FootnoteAnchor"/>
          <w:rtl w:val="true"/>
        </w:rPr>
        <w:footnoteReference w:id="345"/>
      </w:r>
      <w:bookmarkStart w:id="633" w:name="pg5240_59240"/>
    </w:p>
    <w:p>
      <w:pPr>
        <w:pStyle w:val="Heading4"/>
        <w:numPr>
          <w:ilvl w:val="3"/>
          <w:numId w:val="1"/>
        </w:numPr>
        <w:rPr/>
      </w:pPr>
      <w:bookmarkStart w:id="634" w:name="__RefHeading___Toc362812_581953129"/>
      <w:bookmarkStart w:id="635" w:name="_Toc260"/>
      <w:bookmarkEnd w:id="633"/>
      <w:bookmarkEnd w:id="634"/>
      <w:r>
        <w:rPr>
          <w:rtl w:val="true"/>
        </w:rPr>
        <w:t>منشأ الاختلاف</w:t>
      </w:r>
      <w:bookmarkEnd w:id="635"/>
    </w:p>
    <w:p>
      <w:pPr>
        <w:pStyle w:val="BookText"/>
        <w:rPr/>
      </w:pPr>
      <w:r>
        <w:rPr>
          <w:rFonts w:ascii="IRNazanin" w:hAnsi="IRNazanin" w:eastAsia="IRNazanin"/>
          <w:color w:val="111111"/>
          <w:sz w:val="28"/>
          <w:sz w:val="28"/>
          <w:szCs w:val="28"/>
          <w:rtl w:val="true"/>
          <w:lang w:bidi="fa-IR"/>
        </w:rPr>
        <w:t>واضح،أنّ الاختلاف المذکور ناشئ عن الاختلاف فی الاجتهاد و قد مرّ بنا من طریق آل‌البیت علیهم السلام فی مشتبه القبلة،النصّ الشامل بالنسبة إلی هذه الحالة،وعلیه ینسحب علی الفروع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لم یکن النص الوارد من طریق الصحابة شاملاً وعلیه یفسح مجال الاجتهاد لفقهاء المذاهب الأربعة</w:t>
      </w:r>
      <w:r>
        <w:rPr>
          <w:rFonts w:eastAsia="IRNazanin" w:cs="IRNazanin"/>
          <w:color w:val="111111"/>
          <w:sz w:val="28"/>
          <w:szCs w:val="28"/>
          <w:rtl w:val="true"/>
          <w:lang w:bidi="fa-IR"/>
        </w:rPr>
        <w:t>.</w:t>
      </w:r>
    </w:p>
    <w:p>
      <w:pPr>
        <w:pStyle w:val="Heading3"/>
        <w:numPr>
          <w:ilvl w:val="2"/>
          <w:numId w:val="1"/>
        </w:numPr>
        <w:rPr/>
      </w:pPr>
      <w:bookmarkStart w:id="636" w:name="__RefHeading___Toc362814_581953129"/>
      <w:bookmarkStart w:id="637" w:name="_Toc261"/>
      <w:bookmarkEnd w:id="636"/>
      <w:r>
        <w:rPr>
          <w:rtl w:val="true"/>
        </w:rPr>
        <w:t>حول لباس المصلّی</w:t>
      </w:r>
      <w:bookmarkEnd w:id="637"/>
    </w:p>
    <w:p>
      <w:pPr>
        <w:pStyle w:val="Heading3"/>
        <w:numPr>
          <w:ilvl w:val="2"/>
          <w:numId w:val="1"/>
        </w:numPr>
        <w:rPr/>
      </w:pPr>
      <w:bookmarkStart w:id="638" w:name="__RefHeading___Toc362816_581953129"/>
      <w:bookmarkStart w:id="639" w:name="_Toc262"/>
      <w:bookmarkEnd w:id="638"/>
      <w:r>
        <w:rPr>
          <w:rtl w:val="true"/>
        </w:rPr>
        <w:t>عفو النجاسة فی اللباس</w:t>
      </w:r>
      <w:bookmarkEnd w:id="639"/>
    </w:p>
    <w:p>
      <w:pPr>
        <w:pStyle w:val="Heading4"/>
        <w:numPr>
          <w:ilvl w:val="3"/>
          <w:numId w:val="1"/>
        </w:numPr>
        <w:rPr/>
      </w:pPr>
      <w:bookmarkStart w:id="640" w:name="__RefHeading___Toc362818_581953129"/>
      <w:bookmarkStart w:id="641" w:name="_Toc263"/>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اختلفت الآراء بالنسبة إلی ما له صلة،بالعفو عن النجاسة،فی لباس المصلّی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642" w:name="__RefHeading___Toc362820_581953129"/>
      <w:bookmarkStart w:id="643" w:name="_Toc264"/>
      <w:bookmarkEnd w:id="642"/>
      <w:r>
        <w:rPr>
          <w:rtl w:val="true"/>
        </w:rPr>
        <w:t>المذهب الحنبلی</w:t>
      </w:r>
      <w:bookmarkEnd w:id="643"/>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یعفی الیسیر من طین الشارع الّذی تحقّقت نجاسته بما خالطه من النجاسة </w:t>
      </w:r>
      <w:r>
        <w:rPr>
          <w:rStyle w:val="FootnoteAnchor"/>
          <w:rtl w:val="true"/>
        </w:rPr>
        <w:footnoteReference w:id="346"/>
      </w:r>
      <w:r>
        <w:rPr>
          <w:rFonts w:ascii="IRNazanin" w:hAnsi="IRNazanin" w:eastAsia="IRNazanin"/>
          <w:color w:val="111111"/>
          <w:sz w:val="28"/>
          <w:sz w:val="28"/>
          <w:szCs w:val="28"/>
          <w:rtl w:val="true"/>
          <w:lang w:bidi="fa-IR"/>
        </w:rPr>
        <w:t>لقاعدة نفی الحرج</w:t>
      </w:r>
      <w:r>
        <w:rPr>
          <w:rFonts w:eastAsia="IRNazanin" w:cs="IRNazanin"/>
          <w:color w:val="111111"/>
          <w:sz w:val="28"/>
          <w:szCs w:val="28"/>
          <w:rtl w:val="true"/>
          <w:lang w:bidi="fa-IR"/>
        </w:rPr>
        <w:t>.</w:t>
      </w:r>
    </w:p>
    <w:p>
      <w:pPr>
        <w:pStyle w:val="Heading4"/>
        <w:numPr>
          <w:ilvl w:val="3"/>
          <w:numId w:val="1"/>
        </w:numPr>
        <w:rPr/>
      </w:pPr>
      <w:bookmarkStart w:id="644" w:name="__RefHeading___Toc362822_581953129"/>
      <w:bookmarkStart w:id="645" w:name="_Toc265"/>
      <w:bookmarkEnd w:id="644"/>
      <w:r>
        <w:rPr>
          <w:rtl w:val="true"/>
        </w:rPr>
        <w:t>المذهب الحنفی</w:t>
      </w:r>
      <w:bookmarkEnd w:id="6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رشاش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رقیقاً کرؤوس الإبر بحیث لایری،ولو ملأ الثوب و البدن فإنّه یعتبر کالعدم للضرورة </w:t>
      </w:r>
      <w:r>
        <w:rPr>
          <w:rStyle w:val="FootnoteAnchor"/>
          <w:rtl w:val="true"/>
        </w:rPr>
        <w:footnoteReference w:id="347"/>
      </w:r>
      <w:r>
        <w:rPr>
          <w:rFonts w:ascii="IRNazanin" w:hAnsi="IRNazanin" w:eastAsia="IRNazanin"/>
          <w:color w:val="111111"/>
          <w:sz w:val="28"/>
          <w:sz w:val="28"/>
          <w:szCs w:val="28"/>
          <w:rtl w:val="true"/>
          <w:lang w:bidi="fa-IR"/>
        </w:rPr>
        <w:t>وجه الضرورة غیر واضح</w:t>
      </w:r>
      <w:r>
        <w:rPr>
          <w:rFonts w:eastAsia="IRNazanin" w:cs="IRNazanin"/>
          <w:color w:val="111111"/>
          <w:sz w:val="28"/>
          <w:szCs w:val="28"/>
          <w:rtl w:val="true"/>
          <w:lang w:bidi="fa-IR"/>
        </w:rPr>
        <w:t>.</w:t>
      </w:r>
      <w:bookmarkStart w:id="646" w:name="pg5240_59242"/>
    </w:p>
    <w:p>
      <w:pPr>
        <w:pStyle w:val="Heading4"/>
        <w:numPr>
          <w:ilvl w:val="3"/>
          <w:numId w:val="1"/>
        </w:numPr>
        <w:rPr/>
      </w:pPr>
      <w:bookmarkStart w:id="647" w:name="__RefHeading___Toc362824_581953129"/>
      <w:bookmarkStart w:id="648" w:name="_Toc266"/>
      <w:bookmarkEnd w:id="646"/>
      <w:bookmarkEnd w:id="647"/>
      <w:r>
        <w:rPr>
          <w:rtl w:val="true"/>
        </w:rPr>
        <w:t>المذهب الشافعی</w:t>
      </w:r>
      <w:bookmarkEnd w:id="648"/>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من الکلب،والخنزیر فغیر معفو عنه إلاّ بالنسبة إلی القصّاص و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لمشقّة الاحتراز </w:t>
      </w:r>
      <w:r>
        <w:rPr>
          <w:rStyle w:val="FootnoteAnchor"/>
          <w:rtl w:val="true"/>
        </w:rPr>
        <w:footnoteReference w:id="348"/>
      </w:r>
      <w:r>
        <w:rPr>
          <w:rFonts w:ascii="Amiri" w:hAnsi="Amiri" w:eastAsia="Amiri" w:cs="Amiri"/>
          <w:color w:val="111111"/>
          <w:sz w:val="28"/>
          <w:sz w:val="28"/>
          <w:szCs w:val="28"/>
          <w:rtl w:val="true"/>
          <w:lang w:bidi="ar-SA"/>
        </w:rPr>
        <w:t>لقاعدة الحرج</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362826_581953129"/>
      <w:bookmarkStart w:id="650" w:name="_Toc267"/>
      <w:bookmarkEnd w:id="649"/>
      <w:r>
        <w:rPr>
          <w:rtl w:val="true"/>
        </w:rPr>
        <w:t>المذهب المالکی</w:t>
      </w:r>
      <w:bookmarkEnd w:id="65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یصیب ثوب أو بدن الجزّار ونازح المراحیض و الطبیب الّذی یعالج الجروح ویندب لهم إعداد الثوب</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قال الجزیری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عفی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للحرج و 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 </w:t>
      </w:r>
      <w:r>
        <w:rPr>
          <w:rStyle w:val="FootnoteAnchor"/>
          <w:rtl w:val="true"/>
        </w:rPr>
        <w:footnoteReference w:id="350"/>
      </w:r>
    </w:p>
    <w:p>
      <w:pPr>
        <w:pStyle w:val="Heading4"/>
        <w:numPr>
          <w:ilvl w:val="3"/>
          <w:numId w:val="1"/>
        </w:numPr>
        <w:rPr/>
      </w:pPr>
      <w:bookmarkStart w:id="651" w:name="__RefHeading___Toc362828_581953129"/>
      <w:bookmarkStart w:id="652" w:name="_Toc268"/>
      <w:bookmarkEnd w:id="651"/>
      <w:r>
        <w:rPr>
          <w:rtl w:val="true"/>
        </w:rPr>
        <w:t>المذهب الجعفری</w:t>
      </w:r>
      <w:bookmarkEnd w:id="652"/>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عفو بالنسبة إلی الموارد المذکورة الّتی صدر العفو عنها من أئمّة‌المذاهب الأربعة؛ذلک لعدم الدلیل علی العفو،ولم تکن تلک الموارد من‌المشقّات الرافعة للتکلیف،و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الأوفق بالقواعد و الأحوط فی‌الدین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الدم المعفوّ فهو الدم الأقل من الدرهم و هو الّذی دلّت النصوص علی العفو عنها ولا خلاف فیه إلاّ عن الشافعی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المعفو،الدم الّذی لا یدرکه البصر أمّا دم الفصد و الحجامة فیعفی عن الکثیر</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والحکم علی أساس الاجتهاد الخاصّ</w:t>
      </w:r>
      <w:r>
        <w:rPr>
          <w:rFonts w:eastAsia="IRNazanin" w:cs="IRNazanin"/>
          <w:color w:val="111111"/>
          <w:sz w:val="28"/>
          <w:szCs w:val="28"/>
          <w:rtl w:val="true"/>
          <w:lang w:bidi="fa-IR"/>
        </w:rPr>
        <w:t>.</w:t>
      </w:r>
      <w:bookmarkStart w:id="653" w:name="pg5240_59245"/>
    </w:p>
    <w:p>
      <w:pPr>
        <w:pStyle w:val="Heading3"/>
        <w:numPr>
          <w:ilvl w:val="2"/>
          <w:numId w:val="1"/>
        </w:numPr>
        <w:rPr/>
      </w:pPr>
      <w:bookmarkStart w:id="654" w:name="__RefHeading___Toc362830_581953129"/>
      <w:bookmarkStart w:id="655" w:name="_Toc269"/>
      <w:bookmarkEnd w:id="653"/>
      <w:bookmarkEnd w:id="654"/>
      <w:r>
        <w:rPr>
          <w:rtl w:val="true"/>
        </w:rPr>
        <w:t>العفو عن الدماء الثلاثة</w:t>
      </w:r>
      <w:bookmarkEnd w:id="655"/>
    </w:p>
    <w:p>
      <w:pPr>
        <w:pStyle w:val="Heading4"/>
        <w:numPr>
          <w:ilvl w:val="3"/>
          <w:numId w:val="1"/>
        </w:numPr>
        <w:rPr/>
      </w:pPr>
      <w:bookmarkStart w:id="656" w:name="__RefHeading___Toc362832_581953129"/>
      <w:bookmarkStart w:id="657" w:name="_Toc270"/>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اختلفت الآراء بالنسبة إلی شمول العفو للدماء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الحیض،النفاس،الاستحاضة وعدم شموله لها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658" w:name="__RefHeading___Toc362834_581953129"/>
      <w:bookmarkStart w:id="659" w:name="_Toc271"/>
      <w:bookmarkEnd w:id="658"/>
      <w:r>
        <w:rPr>
          <w:rtl w:val="true"/>
        </w:rPr>
        <w:t>المذهب الجعفری</w:t>
      </w:r>
      <w:bookmarkEnd w:id="659"/>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الأقل من الدرهم معفوّ عنه عدا الدماء الثلاثة</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ذلک؛لروایة أبی‌بصیر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من دم لا 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دم الحیض،فإنّ قلیله وکثیره فی الثوب،إن رآه أو لم یره سواء</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والّذی یشکل الأمر هو 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المحکّی عن جماعة</w:t>
      </w:r>
      <w:r>
        <w:rPr>
          <w:rFonts w:eastAsia="IRNazanin" w:cs="IRNazanin"/>
          <w:color w:val="111111"/>
          <w:sz w:val="28"/>
          <w:szCs w:val="28"/>
          <w:rtl w:val="true"/>
          <w:lang w:bidi="fa-IR"/>
        </w:rPr>
        <w:t xml:space="preserve">. </w:t>
      </w:r>
      <w:r>
        <w:rPr>
          <w:rStyle w:val="FootnoteAnchor"/>
          <w:rtl w:val="true"/>
        </w:rPr>
        <w:footnoteReference w:id="354"/>
      </w:r>
    </w:p>
    <w:p>
      <w:pPr>
        <w:pStyle w:val="Heading4"/>
        <w:numPr>
          <w:ilvl w:val="3"/>
          <w:numId w:val="1"/>
        </w:numPr>
        <w:rPr/>
      </w:pPr>
      <w:bookmarkStart w:id="660" w:name="__RefHeading___Toc362836_581953129"/>
      <w:bookmarkStart w:id="661" w:name="_Toc272"/>
      <w:bookmarkEnd w:id="660"/>
      <w:r>
        <w:rPr>
          <w:rtl w:val="true"/>
        </w:rPr>
        <w:t>المذاهب الاربعة</w:t>
      </w:r>
      <w:bookmarkEnd w:id="661"/>
    </w:p>
    <w:p>
      <w:pPr>
        <w:pStyle w:val="BookText"/>
        <w:rPr/>
      </w:pPr>
      <w:r>
        <w:rPr>
          <w:rFonts w:ascii="IRNazanin" w:hAnsi="IRNazanin" w:eastAsia="IRNazanin"/>
          <w:color w:val="111111"/>
          <w:sz w:val="28"/>
          <w:sz w:val="28"/>
          <w:szCs w:val="28"/>
          <w:rtl w:val="true"/>
          <w:lang w:bidi="fa-IR"/>
        </w:rPr>
        <w:t>یدخل فی العفو بالنسبة إلی الدم الیسیر،دم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ویعفی عن یسیر دم الحیض؛لما روی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لإحدانا إلاّ ثوب فیه تحیض فإن أصابه شیء من دمها بلّته بریقها ثمّ قطعته بظفرها،رواه أبوداود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العفو عنه؛لأنّ الریق لایطهر به ویتنجس به ظفرها،و هو إخبار عن دوام الفعل،ومثل هذا لایخفی علی النبی صلی الله علیه و آله ولا یصدر إلا عن أمره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بالحسّ ونقلوا الإجماع علیه</w:t>
      </w:r>
      <w:r>
        <w:rPr>
          <w:rFonts w:eastAsia="IRNazanin" w:cs="IRNazanin"/>
          <w:color w:val="111111"/>
          <w:sz w:val="28"/>
          <w:szCs w:val="28"/>
          <w:rtl w:val="true"/>
          <w:lang w:bidi="fa-IR"/>
        </w:rPr>
        <w:t xml:space="preserve">. </w:t>
      </w:r>
      <w:r>
        <w:rPr>
          <w:rStyle w:val="FootnoteAnchor"/>
          <w:rtl w:val="true"/>
        </w:rPr>
        <w:footnoteReference w:id="355"/>
      </w:r>
      <w:bookmarkStart w:id="662" w:name="pg5240_59247"/>
    </w:p>
    <w:p>
      <w:pPr>
        <w:pStyle w:val="BookText"/>
        <w:rPr/>
      </w:pPr>
      <w:bookmarkEnd w:id="662"/>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الاجتناب هناک أحوط و هوالّذی انعقد علیه الإجماع المنقول عن الفریقین</w:t>
      </w:r>
      <w:r>
        <w:rPr>
          <w:rFonts w:eastAsia="IRNazanin" w:cs="IRNazanin"/>
          <w:color w:val="111111"/>
          <w:sz w:val="28"/>
          <w:szCs w:val="28"/>
          <w:rtl w:val="true"/>
          <w:lang w:bidi="fa-IR"/>
        </w:rPr>
        <w:t>.</w:t>
      </w:r>
    </w:p>
    <w:p>
      <w:pPr>
        <w:pStyle w:val="Heading4"/>
        <w:numPr>
          <w:ilvl w:val="3"/>
          <w:numId w:val="1"/>
        </w:numPr>
        <w:rPr/>
      </w:pPr>
      <w:bookmarkStart w:id="663" w:name="__RefHeading___Toc362838_581953129"/>
      <w:bookmarkStart w:id="664" w:name="_Toc273"/>
      <w:bookmarkEnd w:id="663"/>
      <w:r>
        <w:rPr>
          <w:rtl w:val="true"/>
        </w:rPr>
        <w:t>منشأ الاختلاف</w:t>
      </w:r>
      <w:bookmarkEnd w:id="664"/>
    </w:p>
    <w:p>
      <w:pPr>
        <w:pStyle w:val="BookText"/>
        <w:rPr/>
      </w:pPr>
      <w:r>
        <w:rPr>
          <w:rFonts w:ascii="IRNazanin" w:hAnsi="IRNazanin" w:eastAsia="IRNazanin"/>
          <w:color w:val="111111"/>
          <w:sz w:val="28"/>
          <w:sz w:val="28"/>
          <w:szCs w:val="28"/>
          <w:rtl w:val="true"/>
          <w:lang w:bidi="fa-IR"/>
        </w:rPr>
        <w:t>إنّ الاختلاف بالنسبة إلی العفو عن بعض النجاسات کالعفو عن نجاسة لباس الجزّار وماشاکله ناشئ عن الاختلاف فی تحدید معنی الحرج فمن رأی مثل المورد حرجاً،یقول بالعفو عنه لقاعدة الحرج،ومن لم یره حرجاً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العفو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یلزم ذلک فلا عفو</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 أمّا تفرّد الشافعی فی العفو عن الدم الّذی لایدرکه البصر فهو اجتهاده الخاصّ</w:t>
      </w:r>
      <w:r>
        <w:rPr>
          <w:rFonts w:eastAsia="IRNazanin" w:cs="IRNazanin"/>
          <w:color w:val="111111"/>
          <w:sz w:val="28"/>
          <w:szCs w:val="28"/>
          <w:rtl w:val="true"/>
          <w:lang w:bidi="fa-IR"/>
        </w:rPr>
        <w:t>.</w:t>
      </w:r>
    </w:p>
    <w:p>
      <w:pPr>
        <w:pStyle w:val="Heading3"/>
        <w:numPr>
          <w:ilvl w:val="2"/>
          <w:numId w:val="1"/>
        </w:numPr>
        <w:rPr/>
      </w:pPr>
      <w:bookmarkStart w:id="665" w:name="__RefHeading___Toc362840_581953129"/>
      <w:bookmarkStart w:id="666" w:name="_Toc274"/>
      <w:bookmarkEnd w:id="665"/>
      <w:r>
        <w:rPr>
          <w:rtl w:val="true"/>
        </w:rPr>
        <w:t>صحّة الصلاة فی اللباس المغصوب</w:t>
      </w:r>
      <w:bookmarkEnd w:id="666"/>
    </w:p>
    <w:p>
      <w:pPr>
        <w:pStyle w:val="Heading4"/>
        <w:numPr>
          <w:ilvl w:val="3"/>
          <w:numId w:val="1"/>
        </w:numPr>
        <w:rPr/>
      </w:pPr>
      <w:bookmarkStart w:id="667" w:name="__RefHeading___Toc362842_581953129"/>
      <w:bookmarkStart w:id="668" w:name="_Toc275"/>
      <w:bookmarkEnd w:id="667"/>
      <w:r>
        <w:rPr>
          <w:rtl w:val="true"/>
        </w:rPr>
        <w:t>اشارة</w:t>
      </w:r>
      <w:bookmarkEnd w:id="668"/>
    </w:p>
    <w:p>
      <w:pPr>
        <w:pStyle w:val="BookText"/>
        <w:rPr/>
      </w:pPr>
      <w:r>
        <w:rPr>
          <w:rFonts w:ascii="IRNazanin" w:hAnsi="IRNazanin" w:eastAsia="IRNazanin"/>
          <w:color w:val="111111"/>
          <w:sz w:val="28"/>
          <w:sz w:val="28"/>
          <w:szCs w:val="28"/>
          <w:rtl w:val="true"/>
          <w:lang w:bidi="fa-IR"/>
        </w:rPr>
        <w:t>اختلفت الآراء بالنسبة إلی صحّة الصلاة فی اللباس المغصوب وبطلانها بعد الاتّفاق علی‌حرمة التصرّف فیه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669" w:name="__RefHeading___Toc362844_581953129"/>
      <w:bookmarkStart w:id="670" w:name="_Toc276"/>
      <w:bookmarkEnd w:id="669"/>
      <w:r>
        <w:rPr>
          <w:rtl w:val="true"/>
        </w:rPr>
        <w:t>المذهب الجعفری</w:t>
      </w:r>
      <w:bookmarkEnd w:id="6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الإباحة شرط فی جمیع لباس المصلّی من غیر فرق بین الساتر وغیره،فلو صلّی فی المغصوب ولو کان خیطاً منه،عالماً بالحرمة عامداً بطلت الصلاة </w:t>
      </w:r>
      <w:r>
        <w:rPr>
          <w:rStyle w:val="FootnoteAnchor"/>
          <w:rtl w:val="true"/>
        </w:rPr>
        <w:footnoteReference w:id="357"/>
      </w:r>
      <w:r>
        <w:rPr>
          <w:rFonts w:ascii="IRNazanin" w:hAnsi="IRNazanin" w:eastAsia="IRNazanin"/>
          <w:color w:val="111111"/>
          <w:sz w:val="28"/>
          <w:sz w:val="28"/>
          <w:szCs w:val="28"/>
          <w:rtl w:val="true"/>
          <w:lang w:bidi="fa-IR"/>
        </w:rPr>
        <w:t>ذلک؛لأنّ ما هو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التصرّف فی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صالحاً للتقرّب وبما أنّ التصرّف لاینفکّ عن الصلاة وحرکاتها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رکوعاً وسجوداً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النهی بالصلاة طبعاً فتصبح الصلاة عندئذ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الحکم متسالم علیه عند فقهاء الجعفریة</w:t>
      </w:r>
      <w:r>
        <w:rPr>
          <w:rFonts w:eastAsia="IRNazanin" w:cs="IRNazanin"/>
          <w:color w:val="111111"/>
          <w:sz w:val="28"/>
          <w:szCs w:val="28"/>
          <w:rtl w:val="true"/>
          <w:lang w:bidi="fa-IR"/>
        </w:rPr>
        <w:t>.</w:t>
      </w:r>
      <w:bookmarkStart w:id="671" w:name="pg5240_59249"/>
    </w:p>
    <w:p>
      <w:pPr>
        <w:pStyle w:val="Heading4"/>
        <w:numPr>
          <w:ilvl w:val="3"/>
          <w:numId w:val="1"/>
        </w:numPr>
        <w:rPr/>
      </w:pPr>
      <w:bookmarkStart w:id="672" w:name="__RefHeading___Toc362846_581953129"/>
      <w:bookmarkStart w:id="673" w:name="_Toc277"/>
      <w:bookmarkEnd w:id="671"/>
      <w:bookmarkEnd w:id="672"/>
      <w:r>
        <w:rPr>
          <w:rtl w:val="true"/>
        </w:rPr>
        <w:t>المذاهب الاربعة</w:t>
      </w:r>
      <w:bookmarkEnd w:id="673"/>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یعمّ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المغصوب،وهل تصحّ الصلاة فیه؟علی روایتین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تصحّ،و هو قول أبی‌حنیفة و الشافعی؛لأنّ التحریم لایختصّ الصلاة ولا النهی یعود إلیها،فلم یمنع،کما لو غسل ثوبه من النجاسة بماء مغصوب،ووجه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استعمل فی شرط العبادة ما یحرم علیه استعماله،فلم تصحّ،کما لو صلّی فی ثوب نجس،ولأنّ الصلاة قربة وطاعة و هو منهی عنها علی هذا الوجه،فکیف یتقرّب بما هو عاص به أو یؤمر بما هو منهی عنه؟و إن صلّی فی دار مغصوبة فالخلاف فیها کالخلاف فی الثوب المغصوب</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أمّا الاختلاف فی صحّة الصلاة فی لباس الحریر بعد الاتّفاق علی حرمة لبسه علی الرجال فینسحب علی نفس الاختلاف بالنسبة إلی اللباس المغصوب</w:t>
      </w:r>
      <w:r>
        <w:rPr>
          <w:rFonts w:eastAsia="IRNazanin" w:cs="IRNazanin"/>
          <w:color w:val="111111"/>
          <w:sz w:val="28"/>
          <w:szCs w:val="28"/>
          <w:rtl w:val="true"/>
          <w:lang w:bidi="fa-IR"/>
        </w:rPr>
        <w:t>.</w:t>
      </w:r>
    </w:p>
    <w:p>
      <w:pPr>
        <w:pStyle w:val="Heading4"/>
        <w:numPr>
          <w:ilvl w:val="3"/>
          <w:numId w:val="1"/>
        </w:numPr>
        <w:rPr/>
      </w:pPr>
      <w:bookmarkStart w:id="674" w:name="__RefHeading___Toc362848_581953129"/>
      <w:bookmarkStart w:id="675" w:name="_Toc278"/>
      <w:bookmarkEnd w:id="674"/>
      <w:r>
        <w:rPr>
          <w:rtl w:val="true"/>
        </w:rPr>
        <w:t>منشأ الاختلاف</w:t>
      </w:r>
      <w:bookmarkEnd w:id="675"/>
    </w:p>
    <w:p>
      <w:pPr>
        <w:pStyle w:val="BookText"/>
        <w:rPr/>
      </w:pPr>
      <w:r>
        <w:rPr>
          <w:rFonts w:ascii="IRNazanin" w:hAnsi="IRNazanin" w:eastAsia="IRNazanin"/>
          <w:color w:val="111111"/>
          <w:sz w:val="28"/>
          <w:sz w:val="28"/>
          <w:szCs w:val="28"/>
          <w:rtl w:val="true"/>
          <w:lang w:bidi="fa-IR"/>
        </w:rPr>
        <w:t>منشأ الاختلاف عائد إلی الاختلاف بالنسبة إلی وحدة متعلّقی الأمر و النهی وتعدّدهما فالحکم بالبطلان علی المذهب الجعفری و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ینبثق عن وحدة المتعلّق و الحکم بصحّة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الحنفی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تعدّد المتعلّق</w:t>
      </w:r>
      <w:r>
        <w:rPr>
          <w:rFonts w:eastAsia="IRNazanin" w:cs="IRNazanin"/>
          <w:color w:val="111111"/>
          <w:sz w:val="28"/>
          <w:szCs w:val="28"/>
          <w:rtl w:val="true"/>
          <w:lang w:bidi="fa-IR"/>
        </w:rPr>
        <w:t>.</w:t>
      </w:r>
    </w:p>
    <w:p>
      <w:pPr>
        <w:pStyle w:val="Heading3"/>
        <w:numPr>
          <w:ilvl w:val="2"/>
          <w:numId w:val="1"/>
        </w:numPr>
        <w:rPr/>
      </w:pPr>
      <w:bookmarkStart w:id="676" w:name="__RefHeading___Toc362850_581953129"/>
      <w:bookmarkStart w:id="677" w:name="_Toc279"/>
      <w:bookmarkEnd w:id="676"/>
      <w:r>
        <w:rPr>
          <w:rtl w:val="true"/>
        </w:rPr>
        <w:t>صحّة صلاة المضطرّ فی الساتر المتنجّس</w:t>
      </w:r>
      <w:bookmarkEnd w:id="677"/>
    </w:p>
    <w:p>
      <w:pPr>
        <w:pStyle w:val="Heading4"/>
        <w:numPr>
          <w:ilvl w:val="3"/>
          <w:numId w:val="1"/>
        </w:numPr>
        <w:rPr/>
      </w:pPr>
      <w:bookmarkStart w:id="678" w:name="__RefHeading___Toc362852_581953129"/>
      <w:bookmarkStart w:id="679" w:name="_Toc280"/>
      <w:bookmarkEnd w:id="678"/>
      <w:r>
        <w:rPr>
          <w:rtl w:val="true"/>
        </w:rPr>
        <w:t>اشارة</w:t>
      </w:r>
      <w:bookmarkEnd w:id="679"/>
    </w:p>
    <w:p>
      <w:pPr>
        <w:pStyle w:val="BookText"/>
        <w:rPr/>
      </w:pPr>
      <w:r>
        <w:rPr>
          <w:rFonts w:ascii="IRNazanin" w:hAnsi="IRNazanin" w:eastAsia="IRNazanin"/>
          <w:color w:val="111111"/>
          <w:sz w:val="28"/>
          <w:sz w:val="28"/>
          <w:szCs w:val="28"/>
          <w:rtl w:val="true"/>
          <w:lang w:bidi="fa-IR"/>
        </w:rPr>
        <w:t>اختلفت الآراء بالنسبة إلی صحّة صلاة من لیس له إلاّثوب متنجّس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680" w:name="__RefHeading___Toc362854_581953129"/>
      <w:bookmarkStart w:id="681" w:name="_Toc281"/>
      <w:bookmarkEnd w:id="680"/>
      <w:r>
        <w:rPr>
          <w:rtl w:val="true"/>
        </w:rPr>
        <w:t>المذهب الجعفری</w:t>
      </w:r>
      <w:bookmarkEnd w:id="68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انحصر الساتر بالنجس فإن إضطرّ إلی لبسه صحّت صلاته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bookmarkStart w:id="682" w:name="pg5240_59251"/>
    </w:p>
    <w:p>
      <w:pPr>
        <w:pStyle w:val="BookText"/>
        <w:rPr/>
      </w:pPr>
      <w:bookmarkEnd w:id="682"/>
      <w:r>
        <w:rPr>
          <w:rFonts w:ascii="IRNazanin" w:hAnsi="IRNazanin" w:eastAsia="IRNazanin"/>
          <w:color w:val="111111"/>
          <w:sz w:val="28"/>
          <w:sz w:val="28"/>
          <w:szCs w:val="28"/>
          <w:rtl w:val="true"/>
          <w:lang w:bidi="fa-IR"/>
        </w:rPr>
        <w:t>الاضطرار یسقط الإشتراط؛علی أساس قاعدة 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یضطرّ فالأحوط الجمع بین الصلاة فیه و الصلاة عاریاً و إن کان الأظهر الاجتزاء بالصلاة فیه</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683" w:name="__RefHeading___Toc362856_581953129"/>
      <w:bookmarkStart w:id="684" w:name="_Toc282"/>
      <w:bookmarkEnd w:id="683"/>
      <w:r>
        <w:rPr>
          <w:rtl w:val="true"/>
        </w:rPr>
        <w:t>المذاهب الاربعة</w:t>
      </w:r>
      <w:bookmarkEnd w:id="684"/>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إلاّ ثوباً نجساً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 ولا یصلّی عریاناً و هو قول مالک،وقال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عریاناً ولا یعید،لأنّها سترة نجسة فلم تجز الصلاة فیها،وقال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جمیعه نجساً فهو مخیر فی الفعلین؛لأنّه لابدّ من ترک واجب فی کلا الفعلین 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الستر آکد من إزالة النجاسة فکان أولی،ولأنّ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 فخذک،و هذا عامّ ولأنّ السترة متّفق علی اشتراطها،والطهارة من النجاسة مختلف فیها فکان المتّفق علیه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فالمنصوص عن أحمد أنّه لایعید؛لأنّ الطهارة من النجاسة شرط و قد فاتت</w:t>
      </w:r>
      <w:r>
        <w:rPr>
          <w:rFonts w:eastAsia="IRNazanin" w:cs="IRNazanin"/>
          <w:color w:val="111111"/>
          <w:sz w:val="28"/>
          <w:szCs w:val="28"/>
          <w:rtl w:val="true"/>
          <w:lang w:bidi="fa-IR"/>
        </w:rPr>
        <w:t xml:space="preserve">. </w:t>
      </w:r>
      <w:r>
        <w:rPr>
          <w:rStyle w:val="FootnoteAnchor"/>
          <w:rtl w:val="true"/>
        </w:rPr>
        <w:footnoteReference w:id="360"/>
      </w:r>
    </w:p>
    <w:p>
      <w:pPr>
        <w:pStyle w:val="Heading3"/>
        <w:numPr>
          <w:ilvl w:val="2"/>
          <w:numId w:val="1"/>
        </w:numPr>
        <w:rPr/>
      </w:pPr>
      <w:bookmarkStart w:id="685" w:name="__RefHeading___Toc362858_581953129"/>
      <w:bookmarkStart w:id="686" w:name="_Toc283"/>
      <w:bookmarkEnd w:id="685"/>
      <w:r>
        <w:rPr>
          <w:rtl w:val="true"/>
        </w:rPr>
        <w:t>تحدید الطهارة بالنسبة إلی مکان المصلّی</w:t>
      </w:r>
      <w:bookmarkEnd w:id="686"/>
    </w:p>
    <w:p>
      <w:pPr>
        <w:pStyle w:val="Heading4"/>
        <w:numPr>
          <w:ilvl w:val="3"/>
          <w:numId w:val="1"/>
        </w:numPr>
        <w:rPr/>
      </w:pPr>
      <w:bookmarkStart w:id="687" w:name="__RefHeading___Toc362860_581953129"/>
      <w:bookmarkStart w:id="688" w:name="_Toc284"/>
      <w:bookmarkEnd w:id="687"/>
      <w:r>
        <w:rPr>
          <w:rtl w:val="true"/>
        </w:rPr>
        <w:t>اشارة</w:t>
      </w:r>
      <w:bookmarkEnd w:id="688"/>
    </w:p>
    <w:p>
      <w:pPr>
        <w:pStyle w:val="BookText"/>
        <w:rPr/>
      </w:pPr>
      <w:r>
        <w:rPr>
          <w:rFonts w:ascii="IRNazanin" w:hAnsi="IRNazanin" w:eastAsia="IRNazanin"/>
          <w:color w:val="111111"/>
          <w:sz w:val="28"/>
          <w:sz w:val="28"/>
          <w:szCs w:val="28"/>
          <w:rtl w:val="true"/>
          <w:lang w:bidi="fa-IR"/>
        </w:rPr>
        <w:t>اختلفت الآراء فی تحدید طهارة المکان الّذی یصلّی فیه بعد الاتّفاق علی اشتراط الطهارة فی مکان المصلّی،وتفصیل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689" w:name="__RefHeading___Toc362862_581953129"/>
      <w:bookmarkStart w:id="690" w:name="_Toc285"/>
      <w:bookmarkEnd w:id="689"/>
      <w:r>
        <w:rPr>
          <w:rtl w:val="true"/>
        </w:rPr>
        <w:t>المذهب الجعفری</w:t>
      </w:r>
      <w:bookmarkEnd w:id="6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موضع الجبهة طهارة المکان</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وعلیه فنجاسة المکان إذا لم تتعدّ إلی لباس المصلّی أو بدنه لا تبطل الصلاة؛لعدم اشتراط الطهارة للمکان بحسب الذات إلاّ موضع الجبهة لدخله فی الصلاة ویساعده علی ذلک الحکم</w:t>
      </w:r>
      <w:r>
        <w:rPr>
          <w:rFonts w:eastAsia="IRNazanin" w:cs="IRNazanin"/>
          <w:color w:val="111111"/>
          <w:sz w:val="28"/>
          <w:szCs w:val="28"/>
          <w:rtl w:val="true"/>
          <w:lang w:bidi="fa-IR"/>
        </w:rPr>
        <w:t>-</w:t>
      </w:r>
      <w:bookmarkStart w:id="691" w:name="pg5240_59253"/>
    </w:p>
    <w:p>
      <w:pPr>
        <w:pStyle w:val="BookText"/>
        <w:rPr/>
      </w:pPr>
      <w:bookmarkEnd w:id="691"/>
      <w:r>
        <w:rPr>
          <w:rFonts w:ascii="IRNazanin" w:hAnsi="IRNazanin" w:eastAsia="IRNazanin"/>
          <w:color w:val="111111"/>
          <w:sz w:val="28"/>
          <w:sz w:val="28"/>
          <w:szCs w:val="28"/>
          <w:rtl w:val="true"/>
          <w:lang w:bidi="fa-IR"/>
        </w:rPr>
        <w:t>اشتراط طهارة موضع الجبهة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الحنفی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المکان لم یکن مشترطاً بالطهارة وأنّه یکفی فی طهارة المکان طهارة موضع القدمین وموضع الجبهة؛لعدم الدلیل علی اشتراط طهارة المکان کلّه</w:t>
      </w:r>
      <w:r>
        <w:rPr>
          <w:rFonts w:eastAsia="IRNazanin" w:cs="IRNazanin"/>
          <w:color w:val="111111"/>
          <w:sz w:val="28"/>
          <w:szCs w:val="28"/>
          <w:rtl w:val="true"/>
          <w:lang w:bidi="fa-IR"/>
        </w:rPr>
        <w:t>.</w:t>
      </w:r>
    </w:p>
    <w:p>
      <w:pPr>
        <w:pStyle w:val="Heading4"/>
        <w:numPr>
          <w:ilvl w:val="3"/>
          <w:numId w:val="1"/>
        </w:numPr>
        <w:rPr/>
      </w:pPr>
      <w:bookmarkStart w:id="692" w:name="__RefHeading___Toc362864_581953129"/>
      <w:bookmarkStart w:id="693" w:name="_Toc286"/>
      <w:bookmarkEnd w:id="692"/>
      <w:r>
        <w:rPr>
          <w:rtl w:val="true"/>
        </w:rPr>
        <w:t>المذاهب الأخری</w:t>
      </w:r>
      <w:bookmarkEnd w:id="693"/>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وطهارة موضع الصلاة شرط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الآیة و الروایة الّتی ذکرها لیس فیها ما یدلّ علی الشرطیة،ولکنّا نلتزمها احتیاطاً ولأنّها أکمل</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والّذی یسهّل الخطب أنّ المصلّی من مختلف المذاهب یجتنب عن المکان المتنجّس فلا خلاف هناک من ناحیة عملیة</w:t>
      </w:r>
      <w:r>
        <w:rPr>
          <w:rFonts w:eastAsia="IRNazanin" w:cs="IRNazanin"/>
          <w:color w:val="111111"/>
          <w:sz w:val="28"/>
          <w:szCs w:val="28"/>
          <w:rtl w:val="true"/>
          <w:lang w:bidi="fa-IR"/>
        </w:rPr>
        <w:t>.</w:t>
      </w:r>
    </w:p>
    <w:p>
      <w:pPr>
        <w:pStyle w:val="Heading3"/>
        <w:numPr>
          <w:ilvl w:val="2"/>
          <w:numId w:val="1"/>
        </w:numPr>
        <w:rPr/>
      </w:pPr>
      <w:bookmarkStart w:id="694" w:name="__RefHeading___Toc362866_581953129"/>
      <w:bookmarkStart w:id="695" w:name="_Toc287"/>
      <w:bookmarkEnd w:id="694"/>
      <w:r>
        <w:rPr>
          <w:rtl w:val="true"/>
        </w:rPr>
        <w:t>ما یصحّ السجود علیه</w:t>
      </w:r>
      <w:bookmarkEnd w:id="695"/>
    </w:p>
    <w:p>
      <w:pPr>
        <w:pStyle w:val="Heading4"/>
        <w:numPr>
          <w:ilvl w:val="3"/>
          <w:numId w:val="1"/>
        </w:numPr>
        <w:rPr/>
      </w:pPr>
      <w:bookmarkStart w:id="696" w:name="__RefHeading___Toc362868_581953129"/>
      <w:bookmarkStart w:id="697" w:name="_Toc288"/>
      <w:bookmarkEnd w:id="696"/>
      <w:r>
        <w:rPr>
          <w:rtl w:val="true"/>
        </w:rPr>
        <w:t>اشارة</w:t>
      </w:r>
      <w:bookmarkEnd w:id="697"/>
    </w:p>
    <w:p>
      <w:pPr>
        <w:pStyle w:val="BookText"/>
        <w:rPr/>
      </w:pPr>
      <w:r>
        <w:rPr>
          <w:rFonts w:ascii="IRNazanin" w:hAnsi="IRNazanin" w:eastAsia="IRNazanin"/>
          <w:color w:val="111111"/>
          <w:sz w:val="28"/>
          <w:sz w:val="28"/>
          <w:szCs w:val="28"/>
          <w:rtl w:val="true"/>
          <w:lang w:bidi="fa-IR"/>
        </w:rPr>
        <w:t>اختلف المذهب الجعفری مع المذاهب الأربعة بالنسبة إلی ما یصحّ السجود علیه و هو من الاختلافات المهمّة بین الفریقین وتفصیله بما یلی</w:t>
      </w:r>
      <w:r>
        <w:rPr>
          <w:rFonts w:eastAsia="IRNazanin" w:cs="IRNazanin"/>
          <w:color w:val="111111"/>
          <w:sz w:val="28"/>
          <w:szCs w:val="28"/>
          <w:rtl w:val="true"/>
          <w:lang w:bidi="fa-IR"/>
        </w:rPr>
        <w:t>:</w:t>
      </w:r>
    </w:p>
    <w:p>
      <w:pPr>
        <w:pStyle w:val="Heading4"/>
        <w:numPr>
          <w:ilvl w:val="3"/>
          <w:numId w:val="1"/>
        </w:numPr>
        <w:rPr/>
      </w:pPr>
      <w:bookmarkStart w:id="698" w:name="__RefHeading___Toc362870_581953129"/>
      <w:bookmarkStart w:id="699" w:name="_Toc289"/>
      <w:bookmarkEnd w:id="698"/>
      <w:r>
        <w:rPr>
          <w:rtl w:val="true"/>
        </w:rPr>
        <w:t>المذهب الجعفری</w:t>
      </w:r>
      <w:bookmarkEnd w:id="69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مسجد الجبهة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الطهارة أن یکون من الأرض أو ما أنبتته الأرض،فلا یصحّ السجودعلی ما خرج عن اسم‌الأرض</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إجماعاً؛والنصوص الدالّة علیه وافرة،منها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هشام‌بن الحکم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السجود إلاّ علی الأرض أو علی ما أنبتت الأرض</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وقریب منها غیرها</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ویشهد علیه عمل</w:t>
      </w:r>
      <w:bookmarkStart w:id="700" w:name="pg5240_59255"/>
    </w:p>
    <w:p>
      <w:pPr>
        <w:pStyle w:val="BookText"/>
        <w:rPr/>
      </w:pPr>
      <w:bookmarkEnd w:id="700"/>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عبدالله عمر کان إذا سجد وعلیه العمامة یرفعها حتّی یضع جبهته بالأرض</w:t>
      </w:r>
      <w:r>
        <w:rPr>
          <w:rFonts w:eastAsia="IRNazanin" w:cs="IRNazanin"/>
          <w:color w:val="111111"/>
          <w:sz w:val="28"/>
          <w:szCs w:val="28"/>
          <w:rtl w:val="true"/>
          <w:lang w:bidi="fa-IR"/>
        </w:rPr>
        <w:t xml:space="preserve">. </w:t>
      </w:r>
      <w:r>
        <w:rPr>
          <w:rStyle w:val="FootnoteAnchor"/>
        </w:rPr>
        <w:footnoteReference w:id="366"/>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ابن‌مسعود کان لایسجد إلاّ علی الأرض</w:t>
      </w:r>
      <w:r>
        <w:rPr>
          <w:rFonts w:eastAsia="IRNazanin" w:cs="IRNazanin"/>
          <w:color w:val="111111"/>
          <w:sz w:val="28"/>
          <w:szCs w:val="28"/>
          <w:rtl w:val="true"/>
          <w:lang w:bidi="fa-IR"/>
        </w:rPr>
        <w:t xml:space="preserve">. </w:t>
      </w:r>
      <w:r>
        <w:rPr>
          <w:rStyle w:val="FootnoteAnchor"/>
        </w:rPr>
        <w:footnoteReference w:id="367"/>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ابن أبی‌شیبه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مسروقاً کان إذاسافر حمل معه فی السفینة لبنة یسجد علیها </w:t>
      </w:r>
      <w:r>
        <w:rPr>
          <w:rStyle w:val="FootnoteAnchor"/>
          <w:rtl w:val="true"/>
        </w:rPr>
        <w:footnoteReference w:id="368"/>
      </w:r>
      <w:r>
        <w:rPr>
          <w:rFonts w:ascii="IRNazanin" w:hAnsi="IRNazanin" w:eastAsia="IRNazanin"/>
          <w:color w:val="111111"/>
          <w:sz w:val="28"/>
          <w:sz w:val="28"/>
          <w:szCs w:val="28"/>
          <w:rtl w:val="true"/>
          <w:lang w:bidi="fa-IR"/>
        </w:rPr>
        <w:t>ومسروق‌بن الاجدع فقیه تابعی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ویؤکده ما روی البرّا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رسول الله صلی الله علیه و آله 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 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جبهته علی الأرض</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ویؤیده ما روی عن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شکونا إلی رسول الله صلی الله علیه و آله حرّ الرمضاء فی جباهنا وأکفّنا فلم یشکنا</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فلو کان السجود علی اللباس و الفراش جائزاً لم یکن المجال للشکوی،قال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سجد علی کور العمامة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 أن یرفعها عن بعض جبهته حتّی یمس بعض جبهته الأرض</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أضف إلی ذلک أنّ معنی السجود هو وضع الجبهة علی الأرض وبدونه یحصل الشکّ فی تحقّق المعنی</w:t>
      </w:r>
      <w:r>
        <w:rPr>
          <w:rFonts w:eastAsia="IRNazanin" w:cs="IRNazanin"/>
          <w:color w:val="111111"/>
          <w:sz w:val="28"/>
          <w:szCs w:val="28"/>
          <w:rtl w:val="true"/>
          <w:lang w:bidi="fa-IR"/>
        </w:rPr>
        <w:t>.</w:t>
      </w:r>
    </w:p>
    <w:p>
      <w:pPr>
        <w:pStyle w:val="Heading4"/>
        <w:numPr>
          <w:ilvl w:val="3"/>
          <w:numId w:val="1"/>
        </w:numPr>
        <w:rPr/>
      </w:pPr>
      <w:bookmarkStart w:id="701" w:name="__RefHeading___Toc362872_581953129"/>
      <w:bookmarkStart w:id="702" w:name="_Toc290"/>
      <w:bookmarkEnd w:id="701"/>
      <w:r>
        <w:rPr>
          <w:rtl w:val="true"/>
        </w:rPr>
        <w:t>المذاهب الاربعة</w:t>
      </w:r>
      <w:bookmarkEnd w:id="702"/>
    </w:p>
    <w:p>
      <w:pPr>
        <w:pStyle w:val="BookText"/>
        <w:rPr/>
      </w:pPr>
      <w:r>
        <w:rPr>
          <w:rFonts w:ascii="IRNazanin" w:hAnsi="IRNazanin" w:eastAsia="IRNazanin"/>
          <w:color w:val="111111"/>
          <w:sz w:val="28"/>
          <w:sz w:val="28"/>
          <w:szCs w:val="28"/>
          <w:rtl w:val="true"/>
          <w:lang w:bidi="fa-IR"/>
        </w:rPr>
        <w:t>یجوز السجود علی کلّ شیء فی الأرض و إن کان وجه الأرض‌مختفیاً لصدق الخضوع المتحقق فی الهبوط إلی الأرض</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ما روی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مع النبی صلی الله علیه و آله فیضع أحدنا طرف الثوب من شدّة الحرّ فی مکان السجود،رواه البخاری </w:t>
      </w:r>
      <w:r>
        <w:rPr>
          <w:rStyle w:val="FootnoteAnchor"/>
          <w:rtl w:val="true"/>
        </w:rPr>
        <w:footnoteReference w:id="372"/>
      </w:r>
      <w:r>
        <w:rPr>
          <w:rFonts w:ascii="IRNazanin" w:hAnsi="IRNazanin" w:eastAsia="IRNazanin"/>
          <w:color w:val="111111"/>
          <w:sz w:val="28"/>
          <w:sz w:val="28"/>
          <w:szCs w:val="28"/>
          <w:rtl w:val="true"/>
          <w:lang w:bidi="fa-IR"/>
        </w:rPr>
        <w:t>وعلیه یجوز السجود علی کلّ شیء من الأشیاء الموجودة علی الأرض</w:t>
      </w:r>
      <w:r>
        <w:rPr>
          <w:rFonts w:eastAsia="IRNazanin" w:cs="IRNazanin"/>
          <w:color w:val="111111"/>
          <w:sz w:val="28"/>
          <w:szCs w:val="28"/>
          <w:rtl w:val="true"/>
          <w:lang w:bidi="fa-IR"/>
        </w:rPr>
        <w:t>.</w:t>
      </w:r>
      <w:bookmarkStart w:id="703" w:name="pg5240_59257"/>
    </w:p>
    <w:p>
      <w:pPr>
        <w:pStyle w:val="Heading4"/>
        <w:numPr>
          <w:ilvl w:val="3"/>
          <w:numId w:val="1"/>
        </w:numPr>
        <w:rPr/>
      </w:pPr>
      <w:bookmarkStart w:id="704" w:name="__RefHeading___Toc362874_581953129"/>
      <w:bookmarkStart w:id="705" w:name="_Toc291"/>
      <w:bookmarkEnd w:id="703"/>
      <w:bookmarkEnd w:id="704"/>
      <w:r>
        <w:rPr>
          <w:rtl w:val="true"/>
        </w:rPr>
        <w:t>منشأ الاختلاف</w:t>
      </w:r>
      <w:bookmarkEnd w:id="70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هنا ناشئ عن الاختلاف فی فهم المعنی من السجود والاختلاف الحاصل فی النصوص،والّذی یمکن المساعدة علیه هو الأخذ بما هو المتیقّن،و هو وضع الجبهة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فالأوفق بالقواعد و الأحوط فی الدین هو السجدة علی الأرض نفسها،وها هو المعنی اللغوی للسجدة کما قال 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الرجل،وضع جبهته بالأرض و السجدة لله تعالی فی الشرع عبارة عن هیئته مخصوصة</w:t>
      </w:r>
      <w:r>
        <w:rPr>
          <w:rFonts w:eastAsia="IRNazanin" w:cs="IRNazanin"/>
          <w:color w:val="111111"/>
          <w:sz w:val="28"/>
          <w:szCs w:val="28"/>
          <w:rtl w:val="true"/>
          <w:lang w:bidi="fa-IR"/>
        </w:rPr>
        <w:t xml:space="preserve">. </w:t>
      </w:r>
      <w:r>
        <w:rPr>
          <w:rStyle w:val="FootnoteAnchor"/>
          <w:rtl w:val="true"/>
        </w:rPr>
        <w:footnoteReference w:id="373"/>
      </w:r>
      <w:bookmarkStart w:id="706" w:name="pg5240_59259"/>
    </w:p>
    <w:p>
      <w:pPr>
        <w:pStyle w:val="Heading3"/>
        <w:numPr>
          <w:ilvl w:val="2"/>
          <w:numId w:val="1"/>
        </w:numPr>
        <w:rPr/>
      </w:pPr>
      <w:bookmarkStart w:id="707" w:name="__RefHeading___Toc362876_581953129"/>
      <w:bookmarkStart w:id="708" w:name="_Toc292"/>
      <w:bookmarkEnd w:id="706"/>
      <w:bookmarkEnd w:id="707"/>
      <w:r>
        <w:rPr>
          <w:rtl w:val="true"/>
        </w:rPr>
        <w:t>الخلاصة</w:t>
      </w:r>
      <w:bookmarkEnd w:id="708"/>
    </w:p>
    <w:p>
      <w:pPr>
        <w:pStyle w:val="BookText"/>
        <w:rPr/>
      </w:pPr>
      <w:r>
        <w:rPr>
          <w:rFonts w:ascii="IRNazanin" w:hAnsi="IRNazanin" w:eastAsia="IRNazanin"/>
          <w:color w:val="111111"/>
          <w:sz w:val="28"/>
          <w:sz w:val="28"/>
          <w:szCs w:val="28"/>
          <w:rtl w:val="true"/>
          <w:lang w:bidi="fa-IR"/>
        </w:rPr>
        <w:t>إذا انکشف الخطأ فی التوجه إلی القبلة بعد التحرّی و الفحص وکان ذلک أثناء الصلاة فالحکم هو التحوّل إلی جهة القبلة وصحّت الصلاة،إلاّ علی المذهب الشافعی،و أمّا إذا کان کشف الخطأ بعد إتمام الصلاة فالحکم هو الصحّة علی المذاهب الأربعة،و أمّا الحکم علی المذهب الجعفری،فهو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یتجاوز الخطأ عمّا بین الیمین و الشمال فلا 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تجاوز ذلک الحدّ وتحقّق الاستدبار وکان ذلک داخل الوقت فالحکم هو الإعادة بلا فرق بین إتمام الصلاة وخلالها،ولا یجب القضاء إذا کان الانکشاف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الجهل بالقبلة تجوز الصلاة بأی جهة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فی صحّة الصلاة فی اللباس المغصوب و المکان المغصوب ولباس الحریر،هو الاختلاف فی اجتماع الأمر و النهی وامتناعه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لایجوز السجود إلاّ علی وجه الأرض علی 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السجود علی کلّ شیء ممّا فی الأرض علی المذاهب الأربعة</w:t>
      </w:r>
      <w:r>
        <w:rPr>
          <w:rFonts w:eastAsia="IRNazanin" w:cs="IRNazanin"/>
          <w:color w:val="111111"/>
          <w:sz w:val="28"/>
          <w:szCs w:val="28"/>
          <w:rtl w:val="true"/>
          <w:lang w:bidi="fa-IR"/>
        </w:rPr>
        <w:t>.</w:t>
      </w:r>
      <w:bookmarkStart w:id="709" w:name="pg5240_59261"/>
    </w:p>
    <w:p>
      <w:pPr>
        <w:pStyle w:val="Heading3"/>
        <w:numPr>
          <w:ilvl w:val="2"/>
          <w:numId w:val="1"/>
        </w:numPr>
        <w:rPr/>
      </w:pPr>
      <w:bookmarkStart w:id="710" w:name="__RefHeading___Toc362878_581953129"/>
      <w:bookmarkStart w:id="711" w:name="_Toc293"/>
      <w:bookmarkEnd w:id="709"/>
      <w:bookmarkEnd w:id="710"/>
      <w:r>
        <w:rPr>
          <w:rtl w:val="true"/>
        </w:rPr>
        <w:t>الأسئلة</w:t>
      </w:r>
      <w:bookmarkEnd w:id="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منشأ الاختلاف بالنسبة إلی صحّة الصلاة وبطلانها بعد کشف الخطأ فی التوجه إلی القبلة؟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الدم الأقلّ من الدرهم معفوّ مطلقاً؟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اشتراط طهارة موضع الجبهة فی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للمضطرّ الصلاة فی الثوب المتنجّس؟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جواز السجود إلاّ علی الأرض؟</w:t>
      </w:r>
      <w:bookmarkStart w:id="712" w:name="pg5240_59263"/>
    </w:p>
    <w:p>
      <w:pPr>
        <w:pStyle w:val="Heading2"/>
        <w:numPr>
          <w:ilvl w:val="1"/>
          <w:numId w:val="1"/>
        </w:numPr>
        <w:rPr/>
      </w:pPr>
      <w:bookmarkStart w:id="713" w:name="__RefHeading___Toc362880_581953129"/>
      <w:bookmarkStart w:id="714" w:name="_Toc294"/>
      <w:bookmarkEnd w:id="712"/>
      <w:bookmarkEnd w:id="713"/>
      <w:r>
        <w:rPr/>
        <w:t>13</w:t>
      </w:r>
      <w:r>
        <w:rPr>
          <w:rtl w:val="true"/>
        </w:rPr>
        <w:t xml:space="preserve">- </w:t>
      </w:r>
      <w:r>
        <w:rPr>
          <w:rtl w:val="true"/>
        </w:rPr>
        <w:t>حکم السهو فی الصلاة</w:t>
      </w:r>
      <w:bookmarkEnd w:id="714"/>
    </w:p>
    <w:p>
      <w:pPr>
        <w:pStyle w:val="Heading3"/>
        <w:numPr>
          <w:ilvl w:val="2"/>
          <w:numId w:val="1"/>
        </w:numPr>
        <w:rPr/>
      </w:pPr>
      <w:bookmarkStart w:id="715" w:name="__RefHeading___Toc362882_581953129"/>
      <w:bookmarkStart w:id="716" w:name="_Toc295"/>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لاخلاف فی أنّ الإخلال بشیء من أجزاء الصلاة عمداً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والإخلال سهواً یجبر بالسجدتین للسهو،وهما کسجدتی الصلاة صورةً یبتدئان بالسجدة وینتهان بالتشهّد و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 موجبات سجدة السهو ومحلّها ووصفها</w:t>
      </w:r>
      <w:r>
        <w:rPr>
          <w:rFonts w:eastAsia="IRNazanin" w:cs="IRNazanin"/>
          <w:color w:val="111111"/>
          <w:sz w:val="28"/>
          <w:szCs w:val="28"/>
          <w:rtl w:val="true"/>
          <w:lang w:bidi="fa-IR"/>
        </w:rPr>
        <w:t>.</w:t>
      </w:r>
    </w:p>
    <w:p>
      <w:pPr>
        <w:pStyle w:val="Heading3"/>
        <w:numPr>
          <w:ilvl w:val="2"/>
          <w:numId w:val="1"/>
        </w:numPr>
        <w:rPr/>
      </w:pPr>
      <w:bookmarkStart w:id="717" w:name="__RefHeading___Toc362884_581953129"/>
      <w:bookmarkStart w:id="718" w:name="_Toc296"/>
      <w:bookmarkEnd w:id="717"/>
      <w:r>
        <w:rPr>
          <w:rtl w:val="true"/>
        </w:rPr>
        <w:t>الموجبات</w:t>
      </w:r>
      <w:bookmarkEnd w:id="718"/>
    </w:p>
    <w:p>
      <w:pPr>
        <w:pStyle w:val="Heading4"/>
        <w:numPr>
          <w:ilvl w:val="3"/>
          <w:numId w:val="1"/>
        </w:numPr>
        <w:rPr/>
      </w:pPr>
      <w:bookmarkStart w:id="719" w:name="__RefHeading___Toc362886_581953129"/>
      <w:bookmarkStart w:id="720" w:name="_Toc297"/>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المذهب</w:t>
      </w:r>
    </w:p>
    <w:p>
      <w:pPr>
        <w:pStyle w:val="Heading4"/>
        <w:numPr>
          <w:ilvl w:val="3"/>
          <w:numId w:val="1"/>
        </w:numPr>
        <w:rPr/>
      </w:pPr>
      <w:bookmarkStart w:id="721" w:name="__RefHeading___Toc362888_581953129"/>
      <w:bookmarkStart w:id="722" w:name="_Toc298"/>
      <w:bookmarkEnd w:id="721"/>
      <w:r>
        <w:rPr>
          <w:rtl w:val="true"/>
        </w:rPr>
        <w:t>الجعفری</w:t>
      </w:r>
      <w:bookmarkEnd w:id="722"/>
    </w:p>
    <w:p>
      <w:pPr>
        <w:pStyle w:val="Heading5"/>
        <w:numPr>
          <w:ilvl w:val="4"/>
          <w:numId w:val="1"/>
        </w:numPr>
        <w:rPr/>
      </w:pPr>
      <w:bookmarkStart w:id="723" w:name="__RefHeading___Toc362890_581953129"/>
      <w:bookmarkStart w:id="724" w:name="_Toc299"/>
      <w:bookmarkEnd w:id="723"/>
      <w:r>
        <w:rPr>
          <w:rtl w:val="true"/>
        </w:rPr>
        <w:t>اشارة</w:t>
      </w:r>
      <w:bookmarkEnd w:id="724"/>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سجود السهو لأمور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قرآن ودعاء وذکر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ویتحقّق بحرفین أو حرف واحد مفهم 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لغة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موقعه ساهیاً،سواء کان بقصد الخروج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السجدة الواحدة إذا فات محلّ تدارکها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التشهّد مع فوت محلّ تدارکه ونسیان بعض أجزائه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الأربع 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إکمال السجدتین</w:t>
      </w:r>
      <w:r>
        <w:rPr>
          <w:rFonts w:eastAsia="IRNazanin" w:cs="IRNazanin"/>
          <w:color w:val="111111"/>
          <w:sz w:val="28"/>
          <w:szCs w:val="28"/>
          <w:rtl w:val="true"/>
          <w:lang w:bidi="fa-IR"/>
        </w:rPr>
        <w:t>.</w:t>
      </w:r>
      <w:bookmarkStart w:id="725" w:name="pg5240_59265"/>
    </w:p>
    <w:p>
      <w:pPr>
        <w:pStyle w:val="BookText"/>
        <w:rPr/>
      </w:pPr>
      <w:bookmarkEnd w:id="725"/>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فی موضع القعود وبالعکس بل لکلّ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أو مستحبّة ونقیصة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یذکرها فی محلّ التدارک</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ذلک؛کلّه علی أساس النصوص الواردة فی الباب من طریق آل‌البیت علیهم السلام و قد ورد لکلّ مورد من الموارد الستّة نصّ یخصّه،ویستنبط من تلک النصوص المعیار الأصلی بصفة عامّة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زیادة ونقیصة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الصلاة،سجود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ویؤیده مارواه ابن‌أبی‌عمیر عن الإمام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تسجد سجدتی السهو فی کلّ زیادة تدخل علیک أو نقصان</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دلّت علی المطلوب دلالة تامّة،وبما أنّ مضمون الحدیث مروی فی النصوص المعتبرة فلاحاجة إلی البحث عن صحّة السند هناک</w:t>
      </w:r>
      <w:r>
        <w:rPr>
          <w:rFonts w:eastAsia="IRNazanin" w:cs="IRNazanin"/>
          <w:color w:val="111111"/>
          <w:sz w:val="28"/>
          <w:szCs w:val="28"/>
          <w:rtl w:val="true"/>
          <w:lang w:bidi="fa-IR"/>
        </w:rPr>
        <w:t>.</w:t>
      </w:r>
    </w:p>
    <w:p>
      <w:pPr>
        <w:pStyle w:val="Heading5"/>
        <w:numPr>
          <w:ilvl w:val="4"/>
          <w:numId w:val="1"/>
        </w:numPr>
        <w:rPr/>
      </w:pPr>
      <w:bookmarkStart w:id="726" w:name="__RefHeading___Toc362892_581953129"/>
      <w:bookmarkStart w:id="727" w:name="_Toc300"/>
      <w:bookmarkEnd w:id="726"/>
      <w:r>
        <w:rPr>
          <w:rtl w:val="true"/>
        </w:rPr>
        <w:t>حدیث لاتعاد</w:t>
      </w:r>
      <w:bookmarkEnd w:id="727"/>
    </w:p>
    <w:p>
      <w:pPr>
        <w:pStyle w:val="BookText"/>
        <w:rPr/>
      </w:pPr>
      <w:r>
        <w:rPr>
          <w:rFonts w:ascii="IRNazanin" w:hAnsi="IRNazanin" w:eastAsia="IRNazanin"/>
          <w:color w:val="111111"/>
          <w:sz w:val="28"/>
          <w:sz w:val="28"/>
          <w:szCs w:val="28"/>
          <w:rtl w:val="true"/>
          <w:lang w:bidi="fa-IR"/>
        </w:rPr>
        <w:t>إنّ لأرکان الصلاة أهمیة خاصّة بلا خلاف وعلیه فإنّ الإخلال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ونقیصةً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بطلان الصلاة فی مطلق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 البطلان فیما إذا تعلّق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بالأرکان جزءاًَ أو شرطاً،و أمّا فیما عدا الأرکان فلا ریب فی عدم البطلان فیما إذا کان الإخلال سهویاً،فإنّه القدر المتیقّن من حدیث لاتعاد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ومن الجدیر بالذکر أنّ حدیث لاتعاد أصبح قاعدة فقهیة،لها دور مهمّ فی البحث عن الخلل الواقع فی الصلاة</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728" w:name="__RefHeading___Toc362894_581953129"/>
      <w:bookmarkStart w:id="729" w:name="_Toc301"/>
      <w:bookmarkEnd w:id="728"/>
      <w:r>
        <w:rPr>
          <w:rtl w:val="true"/>
        </w:rPr>
        <w:t>المذهب الحنبلی</w:t>
      </w:r>
      <w:bookmarkEnd w:id="72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و النقص</w:t>
      </w:r>
    </w:p>
    <w:p>
      <w:pPr>
        <w:pStyle w:val="BookText"/>
        <w:rPr/>
      </w:pPr>
      <w:r>
        <w:rPr>
          <w:rFonts w:ascii="IRNazanin" w:hAnsi="IRNazanin" w:eastAsia="IRNazanin"/>
          <w:color w:val="111111"/>
          <w:sz w:val="28"/>
          <w:sz w:val="28"/>
          <w:szCs w:val="28"/>
          <w:rtl w:val="true"/>
          <w:lang w:bidi="fa-IR"/>
        </w:rPr>
        <w:t>والشکّ فی بعض صوره إذا وقع بشیء من ذلک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النقص فی الصلاة،فمثاله أن یترک الرکوع أو السجود أو قرائة الفاتحة أو نحو ذلک سهواً،فیجب علیه إذا تذکّر ما ترکه قبل الشروع فی قرائة الرکعة الّتی تلیها،أن یأتی به ولغت الرکعة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وقامت الرکعة مقامها ویسجد للسهو وجوباً فإنّ زیادة رکعة ناقصة فی الصلاة لایخلّ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الشکّ الّذی یقتضی سجود السهو،فمثاله إن شکّ فی ترک رکن من‌أرکانها أو فی عددالرکعات،فإنّه فی هذه الحالة بنی علی المتیقّن ویأتی بما شکّ فی فعله ویتمّ صلاته ویسجد وجوباً وها هی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عدد الرکعات،وهی قاعدة البناء علی الأقلّ المتیقّن استصحاباً ثمّ یتمّ الصلاة ویسجد للسهو احتیاطاً؛لاحتمال الزیادة و النقیصة فی الرکعات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شکّ فی ترک واجب من واجبات الصلاة،کأن شکّ فی ترک تسبیحة‌من تسبیحات الرکوع أو السجود فإنّه لایسجد للسهو؛لأنّ سجود السهو لایکون للشکّ فی ترک الواجب،بل یکون لترک الواجب سهواً</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ترک تکبیرة الإحرام أو قرائة الفاتحة،و هو إمام أو منفرد،أو الرکوع أو الاعتدال بعد الرکوع،أو السجود أو الاعتدال بعد السجود أو التشهّد الأخیر أو السلام،بطلت صلاته عامداً کان أو ساهیاً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تسمّی أرکاناً للصلاة لاتسقط فی عمد ولا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وجوب بعض ذلک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علی وجوبها حدیث أبی‌هریرة عن المسیء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النبی صلی الله علیه و آله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للمسیء عندما ترک بعض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بإعادة الصلاة،وبعد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المسیء عن النبی صلی الله علیه و آله أن یعلّمه الصلاة،علّمه النبی صلی الله علیه و آله هذه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والحدیث متّفق علیه </w:t>
      </w:r>
      <w:r>
        <w:rPr>
          <w:rStyle w:val="FootnoteAnchor"/>
          <w:rtl w:val="true"/>
        </w:rPr>
        <w:footnoteReference w:id="379"/>
      </w:r>
      <w:r>
        <w:rPr>
          <w:rFonts w:ascii="IRNazanin" w:hAnsi="IRNazanin" w:eastAsia="IRNazanin"/>
          <w:color w:val="111111"/>
          <w:sz w:val="28"/>
          <w:sz w:val="28"/>
          <w:szCs w:val="28"/>
          <w:rtl w:val="true"/>
          <w:lang w:bidi="fa-IR"/>
        </w:rPr>
        <w:t>و هو کأصل متسالم علیه عندهم فهو المدرک الوحید لصیاغة</w:t>
      </w:r>
      <w:bookmarkStart w:id="730" w:name="pg5240_59269"/>
    </w:p>
    <w:p>
      <w:pPr>
        <w:pStyle w:val="BookText"/>
        <w:rPr/>
      </w:pPr>
      <w:bookmarkEnd w:id="730"/>
      <w:r>
        <w:rPr>
          <w:rFonts w:ascii="IRNazanin" w:hAnsi="IRNazanin" w:eastAsia="IRNazanin"/>
          <w:color w:val="111111"/>
          <w:sz w:val="28"/>
          <w:sz w:val="28"/>
          <w:szCs w:val="28"/>
          <w:rtl w:val="true"/>
          <w:lang w:bidi="fa-IR"/>
        </w:rPr>
        <w:t>الصلاة الأصیلة وصورتها الترکیبیة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أنّه لایکون مصلّیاً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 الحدیث علی أنّها لاتسقط بالسهو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لو سقطت بالسهو لسقطت عن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جاهلاً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والجاهل کالناسی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ترک شیئاً من التکبیر غیر تکبیرة‌الإحرام أوالتسبیح فی الرکوع أوالسجودأو قول سمع الله لمن حمده أو قول ربّنا ولک الحمد أو ربّ اغفرلی،أو التشهّد الأوّل أو الصلاة علی النبی فی التشهّد الأخیر عامداً بطلت صلاته،ومن ترک شیئاً منه ساهیاً أتی بسجدتی السهو</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هذه الواجبات لو قلنا بوجوبها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اختلاف بالنسبة إلی وجوبها واستحبابها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ترکها عمداً بطلت صلاته و إن ترکها سهواً وجب علیه السجود للسهو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فیه حدیث النبی صلی الله علیه و آله حین قام إلی ثالثة وترک التشهّد الأوّل فسبّحوا به فلم یرجع،حتّی إذا جلس للتسلیم سجد سجدتین و هو جالس ولو لا أنّ التشهّد سقط بالسهو لرجع إلیه،ولولا أنّه واجب لما سجد جبراً لنسیانه وغیر التشهّد من الواجبات مقیس علیه ومشبّه به</w:t>
      </w:r>
      <w:r>
        <w:rPr>
          <w:rFonts w:eastAsia="IRNazanin" w:cs="IRNazanin"/>
          <w:color w:val="111111"/>
          <w:sz w:val="28"/>
          <w:szCs w:val="28"/>
          <w:rtl w:val="true"/>
          <w:lang w:bidi="fa-IR"/>
        </w:rPr>
        <w:t xml:space="preserve">. </w:t>
      </w:r>
      <w:r>
        <w:rPr>
          <w:rStyle w:val="FootnoteAnchor"/>
          <w:rtl w:val="true"/>
        </w:rPr>
        <w:footnoteReference w:id="381"/>
      </w:r>
    </w:p>
    <w:p>
      <w:pPr>
        <w:pStyle w:val="Heading4"/>
        <w:numPr>
          <w:ilvl w:val="3"/>
          <w:numId w:val="1"/>
        </w:numPr>
        <w:rPr/>
      </w:pPr>
      <w:bookmarkStart w:id="731" w:name="__RefHeading___Toc362896_581953129"/>
      <w:bookmarkStart w:id="732" w:name="_Toc302"/>
      <w:bookmarkEnd w:id="731"/>
      <w:r>
        <w:rPr>
          <w:rtl w:val="true"/>
        </w:rPr>
        <w:t>المذهب الحنفی</w:t>
      </w:r>
      <w:bookmarkEnd w:id="732"/>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سجود السهو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علی المذهب الحنفی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أو ینقص فی صلاته رکعة أو أکثر أو نحو ذلک،فإذا تیقّن أنّه زاد رکعة فی الصلاة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أن یجلس ثمّ یسلّم ویسجد للسهو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ذلک ما إذا تیقّن أنّه نقص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یقوم لأداء الرکعة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یسجد</w:t>
      </w:r>
      <w:bookmarkStart w:id="733" w:name="pg5240_59271"/>
    </w:p>
    <w:p>
      <w:pPr>
        <w:pStyle w:val="BookText"/>
        <w:rPr/>
      </w:pPr>
      <w:bookmarkEnd w:id="733"/>
      <w:r>
        <w:rPr>
          <w:rFonts w:ascii="IRNazanin" w:hAnsi="IRNazanin" w:eastAsia="IRNazanin"/>
          <w:color w:val="111111"/>
          <w:sz w:val="28"/>
          <w:sz w:val="28"/>
          <w:szCs w:val="28"/>
          <w:rtl w:val="true"/>
          <w:lang w:bidi="fa-IR"/>
        </w:rPr>
        <w:t>للسهو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شکّ فی صلاته فلم یدرِ،کم صلّی؟فإن کان الشکّ نادراً بطرئه،یجب علیه فی هذه الحالة أن یقطع الصلاة بفعل مناف لها،ویأتی بصلاة جدیدة،و إن کان الشکّ عادة علیه یبنی علی ما یغلب علی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سجود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یسهو عن القعود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ینسی التشهّد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هذه الحالة أنّه یعود ویجلس بقدر التشهّد ثمّ یسلّم ویسجد للسهو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مضی فی الصلاة وسجد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الرکعة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 صلاته نفلاً بمجرّد رفع رأسه من السجدة ویضمّ إلیها رکعة سادسة،ولا یسجد للسهو فی هذه الحالة علی الأصحّ</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سجود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یسهو عن القعود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ینسی التشهّد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تذکّر بعد أن یستوی قائماً فإنّه لایعود للتشهّد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التحقیق وعلیه سجود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یقدّم رکناً علی رکن کتقدّم‌السجود علی الرکوع،إن‌لم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یسجد للسهو بعد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سجود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واجباً من الواجبات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وسجود السهو لترک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تسالم علیه الفقهاء</w:t>
      </w:r>
      <w:r>
        <w:rPr>
          <w:rFonts w:eastAsia="IRNazanin" w:cs="IRNazanin"/>
          <w:color w:val="111111"/>
          <w:sz w:val="28"/>
          <w:szCs w:val="28"/>
          <w:rtl w:val="true"/>
          <w:lang w:bidi="fa-IR"/>
        </w:rPr>
        <w:t>.</w:t>
      </w:r>
    </w:p>
    <w:p>
      <w:pPr>
        <w:pStyle w:val="Heading4"/>
        <w:numPr>
          <w:ilvl w:val="3"/>
          <w:numId w:val="1"/>
        </w:numPr>
        <w:rPr/>
      </w:pPr>
      <w:bookmarkStart w:id="734" w:name="__RefHeading___Toc362898_581953129"/>
      <w:bookmarkStart w:id="735" w:name="_Toc303"/>
      <w:bookmarkEnd w:id="734"/>
      <w:r>
        <w:rPr>
          <w:rtl w:val="true"/>
        </w:rPr>
        <w:t>المذهب الشافعی</w:t>
      </w:r>
      <w:bookmarkEnd w:id="735"/>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تنحصر أسباب سجود السهو فی ستّة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یترک سنّة مؤکّدة وذلک کالتشهّد الأوّل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عدد ما أتی به من الرکعات بنی علی</w:t>
      </w:r>
      <w:bookmarkStart w:id="736" w:name="pg5240_59273"/>
    </w:p>
    <w:p>
      <w:pPr>
        <w:pStyle w:val="BookText"/>
        <w:rPr/>
      </w:pPr>
      <w:bookmarkEnd w:id="736"/>
      <w:r>
        <w:rPr>
          <w:rFonts w:ascii="IRNazanin" w:hAnsi="IRNazanin" w:eastAsia="IRNazanin"/>
          <w:color w:val="111111"/>
          <w:sz w:val="28"/>
          <w:sz w:val="28"/>
          <w:szCs w:val="28"/>
          <w:rtl w:val="true"/>
          <w:lang w:bidi="fa-IR"/>
        </w:rPr>
        <w:t>الیقین،وتمّم الصلاة وجوباً وسجد لاحتمال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شیء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القلیل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الواجب و المستحبّ فی غیر محلّها کقرائة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الجلوس سهواً،وقرائة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الرکوع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ترک بعض معین أی الشکّ فی أفعال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الاقتداء بمن فی صلاته خلل ولو فی اعتقاد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کالاقتداء بمن یترک الصلاة علی النبی صلی الله علیه و آله فی التشهّد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الصلاة واجبة علی المذهب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یسجد </w:t>
      </w:r>
      <w:r>
        <w:rPr>
          <w:rStyle w:val="FootnoteAnchor"/>
          <w:rtl w:val="true"/>
        </w:rPr>
        <w:footnoteReference w:id="384"/>
      </w:r>
      <w:r>
        <w:rPr>
          <w:rFonts w:ascii="IRNazanin" w:hAnsi="IRNazanin" w:eastAsia="IRNazanin"/>
          <w:color w:val="111111"/>
          <w:sz w:val="28"/>
          <w:sz w:val="28"/>
          <w:szCs w:val="28"/>
          <w:rtl w:val="true"/>
          <w:lang w:bidi="fa-IR"/>
        </w:rPr>
        <w:t>لترک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شکّ فی صلاته فلم یدر أثلاثاً صلّی أم أربعاً فعلیه أن یبنی علی ماستیقن 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فإذا فرغ من التشهّد سجد سجدتی السهو قبل التسلیم،والحکم کذلک فی زیادة رکعة سهواً وفی نسیان سجدة واحدة وتشهّد</w:t>
      </w:r>
      <w:r>
        <w:rPr>
          <w:rFonts w:eastAsia="IRNazanin" w:cs="IRNazanin"/>
          <w:color w:val="111111"/>
          <w:sz w:val="28"/>
          <w:szCs w:val="28"/>
          <w:rtl w:val="true"/>
          <w:lang w:bidi="fa-IR"/>
        </w:rPr>
        <w:t xml:space="preserve">. </w:t>
      </w:r>
      <w:r>
        <w:rPr>
          <w:rStyle w:val="FootnoteAnchor"/>
          <w:rtl w:val="true"/>
        </w:rPr>
        <w:footnoteReference w:id="385"/>
      </w:r>
    </w:p>
    <w:p>
      <w:pPr>
        <w:pStyle w:val="Heading4"/>
        <w:numPr>
          <w:ilvl w:val="3"/>
          <w:numId w:val="1"/>
        </w:numPr>
        <w:rPr/>
      </w:pPr>
      <w:bookmarkStart w:id="737" w:name="__RefHeading___Toc362900_581953129"/>
      <w:bookmarkStart w:id="738" w:name="_Toc304"/>
      <w:bookmarkEnd w:id="737"/>
      <w:r>
        <w:rPr>
          <w:rtl w:val="true"/>
        </w:rPr>
        <w:t>المذهب المالکی</w:t>
      </w:r>
      <w:bookmarkEnd w:id="738"/>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سجود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تنحصر فی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ینقص من صلاته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مؤکّدة کترک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ذلک الترک محقّقاً أو مشکوکاً فإنّه یعتبره نقصاً ویسجد قبل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السنّة المؤکّدة أو السنّتین الحقیقیتین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کترک التکبیر بعد 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بسجود السهو</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وهی زیادة فعل لیس من جنس أفعال الصلاة کأکل خفیف سهواً أوکلام خفیف کذلک،أو زیادة رکن فعلی من أرکان الصلاة کالرکوع</w:t>
      </w:r>
      <w:bookmarkStart w:id="739" w:name="pg5240_59275"/>
    </w:p>
    <w:p>
      <w:pPr>
        <w:pStyle w:val="BookText"/>
        <w:rPr/>
      </w:pPr>
      <w:bookmarkEnd w:id="739"/>
      <w:r>
        <w:rPr>
          <w:rFonts w:ascii="IRNazanin" w:hAnsi="IRNazanin" w:eastAsia="IRNazanin"/>
          <w:color w:val="111111"/>
          <w:sz w:val="28"/>
          <w:sz w:val="28"/>
          <w:szCs w:val="28"/>
          <w:rtl w:val="true"/>
          <w:lang w:bidi="fa-IR"/>
        </w:rPr>
        <w:t>والسجود أو زیادة بعض من الصلاة کرکعة أو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الزیادة من أقوال الصلاة فإن لم یکن القول المزید فریضة،کإن زاد سورة فی الرکعتین الأخیرتین من الرباعیة سهواً،لایلزم سجود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القول المزید فریضة کالفاتحة إذا کرّرها سهواً فإنّه یسجد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السجود نقص وزیادة معاً،کما إذا ترک الجهر بالسورة وزاد رکعة فی الصلاة سهواً فقد اجتمع له نقص وزیادة،فیسجد لذلک قبل السلام ترجیحاً لجانب النقص علی الزیادة</w:t>
      </w:r>
      <w:r>
        <w:rPr>
          <w:rFonts w:eastAsia="IRNazanin" w:cs="IRNazanin"/>
          <w:color w:val="111111"/>
          <w:sz w:val="28"/>
          <w:szCs w:val="28"/>
          <w:rtl w:val="true"/>
          <w:lang w:bidi="fa-IR"/>
        </w:rPr>
        <w:t xml:space="preserve">. </w:t>
      </w:r>
      <w:r>
        <w:rPr>
          <w:rStyle w:val="FootnoteAnchor"/>
          <w:rtl w:val="true"/>
        </w:rPr>
        <w:footnoteReference w:id="386"/>
      </w:r>
    </w:p>
    <w:p>
      <w:pPr>
        <w:pStyle w:val="Heading3"/>
        <w:numPr>
          <w:ilvl w:val="2"/>
          <w:numId w:val="1"/>
        </w:numPr>
        <w:rPr/>
      </w:pPr>
      <w:bookmarkStart w:id="740" w:name="__RefHeading___Toc362902_581953129"/>
      <w:bookmarkStart w:id="741" w:name="_Toc305"/>
      <w:bookmarkEnd w:id="740"/>
      <w:r>
        <w:rPr>
          <w:rtl w:val="true"/>
        </w:rPr>
        <w:t>محل سجود السهو</w:t>
      </w:r>
      <w:bookmarkEnd w:id="741"/>
    </w:p>
    <w:p>
      <w:pPr>
        <w:pStyle w:val="Heading4"/>
        <w:numPr>
          <w:ilvl w:val="3"/>
          <w:numId w:val="1"/>
        </w:numPr>
        <w:rPr/>
      </w:pPr>
      <w:bookmarkStart w:id="742" w:name="__RefHeading___Toc362904_581953129"/>
      <w:bookmarkStart w:id="743" w:name="_Toc306"/>
      <w:bookmarkEnd w:id="742"/>
      <w:r>
        <w:rPr>
          <w:rtl w:val="true"/>
        </w:rPr>
        <w:t>اشارة</w:t>
      </w:r>
      <w:bookmarkEnd w:id="743"/>
    </w:p>
    <w:p>
      <w:pPr>
        <w:pStyle w:val="BookText"/>
        <w:rPr/>
      </w:pPr>
      <w:r>
        <w:rPr>
          <w:rFonts w:ascii="IRNazanin" w:hAnsi="IRNazanin" w:eastAsia="IRNazanin"/>
          <w:color w:val="111111"/>
          <w:sz w:val="28"/>
          <w:sz w:val="28"/>
          <w:szCs w:val="28"/>
          <w:rtl w:val="true"/>
          <w:lang w:bidi="fa-IR"/>
        </w:rPr>
        <w:t>اختلفت الآراء بالنسبة إلی محلّ السجدة للسهو فعلی بعض الآراء کان محلّ تلک السجدة قبل التسلیم وعلی بعض آخر هو بعد التسلیم</w:t>
      </w:r>
      <w:r>
        <w:rPr>
          <w:rFonts w:eastAsia="IRNazanin" w:cs="IRNazanin"/>
          <w:color w:val="111111"/>
          <w:sz w:val="28"/>
          <w:szCs w:val="28"/>
          <w:rtl w:val="true"/>
          <w:lang w:bidi="fa-IR"/>
        </w:rPr>
        <w:t>.</w:t>
      </w:r>
    </w:p>
    <w:p>
      <w:pPr>
        <w:pStyle w:val="Heading4"/>
        <w:numPr>
          <w:ilvl w:val="3"/>
          <w:numId w:val="1"/>
        </w:numPr>
        <w:rPr/>
      </w:pPr>
      <w:bookmarkStart w:id="744" w:name="__RefHeading___Toc362906_581953129"/>
      <w:bookmarkStart w:id="745" w:name="_Toc307"/>
      <w:bookmarkEnd w:id="744"/>
      <w:r>
        <w:rPr>
          <w:rtl w:val="true"/>
        </w:rPr>
        <w:t>المذهب الجعفری و الحنفی</w:t>
      </w:r>
      <w:bookmarkEnd w:id="74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سجدة السهو بعد السلام؛ذلک 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سهو سجدتان بعد التسلیم</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دلّ علی أنّ محلّ السجدة بعد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معاویة‌بن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یسهو فیقوم فی حال قعود،أو یقعد فی حال قیام،قال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سجدتین بعد التسلیم</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فمحله المسنون بعد السلام عندنا سواء کان السهو بإدخال زیادة فی الصلاة أو نقصان فیها</w:t>
      </w:r>
      <w:r>
        <w:rPr>
          <w:rFonts w:eastAsia="IRNazanin" w:cs="IRNazanin"/>
          <w:color w:val="111111"/>
          <w:sz w:val="28"/>
          <w:szCs w:val="28"/>
          <w:rtl w:val="true"/>
          <w:lang w:bidi="fa-IR"/>
        </w:rPr>
        <w:t xml:space="preserve">. </w:t>
      </w:r>
      <w:r>
        <w:rPr>
          <w:rStyle w:val="FootnoteAnchor"/>
          <w:rtl w:val="true"/>
        </w:rPr>
        <w:footnoteReference w:id="389"/>
      </w:r>
      <w:bookmarkStart w:id="746" w:name="pg5240_59277"/>
    </w:p>
    <w:p>
      <w:pPr>
        <w:pStyle w:val="Heading4"/>
        <w:numPr>
          <w:ilvl w:val="3"/>
          <w:numId w:val="1"/>
        </w:numPr>
        <w:rPr/>
      </w:pPr>
      <w:bookmarkStart w:id="747" w:name="__RefHeading___Toc362908_581953129"/>
      <w:bookmarkStart w:id="748" w:name="_Toc308"/>
      <w:bookmarkEnd w:id="746"/>
      <w:bookmarkEnd w:id="747"/>
      <w:r>
        <w:rPr>
          <w:rtl w:val="true"/>
        </w:rPr>
        <w:t>المذهب الشافعی</w:t>
      </w:r>
      <w:bookmarkEnd w:id="748"/>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قبل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 تمام الصلاة وجبر لنقصانها فکان قبل سلامها کسائر أفعالها</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واحتج الشافعی فی ذلک بحدیث أبی‌سعید الخدری وبحدیث أبی‌بحینة عن‌النبی صلی الله علیه و آله أنّه سجد قبل التسلیم</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749" w:name="__RefHeading___Toc362910_581953129"/>
      <w:bookmarkStart w:id="750" w:name="_Toc309"/>
      <w:bookmarkEnd w:id="749"/>
      <w:r>
        <w:rPr>
          <w:rtl w:val="true"/>
        </w:rPr>
        <w:t>المذهب المالکی</w:t>
      </w:r>
      <w:bookmarkEnd w:id="750"/>
    </w:p>
    <w:p>
      <w:pPr>
        <w:pStyle w:val="BookText"/>
        <w:rPr/>
      </w:pPr>
      <w:r>
        <w:rPr>
          <w:rFonts w:ascii="IRNazanin" w:hAnsi="IRNazanin" w:eastAsia="IRNazanin"/>
          <w:color w:val="111111"/>
          <w:sz w:val="28"/>
          <w:sz w:val="28"/>
          <w:szCs w:val="28"/>
          <w:rtl w:val="true"/>
          <w:lang w:bidi="fa-IR"/>
        </w:rPr>
        <w:t>إن کان سجود السهو لأجل النقص الوارد فی الصلاة کان محلّه قبل التسلیم و إن کان لأجل زیادة فیها کان محل السجود بعد التسلیم؛ذلک لما روی عن ابن مسعود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شککت من صلاتک،من نقصان،من رکوع أو سجود أو غیر ذلک فاستقبل أکثر ظنّه،واجعل سجدتی السهو من هذا النحو قبل التسلیم،فأمّا غیر ذلک من السهو فاجعله بعد التسلیم</w:t>
      </w:r>
      <w:r>
        <w:rPr>
          <w:rFonts w:eastAsia="IRNazanin" w:cs="IRNazanin"/>
          <w:color w:val="111111"/>
          <w:sz w:val="28"/>
          <w:szCs w:val="28"/>
          <w:rtl w:val="true"/>
          <w:lang w:bidi="fa-IR"/>
        </w:rPr>
        <w:t xml:space="preserve">. </w:t>
      </w:r>
      <w:r>
        <w:rPr>
          <w:rStyle w:val="FootnoteAnchor"/>
          <w:rtl w:val="true"/>
        </w:rPr>
        <w:footnoteReference w:id="392"/>
      </w:r>
    </w:p>
    <w:p>
      <w:pPr>
        <w:pStyle w:val="Heading4"/>
        <w:numPr>
          <w:ilvl w:val="3"/>
          <w:numId w:val="1"/>
        </w:numPr>
        <w:rPr/>
      </w:pPr>
      <w:bookmarkStart w:id="751" w:name="__RefHeading___Toc362912_581953129"/>
      <w:bookmarkStart w:id="752" w:name="_Toc310"/>
      <w:bookmarkEnd w:id="751"/>
      <w:r>
        <w:rPr>
          <w:rtl w:val="true"/>
        </w:rPr>
        <w:t>المذهب الحنبلی</w:t>
      </w:r>
      <w:bookmarkEnd w:id="75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قدثبت عن النبی صلی الله علیه و آله السجود قبل السلام وبعده فی أحادیث صحیحة متّفق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السجود کلّه قبل السلام إلاّ فی الموضعین الّذین ورد النص بسجودهما بعد السلام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من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السلام 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وتحرّی الإمام فبنی علی غالب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بالأحادیث کلّها،وجمع بینها من غیر ترک شیء منها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مهما أمکن</w:t>
      </w:r>
      <w:r>
        <w:rPr>
          <w:rFonts w:eastAsia="IRNazanin" w:cs="IRNazanin"/>
          <w:color w:val="111111"/>
          <w:sz w:val="28"/>
          <w:szCs w:val="28"/>
          <w:rtl w:val="true"/>
          <w:lang w:bidi="fa-IR"/>
        </w:rPr>
        <w:t xml:space="preserve">. </w:t>
      </w:r>
      <w:r>
        <w:rPr>
          <w:rStyle w:val="FootnoteAnchor"/>
          <w:rtl w:val="true"/>
        </w:rPr>
        <w:footnoteReference w:id="393"/>
      </w:r>
      <w:bookmarkStart w:id="753" w:name="pg5240_59280"/>
    </w:p>
    <w:p>
      <w:pPr>
        <w:pStyle w:val="Heading3"/>
        <w:numPr>
          <w:ilvl w:val="2"/>
          <w:numId w:val="1"/>
        </w:numPr>
        <w:rPr/>
      </w:pPr>
      <w:bookmarkStart w:id="754" w:name="__RefHeading___Toc362914_581953129"/>
      <w:bookmarkStart w:id="755" w:name="_Toc311"/>
      <w:bookmarkEnd w:id="753"/>
      <w:bookmarkEnd w:id="754"/>
      <w:r>
        <w:rPr>
          <w:rtl w:val="true"/>
        </w:rPr>
        <w:t>تداخل الأسباب فی سجود السهو</w:t>
      </w:r>
      <w:bookmarkEnd w:id="755"/>
    </w:p>
    <w:p>
      <w:pPr>
        <w:pStyle w:val="Heading4"/>
        <w:numPr>
          <w:ilvl w:val="3"/>
          <w:numId w:val="1"/>
        </w:numPr>
        <w:rPr/>
      </w:pPr>
      <w:bookmarkStart w:id="756" w:name="__RefHeading___Toc362916_581953129"/>
      <w:bookmarkStart w:id="757" w:name="_Toc312"/>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اختلفت الآراء حول تداخل أسباب السجود،قال بعض الفقهاء بکفایة السجدتین فی صلاة واحدة و إن تحقّق السهو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 آخر منهم إنّ لکلّ سهو سجدتین،والاختلاف بما یلی</w:t>
      </w:r>
      <w:r>
        <w:rPr>
          <w:rFonts w:eastAsia="IRNazanin" w:cs="IRNazanin"/>
          <w:color w:val="111111"/>
          <w:sz w:val="28"/>
          <w:szCs w:val="28"/>
          <w:rtl w:val="true"/>
          <w:lang w:bidi="fa-IR"/>
        </w:rPr>
        <w:t>:</w:t>
      </w:r>
    </w:p>
    <w:p>
      <w:pPr>
        <w:pStyle w:val="Heading4"/>
        <w:numPr>
          <w:ilvl w:val="3"/>
          <w:numId w:val="1"/>
        </w:numPr>
        <w:rPr/>
      </w:pPr>
      <w:bookmarkStart w:id="758" w:name="__RefHeading___Toc362918_581953129"/>
      <w:bookmarkStart w:id="759" w:name="_Toc313"/>
      <w:bookmarkEnd w:id="758"/>
      <w:r>
        <w:rPr>
          <w:rtl w:val="true"/>
        </w:rPr>
        <w:t>المذهب الجعفری</w:t>
      </w:r>
      <w:bookmarkEnd w:id="759"/>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تکرّره بتکرّر الموجب سواء کان من نوع واحد أو أنواع،وقال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التداخل من دون فرق بین اتّحاد نوع السبب وتعدّده</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760" w:name="__RefHeading___Toc362920_581953129"/>
      <w:bookmarkStart w:id="761" w:name="_Toc314"/>
      <w:bookmarkEnd w:id="760"/>
      <w:r>
        <w:rPr>
          <w:rtl w:val="true"/>
        </w:rPr>
        <w:t>المذاهب الاربعة</w:t>
      </w:r>
      <w:bookmarkEnd w:id="761"/>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سها سهوین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 سجدتان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لانعلم أحداً خالف فیه</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ویبدو أنّ الحکم متسالم علیه عند أئمّة المذاهب الأربعة إلاّ أنّ هناک رأیاً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أبناء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 المذهب الجعفری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بالتفصیل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الأوزاعی،وابن أبی‌حازم،وعبدالعزیزبن أبی‌سلمة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علیه سجودان أحدهما قبل السلام و الآخر بعده سجدهما فی محلّیهما،لقول النبی صلی الله علیه و آله لکلّ سهو سجدتان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أبوداود وابن‌ماجه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سهوان،فلکلّ واحد منهما سجدتان،ولأنّ کلّ سهو یقتضی سجوداً</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762" w:name="__RefHeading___Toc362922_581953129"/>
      <w:bookmarkStart w:id="763" w:name="_Toc315"/>
      <w:bookmarkEnd w:id="762"/>
      <w:r>
        <w:rPr>
          <w:rtl w:val="true"/>
        </w:rPr>
        <w:t>وصف السجود</w:t>
      </w:r>
      <w:bookmarkEnd w:id="763"/>
    </w:p>
    <w:p>
      <w:pPr>
        <w:pStyle w:val="Heading4"/>
        <w:numPr>
          <w:ilvl w:val="3"/>
          <w:numId w:val="1"/>
        </w:numPr>
        <w:rPr/>
      </w:pPr>
      <w:bookmarkStart w:id="764" w:name="__RefHeading___Toc362924_581953129"/>
      <w:bookmarkStart w:id="765" w:name="_Toc316"/>
      <w:bookmarkEnd w:id="764"/>
      <w:r>
        <w:rPr>
          <w:rtl w:val="true"/>
        </w:rPr>
        <w:t>اشارة</w:t>
      </w:r>
      <w:bookmarkEnd w:id="76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بالنسبة إلی وصف سجود السهو وجوباً وندباً وتفصیل الاختلاف بمایلی</w:t>
      </w:r>
      <w:r>
        <w:rPr>
          <w:rFonts w:eastAsia="IRNazanin" w:cs="IRNazanin"/>
          <w:color w:val="111111"/>
          <w:sz w:val="28"/>
          <w:szCs w:val="28"/>
          <w:rtl w:val="true"/>
          <w:lang w:bidi="fa-IR"/>
        </w:rPr>
        <w:t>:</w:t>
      </w:r>
      <w:bookmarkStart w:id="766" w:name="pg5240_59282"/>
    </w:p>
    <w:p>
      <w:pPr>
        <w:pStyle w:val="Heading4"/>
        <w:numPr>
          <w:ilvl w:val="3"/>
          <w:numId w:val="1"/>
        </w:numPr>
        <w:rPr/>
      </w:pPr>
      <w:bookmarkStart w:id="767" w:name="__RefHeading___Toc362926_581953129"/>
      <w:bookmarkStart w:id="768" w:name="_Toc317"/>
      <w:bookmarkEnd w:id="766"/>
      <w:bookmarkEnd w:id="767"/>
      <w:r>
        <w:rPr>
          <w:rtl w:val="true"/>
        </w:rPr>
        <w:t>المذهب الجعفری</w:t>
      </w:r>
      <w:bookmarkEnd w:id="768"/>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سجدتا السهو</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للأمر به،وأنّه کجزء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الحنفی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السهو واجب علی الصحیح</w:t>
      </w:r>
      <w:r>
        <w:rPr>
          <w:rFonts w:eastAsia="IRNazanin" w:cs="IRNazanin"/>
          <w:color w:val="111111"/>
          <w:sz w:val="28"/>
          <w:szCs w:val="28"/>
          <w:rtl w:val="true"/>
          <w:lang w:bidi="fa-IR"/>
        </w:rPr>
        <w:t xml:space="preserve">. </w:t>
      </w:r>
      <w:r>
        <w:rPr>
          <w:rStyle w:val="FootnoteAnchor"/>
          <w:rtl w:val="true"/>
        </w:rPr>
        <w:footnoteReference w:id="398"/>
      </w:r>
    </w:p>
    <w:p>
      <w:pPr>
        <w:pStyle w:val="Heading4"/>
        <w:numPr>
          <w:ilvl w:val="3"/>
          <w:numId w:val="1"/>
        </w:numPr>
        <w:rPr/>
      </w:pPr>
      <w:bookmarkStart w:id="769" w:name="__RefHeading___Toc362928_581953129"/>
      <w:bookmarkStart w:id="770" w:name="_Toc318"/>
      <w:bookmarkEnd w:id="769"/>
      <w:r>
        <w:rPr>
          <w:rtl w:val="true"/>
        </w:rPr>
        <w:t>المذهب الشافعی و الحنبلی</w:t>
      </w:r>
      <w:bookmarkEnd w:id="770"/>
    </w:p>
    <w:p>
      <w:pPr>
        <w:pStyle w:val="BookText"/>
        <w:rPr/>
      </w:pPr>
      <w:r>
        <w:rPr>
          <w:rFonts w:ascii="IRNazanin" w:hAnsi="IRNazanin" w:eastAsia="IRNazanin"/>
          <w:color w:val="111111"/>
          <w:sz w:val="28"/>
          <w:sz w:val="28"/>
          <w:szCs w:val="28"/>
          <w:rtl w:val="true"/>
          <w:lang w:bidi="fa-IR"/>
        </w:rPr>
        <w:t>سجود السهو قد یکون واجباً و قد یکون مستحبّاً،وذلک بحسب تفاوت الأسباب،وأضاف المذهب الحنبلی الإباحة هناک،قائلاً بأنّ سجود السهو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 وذلک لاختلاف سببه</w:t>
      </w:r>
      <w:r>
        <w:rPr>
          <w:rFonts w:eastAsia="IRNazanin" w:cs="IRNazanin"/>
          <w:color w:val="111111"/>
          <w:sz w:val="28"/>
          <w:szCs w:val="28"/>
          <w:rtl w:val="true"/>
          <w:lang w:bidi="fa-IR"/>
        </w:rPr>
        <w:t>.</w:t>
      </w:r>
    </w:p>
    <w:p>
      <w:pPr>
        <w:pStyle w:val="Heading4"/>
        <w:numPr>
          <w:ilvl w:val="3"/>
          <w:numId w:val="1"/>
        </w:numPr>
        <w:rPr/>
      </w:pPr>
      <w:bookmarkStart w:id="771" w:name="__RefHeading___Toc362930_581953129"/>
      <w:bookmarkStart w:id="772" w:name="_Toc319"/>
      <w:bookmarkEnd w:id="771"/>
      <w:r>
        <w:rPr>
          <w:rtl w:val="true"/>
        </w:rPr>
        <w:t>المذهب المالکی</w:t>
      </w:r>
      <w:bookmarkEnd w:id="772"/>
    </w:p>
    <w:p>
      <w:pPr>
        <w:pStyle w:val="BookText"/>
        <w:rPr/>
      </w:pPr>
      <w:r>
        <w:rPr>
          <w:rFonts w:ascii="Amiri" w:hAnsi="Amiri" w:eastAsia="Amiri" w:cs="Amiri"/>
          <w:color w:val="111111"/>
          <w:sz w:val="28"/>
          <w:sz w:val="28"/>
          <w:szCs w:val="28"/>
          <w:rtl w:val="true"/>
          <w:lang w:bidi="ar-SA"/>
        </w:rPr>
        <w:t>سجود السهو سنّة للإمام و المنفرد</w:t>
      </w:r>
      <w:r>
        <w:rPr>
          <w:rFonts w:eastAsia="Amiri" w:cs="Amiri" w:ascii="Amiri" w:hAnsi="Amiri"/>
          <w:color w:val="111111"/>
          <w:sz w:val="28"/>
          <w:szCs w:val="28"/>
          <w:rtl w:val="true"/>
          <w:lang w:bidi="ar-SA"/>
        </w:rPr>
        <w:t xml:space="preserve">. </w:t>
      </w:r>
      <w:r>
        <w:rPr>
          <w:rStyle w:val="FootnoteAnchor"/>
          <w:rtl w:val="true"/>
        </w:rPr>
        <w:footnoteReference w:id="399"/>
      </w:r>
    </w:p>
    <w:p>
      <w:pPr>
        <w:pStyle w:val="Heading3"/>
        <w:numPr>
          <w:ilvl w:val="2"/>
          <w:numId w:val="1"/>
        </w:numPr>
        <w:rPr/>
      </w:pPr>
      <w:bookmarkStart w:id="773" w:name="__RefHeading___Toc362932_581953129"/>
      <w:bookmarkStart w:id="774" w:name="_Toc320"/>
      <w:bookmarkEnd w:id="773"/>
      <w:r>
        <w:rPr>
          <w:rtl w:val="true"/>
        </w:rPr>
        <w:t>الشکّ و السهو</w:t>
      </w:r>
      <w:bookmarkEnd w:id="774"/>
    </w:p>
    <w:p>
      <w:pPr>
        <w:pStyle w:val="Heading4"/>
        <w:numPr>
          <w:ilvl w:val="3"/>
          <w:numId w:val="1"/>
        </w:numPr>
        <w:rPr/>
      </w:pPr>
      <w:bookmarkStart w:id="775" w:name="__RefHeading___Toc362934_581953129"/>
      <w:bookmarkStart w:id="776" w:name="_Toc321"/>
      <w:bookmarkEnd w:id="775"/>
      <w:r>
        <w:rPr>
          <w:rtl w:val="true"/>
        </w:rPr>
        <w:t>اشارة</w:t>
      </w:r>
      <w:bookmarkEnd w:id="776"/>
    </w:p>
    <w:p>
      <w:pPr>
        <w:pStyle w:val="BookText"/>
        <w:rPr/>
      </w:pPr>
      <w:r>
        <w:rPr>
          <w:rFonts w:ascii="IRNazanin" w:hAnsi="IRNazanin" w:eastAsia="IRNazanin"/>
          <w:color w:val="111111"/>
          <w:sz w:val="28"/>
          <w:sz w:val="28"/>
          <w:szCs w:val="28"/>
          <w:rtl w:val="true"/>
          <w:lang w:bidi="fa-IR"/>
        </w:rPr>
        <w:t>هناک اختلاف مهمّ بین المذهب الجعفری و المذاهب الأربعة بالنسبة إلی تفریق بابی الشکّ و السهو وتلفیقهما فصرّح المذهب الجعفری بالتفریق وتسالمت المذاهب الأربعة بالتلفیق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والاختلاف یکون بالتفصیل التالی</w:t>
      </w:r>
      <w:r>
        <w:rPr>
          <w:rFonts w:eastAsia="IRNazanin" w:cs="IRNazanin"/>
          <w:color w:val="111111"/>
          <w:sz w:val="28"/>
          <w:szCs w:val="28"/>
          <w:rtl w:val="true"/>
          <w:lang w:bidi="fa-IR"/>
        </w:rPr>
        <w:t>:</w:t>
      </w:r>
    </w:p>
    <w:p>
      <w:pPr>
        <w:pStyle w:val="Heading4"/>
        <w:numPr>
          <w:ilvl w:val="3"/>
          <w:numId w:val="1"/>
        </w:numPr>
        <w:rPr/>
      </w:pPr>
      <w:bookmarkStart w:id="777" w:name="__RefHeading___Toc362936_581953129"/>
      <w:bookmarkStart w:id="778" w:name="_Toc322"/>
      <w:bookmarkEnd w:id="777"/>
      <w:r>
        <w:rPr>
          <w:rtl w:val="true"/>
        </w:rPr>
        <w:t>المذاهب الاربعة</w:t>
      </w:r>
      <w:bookmarkEnd w:id="77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 فی عدد الرکعات من أسباب السجود للسهو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بنا أنّ حکم الشکّ فی الرکعات هو البناء علی الأقلّ المتیقّن وإتمام الصلاة وإتیان سجود السهو،وأضاف</w:t>
      </w:r>
      <w:bookmarkStart w:id="779" w:name="pg5240_59284"/>
    </w:p>
    <w:p>
      <w:pPr>
        <w:pStyle w:val="BookText"/>
        <w:rPr/>
      </w:pPr>
      <w:bookmarkEnd w:id="779"/>
      <w:r>
        <w:rPr>
          <w:rFonts w:ascii="IRNazanin" w:hAnsi="IRNazanin" w:eastAsia="IRNazanin"/>
          <w:color w:val="111111"/>
          <w:sz w:val="28"/>
          <w:sz w:val="28"/>
          <w:szCs w:val="28"/>
          <w:rtl w:val="true"/>
          <w:lang w:bidi="fa-IR"/>
        </w:rPr>
        <w:t>المذهب الحنفی أنّ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 فی عدد الرکعات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الظنّ الغالب و إن لم یتحقّق ذلک الظنّ واستقرّ الشکّ،صحّ فإنّ الحکم هو البناء علی الأقلّ المتیقّن؛ </w:t>
      </w:r>
      <w:r>
        <w:rPr>
          <w:rStyle w:val="FootnoteAnchor"/>
          <w:rtl w:val="true"/>
        </w:rPr>
        <w:footnoteReference w:id="400"/>
      </w:r>
      <w:r>
        <w:rPr>
          <w:rFonts w:ascii="IRNazanin" w:hAnsi="IRNazanin" w:eastAsia="IRNazanin"/>
          <w:color w:val="111111"/>
          <w:sz w:val="28"/>
          <w:sz w:val="28"/>
          <w:szCs w:val="28"/>
          <w:rtl w:val="true"/>
          <w:lang w:bidi="fa-IR"/>
        </w:rPr>
        <w:t>ذلک للنصوص الواردة فی الباب</w:t>
      </w:r>
      <w:r>
        <w:rPr>
          <w:rFonts w:eastAsia="IRNazanin" w:cs="IRNazanin"/>
          <w:color w:val="111111"/>
          <w:sz w:val="28"/>
          <w:szCs w:val="28"/>
          <w:rtl w:val="true"/>
          <w:lang w:bidi="fa-IR"/>
        </w:rPr>
        <w:t>.</w:t>
      </w:r>
    </w:p>
    <w:p>
      <w:pPr>
        <w:pStyle w:val="Heading4"/>
        <w:numPr>
          <w:ilvl w:val="3"/>
          <w:numId w:val="1"/>
        </w:numPr>
        <w:rPr/>
      </w:pPr>
      <w:bookmarkStart w:id="780" w:name="__RefHeading___Toc362938_581953129"/>
      <w:bookmarkStart w:id="781" w:name="_Toc323"/>
      <w:bookmarkEnd w:id="780"/>
      <w:r>
        <w:rPr>
          <w:rtl w:val="true"/>
        </w:rPr>
        <w:t>المذهب الجعفری</w:t>
      </w:r>
      <w:bookmarkEnd w:id="781"/>
    </w:p>
    <w:p>
      <w:pPr>
        <w:pStyle w:val="BookText"/>
        <w:rPr/>
      </w:pPr>
      <w:r>
        <w:rPr>
          <w:rFonts w:ascii="IRNazanin" w:hAnsi="IRNazanin" w:eastAsia="IRNazanin"/>
          <w:color w:val="111111"/>
          <w:sz w:val="28"/>
          <w:sz w:val="28"/>
          <w:szCs w:val="28"/>
          <w:rtl w:val="true"/>
          <w:lang w:bidi="fa-IR"/>
        </w:rPr>
        <w:t>لکلّ من السهو و الشکّ نطاق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أنّهمایختلفان موضوعاًکذلک یختلفان حکماً،أمّا السهو فقد مرّ بنا البحث عنه وعن موجباته وعمّا له صلة به و أمّا الشکّ فالبحث فیه یکون بالتفصیل الآتی</w:t>
      </w:r>
      <w:r>
        <w:rPr>
          <w:rFonts w:eastAsia="IRNazanin" w:cs="IRNazanin"/>
          <w:color w:val="111111"/>
          <w:sz w:val="28"/>
          <w:szCs w:val="28"/>
          <w:rtl w:val="true"/>
          <w:lang w:bidi="fa-IR"/>
        </w:rPr>
        <w:t>:</w:t>
      </w:r>
    </w:p>
    <w:p>
      <w:pPr>
        <w:pStyle w:val="Heading3"/>
        <w:numPr>
          <w:ilvl w:val="2"/>
          <w:numId w:val="1"/>
        </w:numPr>
        <w:rPr/>
      </w:pPr>
      <w:bookmarkStart w:id="782" w:name="__RefHeading___Toc362940_581953129"/>
      <w:bookmarkStart w:id="783" w:name="_Toc324"/>
      <w:bookmarkEnd w:id="782"/>
      <w:r>
        <w:rPr>
          <w:rtl w:val="true"/>
        </w:rPr>
        <w:t>حول الشکّیات</w:t>
      </w:r>
      <w:bookmarkEnd w:id="783"/>
    </w:p>
    <w:p>
      <w:pPr>
        <w:pStyle w:val="BookText"/>
        <w:rPr/>
      </w:pPr>
      <w:r>
        <w:rPr>
          <w:rFonts w:ascii="IRNazanin" w:hAnsi="IRNazanin" w:eastAsia="IRNazanin"/>
          <w:color w:val="111111"/>
          <w:sz w:val="28"/>
          <w:sz w:val="28"/>
          <w:szCs w:val="28"/>
          <w:rtl w:val="true"/>
          <w:lang w:bidi="fa-IR"/>
        </w:rPr>
        <w:t>إنّ الشکّ باعتبار المتعلّق ینقسم إلی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أفعال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الشکّ فیعدد الرکعات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المسائل المهمّة عند الفقهاء وله فروع کثیرة مدوّنة فی الکتب الفتوائیة ونکتفی هنا بالموجز</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الشکوک الصحیحة عدّة موارد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الاثنتین و الثلاث،والشکّ بین الثلاث و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یبنی علی الأکثر ویتمّ صلاته ثمّ یحتاط برکعة من قیام أو رکعتین من جلوس؛ </w:t>
      </w:r>
      <w:r>
        <w:rPr>
          <w:rStyle w:val="FootnoteAnchor"/>
          <w:rtl w:val="true"/>
        </w:rPr>
        <w:footnoteReference w:id="401"/>
      </w:r>
      <w:r>
        <w:rPr>
          <w:rFonts w:ascii="IRNazanin" w:hAnsi="IRNazanin" w:eastAsia="IRNazanin"/>
          <w:color w:val="111111"/>
          <w:sz w:val="28"/>
          <w:sz w:val="28"/>
          <w:szCs w:val="28"/>
          <w:rtl w:val="true"/>
          <w:lang w:bidi="fa-IR"/>
        </w:rPr>
        <w:t>ذلک علی أساس قاعدة البناء علی الأکثر الّتی لها مدرک روائی معتبر</w:t>
      </w:r>
      <w:r>
        <w:rPr>
          <w:rFonts w:eastAsia="IRNazanin" w:cs="IRNazanin"/>
          <w:color w:val="111111"/>
          <w:sz w:val="28"/>
          <w:szCs w:val="28"/>
          <w:rtl w:val="true"/>
          <w:lang w:bidi="fa-IR"/>
        </w:rPr>
        <w:t xml:space="preserve">. </w:t>
      </w:r>
      <w:r>
        <w:rPr>
          <w:rStyle w:val="FootnoteAnchor"/>
          <w:rtl w:val="true"/>
        </w:rPr>
        <w:footnoteReference w:id="402"/>
      </w:r>
      <w:bookmarkStart w:id="784" w:name="pg5240_59286"/>
    </w:p>
    <w:p>
      <w:pPr>
        <w:pStyle w:val="BookText"/>
        <w:rPr/>
      </w:pPr>
      <w:bookmarkEnd w:id="784"/>
      <w:r>
        <w:rPr>
          <w:rFonts w:ascii="IRNazanin" w:hAnsi="IRNazanin" w:eastAsia="IRNazanin"/>
          <w:color w:val="111111"/>
          <w:sz w:val="28"/>
          <w:sz w:val="28"/>
          <w:szCs w:val="28"/>
          <w:rtl w:val="true"/>
          <w:lang w:bidi="fa-IR"/>
        </w:rPr>
        <w:t>و أمّا فی الشکّ بین الأربع 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فیه هو البناء علی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وسجود السهو،ذلک لنصّ یخصّه،والأمر متسالم علیه عند الفقهاء</w:t>
      </w:r>
      <w:r>
        <w:rPr>
          <w:rFonts w:eastAsia="IRNazanin" w:cs="IRNazanin"/>
          <w:color w:val="111111"/>
          <w:sz w:val="28"/>
          <w:szCs w:val="28"/>
          <w:rtl w:val="true"/>
          <w:lang w:bidi="fa-IR"/>
        </w:rPr>
        <w:t>.</w:t>
      </w:r>
    </w:p>
    <w:p>
      <w:pPr>
        <w:pStyle w:val="Heading3"/>
        <w:numPr>
          <w:ilvl w:val="2"/>
          <w:numId w:val="1"/>
        </w:numPr>
        <w:rPr/>
      </w:pPr>
      <w:bookmarkStart w:id="785" w:name="__RefHeading___Toc362942_581953129"/>
      <w:bookmarkStart w:id="786" w:name="_Toc325"/>
      <w:bookmarkEnd w:id="785"/>
      <w:r>
        <w:rPr>
          <w:rtl w:val="true"/>
        </w:rPr>
        <w:t>الشکّ الصحیح</w:t>
      </w:r>
      <w:bookmarkEnd w:id="786"/>
    </w:p>
    <w:p>
      <w:pPr>
        <w:pStyle w:val="BookText"/>
        <w:rPr/>
      </w:pPr>
      <w:r>
        <w:rPr>
          <w:rFonts w:ascii="IRNazanin" w:hAnsi="IRNazanin" w:eastAsia="IRNazanin"/>
          <w:color w:val="111111"/>
          <w:sz w:val="28"/>
          <w:sz w:val="28"/>
          <w:szCs w:val="28"/>
          <w:rtl w:val="true"/>
          <w:lang w:bidi="fa-IR"/>
        </w:rPr>
        <w:t>إنّ مدی الشکّ الّذی لایبطل الصلاة ینحصر فی الصلوات الرباعیة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فالشکّ المتحقّق فی الصلاة الثنائیة و الثلاثیة یبطل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الشکوک الموجبة لبطلان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موارد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الصلوات الثنائیة،کالصبح وصلاة السفر و الشکّ فی الثلاثیة کالمغرب،والشکّ بین الواحدة و الأزید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مطلق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بین الرباعیات بحیث لم یدر کم صلّی؟</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أضف إلی ما تقدّم،أنّ تلک الشکوک توجب إخلالاً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وهناک؛عدّة نصوص صرّحت علی ما هو المطلوب،منها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علاءبن رزین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یشکّ فی الفجر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و الوتر و الجمعة،من غیر أن أسأله</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والدلالة تامّة</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362944_581953129"/>
      <w:bookmarkStart w:id="788" w:name="_Toc326"/>
      <w:bookmarkEnd w:id="787"/>
      <w:r>
        <w:rPr>
          <w:rtl w:val="true"/>
        </w:rPr>
        <w:t>حجیة الظنّ فی الصلاة</w:t>
      </w:r>
      <w:bookmarkEnd w:id="788"/>
    </w:p>
    <w:p>
      <w:pPr>
        <w:pStyle w:val="Heading4"/>
        <w:numPr>
          <w:ilvl w:val="3"/>
          <w:numId w:val="1"/>
        </w:numPr>
        <w:rPr/>
      </w:pPr>
      <w:bookmarkStart w:id="789" w:name="__RefHeading___Toc362946_581953129"/>
      <w:bookmarkStart w:id="790" w:name="_Toc327"/>
      <w:bookmarkEnd w:id="789"/>
      <w:r>
        <w:rPr>
          <w:rtl w:val="true"/>
        </w:rPr>
        <w:t>اشارة</w:t>
      </w:r>
      <w:bookmarkEnd w:id="790"/>
    </w:p>
    <w:p>
      <w:pPr>
        <w:pStyle w:val="BookText"/>
        <w:rPr/>
      </w:pPr>
      <w:r>
        <w:rPr>
          <w:rFonts w:ascii="IRNazanin" w:hAnsi="IRNazanin" w:eastAsia="IRNazanin"/>
          <w:color w:val="111111"/>
          <w:sz w:val="28"/>
          <w:sz w:val="28"/>
          <w:szCs w:val="28"/>
          <w:rtl w:val="true"/>
          <w:lang w:bidi="fa-IR"/>
        </w:rPr>
        <w:t>قال السیدالطباطبائی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بالشکّ فی الرکعات تساوی الطرفین،ما لایشمل الظنّ،فإنّه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بحکم الیقین، </w:t>
      </w:r>
      <w:r>
        <w:rPr>
          <w:rStyle w:val="FootnoteAnchor"/>
          <w:rtl w:val="true"/>
        </w:rPr>
        <w:footnoteReference w:id="405"/>
      </w:r>
      <w:r>
        <w:rPr>
          <w:rFonts w:ascii="IRNazanin" w:hAnsi="IRNazanin" w:eastAsia="IRNazanin"/>
          <w:color w:val="111111"/>
          <w:sz w:val="28"/>
          <w:sz w:val="28"/>
          <w:szCs w:val="28"/>
          <w:rtl w:val="true"/>
          <w:lang w:bidi="fa-IR"/>
        </w:rPr>
        <w:t>ذلک علی أساس قاعدة حجّیة الظنّ فی الصلاة،وهی قاعدة فقهیة ثبتت من خلال الأدلّة المعتبرة</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أفعال الصلاة و هو یتعلّق بأجزاء الصلاة</w:t>
      </w:r>
      <w:r>
        <w:rPr>
          <w:rFonts w:eastAsia="IRNazanin" w:cs="IRNazanin"/>
          <w:color w:val="111111"/>
          <w:sz w:val="28"/>
          <w:szCs w:val="28"/>
          <w:rtl w:val="true"/>
          <w:lang w:bidi="fa-IR"/>
        </w:rPr>
        <w:t>.</w:t>
      </w:r>
      <w:bookmarkStart w:id="791" w:name="pg5240_59288"/>
    </w:p>
    <w:p>
      <w:pPr>
        <w:pStyle w:val="BookText"/>
        <w:rPr/>
      </w:pPr>
      <w:bookmarkEnd w:id="791"/>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شیء من أفعال الصلاة فإن کان قبل الدخول فی الغیر المترتّب علیه کالشکّ فی قرائة الفاتحة قبل الدخول فی السورة إذاً وجب الإتیان بالمشکوک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لقاعدتی الاستصحاب والاشتغال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الشکّ بعد الدخول فی الجزء الآخر لم یلتفت وبنی علی أنّه أتی به</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ذلک؛لقاعدة التجاوز الفقهیة الثابتة من الادلّة المعتبرة</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ومن الجدیربالذکر أنّه لا اعتباربالشکّ فی الرکعات بعد إتمام الصلاة و الفراغ عنها؛ذلک لقاعدة الفراغ الفقهیة </w:t>
      </w:r>
      <w:r>
        <w:rPr>
          <w:rStyle w:val="FootnoteAnchor"/>
          <w:rtl w:val="true"/>
        </w:rPr>
        <w:footnoteReference w:id="409"/>
      </w:r>
      <w:r>
        <w:rPr>
          <w:rFonts w:ascii="IRNazanin" w:hAnsi="IRNazanin" w:eastAsia="IRNazanin"/>
          <w:color w:val="111111"/>
          <w:sz w:val="28"/>
          <w:sz w:val="28"/>
          <w:szCs w:val="28"/>
          <w:rtl w:val="true"/>
          <w:lang w:bidi="fa-IR"/>
        </w:rPr>
        <w:t>وکذلک لا اعتبار بالشکّ الّذی یتجاوزحدّه الطبیعی،استناداً 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لکثیر الشکّ،الفقهیة</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یصل حدّ الوسواس سواء کان فی الرکعات أو الأفعال أو الشرائط فیبنی علی وقوع ما شکّ و إن کان فی محلّه</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792" w:name="__RefHeading___Toc362948_581953129"/>
      <w:bookmarkStart w:id="793" w:name="_Toc328"/>
      <w:bookmarkEnd w:id="792"/>
      <w:r>
        <w:rPr>
          <w:rtl w:val="true"/>
        </w:rPr>
        <w:t>منشأ الاختلاف</w:t>
      </w:r>
      <w:bookmarkEnd w:id="793"/>
    </w:p>
    <w:p>
      <w:pPr>
        <w:pStyle w:val="BookText"/>
        <w:rPr/>
      </w:pPr>
      <w:r>
        <w:rPr>
          <w:rFonts w:ascii="IRNazanin" w:hAnsi="IRNazanin" w:eastAsia="IRNazanin"/>
          <w:color w:val="111111"/>
          <w:sz w:val="28"/>
          <w:sz w:val="28"/>
          <w:szCs w:val="28"/>
          <w:rtl w:val="true"/>
          <w:lang w:bidi="fa-IR"/>
        </w:rPr>
        <w:t>إنّ أکثر الاختلافات ناشئ عن الاختلاف فی الروایات کما أنّ ثمّة مناشئ جزئیة نشیر إلیها بالتفصیل الآتی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السهو 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الروایات الواردة من طریق الصحابة دلّت علی أنّ سجود السهو،یجبر السهو و الشکّ فی الأفعال و الرکعات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والروایات الواردة من</w:t>
      </w:r>
    </w:p>
    <w:p>
      <w:pPr>
        <w:pStyle w:val="BookText"/>
        <w:rPr/>
      </w:pPr>
      <w:r>
        <w:rPr>
          <w:rFonts w:ascii="IRNazanin" w:hAnsi="IRNazanin" w:eastAsia="IRNazanin"/>
          <w:color w:val="111111"/>
          <w:sz w:val="28"/>
          <w:sz w:val="28"/>
          <w:szCs w:val="28"/>
          <w:rtl w:val="true"/>
          <w:lang w:bidi="fa-IR"/>
        </w:rPr>
        <w:t>طریق آل‌البیت علیهم السلام دلّت علی تغایر السهو و الشکّ حکماً کما أنّهما متغایران بحسب الواقع وصرّحت تلک الروایات بأنّ للأرکان أهمیة خاصّة،وعلیه فإنّ الاختلال بها مبطل للصلاة مطلقاً،و هذا ما اعترف به ابن‌قدامة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عمد وسهو،أمّا الشکّ فی الأفعال فهو یوجب سجود السهو علی أساس الاجتهاد عند المذاهب الأربعة،ولا یوجب شیئاً علی المذهب الجعفری،لقاعدة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والقاعدة الکلّیة فی الشکّ فی الرکعات علی المذاهب الأربعة هی البناء علی الأقلّ؛للاشتغال والاستصحاب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القاعدة علی المذهب الجعفری فهی البناء علی الأکثر الثابت بالنص الخاص من طریق آل‌البیت علیهم السلام،والاختلاف فی عدد الأسباب لسجود السهو ناشئ عن الاختلاف فی الفهم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والاختلاف بالنسبة إلی محلّ السجود ناشئ عن اختلاف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وتعدّد السجود بتعدّد الأسباب وعدم تعدّد السجود عندئذ ناشئ عن تداخل الأسباب وعدم تداخلها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والاختلاف فی وصف سجود السهو وجوباً وندباً ناشئ عن الاختلاف فی الاجتهاد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تفرّد به المذهب الحنبلی من أنّ المصلّی إذا التفت إلی نقص فی الرکعة الأولی بعد التجاوز عن محلّ التدارک،تلغی الأولی وتقوم الثانیة مقامها فهو علی خلاف القواعد الفقهیة ناشئ عن الاجتهاد الخاصّ،وکذا ماقال به المذهب الحنفی من أنّ زیادة الرکعة الخامسة سهواً تنقلب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الالتفات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بالنافلة فلیضمّ بها رکعة سادسة حتّی تستکمل النافلة،کان ذلک علی خلاف القواعد وناشئ عن الاجتهاد الخاص</w:t>
      </w:r>
      <w:r>
        <w:rPr>
          <w:rFonts w:eastAsia="IRNazanin" w:cs="IRNazanin"/>
          <w:color w:val="111111"/>
          <w:sz w:val="28"/>
          <w:szCs w:val="28"/>
          <w:rtl w:val="true"/>
          <w:lang w:bidi="fa-IR"/>
        </w:rPr>
        <w:t>.</w:t>
      </w:r>
      <w:bookmarkStart w:id="794" w:name="pg5240_59292"/>
    </w:p>
    <w:p>
      <w:pPr>
        <w:pStyle w:val="Heading3"/>
        <w:numPr>
          <w:ilvl w:val="2"/>
          <w:numId w:val="1"/>
        </w:numPr>
        <w:rPr/>
      </w:pPr>
      <w:bookmarkStart w:id="795" w:name="__RefHeading___Toc362950_581953129"/>
      <w:bookmarkStart w:id="796" w:name="_Toc329"/>
      <w:bookmarkEnd w:id="794"/>
      <w:bookmarkEnd w:id="795"/>
      <w:r>
        <w:rPr>
          <w:rtl w:val="true"/>
        </w:rPr>
        <w:t>الخلاصة</w:t>
      </w:r>
      <w:bookmarkEnd w:id="796"/>
    </w:p>
    <w:p>
      <w:pPr>
        <w:pStyle w:val="BookText"/>
        <w:rPr/>
      </w:pPr>
      <w:r>
        <w:rPr>
          <w:rFonts w:ascii="IRNazanin" w:hAnsi="IRNazanin" w:eastAsia="IRNazanin"/>
          <w:color w:val="111111"/>
          <w:sz w:val="28"/>
          <w:sz w:val="28"/>
          <w:szCs w:val="28"/>
          <w:rtl w:val="true"/>
          <w:lang w:bidi="fa-IR"/>
        </w:rPr>
        <w:t>سجود السهو وثیق الصلة بالصلاة فیجب علی کلّ مکلّف تعلّمه کتعلّم الصلاة نفسها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عند أکثر الفقهاء وأغلب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المتیقّن من الأدلّة و الفتاوی فی هذا الحقل هو أنّ سجود السهو لترک الواجب سهواً فشرّع لجبران الخلل الواقع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بین الأربع 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فی‌الرکعات بعد إکمال السجدتین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سجود السهو بلاخلاف،ومع حصول هذا الشکّ بأشکال اخری فتختلف فیه الآراء</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لاخلاف فی أنّ أرکان الصلاة بحسب الحقیقة صیاغة الصلاة الأصلیة،وعلیه أفتی جمع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الخلل بالأرکان سهواً لاینجبر بسجود السهو لأنّ النقص الوارد بالأرکان یهدّم کیان الصلاة الأصلی</w:t>
      </w:r>
      <w:r>
        <w:rPr>
          <w:rFonts w:eastAsia="IRNazanin" w:cs="IRNazanin"/>
          <w:color w:val="111111"/>
          <w:sz w:val="28"/>
          <w:szCs w:val="28"/>
          <w:rtl w:val="true"/>
          <w:lang w:bidi="fa-IR"/>
        </w:rPr>
        <w:t>.</w:t>
      </w:r>
      <w:bookmarkStart w:id="797" w:name="pg5240_59294"/>
    </w:p>
    <w:p>
      <w:pPr>
        <w:pStyle w:val="Heading3"/>
        <w:numPr>
          <w:ilvl w:val="2"/>
          <w:numId w:val="1"/>
        </w:numPr>
        <w:rPr/>
      </w:pPr>
      <w:bookmarkStart w:id="798" w:name="__RefHeading___Toc362952_581953129"/>
      <w:bookmarkStart w:id="799" w:name="_Toc330"/>
      <w:bookmarkEnd w:id="797"/>
      <w:bookmarkEnd w:id="798"/>
      <w:r>
        <w:rPr>
          <w:rtl w:val="true"/>
        </w:rPr>
        <w:t>الأسئلة</w:t>
      </w:r>
      <w:bookmarkEnd w:id="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محلّ التدارک فی باب السهو؟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دور قاعدة لاتعاد بالنسبة إلی الأجزاء المنسیة فی الصلاة؟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المعیار الأصلی فی باب الشکّ فی عدد الرکعات؟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اعتبار الشکّ بعد الاجتیاز عن المحلّ؟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تداخل الأسباب وعدم تداخلها فی السهویات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الآراء حول الاختلاف بالنسبة إلی وصف سجود السهو</w:t>
      </w:r>
      <w:r>
        <w:rPr>
          <w:rFonts w:eastAsia="IRNazanin" w:cs="IRNazanin"/>
          <w:color w:val="111111"/>
          <w:sz w:val="28"/>
          <w:szCs w:val="28"/>
          <w:rtl w:val="true"/>
          <w:lang w:bidi="fa-IR"/>
        </w:rPr>
        <w:t>.</w:t>
      </w:r>
      <w:bookmarkStart w:id="800" w:name="pg5240_59296"/>
    </w:p>
    <w:p>
      <w:pPr>
        <w:pStyle w:val="Heading2"/>
        <w:numPr>
          <w:ilvl w:val="1"/>
          <w:numId w:val="1"/>
        </w:numPr>
        <w:rPr/>
      </w:pPr>
      <w:bookmarkStart w:id="801" w:name="__RefHeading___Toc362954_581953129"/>
      <w:bookmarkStart w:id="802" w:name="_Toc331"/>
      <w:bookmarkEnd w:id="800"/>
      <w:bookmarkEnd w:id="801"/>
      <w:r>
        <w:rPr/>
        <w:t>14</w:t>
      </w:r>
      <w:r>
        <w:rPr>
          <w:rtl w:val="true"/>
        </w:rPr>
        <w:t xml:space="preserve">- </w:t>
      </w:r>
      <w:r>
        <w:rPr>
          <w:rtl w:val="true"/>
        </w:rPr>
        <w:t xml:space="preserve">صلاة الجماعة </w:t>
      </w:r>
      <w:r>
        <w:rPr>
          <w:rtl w:val="true"/>
        </w:rPr>
        <w:t>(</w:t>
      </w:r>
      <w:r>
        <w:rPr/>
        <w:t>1</w:t>
      </w:r>
      <w:r>
        <w:rPr>
          <w:rtl w:val="true"/>
        </w:rPr>
        <w:t>)</w:t>
      </w:r>
      <w:bookmarkEnd w:id="802"/>
    </w:p>
    <w:p>
      <w:pPr>
        <w:pStyle w:val="Heading3"/>
        <w:numPr>
          <w:ilvl w:val="2"/>
          <w:numId w:val="1"/>
        </w:numPr>
        <w:rPr/>
      </w:pPr>
      <w:bookmarkStart w:id="803" w:name="__RefHeading___Toc362956_581953129"/>
      <w:bookmarkStart w:id="804" w:name="_Toc332"/>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لاریب فی مطلوبیة الجماعة وفضیلتها فی الصلوات الواجبة وأنّها من شعائر الدین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المستحبّات الأکیدة فی جمیع الفرائض خصوصاً الیومیة منها؛و قد ورد فی فضلها وذمّ تارکها من ضروب التأکیدات،ماکاد یلحقها بالواجبات ففی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جماعة،تفضل علی صلاة الفذ أی الفرد بأربع وعشرین درجة</w:t>
      </w:r>
      <w:r>
        <w:rPr>
          <w:rFonts w:eastAsia="IRNazanin" w:cs="IRNazanin"/>
          <w:color w:val="111111"/>
          <w:sz w:val="28"/>
          <w:szCs w:val="28"/>
          <w:rtl w:val="true"/>
          <w:lang w:bidi="fa-IR"/>
        </w:rPr>
        <w:t xml:space="preserve">. </w:t>
      </w:r>
      <w:r>
        <w:rPr>
          <w:rStyle w:val="FootnoteAnchor"/>
          <w:rtl w:val="true"/>
        </w:rPr>
        <w:footnoteReference w:id="412"/>
      </w:r>
    </w:p>
    <w:p>
      <w:pPr>
        <w:pStyle w:val="Heading3"/>
        <w:numPr>
          <w:ilvl w:val="2"/>
          <w:numId w:val="1"/>
        </w:numPr>
        <w:rPr/>
      </w:pPr>
      <w:bookmarkStart w:id="805" w:name="__RefHeading___Toc362958_581953129"/>
      <w:bookmarkStart w:id="806" w:name="_Toc333"/>
      <w:bookmarkEnd w:id="805"/>
      <w:r>
        <w:rPr>
          <w:rtl w:val="true"/>
        </w:rPr>
        <w:t>الحکم</w:t>
      </w:r>
      <w:bookmarkEnd w:id="806"/>
    </w:p>
    <w:p>
      <w:pPr>
        <w:pStyle w:val="Heading4"/>
        <w:numPr>
          <w:ilvl w:val="3"/>
          <w:numId w:val="1"/>
        </w:numPr>
        <w:rPr/>
      </w:pPr>
      <w:bookmarkStart w:id="807" w:name="__RefHeading___Toc362960_581953129"/>
      <w:bookmarkStart w:id="808" w:name="_Toc334"/>
      <w:bookmarkEnd w:id="807"/>
      <w:r>
        <w:rPr>
          <w:rtl w:val="true"/>
        </w:rPr>
        <w:t>اشارة</w:t>
      </w:r>
      <w:bookmarkEnd w:id="808"/>
    </w:p>
    <w:p>
      <w:pPr>
        <w:pStyle w:val="BookText"/>
        <w:rPr/>
      </w:pPr>
      <w:r>
        <w:rPr>
          <w:rFonts w:ascii="IRNazanin" w:hAnsi="IRNazanin" w:eastAsia="IRNazanin"/>
          <w:color w:val="111111"/>
          <w:sz w:val="28"/>
          <w:sz w:val="28"/>
          <w:szCs w:val="28"/>
          <w:rtl w:val="true"/>
          <w:lang w:bidi="fa-IR"/>
        </w:rPr>
        <w:t>اختلفت الآراء بالنسبة إلی صلاة الجماعة وجوباً وندباً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809" w:name="__RefHeading___Toc362962_581953129"/>
      <w:bookmarkStart w:id="810" w:name="_Toc335"/>
      <w:bookmarkEnd w:id="809"/>
      <w:r>
        <w:rPr>
          <w:rtl w:val="true"/>
        </w:rPr>
        <w:t>المذهب الحنبلی</w:t>
      </w:r>
      <w:bookmarkEnd w:id="810"/>
    </w:p>
    <w:p>
      <w:pPr>
        <w:pStyle w:val="BookText"/>
        <w:rPr/>
      </w:pPr>
      <w:r>
        <w:rPr>
          <w:rFonts w:ascii="IRNazanin" w:hAnsi="IRNazanin" w:eastAsia="IRNazanin"/>
          <w:color w:val="111111"/>
          <w:sz w:val="28"/>
          <w:sz w:val="28"/>
          <w:szCs w:val="28"/>
          <w:rtl w:val="true"/>
          <w:lang w:bidi="fa-IR"/>
        </w:rPr>
        <w:t>الجماعة واجبة فی الصلوات الخمس المفروضة</w:t>
      </w:r>
      <w:r>
        <w:rPr>
          <w:rFonts w:eastAsia="IRNazanin" w:cs="IRNazanin"/>
          <w:color w:val="111111"/>
          <w:sz w:val="28"/>
          <w:szCs w:val="28"/>
          <w:rtl w:val="true"/>
          <w:lang w:bidi="fa-IR"/>
        </w:rPr>
        <w:t>.</w:t>
      </w:r>
    </w:p>
    <w:p>
      <w:pPr>
        <w:pStyle w:val="Heading4"/>
        <w:numPr>
          <w:ilvl w:val="3"/>
          <w:numId w:val="1"/>
        </w:numPr>
        <w:rPr/>
      </w:pPr>
      <w:bookmarkStart w:id="811" w:name="__RefHeading___Toc362964_581953129"/>
      <w:bookmarkStart w:id="812" w:name="_Toc336"/>
      <w:bookmarkEnd w:id="811"/>
      <w:r>
        <w:rPr>
          <w:rtl w:val="true"/>
        </w:rPr>
        <w:t>المذاهب الاربعة الأخری</w:t>
      </w:r>
      <w:bookmarkEnd w:id="81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الجماعة‌من المستحبّات المؤکّدة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الجماعة سنّة مؤکّدة،ورد</w:t>
      </w:r>
      <w:bookmarkStart w:id="813" w:name="pg5240_59298"/>
    </w:p>
    <w:p>
      <w:pPr>
        <w:pStyle w:val="BookText"/>
        <w:rPr/>
      </w:pPr>
      <w:bookmarkEnd w:id="813"/>
      <w:r>
        <w:rPr>
          <w:rFonts w:ascii="IRNazanin" w:hAnsi="IRNazanin" w:eastAsia="IRNazanin"/>
          <w:color w:val="111111"/>
          <w:sz w:val="28"/>
          <w:sz w:val="28"/>
          <w:szCs w:val="28"/>
          <w:rtl w:val="true"/>
          <w:lang w:bidi="fa-IR"/>
        </w:rPr>
        <w:t>فی فضلها أحادیث کثیرة</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لکلّ منهما دلیل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ابن‌قدامة شیخ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واجبة للصلوات الخمس ولو لم یوجبها مالک وأبوحنیفة و الشافعی،لقول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صلاة الجماعة علی صلاة الفرد بخمس وعشرین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علیه،ولأنّ النبی صلی الله علیه و آله لم ینکر علی الّذین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صلّینا فی رحالنا ولو کانت واجبة لأنکر علیهما،ولأنّها لو کانت واجبة فی الصلاة لکانت شرطاً کالجمعة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 فَأَقَمْتَ لَهُمُ الصَّلاةَ</w:t>
      </w:r>
      <w:r>
        <w:rPr>
          <w:rFonts w:eastAsia="Amiri" w:cs="Amiri" w:ascii="Amiri" w:hAnsi="Amiri"/>
          <w:color w:val="111111"/>
          <w:sz w:val="28"/>
          <w:szCs w:val="28"/>
          <w:rtl w:val="true"/>
          <w:lang w:bidi="ar-SA"/>
        </w:rPr>
        <w:t xml:space="preserve">... . </w:t>
      </w:r>
      <w:r>
        <w:rPr>
          <w:rStyle w:val="FootnoteAnchor"/>
          <w:rtl w:val="true"/>
        </w:rPr>
        <w:footnoteReference w:id="414"/>
      </w:r>
      <w:r>
        <w:rPr>
          <w:rFonts w:ascii="IRNazanin" w:hAnsi="IRNazanin" w:eastAsia="IRNazanin"/>
          <w:color w:val="111111"/>
          <w:sz w:val="28"/>
          <w:sz w:val="28"/>
          <w:szCs w:val="28"/>
          <w:rtl w:val="true"/>
          <w:lang w:bidi="fa-IR"/>
        </w:rPr>
        <w:t>ولو لم تکن واجبة لرخّص فیها حالة الخوف،ولم یجز الإخلال بواجبات الصلاة من أجلها؛وروی أبوهریرة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لقد هممت أن آمر بحطب لیحتطب ثمّ آمر بالصلاة فیؤذن لها،ثمّ آمر رجلاً فیؤمّ الناس،ثمّ أخالف‌إلی رجال‌لایشهدون الصلاة فأحرق علیهم 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Style w:val="FootnoteAnchor"/>
          <w:rtl w:val="true"/>
        </w:rPr>
        <w:footnoteReference w:id="415"/>
      </w:r>
    </w:p>
    <w:p>
      <w:pPr>
        <w:pStyle w:val="Heading3"/>
        <w:numPr>
          <w:ilvl w:val="2"/>
          <w:numId w:val="1"/>
        </w:numPr>
        <w:rPr/>
      </w:pPr>
      <w:bookmarkStart w:id="814" w:name="__RefHeading___Toc362966_581953129"/>
      <w:bookmarkStart w:id="815" w:name="_Toc337"/>
      <w:bookmarkEnd w:id="814"/>
      <w:r>
        <w:rPr>
          <w:rtl w:val="true"/>
        </w:rPr>
        <w:t>اشتراط العدالة للإمام</w:t>
      </w:r>
      <w:bookmarkEnd w:id="815"/>
    </w:p>
    <w:p>
      <w:pPr>
        <w:pStyle w:val="Heading4"/>
        <w:numPr>
          <w:ilvl w:val="3"/>
          <w:numId w:val="1"/>
        </w:numPr>
        <w:rPr/>
      </w:pPr>
      <w:bookmarkStart w:id="816" w:name="__RefHeading___Toc362968_581953129"/>
      <w:bookmarkStart w:id="817" w:name="_Toc338"/>
      <w:bookmarkEnd w:id="816"/>
      <w:r>
        <w:rPr>
          <w:rtl w:val="true"/>
        </w:rPr>
        <w:t>اشارة</w:t>
      </w:r>
      <w:bookmarkEnd w:id="817"/>
    </w:p>
    <w:p>
      <w:pPr>
        <w:pStyle w:val="BookText"/>
        <w:rPr/>
      </w:pPr>
      <w:r>
        <w:rPr>
          <w:rFonts w:ascii="IRNazanin" w:hAnsi="IRNazanin" w:eastAsia="IRNazanin"/>
          <w:color w:val="111111"/>
          <w:sz w:val="28"/>
          <w:sz w:val="28"/>
          <w:szCs w:val="28"/>
          <w:rtl w:val="true"/>
          <w:lang w:bidi="fa-IR"/>
        </w:rPr>
        <w:t>اختلفت الآراء حول اشتراط العدالة بالنسبة إلی إمام الجماعة</w:t>
      </w:r>
      <w:r>
        <w:rPr>
          <w:rFonts w:eastAsia="IRNazanin" w:cs="IRNazanin"/>
          <w:color w:val="111111"/>
          <w:sz w:val="28"/>
          <w:szCs w:val="28"/>
          <w:rtl w:val="true"/>
          <w:lang w:bidi="fa-IR"/>
        </w:rPr>
        <w:t>.</w:t>
      </w:r>
    </w:p>
    <w:p>
      <w:pPr>
        <w:pStyle w:val="Heading4"/>
        <w:numPr>
          <w:ilvl w:val="3"/>
          <w:numId w:val="1"/>
        </w:numPr>
        <w:rPr/>
      </w:pPr>
      <w:bookmarkStart w:id="818" w:name="__RefHeading___Toc362970_581953129"/>
      <w:bookmarkStart w:id="819" w:name="_Toc339"/>
      <w:bookmarkEnd w:id="818"/>
      <w:r>
        <w:rPr>
          <w:rtl w:val="true"/>
        </w:rPr>
        <w:t>المذهب الجعفری</w:t>
      </w:r>
      <w:bookmarkEnd w:id="81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الحکیم نقلاً عن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بین الأصحاب فی اشتراط عدالة إمام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ووافق أبوعبدالله البصری ذلک الإشتراط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بإجماع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علیه موثّق سماعة فی حدیث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إماماً عدلاً</w:t>
      </w:r>
      <w:bookmarkStart w:id="820" w:name="pg5240_59300"/>
    </w:p>
    <w:p>
      <w:pPr>
        <w:pStyle w:val="BookText"/>
        <w:rPr/>
      </w:pPr>
      <w:bookmarkEnd w:id="820"/>
      <w:r>
        <w:rPr>
          <w:rFonts w:ascii="IRNazanin" w:hAnsi="IRNazanin" w:eastAsia="IRNazanin"/>
          <w:color w:val="111111"/>
          <w:sz w:val="28"/>
          <w:sz w:val="28"/>
          <w:szCs w:val="28"/>
          <w:rtl w:val="true"/>
          <w:lang w:bidi="fa-IR"/>
        </w:rPr>
        <w:t>فلیصلّ و إن لم یکن إمام عدل فلیبن علی صلاته</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دلّت علی اشتراط العدالة للإمام فی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الحکم علی المذهب الحنبلی کما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جابر قال سمعت رسول الله صلی الله علیه و آله علی منبره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لاتؤمّ إمرأة رجلاً ولا فاجراً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عدّة من النصوص الواردة فی موارد شتّی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أنّه لایصلّی خلف فاسق</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وقال ابن القاسم رأیت مالکاً إذا قیل له فی إعادة صلاة من صلّی خلف اهل البدع یقف ولایجیب</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821" w:name="__RefHeading___Toc362972_581953129"/>
      <w:bookmarkStart w:id="822" w:name="_Toc340"/>
      <w:bookmarkEnd w:id="821"/>
      <w:r>
        <w:rPr>
          <w:rtl w:val="true"/>
        </w:rPr>
        <w:t>المذهب الحنفی و الشافعی</w:t>
      </w:r>
      <w:bookmarkEnd w:id="822"/>
    </w:p>
    <w:p>
      <w:pPr>
        <w:pStyle w:val="BookText"/>
        <w:rPr/>
      </w:pPr>
      <w:r>
        <w:rPr>
          <w:rFonts w:ascii="IRNazanin" w:hAnsi="IRNazanin" w:eastAsia="IRNazanin"/>
          <w:color w:val="111111"/>
          <w:sz w:val="28"/>
          <w:sz w:val="28"/>
          <w:szCs w:val="28"/>
          <w:rtl w:val="true"/>
          <w:lang w:bidi="fa-IR"/>
        </w:rPr>
        <w:t>لایشترط العدالة لإمام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الشافعی؛لقول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خلف من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صلّی خلف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الزنا،الفاسق ومظهر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أجزأته صلاته ولم تکن علیه إعادة</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إلی هنا فإنّ الاختلاف،هو حول اشتراط العدالة بالنسبة إلی الصلوات الیومیة و</w:t>
      </w:r>
    </w:p>
    <w:p>
      <w:pPr>
        <w:pStyle w:val="Heading3"/>
        <w:numPr>
          <w:ilvl w:val="2"/>
          <w:numId w:val="1"/>
        </w:numPr>
        <w:rPr/>
      </w:pPr>
      <w:bookmarkStart w:id="823" w:name="__RefHeading___Toc362974_581953129"/>
      <w:bookmarkStart w:id="824" w:name="_Toc341"/>
      <w:bookmarkEnd w:id="823"/>
      <w:r>
        <w:rPr>
          <w:rtl w:val="true"/>
        </w:rPr>
        <w:t>[</w:t>
      </w:r>
      <w:r>
        <w:rPr>
          <w:rtl w:val="true"/>
        </w:rPr>
        <w:t>اشتراط العدالة لإمام الجمعة و الأعیاد</w:t>
      </w:r>
      <w:r>
        <w:rPr>
          <w:rtl w:val="true"/>
        </w:rPr>
        <w:t>]</w:t>
      </w:r>
      <w:bookmarkEnd w:id="824"/>
    </w:p>
    <w:p>
      <w:pPr>
        <w:pStyle w:val="Heading4"/>
        <w:numPr>
          <w:ilvl w:val="3"/>
          <w:numId w:val="1"/>
        </w:numPr>
        <w:rPr/>
      </w:pPr>
      <w:bookmarkStart w:id="825" w:name="__RefHeading___Toc362976_581953129"/>
      <w:bookmarkStart w:id="826" w:name="_Toc342"/>
      <w:bookmarkEnd w:id="825"/>
      <w:r>
        <w:rPr>
          <w:rtl w:val="true"/>
        </w:rPr>
        <w:t>اشارة</w:t>
      </w:r>
      <w:bookmarkEnd w:id="826"/>
    </w:p>
    <w:p>
      <w:pPr>
        <w:pStyle w:val="BookText"/>
        <w:rPr/>
      </w:pPr>
      <w:r>
        <w:rPr>
          <w:rFonts w:ascii="IRNazanin" w:hAnsi="IRNazanin" w:eastAsia="IRNazanin"/>
          <w:color w:val="111111"/>
          <w:sz w:val="28"/>
          <w:sz w:val="28"/>
          <w:szCs w:val="28"/>
          <w:rtl w:val="true"/>
          <w:lang w:bidi="fa-IR"/>
        </w:rPr>
        <w:t>أمّا الاختلاف بالنسبة إلی اشتراط العدالة لإمام الجمعة و الأعیاد فهو الخلاف بین المذهب الجعفری و المذاهب الأربعة،بالنفی و الإثبات</w:t>
      </w:r>
      <w:r>
        <w:rPr>
          <w:rFonts w:eastAsia="IRNazanin" w:cs="IRNazanin"/>
          <w:color w:val="111111"/>
          <w:sz w:val="28"/>
          <w:szCs w:val="28"/>
          <w:rtl w:val="true"/>
          <w:lang w:bidi="fa-IR"/>
        </w:rPr>
        <w:t>.</w:t>
      </w:r>
    </w:p>
    <w:p>
      <w:pPr>
        <w:pStyle w:val="Heading4"/>
        <w:numPr>
          <w:ilvl w:val="3"/>
          <w:numId w:val="1"/>
        </w:numPr>
        <w:rPr/>
      </w:pPr>
      <w:bookmarkStart w:id="827" w:name="__RefHeading___Toc362978_581953129"/>
      <w:bookmarkStart w:id="828" w:name="_Toc343"/>
      <w:bookmarkEnd w:id="827"/>
      <w:r>
        <w:rPr>
          <w:rtl w:val="true"/>
        </w:rPr>
        <w:t>المذهب الجعفری</w:t>
      </w:r>
      <w:bookmarkEnd w:id="8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العدالة فی الإمام مطلقاً فی جمیع الصلوات الواجبة ولا خلاف فی الحکم بین الفقهاء و الأمر متسالم علیه عندهم</w:t>
      </w:r>
      <w:r>
        <w:rPr>
          <w:rFonts w:eastAsia="IRNazanin" w:cs="IRNazanin"/>
          <w:color w:val="111111"/>
          <w:sz w:val="28"/>
          <w:szCs w:val="28"/>
          <w:rtl w:val="true"/>
          <w:lang w:bidi="fa-IR"/>
        </w:rPr>
        <w:t>.</w:t>
      </w:r>
      <w:bookmarkStart w:id="829" w:name="pg5240_59302"/>
    </w:p>
    <w:p>
      <w:pPr>
        <w:pStyle w:val="Heading4"/>
        <w:numPr>
          <w:ilvl w:val="3"/>
          <w:numId w:val="1"/>
        </w:numPr>
        <w:rPr/>
      </w:pPr>
      <w:bookmarkStart w:id="830" w:name="__RefHeading___Toc362980_581953129"/>
      <w:bookmarkStart w:id="831" w:name="_Toc344"/>
      <w:bookmarkEnd w:id="829"/>
      <w:bookmarkEnd w:id="830"/>
      <w:r>
        <w:rPr>
          <w:rtl w:val="true"/>
        </w:rPr>
        <w:t>المذاهب الاربعة</w:t>
      </w:r>
      <w:bookmarkEnd w:id="831"/>
    </w:p>
    <w:p>
      <w:pPr>
        <w:pStyle w:val="BookText"/>
        <w:rPr/>
      </w:pPr>
      <w:r>
        <w:rPr>
          <w:rFonts w:ascii="IRNazanin" w:hAnsi="IRNazanin" w:eastAsia="IRNazanin"/>
          <w:color w:val="111111"/>
          <w:sz w:val="28"/>
          <w:sz w:val="28"/>
          <w:szCs w:val="28"/>
          <w:rtl w:val="true"/>
          <w:lang w:bidi="fa-IR"/>
        </w:rPr>
        <w:t>لایشترط العدالة فی غیر الصلوات المفروضة 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الجمعة و الأعیاد فإنّها تصلّی خلف کلّ برّ وفاجر</w:t>
      </w:r>
      <w:r>
        <w:rPr>
          <w:rFonts w:eastAsia="IRNazanin" w:cs="IRNazanin"/>
          <w:color w:val="111111"/>
          <w:sz w:val="28"/>
          <w:szCs w:val="28"/>
          <w:rtl w:val="true"/>
          <w:lang w:bidi="fa-IR"/>
        </w:rPr>
        <w:t xml:space="preserve">. </w:t>
      </w:r>
      <w:r>
        <w:rPr>
          <w:rStyle w:val="FootnoteAnchor"/>
          <w:rtl w:val="true"/>
        </w:rPr>
        <w:footnoteReference w:id="421"/>
      </w:r>
    </w:p>
    <w:p>
      <w:pPr>
        <w:pStyle w:val="Heading4"/>
        <w:numPr>
          <w:ilvl w:val="3"/>
          <w:numId w:val="1"/>
        </w:numPr>
        <w:rPr/>
      </w:pPr>
      <w:bookmarkStart w:id="832" w:name="__RefHeading___Toc362982_581953129"/>
      <w:bookmarkStart w:id="833" w:name="_Toc345"/>
      <w:bookmarkEnd w:id="832"/>
      <w:r>
        <w:rPr>
          <w:rtl w:val="true"/>
        </w:rPr>
        <w:t>منشأ الاختلاف</w:t>
      </w:r>
      <w:bookmarkEnd w:id="833"/>
    </w:p>
    <w:p>
      <w:pPr>
        <w:pStyle w:val="BookText"/>
        <w:rPr/>
      </w:pPr>
      <w:r>
        <w:rPr>
          <w:rFonts w:ascii="IRNazanin" w:hAnsi="IRNazanin" w:eastAsia="IRNazanin"/>
          <w:color w:val="111111"/>
          <w:sz w:val="28"/>
          <w:sz w:val="28"/>
          <w:szCs w:val="28"/>
          <w:rtl w:val="true"/>
          <w:lang w:bidi="fa-IR"/>
        </w:rPr>
        <w:t>تقدّم بأنّ الاختلاف فی وجوب الجماعة ناشئ عن رأی الحنبلی بالوجوب،علی أساس الاجتهاد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الاختلاف فی اشتراط العدالة فهو ناشئ عن الاختلاف فی النصوص،أضف إلی ذلک ما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وجهتی نظر متضادّتین حول تحدید الأهمّیة العبادیة لصلاة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فالاتّجاه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الإمامة فی الصلاة کقیادة عبادیة لها خطورتها،وعلیه یجب أن یکون الإمام عدلاً،ذلک لعدم أهلیة الفاسق لهذا المقام العبادی الرفیع و هذا الاتّجاه یذهب إلیه 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الاتّجاه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 أنّ الجماعة ذات أهمّیة کبیرة،ومن اللازم السعی فی تحقّقها وعلیه لابأس بالاقتداء بالإمام الفاسق؛ذلک حفظاً لکیان الجماعة کما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خلف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یفضی إلی ترکها بالکلّیة</w:t>
      </w:r>
      <w:r>
        <w:rPr>
          <w:rFonts w:eastAsia="IRNazanin" w:cs="IRNazanin"/>
          <w:color w:val="111111"/>
          <w:sz w:val="28"/>
          <w:szCs w:val="28"/>
          <w:rtl w:val="true"/>
          <w:lang w:bidi="fa-IR"/>
        </w:rPr>
        <w:t xml:space="preserve">. </w:t>
      </w:r>
      <w:r>
        <w:rPr>
          <w:rStyle w:val="FootnoteAnchor"/>
          <w:rtl w:val="true"/>
        </w:rPr>
        <w:footnoteReference w:id="422"/>
      </w:r>
    </w:p>
    <w:p>
      <w:pPr>
        <w:pStyle w:val="Heading3"/>
        <w:numPr>
          <w:ilvl w:val="2"/>
          <w:numId w:val="1"/>
        </w:numPr>
        <w:rPr/>
      </w:pPr>
      <w:bookmarkStart w:id="834" w:name="__RefHeading___Toc362984_581953129"/>
      <w:bookmarkStart w:id="835" w:name="_Toc346"/>
      <w:bookmarkEnd w:id="834"/>
      <w:r>
        <w:rPr>
          <w:rtl w:val="true"/>
        </w:rPr>
        <w:t>طهارة المولد</w:t>
      </w:r>
      <w:bookmarkEnd w:id="835"/>
    </w:p>
    <w:p>
      <w:pPr>
        <w:pStyle w:val="Heading4"/>
        <w:numPr>
          <w:ilvl w:val="3"/>
          <w:numId w:val="1"/>
        </w:numPr>
        <w:rPr/>
      </w:pPr>
      <w:bookmarkStart w:id="836" w:name="__RefHeading___Toc362986_581953129"/>
      <w:bookmarkStart w:id="837" w:name="_Toc347"/>
      <w:bookmarkEnd w:id="836"/>
      <w:r>
        <w:rPr>
          <w:rtl w:val="true"/>
        </w:rPr>
        <w:t>اشارة</w:t>
      </w:r>
      <w:bookmarkEnd w:id="83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بالنسبة إلی اشتراط طهارة المولد لإمام الجماعة بأن لایکون إبن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وتفصیل الاختلاف بما یلی</w:t>
      </w:r>
      <w:r>
        <w:rPr>
          <w:rFonts w:eastAsia="IRNazanin" w:cs="IRNazanin"/>
          <w:color w:val="111111"/>
          <w:sz w:val="28"/>
          <w:szCs w:val="28"/>
          <w:rtl w:val="true"/>
          <w:lang w:bidi="fa-IR"/>
        </w:rPr>
        <w:t>:</w:t>
      </w:r>
      <w:bookmarkStart w:id="838" w:name="pg5240_59304"/>
    </w:p>
    <w:p>
      <w:pPr>
        <w:pStyle w:val="Heading4"/>
        <w:numPr>
          <w:ilvl w:val="3"/>
          <w:numId w:val="1"/>
        </w:numPr>
        <w:rPr/>
      </w:pPr>
      <w:bookmarkStart w:id="839" w:name="__RefHeading___Toc362988_581953129"/>
      <w:bookmarkStart w:id="840" w:name="_Toc348"/>
      <w:bookmarkEnd w:id="838"/>
      <w:bookmarkEnd w:id="839"/>
      <w:r>
        <w:rPr>
          <w:rtl w:val="true"/>
        </w:rPr>
        <w:t>المذاهب الاربعة</w:t>
      </w:r>
      <w:bookmarkEnd w:id="840"/>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لاتکره إمامة ولد الزنا إذا سلّم دینه وقال أصحاب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لاتجزئ الصلاة خلفه،وکره مالک أن یتّخذه إماماً راتبا،وکره الشافعی إمامته؛لأنّ الإمامة موضع فضیلة،فکره تقدیمه فیها کالعبد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وما وجدنا نصّاً فی هذا الحقل</w:t>
      </w:r>
      <w:r>
        <w:rPr>
          <w:rFonts w:eastAsia="IRNazanin" w:cs="IRNazanin"/>
          <w:color w:val="111111"/>
          <w:sz w:val="28"/>
          <w:szCs w:val="28"/>
          <w:rtl w:val="true"/>
          <w:lang w:bidi="fa-IR"/>
        </w:rPr>
        <w:t>.</w:t>
      </w:r>
    </w:p>
    <w:p>
      <w:pPr>
        <w:pStyle w:val="Heading4"/>
        <w:numPr>
          <w:ilvl w:val="3"/>
          <w:numId w:val="1"/>
        </w:numPr>
        <w:rPr/>
      </w:pPr>
      <w:bookmarkStart w:id="841" w:name="__RefHeading___Toc362990_581953129"/>
      <w:bookmarkStart w:id="842" w:name="_Toc349"/>
      <w:bookmarkEnd w:id="841"/>
      <w:r>
        <w:rPr>
          <w:rtl w:val="true"/>
        </w:rPr>
        <w:t>المذهب الجعفری</w:t>
      </w:r>
      <w:bookmarkEnd w:id="842"/>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 الإیمان و العدالة وأن لایکون إبن زنا</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حکاه جماعة منهم الشهید؛لعدّه فیمن لایؤمّ الناس فی جملة من النصوص</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لایصلینّ أحدکم‌خلف‌المجنون وولدالزنا</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دلّت علی عدم جواز الاقتداء خلف ولد الزنا وها هو الأقرب للتقوی</w:t>
      </w:r>
      <w:r>
        <w:rPr>
          <w:rFonts w:eastAsia="IRNazanin" w:cs="IRNazanin"/>
          <w:color w:val="111111"/>
          <w:sz w:val="28"/>
          <w:szCs w:val="28"/>
          <w:rtl w:val="true"/>
          <w:lang w:bidi="fa-IR"/>
        </w:rPr>
        <w:t>.</w:t>
      </w:r>
    </w:p>
    <w:p>
      <w:pPr>
        <w:pStyle w:val="Heading3"/>
        <w:numPr>
          <w:ilvl w:val="2"/>
          <w:numId w:val="1"/>
        </w:numPr>
        <w:rPr/>
      </w:pPr>
      <w:bookmarkStart w:id="843" w:name="__RefHeading___Toc362992_581953129"/>
      <w:bookmarkStart w:id="844" w:name="_Toc350"/>
      <w:bookmarkEnd w:id="843"/>
      <w:r>
        <w:rPr>
          <w:rtl w:val="true"/>
        </w:rPr>
        <w:t>اشتراط البلوغ</w:t>
      </w:r>
      <w:bookmarkEnd w:id="844"/>
    </w:p>
    <w:p>
      <w:pPr>
        <w:pStyle w:val="Heading4"/>
        <w:numPr>
          <w:ilvl w:val="3"/>
          <w:numId w:val="1"/>
        </w:numPr>
        <w:rPr/>
      </w:pPr>
      <w:bookmarkStart w:id="845" w:name="__RefHeading___Toc362994_581953129"/>
      <w:bookmarkStart w:id="846" w:name="_Toc351"/>
      <w:bookmarkEnd w:id="845"/>
      <w:r>
        <w:rPr>
          <w:rtl w:val="true"/>
        </w:rPr>
        <w:t>اشارة</w:t>
      </w:r>
      <w:bookmarkEnd w:id="84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لاخلاف بین الفقهاء بالنسبة إلی اشتراط البلوغ للإمام،وعلیه لایجوز الإمامة للصبی الممیز،ذلک لعدم أهلیته،کما هو ثابت بالنصّ و الإجماع وخالف فیه الشافعی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إقتداء البالغ بالصبی الممیز فی الفرض إلاّ فی الجمعة</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هو اجتهاده الخاص</w:t>
      </w:r>
      <w:r>
        <w:rPr>
          <w:rFonts w:eastAsia="IRNazanin" w:cs="IRNazanin"/>
          <w:color w:val="111111"/>
          <w:sz w:val="28"/>
          <w:szCs w:val="28"/>
          <w:rtl w:val="true"/>
          <w:lang w:bidi="fa-IR"/>
        </w:rPr>
        <w:t>.</w:t>
      </w:r>
      <w:bookmarkStart w:id="847" w:name="pg5240_59306"/>
    </w:p>
    <w:p>
      <w:pPr>
        <w:pStyle w:val="Heading4"/>
        <w:numPr>
          <w:ilvl w:val="3"/>
          <w:numId w:val="1"/>
        </w:numPr>
        <w:rPr/>
      </w:pPr>
      <w:bookmarkStart w:id="848" w:name="__RefHeading___Toc362996_581953129"/>
      <w:bookmarkStart w:id="849" w:name="_Toc352"/>
      <w:bookmarkEnd w:id="847"/>
      <w:bookmarkEnd w:id="848"/>
      <w:r>
        <w:rPr>
          <w:rtl w:val="true"/>
        </w:rPr>
        <w:t>منشأ الاختلاف</w:t>
      </w:r>
      <w:bookmarkEnd w:id="849"/>
    </w:p>
    <w:p>
      <w:pPr>
        <w:pStyle w:val="BookText"/>
        <w:rPr/>
      </w:pPr>
      <w:r>
        <w:rPr>
          <w:rFonts w:ascii="IRNazanin" w:hAnsi="IRNazanin" w:eastAsia="IRNazanin"/>
          <w:color w:val="111111"/>
          <w:sz w:val="28"/>
          <w:sz w:val="28"/>
          <w:szCs w:val="28"/>
          <w:rtl w:val="true"/>
          <w:lang w:bidi="fa-IR"/>
        </w:rPr>
        <w:t>إنّ الاختلاف بالنسبة إلی اشتراط طهارة المولد للإمام،واشتراط البلوغ،ناشئ عن الاختلاف فی النصوص وعن الاجتهاد،و قد مرّت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الإشتراط بطهارة المولد وبالبلوغ هو الأخذ بالمتیقّن،وها هو الأوثق</w:t>
      </w:r>
      <w:r>
        <w:rPr>
          <w:rFonts w:eastAsia="IRNazanin" w:cs="IRNazanin"/>
          <w:color w:val="111111"/>
          <w:sz w:val="28"/>
          <w:szCs w:val="28"/>
          <w:rtl w:val="true"/>
          <w:lang w:bidi="fa-IR"/>
        </w:rPr>
        <w:t>.</w:t>
      </w:r>
    </w:p>
    <w:p>
      <w:pPr>
        <w:pStyle w:val="Heading3"/>
        <w:numPr>
          <w:ilvl w:val="2"/>
          <w:numId w:val="1"/>
        </w:numPr>
        <w:rPr/>
      </w:pPr>
      <w:bookmarkStart w:id="850" w:name="__RefHeading___Toc362998_581953129"/>
      <w:bookmarkStart w:id="851" w:name="_Toc353"/>
      <w:bookmarkEnd w:id="850"/>
      <w:r>
        <w:rPr>
          <w:rtl w:val="true"/>
        </w:rPr>
        <w:t>الجماعة فی النوافل</w:t>
      </w:r>
      <w:bookmarkEnd w:id="851"/>
    </w:p>
    <w:p>
      <w:pPr>
        <w:pStyle w:val="Heading4"/>
        <w:numPr>
          <w:ilvl w:val="3"/>
          <w:numId w:val="1"/>
        </w:numPr>
        <w:rPr/>
      </w:pPr>
      <w:bookmarkStart w:id="852" w:name="__RefHeading___Toc363000_581953129"/>
      <w:bookmarkStart w:id="853" w:name="_Toc354"/>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اختلفت الآراء بالنسبة إلی حکم الجماعة فی النوافل 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854" w:name="__RefHeading___Toc363002_581953129"/>
      <w:bookmarkStart w:id="855" w:name="_Toc355"/>
      <w:bookmarkEnd w:id="854"/>
      <w:r>
        <w:rPr>
          <w:rtl w:val="true"/>
        </w:rPr>
        <w:t>المذهب المالکی</w:t>
      </w:r>
      <w:bookmarkEnd w:id="855"/>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والجماعة فی صلاة الکسوف والاستسقاء و العیدین شرط لتحقّق سنّتیتها،فلایحصل ثواب السنّة إلاّ إذا صلّاها جماعة،أمّا باقی النوافل فإنّ صلاتها جماعة 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إذاکانت بجماعة قلیلة ووقعت فی المنزل</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وعلیه لاتکون الجماعة فی النوافل مکروهة بحسب الذات،و إنّما تکره إذا کانت بعدد کبیر خارج البیت،فالکراهة تتعلّق بکثرة العدد المجتمعة فی المسجد وغیره من الأمکنة المعدّة للصلاة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الجماعة فی النفل فهی مباحة قد ثبت أن النبی صلی الله علیه و آله صلّی رکعتین تطوعاً وصلّی معه أنس عن یمینه</w:t>
      </w:r>
      <w:r>
        <w:rPr>
          <w:rFonts w:eastAsia="IRNazanin" w:cs="IRNazanin"/>
          <w:color w:val="111111"/>
          <w:sz w:val="28"/>
          <w:szCs w:val="28"/>
          <w:rtl w:val="true"/>
          <w:lang w:bidi="fa-IR"/>
        </w:rPr>
        <w:t xml:space="preserve">. </w:t>
      </w:r>
      <w:r>
        <w:rPr>
          <w:rStyle w:val="FootnoteAnchor"/>
          <w:rtl w:val="true"/>
        </w:rPr>
        <w:footnoteReference w:id="429"/>
      </w:r>
    </w:p>
    <w:p>
      <w:pPr>
        <w:pStyle w:val="Heading4"/>
        <w:numPr>
          <w:ilvl w:val="3"/>
          <w:numId w:val="1"/>
        </w:numPr>
        <w:rPr/>
      </w:pPr>
      <w:bookmarkStart w:id="856" w:name="__RefHeading___Toc363004_581953129"/>
      <w:bookmarkStart w:id="857" w:name="_Toc356"/>
      <w:bookmarkEnd w:id="856"/>
      <w:r>
        <w:rPr>
          <w:rtl w:val="true"/>
        </w:rPr>
        <w:t>المذهب الحنفی</w:t>
      </w:r>
      <w:bookmarkEnd w:id="85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تشترط الجماعة لصحّة الجمعة و العیدین،وتکون سنّة کفایة فی صلاة التراویح و الجنازة،وتکون 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النوافل مطلقاً</w:t>
      </w:r>
      <w:r>
        <w:rPr>
          <w:rFonts w:eastAsia="IRNazanin" w:cs="IRNazanin"/>
          <w:color w:val="111111"/>
          <w:sz w:val="28"/>
          <w:szCs w:val="28"/>
          <w:rtl w:val="true"/>
          <w:lang w:bidi="fa-IR"/>
        </w:rPr>
        <w:t xml:space="preserve">. </w:t>
      </w:r>
      <w:r>
        <w:rPr>
          <w:rStyle w:val="FootnoteAnchor"/>
          <w:rtl w:val="true"/>
        </w:rPr>
        <w:footnoteReference w:id="430"/>
      </w:r>
      <w:bookmarkStart w:id="858" w:name="pg5240_59308"/>
    </w:p>
    <w:p>
      <w:pPr>
        <w:pStyle w:val="Heading4"/>
        <w:numPr>
          <w:ilvl w:val="3"/>
          <w:numId w:val="1"/>
        </w:numPr>
        <w:rPr/>
      </w:pPr>
      <w:bookmarkStart w:id="859" w:name="__RefHeading___Toc363006_581953129"/>
      <w:bookmarkStart w:id="860" w:name="_Toc357"/>
      <w:bookmarkEnd w:id="858"/>
      <w:bookmarkEnd w:id="859"/>
      <w:r>
        <w:rPr>
          <w:rtl w:val="true"/>
        </w:rPr>
        <w:t>المذهب الحنبلی</w:t>
      </w:r>
      <w:bookmarkEnd w:id="86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النوافل فمنها ما تُسنّ فیه الجماعة وذلک کصلاة الاستسقاء و التراویح و العیدین ومنها ما تباح فیه الجماعة کصلاة التهجّد ورواتب الصلوات المفروضة</w:t>
      </w:r>
      <w:r>
        <w:rPr>
          <w:rFonts w:eastAsia="IRNazanin" w:cs="IRNazanin"/>
          <w:color w:val="111111"/>
          <w:sz w:val="28"/>
          <w:szCs w:val="28"/>
          <w:rtl w:val="true"/>
          <w:lang w:bidi="fa-IR"/>
        </w:rPr>
        <w:t xml:space="preserve">. </w:t>
      </w:r>
      <w:r>
        <w:rPr>
          <w:rStyle w:val="FootnoteAnchor"/>
          <w:rtl w:val="true"/>
        </w:rPr>
        <w:footnoteReference w:id="431"/>
      </w:r>
    </w:p>
    <w:p>
      <w:pPr>
        <w:pStyle w:val="Heading4"/>
        <w:numPr>
          <w:ilvl w:val="3"/>
          <w:numId w:val="1"/>
        </w:numPr>
        <w:rPr/>
      </w:pPr>
      <w:bookmarkStart w:id="861" w:name="__RefHeading___Toc363008_581953129"/>
      <w:bookmarkStart w:id="862" w:name="_Toc358"/>
      <w:bookmarkEnd w:id="861"/>
      <w:r>
        <w:rPr>
          <w:rtl w:val="true"/>
        </w:rPr>
        <w:t>المذهب الشافعی</w:t>
      </w:r>
      <w:bookmarkEnd w:id="862"/>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الجماعة فی صلاة العیدین والاستسقاء و الکسوف و التراویح ووتر رمضان فهی مندوبة عند الشافعیة،و أمّا فی باقی النوافل تباح الجماعة إذا تتّحد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وتر خلف تراویح وعکسه</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ومن الواضح،أنّ کلّ هذه الفتاوی المختلفة تنبثق عن الاختلاف الحاصل فی النصوص الروائیة أو النظرات الاجتهادیة</w:t>
      </w:r>
      <w:r>
        <w:rPr>
          <w:rFonts w:eastAsia="IRNazanin" w:cs="IRNazanin"/>
          <w:color w:val="111111"/>
          <w:sz w:val="28"/>
          <w:szCs w:val="28"/>
          <w:rtl w:val="true"/>
          <w:lang w:bidi="fa-IR"/>
        </w:rPr>
        <w:t>.</w:t>
      </w:r>
    </w:p>
    <w:p>
      <w:pPr>
        <w:pStyle w:val="Heading4"/>
        <w:numPr>
          <w:ilvl w:val="3"/>
          <w:numId w:val="1"/>
        </w:numPr>
        <w:rPr/>
      </w:pPr>
      <w:bookmarkStart w:id="863" w:name="__RefHeading___Toc363010_581953129"/>
      <w:bookmarkStart w:id="864" w:name="_Toc359"/>
      <w:bookmarkEnd w:id="863"/>
      <w:r>
        <w:rPr>
          <w:rtl w:val="true"/>
        </w:rPr>
        <w:t>المذهب الجعفری</w:t>
      </w:r>
      <w:bookmarkEnd w:id="864"/>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لاتشرّع الجماعة فی شیء من النوافل الأصلیة، </w:t>
      </w:r>
      <w:r>
        <w:rPr>
          <w:rStyle w:val="FootnoteAnchor"/>
          <w:rtl w:val="true"/>
        </w:rPr>
        <w:footnoteReference w:id="433"/>
      </w:r>
      <w:r>
        <w:rPr>
          <w:rFonts w:ascii="IRNazanin" w:hAnsi="IRNazanin" w:eastAsia="IRNazanin"/>
          <w:color w:val="111111"/>
          <w:sz w:val="28"/>
          <w:sz w:val="28"/>
          <w:szCs w:val="28"/>
          <w:rtl w:val="true"/>
          <w:lang w:bidi="fa-IR"/>
        </w:rPr>
        <w:t>ذلک لروایة معتبرة عن الفضل‌بن شاذان عن الإمام الرضا علیه السلام فی کتاب إلی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أن یصلّی تطوّعاً فی جماعة؛لأنّ ذلک بدعة</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ویجوز الجماعة فی صلاة الاستسقاء وصلاة العیدین و الصلاة المعادة جماعة</w:t>
      </w:r>
      <w:r>
        <w:rPr>
          <w:rFonts w:eastAsia="IRNazanin" w:cs="IRNazanin"/>
          <w:color w:val="111111"/>
          <w:sz w:val="28"/>
          <w:szCs w:val="28"/>
          <w:rtl w:val="true"/>
          <w:lang w:bidi="fa-IR"/>
        </w:rPr>
        <w:t xml:space="preserve">. </w:t>
      </w:r>
      <w:r>
        <w:rPr>
          <w:rStyle w:val="FootnoteAnchor"/>
          <w:rtl w:val="true"/>
        </w:rPr>
        <w:footnoteReference w:id="435"/>
      </w:r>
    </w:p>
    <w:p>
      <w:pPr>
        <w:pStyle w:val="Heading4"/>
        <w:numPr>
          <w:ilvl w:val="3"/>
          <w:numId w:val="1"/>
        </w:numPr>
        <w:rPr/>
      </w:pPr>
      <w:bookmarkStart w:id="865" w:name="__RefHeading___Toc363012_581953129"/>
      <w:bookmarkStart w:id="866" w:name="_Toc360"/>
      <w:bookmarkEnd w:id="865"/>
      <w:r>
        <w:rPr>
          <w:rtl w:val="true"/>
        </w:rPr>
        <w:t>منشأ الاختلاف</w:t>
      </w:r>
      <w:bookmarkEnd w:id="86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أشرنا إلی أنّ الاختلاف هناک ناشئ عن الاختلاف فی النصوص،کما اتّضح أنّ جواز</w:t>
      </w:r>
      <w:bookmarkStart w:id="867" w:name="pg5240_59310"/>
    </w:p>
    <w:p>
      <w:pPr>
        <w:pStyle w:val="BookText"/>
        <w:rPr/>
      </w:pPr>
      <w:bookmarkEnd w:id="867"/>
      <w:r>
        <w:rPr>
          <w:rFonts w:ascii="IRNazanin" w:hAnsi="IRNazanin" w:eastAsia="IRNazanin"/>
          <w:color w:val="111111"/>
          <w:sz w:val="28"/>
          <w:sz w:val="28"/>
          <w:szCs w:val="28"/>
          <w:rtl w:val="true"/>
          <w:lang w:bidi="fa-IR"/>
        </w:rPr>
        <w:t>الجماعة فی صلاة الاستسقاء و العیدین و المعادة محلّ إجماع الفقهاء وما عداها یحتاج إلی الدلیل</w:t>
      </w:r>
      <w:r>
        <w:rPr>
          <w:rFonts w:eastAsia="IRNazanin" w:cs="IRNazanin"/>
          <w:color w:val="111111"/>
          <w:sz w:val="28"/>
          <w:szCs w:val="28"/>
          <w:rtl w:val="true"/>
          <w:lang w:bidi="fa-IR"/>
        </w:rPr>
        <w:t>.</w:t>
      </w:r>
    </w:p>
    <w:p>
      <w:pPr>
        <w:pStyle w:val="Heading3"/>
        <w:numPr>
          <w:ilvl w:val="2"/>
          <w:numId w:val="1"/>
        </w:numPr>
        <w:rPr/>
      </w:pPr>
      <w:bookmarkStart w:id="868" w:name="__RefHeading___Toc363014_581953129"/>
      <w:bookmarkStart w:id="869" w:name="_Toc361"/>
      <w:bookmarkEnd w:id="868"/>
      <w:r>
        <w:rPr>
          <w:rtl w:val="true"/>
        </w:rPr>
        <w:t>اتحاد الصلاة</w:t>
      </w:r>
      <w:bookmarkEnd w:id="869"/>
    </w:p>
    <w:p>
      <w:pPr>
        <w:pStyle w:val="Heading4"/>
        <w:numPr>
          <w:ilvl w:val="3"/>
          <w:numId w:val="1"/>
        </w:numPr>
        <w:rPr/>
      </w:pPr>
      <w:bookmarkStart w:id="870" w:name="__RefHeading___Toc363016_581953129"/>
      <w:bookmarkStart w:id="871" w:name="_Toc362"/>
      <w:bookmarkEnd w:id="870"/>
      <w:r>
        <w:rPr>
          <w:rtl w:val="true"/>
        </w:rPr>
        <w:t>اشارة</w:t>
      </w:r>
      <w:bookmarkEnd w:id="871"/>
    </w:p>
    <w:p>
      <w:pPr>
        <w:pStyle w:val="BookText"/>
        <w:rPr/>
      </w:pPr>
      <w:r>
        <w:rPr>
          <w:rFonts w:ascii="IRNazanin" w:hAnsi="IRNazanin" w:eastAsia="IRNazanin"/>
          <w:color w:val="111111"/>
          <w:sz w:val="28"/>
          <w:sz w:val="28"/>
          <w:szCs w:val="28"/>
          <w:rtl w:val="true"/>
          <w:lang w:bidi="fa-IR"/>
        </w:rPr>
        <w:t>اختلفت الآراء بالنسبة‌إلی اشتراط الاتّحاد فی صلاة الجماعة وعدم اشتراطه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872" w:name="__RefHeading___Toc363018_581953129"/>
      <w:bookmarkStart w:id="873" w:name="_Toc363"/>
      <w:bookmarkEnd w:id="872"/>
      <w:r>
        <w:rPr>
          <w:rtl w:val="true"/>
        </w:rPr>
        <w:t>المذهب الجعفری</w:t>
      </w:r>
      <w:bookmarkEnd w:id="873"/>
    </w:p>
    <w:p>
      <w:pPr>
        <w:pStyle w:val="BookText"/>
        <w:rPr/>
      </w:pPr>
      <w:r>
        <w:rPr>
          <w:rFonts w:ascii="IRNazanin" w:hAnsi="IRNazanin" w:eastAsia="IRNazanin"/>
          <w:color w:val="111111"/>
          <w:sz w:val="28"/>
          <w:sz w:val="28"/>
          <w:szCs w:val="28"/>
          <w:rtl w:val="true"/>
          <w:lang w:bidi="fa-IR"/>
        </w:rPr>
        <w:t xml:space="preserve">یجوز الاقتداء فی کلّ من الصلوات الیومیة بمن یصلّی الأخری أیاً منها کانت و إن اختلفا فی الجهر والاخفات و القضاء و الأداء و القصر و التمام؛ </w:t>
      </w:r>
      <w:r>
        <w:rPr>
          <w:rStyle w:val="FootnoteAnchor"/>
          <w:rtl w:val="true"/>
        </w:rPr>
        <w:footnoteReference w:id="436"/>
      </w:r>
      <w:r>
        <w:rPr>
          <w:rFonts w:ascii="IRNazanin" w:hAnsi="IRNazanin" w:eastAsia="IRNazanin"/>
          <w:color w:val="111111"/>
          <w:sz w:val="28"/>
          <w:sz w:val="28"/>
          <w:szCs w:val="28"/>
          <w:rtl w:val="true"/>
          <w:lang w:bidi="fa-IR"/>
        </w:rPr>
        <w:t>ذلک للنصوص الواردة من طریق آل‌البیت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صحیحة حماد عن الإمام الصادق علیه السلام عن رجل امام قوم فصلّی العصر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الظهر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أجزأت عنه وأجزأت عنهم</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أضف إلی ذلک أنّه لادلیل علی اشتراط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خلاف فی الحکم بین الفقهاء الإمامیین</w:t>
      </w:r>
      <w:r>
        <w:rPr>
          <w:rFonts w:eastAsia="IRNazanin" w:cs="IRNazanin"/>
          <w:color w:val="111111"/>
          <w:sz w:val="28"/>
          <w:szCs w:val="28"/>
          <w:rtl w:val="true"/>
          <w:lang w:bidi="fa-IR"/>
        </w:rPr>
        <w:t>.</w:t>
      </w:r>
    </w:p>
    <w:p>
      <w:pPr>
        <w:pStyle w:val="Heading4"/>
        <w:numPr>
          <w:ilvl w:val="3"/>
          <w:numId w:val="1"/>
        </w:numPr>
        <w:rPr/>
      </w:pPr>
      <w:bookmarkStart w:id="874" w:name="__RefHeading___Toc363020_581953129"/>
      <w:bookmarkStart w:id="875" w:name="_Toc364"/>
      <w:bookmarkEnd w:id="874"/>
      <w:r>
        <w:rPr>
          <w:rtl w:val="true"/>
        </w:rPr>
        <w:t>آراء المذاهب الاربعة</w:t>
      </w:r>
      <w:bookmarkEnd w:id="87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شرائط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فرض الإمام و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صلاة ظهر مثلاً خلف عصر،ولا ظهر أداء خلف ظهر قضاء ولا عکسه،ولا ظهر یوم السبت خلف ظهر یوم الأحد و إن کان کلّ منهما قضاء،هذا متّفق علیه بین المالکیة و الحنفیة و الشافعیة</w:t>
      </w:r>
      <w:r>
        <w:rPr>
          <w:rFonts w:eastAsia="IRNazanin" w:cs="IRNazanin"/>
          <w:color w:val="111111"/>
          <w:sz w:val="28"/>
          <w:szCs w:val="28"/>
          <w:rtl w:val="true"/>
          <w:lang w:bidi="fa-IR"/>
        </w:rPr>
        <w:t>.</w:t>
      </w:r>
      <w:bookmarkStart w:id="876" w:name="pg5240_59313"/>
    </w:p>
    <w:p>
      <w:pPr>
        <w:pStyle w:val="BookText"/>
        <w:rPr/>
      </w:pPr>
      <w:bookmarkEnd w:id="876"/>
      <w:r>
        <w:rPr>
          <w:rFonts w:ascii="IRNazanin" w:hAnsi="IRNazanin" w:eastAsia="IRNazanin"/>
          <w:color w:val="111111"/>
          <w:sz w:val="28"/>
          <w:sz w:val="28"/>
          <w:szCs w:val="28"/>
          <w:rtl w:val="true"/>
          <w:lang w:bidi="fa-IR"/>
        </w:rPr>
        <w:t>و أمّا 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الاقتداء فی کلّ ما ذکر</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لاتصحّ،و هذا قول الزهری ومالک وأصحاب الرأی؛لقول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الإمام لیؤتمّ به فلا تختلفوا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یجوز،وهی أصحّ؛لما روی جابربن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صلاة المفترض و المتنفّل 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ولأنّهما صلاتان اتّفقتا فی الأفعال فجاز ائتمام المصلّی فی إحداهما بالمصلّی فی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الائتمام عندالاختلاف فی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فإن‌کانت إحدی الصلاتین‌تخالف الأخری فی الأفعال لم تصحّ؛لأنّه یفضی إلی مخالفة إمامه فی الأفعال و هو منهی عنه</w:t>
      </w:r>
      <w:r>
        <w:rPr>
          <w:rFonts w:eastAsia="IRNazanin" w:cs="IRNazanin"/>
          <w:color w:val="111111"/>
          <w:sz w:val="28"/>
          <w:szCs w:val="28"/>
          <w:rtl w:val="true"/>
          <w:lang w:bidi="fa-IR"/>
        </w:rPr>
        <w:t xml:space="preserve">. </w:t>
      </w:r>
      <w:r>
        <w:rPr>
          <w:rStyle w:val="FootnoteAnchor"/>
          <w:rtl w:val="true"/>
        </w:rPr>
        <w:footnoteReference w:id="439"/>
      </w:r>
    </w:p>
    <w:p>
      <w:pPr>
        <w:pStyle w:val="Heading4"/>
        <w:numPr>
          <w:ilvl w:val="3"/>
          <w:numId w:val="1"/>
        </w:numPr>
        <w:rPr/>
      </w:pPr>
      <w:bookmarkStart w:id="877" w:name="__RefHeading___Toc363022_581953129"/>
      <w:bookmarkStart w:id="878" w:name="_Toc365"/>
      <w:bookmarkEnd w:id="877"/>
      <w:r>
        <w:rPr>
          <w:rtl w:val="true"/>
        </w:rPr>
        <w:t>منشأ الاختلاف</w:t>
      </w:r>
      <w:bookmarkEnd w:id="878"/>
    </w:p>
    <w:p>
      <w:pPr>
        <w:pStyle w:val="BookText"/>
        <w:rPr/>
      </w:pPr>
      <w:r>
        <w:rPr>
          <w:rFonts w:ascii="IRNazanin" w:hAnsi="IRNazanin" w:eastAsia="IRNazanin"/>
          <w:color w:val="111111"/>
          <w:sz w:val="28"/>
          <w:sz w:val="28"/>
          <w:szCs w:val="28"/>
          <w:rtl w:val="true"/>
          <w:lang w:bidi="fa-IR"/>
        </w:rPr>
        <w:t>اتّضح ممّا سبق أنّ الاختلاف هناک ناشئ عن الاختلاف فی الاجتهاد والاختلاف فی النصوص الواردة عن الطریقین،کما اتّضح لنا أنّ أقوی النصوص علی الجواز</w:t>
      </w:r>
      <w:r>
        <w:rPr>
          <w:rFonts w:eastAsia="IRNazanin" w:cs="IRNazanin"/>
          <w:color w:val="111111"/>
          <w:sz w:val="28"/>
          <w:szCs w:val="28"/>
          <w:rtl w:val="true"/>
          <w:lang w:bidi="fa-IR"/>
        </w:rPr>
        <w:t>.</w:t>
      </w:r>
    </w:p>
    <w:p>
      <w:pPr>
        <w:pStyle w:val="Heading3"/>
        <w:numPr>
          <w:ilvl w:val="2"/>
          <w:numId w:val="1"/>
        </w:numPr>
        <w:rPr/>
      </w:pPr>
      <w:bookmarkStart w:id="879" w:name="__RefHeading___Toc363024_581953129"/>
      <w:bookmarkStart w:id="880" w:name="_Toc366"/>
      <w:bookmarkEnd w:id="879"/>
      <w:r>
        <w:rPr>
          <w:rtl w:val="true"/>
        </w:rPr>
        <w:t>اتّصال الصفوف</w:t>
      </w:r>
      <w:bookmarkEnd w:id="880"/>
    </w:p>
    <w:p>
      <w:pPr>
        <w:pStyle w:val="Heading4"/>
        <w:numPr>
          <w:ilvl w:val="3"/>
          <w:numId w:val="1"/>
        </w:numPr>
        <w:rPr/>
      </w:pPr>
      <w:bookmarkStart w:id="881" w:name="__RefHeading___Toc363026_581953129"/>
      <w:bookmarkStart w:id="882" w:name="_Toc367"/>
      <w:bookmarkEnd w:id="881"/>
      <w:r>
        <w:rPr>
          <w:rtl w:val="true"/>
        </w:rPr>
        <w:t>اشارة</w:t>
      </w:r>
      <w:bookmarkEnd w:id="882"/>
    </w:p>
    <w:p>
      <w:pPr>
        <w:pStyle w:val="BookText"/>
        <w:rPr/>
      </w:pPr>
      <w:r>
        <w:rPr>
          <w:rFonts w:ascii="IRNazanin" w:hAnsi="IRNazanin" w:eastAsia="IRNazanin"/>
          <w:color w:val="111111"/>
          <w:sz w:val="28"/>
          <w:sz w:val="28"/>
          <w:szCs w:val="28"/>
          <w:rtl w:val="true"/>
          <w:lang w:bidi="fa-IR"/>
        </w:rPr>
        <w:t>اختلفت الآراء حول تشکّل الصفوف فی الجماعة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883" w:name="__RefHeading___Toc363028_581953129"/>
      <w:bookmarkStart w:id="884" w:name="_Toc368"/>
      <w:bookmarkEnd w:id="883"/>
      <w:r>
        <w:rPr>
          <w:rtl w:val="true"/>
        </w:rPr>
        <w:t>المذاهب الاربعة</w:t>
      </w:r>
      <w:bookmarkEnd w:id="8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اتّصال الصفوف أن لایکون بینهما بُعد لم تجر العادة به،ولا یمنع إمکان الاقتداء وحکی عن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حدّ الاتّصال بما دون ثلاث مائة ذراع و التحدیدات بابها التوقیف؛والمرجع فیها إلی النصوص و الإجماع،ولا نعلم فی هذا</w:t>
      </w:r>
      <w:bookmarkStart w:id="885" w:name="pg5240_59315"/>
    </w:p>
    <w:p>
      <w:pPr>
        <w:pStyle w:val="BookText"/>
        <w:rPr/>
      </w:pPr>
      <w:bookmarkEnd w:id="885"/>
      <w:r>
        <w:rPr>
          <w:rFonts w:ascii="IRNazanin" w:hAnsi="IRNazanin" w:eastAsia="IRNazanin"/>
          <w:color w:val="111111"/>
          <w:sz w:val="28"/>
          <w:sz w:val="28"/>
          <w:szCs w:val="28"/>
          <w:rtl w:val="true"/>
          <w:lang w:bidi="fa-IR"/>
        </w:rPr>
        <w:t>نصّاً نرجع إلیه ولا إجماعاً نعتمد علیه،فوجب الرجوع فیه إلی العرف کالتفرّق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بین الإمام و المأموم حائل یمنع رؤیة الإمام،فیه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لایصحّ الائتمام به،اختاره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فی رجل یصلّی خارج المسجد یوم الجمعة،ولنا أنّ المعنی المجوّز أو المانع قد استویا،ولابدّ لمن لایشاهد أن یسمع التکبیر لیمکنه الاقتداء فإن لم یسمع لم یصحّ ائتمامه به بحال؛لأنّه لایمکنه الاقتداء به</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لوأمّ إمام بمکة وهم یصلون بها صفوفاً مستدیرة یستقبل کلهم إلی الکعبة من جهته کان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یجتهدوا حتّی یتأخروا من کلّ جهة عن البیت تأخراً یکون فیه الإمام أقرب إلی البیت</w:t>
      </w:r>
      <w:r>
        <w:rPr>
          <w:rFonts w:eastAsia="IRNazanin" w:cs="IRNazanin"/>
          <w:color w:val="111111"/>
          <w:sz w:val="28"/>
          <w:szCs w:val="28"/>
          <w:rtl w:val="true"/>
          <w:lang w:bidi="fa-IR"/>
        </w:rPr>
        <w:t xml:space="preserve">. </w:t>
      </w:r>
      <w:r>
        <w:rPr>
          <w:rStyle w:val="FootnoteAnchor"/>
          <w:rtl w:val="true"/>
        </w:rPr>
        <w:footnoteReference w:id="441"/>
      </w:r>
    </w:p>
    <w:p>
      <w:pPr>
        <w:pStyle w:val="Heading4"/>
        <w:numPr>
          <w:ilvl w:val="3"/>
          <w:numId w:val="1"/>
        </w:numPr>
        <w:rPr/>
      </w:pPr>
      <w:bookmarkStart w:id="886" w:name="__RefHeading___Toc363030_581953129"/>
      <w:bookmarkStart w:id="887" w:name="_Toc369"/>
      <w:bookmarkEnd w:id="886"/>
      <w:r>
        <w:rPr>
          <w:rtl w:val="true"/>
        </w:rPr>
        <w:t>المذهب الجعفری</w:t>
      </w:r>
      <w:bookmarkEnd w:id="887"/>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الجماعة أن لایکون بین الإمام و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المأمومین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 یمنع عن مشاهدته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لایتباعد المأموم عن الإمام بما یکون کثیراً فی العادة</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ذلک؛لأنّ الجماعة بحسب صیاغتها الأصلیة تتقوّم بالاتّصال و التجمّع ولا تتکوّن تلک الصیاغة مع التباعد الفاحش و الحائل الفاصل بین الصفوف</w:t>
      </w:r>
      <w:r>
        <w:rPr>
          <w:rFonts w:eastAsia="IRNazanin" w:cs="IRNazanin"/>
          <w:color w:val="111111"/>
          <w:sz w:val="28"/>
          <w:szCs w:val="28"/>
          <w:rtl w:val="true"/>
          <w:lang w:bidi="fa-IR"/>
        </w:rPr>
        <w:t>.</w:t>
      </w:r>
    </w:p>
    <w:p>
      <w:pPr>
        <w:pStyle w:val="Heading4"/>
        <w:numPr>
          <w:ilvl w:val="3"/>
          <w:numId w:val="1"/>
        </w:numPr>
        <w:rPr/>
      </w:pPr>
      <w:bookmarkStart w:id="888" w:name="__RefHeading___Toc363032_581953129"/>
      <w:bookmarkStart w:id="889" w:name="_Toc370"/>
      <w:bookmarkEnd w:id="888"/>
      <w:r>
        <w:rPr>
          <w:rtl w:val="true"/>
        </w:rPr>
        <w:t>منشأ الاختلاف</w:t>
      </w:r>
      <w:bookmarkEnd w:id="8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ناشئ عن الاختلاف بالنسبة إلی فهم المعنی من الاتّصال،والّذی یسهّل الخطب أنّ المعیار هو تشخیص العرف،و هو المتسالم علیه عند الفقهاء</w:t>
      </w:r>
      <w:r>
        <w:rPr>
          <w:rFonts w:eastAsia="IRNazanin" w:cs="IRNazanin"/>
          <w:color w:val="111111"/>
          <w:sz w:val="28"/>
          <w:szCs w:val="28"/>
          <w:rtl w:val="true"/>
          <w:lang w:bidi="fa-IR"/>
        </w:rPr>
        <w:t>.</w:t>
      </w:r>
      <w:bookmarkStart w:id="890" w:name="pg5240_59317"/>
    </w:p>
    <w:p>
      <w:pPr>
        <w:pStyle w:val="Heading3"/>
        <w:numPr>
          <w:ilvl w:val="2"/>
          <w:numId w:val="1"/>
        </w:numPr>
        <w:rPr/>
      </w:pPr>
      <w:bookmarkStart w:id="891" w:name="__RefHeading___Toc363034_581953129"/>
      <w:bookmarkStart w:id="892" w:name="_Toc371"/>
      <w:bookmarkEnd w:id="890"/>
      <w:bookmarkEnd w:id="891"/>
      <w:r>
        <w:rPr>
          <w:rtl w:val="true"/>
        </w:rPr>
        <w:t>المتابعة</w:t>
      </w:r>
      <w:bookmarkEnd w:id="892"/>
    </w:p>
    <w:p>
      <w:pPr>
        <w:pStyle w:val="Heading4"/>
        <w:numPr>
          <w:ilvl w:val="3"/>
          <w:numId w:val="1"/>
        </w:numPr>
        <w:rPr/>
      </w:pPr>
      <w:bookmarkStart w:id="893" w:name="__RefHeading___Toc363036_581953129"/>
      <w:bookmarkStart w:id="894" w:name="_Toc372"/>
      <w:bookmarkEnd w:id="893"/>
      <w:r>
        <w:rPr>
          <w:rtl w:val="true"/>
        </w:rPr>
        <w:t>اشارة</w:t>
      </w:r>
      <w:bookmarkEnd w:id="894"/>
    </w:p>
    <w:p>
      <w:pPr>
        <w:pStyle w:val="BookText"/>
        <w:rPr/>
      </w:pPr>
      <w:r>
        <w:rPr>
          <w:rFonts w:ascii="IRNazanin" w:hAnsi="IRNazanin" w:eastAsia="IRNazanin"/>
          <w:color w:val="111111"/>
          <w:sz w:val="28"/>
          <w:sz w:val="28"/>
          <w:szCs w:val="28"/>
          <w:rtl w:val="true"/>
          <w:lang w:bidi="fa-IR"/>
        </w:rPr>
        <w:t>لاخلاف فی وجوب متابعة المأموم للإمام فی أفعال الصلاة وعلیه لایصحّ الاقتداء إذا لایتقدّم فیها علیه ولا یتأخّر عنه تأخّراً فاحشاً،و أمّا فی الأقوال فالأقوی عدم وجوبها عدا تکبیرة الإحرام</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ذلک؛لعدم الدلیل علی تلک المتابعة من نص أو إجماع ومع الشکّ یتمسّک بأصالة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القرائة،قال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وجوب ترک المأموم القرائة فی‌الرکعتین الأولیین من الإخفاتیة وکذا فی الأولیین من الجهریة لو سمع صوت الإمام ولو همهمته،و إن لم یسمع جاز بل استحبّ له القرائة</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ذلک؛للنصوص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ابن‌سنان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خلف الإمام فی صلاة لایجهر فیها بالقرائة حتّی تفرغ وکان الرجل مأموناً علی القرآن فلا تقرأ خلفه فی الأولیین</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ومنها صحیحة زرارة عن الإمام الباقر علیه السلام قال و إن کنت خلف إمام فلا تقرأنّ شیئاً فی الأولیین وانصت لقراءته</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895" w:name="__RefHeading___Toc363038_581953129"/>
      <w:bookmarkStart w:id="896" w:name="_Toc373"/>
      <w:bookmarkEnd w:id="895"/>
      <w:r>
        <w:rPr>
          <w:rtl w:val="true"/>
        </w:rPr>
        <w:t>المذهب الحنبلی</w:t>
      </w:r>
      <w:bookmarkEnd w:id="89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والمأموم إذا سمع قرائة الإمام فلا یقرأ بالحمد</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 الْقُرْآنُ فَاسْتَمِعُوا لَهُ وَ أَنْصِتُوا لَعَلَّکُمْ تُرْحَمُونَ</w:t>
      </w:r>
      <w:r>
        <w:rPr>
          <w:rFonts w:eastAsia="Amiri" w:cs="Amiri" w:ascii="Amiri" w:hAnsi="Amiri"/>
          <w:color w:val="111111"/>
          <w:sz w:val="28"/>
          <w:szCs w:val="28"/>
          <w:rtl w:val="true"/>
          <w:lang w:bidi="ar-SA"/>
        </w:rPr>
        <w:t xml:space="preserve">... . </w:t>
      </w:r>
      <w:r>
        <w:rPr>
          <w:rStyle w:val="FootnoteAnchor"/>
          <w:rtl w:val="true"/>
        </w:rPr>
        <w:footnoteReference w:id="448"/>
      </w:r>
      <w:bookmarkStart w:id="897" w:name="pg5240_59318"/>
    </w:p>
    <w:p>
      <w:pPr>
        <w:pStyle w:val="BookText"/>
        <w:rPr/>
      </w:pPr>
      <w:bookmarkEnd w:id="897"/>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القرائة غیر واجبة علی المأموم فیما جهر به الإمام ولا فیما أسرّ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علیه فی روایة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قال مالک وأبوحنیفة 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لمن لایقرأ بفاتحة الکتاب،غیر أنّه خص فی حال الجهر بالإنصات ففیما عداه یبقی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ما روی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عبدالله‌بن شدّاد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إمام فإنّ قرائة الإمام له قرائة</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المأموم أن یتابع الإمام فی قرائة الأذکار کسبحان ربّی العظیم،وسبحان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الأعلی وسمع الله لمن حمده</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وما وجدنا علیه دلیلاً من نصّ أو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أنّه إذا لم یسمع المأموم ما یقرأه الإمام لایمکن المتابعة</w:t>
      </w:r>
      <w:r>
        <w:rPr>
          <w:rFonts w:eastAsia="IRNazanin" w:cs="IRNazanin"/>
          <w:color w:val="111111"/>
          <w:sz w:val="28"/>
          <w:szCs w:val="28"/>
          <w:rtl w:val="true"/>
          <w:lang w:bidi="fa-IR"/>
        </w:rPr>
        <w:t>.</w:t>
      </w:r>
    </w:p>
    <w:p>
      <w:pPr>
        <w:pStyle w:val="Heading4"/>
        <w:numPr>
          <w:ilvl w:val="3"/>
          <w:numId w:val="1"/>
        </w:numPr>
        <w:rPr/>
      </w:pPr>
      <w:bookmarkStart w:id="898" w:name="__RefHeading___Toc363040_581953129"/>
      <w:bookmarkStart w:id="899" w:name="_Toc374"/>
      <w:bookmarkEnd w:id="898"/>
      <w:r>
        <w:rPr>
          <w:rtl w:val="true"/>
        </w:rPr>
        <w:t>منشأ الاختلاف</w:t>
      </w:r>
      <w:bookmarkEnd w:id="899"/>
    </w:p>
    <w:p>
      <w:pPr>
        <w:pStyle w:val="BookText"/>
        <w:rPr/>
      </w:pPr>
      <w:r>
        <w:rPr>
          <w:rFonts w:ascii="IRNazanin" w:hAnsi="IRNazanin" w:eastAsia="IRNazanin"/>
          <w:color w:val="111111"/>
          <w:sz w:val="28"/>
          <w:sz w:val="28"/>
          <w:szCs w:val="28"/>
          <w:rtl w:val="true"/>
          <w:lang w:bidi="fa-IR"/>
        </w:rPr>
        <w:t>تبین لنا أنّ الاختلاف ناشئ عن الاختلاف فی النصوص الواردة عن طریق‌آل‌البیت علیهم السلام ومن طریق الصحابة</w:t>
      </w:r>
      <w:r>
        <w:rPr>
          <w:rFonts w:eastAsia="IRNazanin" w:cs="IRNazanin"/>
          <w:color w:val="111111"/>
          <w:sz w:val="28"/>
          <w:szCs w:val="28"/>
          <w:rtl w:val="true"/>
          <w:lang w:bidi="fa-IR"/>
        </w:rPr>
        <w:t>.</w:t>
      </w:r>
    </w:p>
    <w:p>
      <w:pPr>
        <w:pStyle w:val="Heading3"/>
        <w:numPr>
          <w:ilvl w:val="2"/>
          <w:numId w:val="1"/>
        </w:numPr>
        <w:rPr/>
      </w:pPr>
      <w:bookmarkStart w:id="900" w:name="__RefHeading___Toc363042_581953129"/>
      <w:bookmarkStart w:id="901" w:name="_Toc375"/>
      <w:bookmarkEnd w:id="900"/>
      <w:r>
        <w:rPr>
          <w:rtl w:val="true"/>
        </w:rPr>
        <w:t>حکم المتأخّر عن الجماعة</w:t>
      </w:r>
      <w:bookmarkEnd w:id="901"/>
    </w:p>
    <w:p>
      <w:pPr>
        <w:pStyle w:val="Heading4"/>
        <w:numPr>
          <w:ilvl w:val="3"/>
          <w:numId w:val="1"/>
        </w:numPr>
        <w:rPr/>
      </w:pPr>
      <w:bookmarkStart w:id="902" w:name="__RefHeading___Toc363044_581953129"/>
      <w:bookmarkStart w:id="903" w:name="_Toc376"/>
      <w:bookmarkEnd w:id="902"/>
      <w:r>
        <w:rPr>
          <w:rtl w:val="true"/>
        </w:rPr>
        <w:t>اشارة</w:t>
      </w:r>
      <w:bookmarkEnd w:id="903"/>
    </w:p>
    <w:p>
      <w:pPr>
        <w:pStyle w:val="BookText"/>
        <w:rPr/>
      </w:pPr>
      <w:r>
        <w:rPr>
          <w:rFonts w:ascii="IRNazanin" w:hAnsi="IRNazanin" w:eastAsia="IRNazanin"/>
          <w:color w:val="111111"/>
          <w:sz w:val="28"/>
          <w:sz w:val="28"/>
          <w:szCs w:val="28"/>
          <w:rtl w:val="true"/>
          <w:lang w:bidi="fa-IR"/>
        </w:rPr>
        <w:t>اختلفت الآراء بالنسبة إلی مطابقة الرکعات فی صورة تأخّر المأموم عن الإمام برکعة أو أکثر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904" w:name="__RefHeading___Toc363046_581953129"/>
      <w:bookmarkStart w:id="905" w:name="_Toc377"/>
      <w:bookmarkEnd w:id="904"/>
      <w:r>
        <w:rPr>
          <w:rtl w:val="true"/>
        </w:rPr>
        <w:t>المذهب الجعفری و الشافعی</w:t>
      </w:r>
      <w:bookmarkEnd w:id="90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مایدرکه المأموم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کالرکعة الثالثة من صلاة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الرکعة</w:t>
      </w:r>
      <w:bookmarkStart w:id="906" w:name="pg5240_59321"/>
    </w:p>
    <w:p>
      <w:pPr>
        <w:pStyle w:val="BookText"/>
        <w:rPr/>
      </w:pPr>
      <w:bookmarkEnd w:id="906"/>
      <w:r>
        <w:rPr>
          <w:rFonts w:ascii="IRNazanin" w:hAnsi="IRNazanin" w:eastAsia="IRNazanin"/>
          <w:color w:val="111111"/>
          <w:sz w:val="28"/>
          <w:sz w:val="28"/>
          <w:szCs w:val="28"/>
          <w:rtl w:val="true"/>
          <w:lang w:bidi="fa-IR"/>
        </w:rPr>
        <w:t>الأولی من المأموم علی ما هو الواقع فیبادر إلی إتمامها کما هی علیها،بعد تسلیم‌الإمام،ذلک لجواز الإقتداء وعدم الدلیل علی تغییر صیاغة الصلاة الأصلیة بواسطة الجماعة</w:t>
      </w:r>
      <w:r>
        <w:rPr>
          <w:rFonts w:eastAsia="IRNazanin" w:cs="IRNazanin"/>
          <w:color w:val="111111"/>
          <w:sz w:val="28"/>
          <w:szCs w:val="28"/>
          <w:rtl w:val="true"/>
          <w:lang w:bidi="fa-IR"/>
        </w:rPr>
        <w:t>.</w:t>
      </w:r>
    </w:p>
    <w:p>
      <w:pPr>
        <w:pStyle w:val="Heading4"/>
        <w:numPr>
          <w:ilvl w:val="3"/>
          <w:numId w:val="1"/>
        </w:numPr>
        <w:rPr/>
      </w:pPr>
      <w:bookmarkStart w:id="907" w:name="__RefHeading___Toc363048_581953129"/>
      <w:bookmarkStart w:id="908" w:name="_Toc378"/>
      <w:bookmarkEnd w:id="907"/>
      <w:r>
        <w:rPr>
          <w:rtl w:val="true"/>
        </w:rPr>
        <w:t>المذاهب الثلاثة الأخری</w:t>
      </w:r>
      <w:bookmarkEnd w:id="908"/>
    </w:p>
    <w:p>
      <w:pPr>
        <w:pStyle w:val="BookText"/>
        <w:rPr/>
      </w:pPr>
      <w:r>
        <w:rPr>
          <w:rFonts w:ascii="IRNazanin" w:hAnsi="IRNazanin" w:eastAsia="IRNazanin"/>
          <w:color w:val="111111"/>
          <w:sz w:val="28"/>
          <w:sz w:val="28"/>
          <w:szCs w:val="28"/>
          <w:rtl w:val="true"/>
          <w:lang w:bidi="fa-IR"/>
        </w:rPr>
        <w:t>إنّ مایدرکه المأموم من الرکعات مع الإمام یتطابق مع ما علیه الإمام وحینئذ لاتکون هذه الرکعة هی الأولی للمأموم وعلیه لو اقتدی المأموم فی الرکعة الثالثة من صلاة المغرب یحسب الرکعة الثالثة للمأموم تبعاً للإمام،فیبادر إلی إتیان الأولیین بعد تسلیم الإمام فتصبح الثالثة مقدّمة علی الأولیین،علی خلاف الصیاغة الأصلیة لدلیل المتابعة</w:t>
      </w:r>
      <w:r>
        <w:rPr>
          <w:rFonts w:eastAsia="IRNazanin" w:cs="IRNazanin"/>
          <w:color w:val="111111"/>
          <w:sz w:val="28"/>
          <w:szCs w:val="28"/>
          <w:rtl w:val="true"/>
          <w:lang w:bidi="fa-IR"/>
        </w:rPr>
        <w:t xml:space="preserve">. </w:t>
      </w:r>
      <w:r>
        <w:rPr>
          <w:rStyle w:val="FootnoteAnchor"/>
          <w:rtl w:val="true"/>
        </w:rPr>
        <w:footnoteReference w:id="451"/>
      </w:r>
    </w:p>
    <w:p>
      <w:pPr>
        <w:pStyle w:val="Heading4"/>
        <w:numPr>
          <w:ilvl w:val="3"/>
          <w:numId w:val="1"/>
        </w:numPr>
        <w:rPr/>
      </w:pPr>
      <w:bookmarkStart w:id="909" w:name="__RefHeading___Toc363050_581953129"/>
      <w:bookmarkStart w:id="910" w:name="_Toc379"/>
      <w:bookmarkEnd w:id="909"/>
      <w:r>
        <w:rPr>
          <w:rtl w:val="true"/>
        </w:rPr>
        <w:t>منشأ الاختلاف</w:t>
      </w:r>
      <w:bookmarkEnd w:id="910"/>
    </w:p>
    <w:p>
      <w:pPr>
        <w:pStyle w:val="BookText"/>
        <w:rPr/>
      </w:pPr>
      <w:r>
        <w:rPr>
          <w:rFonts w:ascii="IRNazanin" w:hAnsi="IRNazanin" w:eastAsia="IRNazanin"/>
          <w:color w:val="111111"/>
          <w:sz w:val="28"/>
          <w:sz w:val="28"/>
          <w:szCs w:val="28"/>
          <w:rtl w:val="true"/>
          <w:lang w:bidi="fa-IR"/>
        </w:rPr>
        <w:t>إنّ الاختلاف ناشئ عن الاختلاف بالنسبة إلی تقدیم المتابعة علی صیاغة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ترجیح الفرع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وتقدیم صیاغة الصلاة علی المتابعة ترجیحاً للأصل علی الفرع وعلیه لاتنقلب ماهیة صلاة المأموم بواسطة المتابعة</w:t>
      </w:r>
      <w:r>
        <w:rPr>
          <w:rFonts w:eastAsia="IRNazanin" w:cs="IRNazanin"/>
          <w:color w:val="111111"/>
          <w:sz w:val="28"/>
          <w:szCs w:val="28"/>
          <w:rtl w:val="true"/>
          <w:lang w:bidi="fa-IR"/>
        </w:rPr>
        <w:t>.</w:t>
      </w:r>
    </w:p>
    <w:p>
      <w:pPr>
        <w:pStyle w:val="Heading3"/>
        <w:numPr>
          <w:ilvl w:val="2"/>
          <w:numId w:val="1"/>
        </w:numPr>
        <w:rPr/>
      </w:pPr>
      <w:bookmarkStart w:id="911" w:name="__RefHeading___Toc363052_581953129"/>
      <w:bookmarkStart w:id="912" w:name="_Toc380"/>
      <w:bookmarkEnd w:id="911"/>
      <w:r>
        <w:rPr>
          <w:rtl w:val="true"/>
        </w:rPr>
        <w:t>نیة الإمامة</w:t>
      </w:r>
      <w:bookmarkEnd w:id="912"/>
    </w:p>
    <w:p>
      <w:pPr>
        <w:pStyle w:val="Heading4"/>
        <w:numPr>
          <w:ilvl w:val="3"/>
          <w:numId w:val="1"/>
        </w:numPr>
        <w:rPr/>
      </w:pPr>
      <w:bookmarkStart w:id="913" w:name="__RefHeading___Toc363054_581953129"/>
      <w:bookmarkStart w:id="914" w:name="_Toc381"/>
      <w:bookmarkEnd w:id="913"/>
      <w:r>
        <w:rPr>
          <w:rtl w:val="true"/>
        </w:rPr>
        <w:t>اشارة</w:t>
      </w:r>
      <w:bookmarkEnd w:id="914"/>
    </w:p>
    <w:p>
      <w:pPr>
        <w:pStyle w:val="BookText"/>
        <w:rPr/>
      </w:pPr>
      <w:r>
        <w:rPr>
          <w:rFonts w:ascii="IRNazanin" w:hAnsi="IRNazanin" w:eastAsia="IRNazanin"/>
          <w:color w:val="111111"/>
          <w:sz w:val="28"/>
          <w:sz w:val="28"/>
          <w:szCs w:val="28"/>
          <w:rtl w:val="true"/>
          <w:lang w:bidi="fa-IR"/>
        </w:rPr>
        <w:t>لاخلاف بین الفقهاء بالنسبة إلی وجوب نیة الاقتداء بالإمام المتعین،واختلفت بالنسبة إلی نیة الإمام الإمامة فی الجماعة،وتفصیل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915" w:name="__RefHeading___Toc363056_581953129"/>
      <w:bookmarkStart w:id="916" w:name="_Toc382"/>
      <w:bookmarkEnd w:id="915"/>
      <w:r>
        <w:rPr>
          <w:rtl w:val="true"/>
        </w:rPr>
        <w:t>المذهب الحنبلی</w:t>
      </w:r>
      <w:bookmarkEnd w:id="91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صحّة الجماعة أن ینوی الإمام و المأموم حالهما فینوی الإمام</w:t>
      </w:r>
      <w:bookmarkStart w:id="917" w:name="pg5240_59323"/>
    </w:p>
    <w:p>
      <w:pPr>
        <w:pStyle w:val="BookText"/>
        <w:rPr/>
      </w:pPr>
      <w:bookmarkEnd w:id="917"/>
      <w:r>
        <w:rPr>
          <w:rFonts w:ascii="IRNazanin" w:hAnsi="IRNazanin" w:eastAsia="IRNazanin"/>
          <w:color w:val="111111"/>
          <w:sz w:val="28"/>
          <w:sz w:val="28"/>
          <w:szCs w:val="28"/>
          <w:rtl w:val="true"/>
          <w:lang w:bidi="fa-IR"/>
        </w:rPr>
        <w:t>أنّه إمام و المأموم أنّه مأموم</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ذلک؛لوجوب الجماعة فی جمیع الصلوات الواجبة فیجب نیة ما 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صحّة الاقتداء نیة الإمام الإمامة فی کلّ صلاة فلا تصحّ صلاة المأموم إذا لم ینو الإمام الإمامة</w:t>
      </w:r>
      <w:r>
        <w:rPr>
          <w:rFonts w:eastAsia="IRNazanin" w:cs="IRNazanin"/>
          <w:color w:val="111111"/>
          <w:sz w:val="28"/>
          <w:szCs w:val="28"/>
          <w:rtl w:val="true"/>
          <w:lang w:bidi="fa-IR"/>
        </w:rPr>
        <w:t xml:space="preserve">. </w:t>
      </w:r>
      <w:r>
        <w:rPr>
          <w:rStyle w:val="FootnoteAnchor"/>
          <w:rtl w:val="true"/>
        </w:rPr>
        <w:footnoteReference w:id="453"/>
      </w:r>
    </w:p>
    <w:p>
      <w:pPr>
        <w:pStyle w:val="Heading4"/>
        <w:numPr>
          <w:ilvl w:val="3"/>
          <w:numId w:val="1"/>
        </w:numPr>
        <w:rPr/>
      </w:pPr>
      <w:bookmarkStart w:id="918" w:name="__RefHeading___Toc363058_581953129"/>
      <w:bookmarkStart w:id="919" w:name="_Toc383"/>
      <w:bookmarkEnd w:id="918"/>
      <w:r>
        <w:rPr>
          <w:rtl w:val="true"/>
        </w:rPr>
        <w:t>المذهب الحنفی</w:t>
      </w:r>
      <w:bookmarkEnd w:id="919"/>
    </w:p>
    <w:p>
      <w:pPr>
        <w:pStyle w:val="BookText"/>
        <w:rPr/>
      </w:pPr>
      <w:r>
        <w:rPr>
          <w:rFonts w:ascii="IRNazanin" w:hAnsi="IRNazanin" w:eastAsia="IRNazanin"/>
          <w:color w:val="111111"/>
          <w:sz w:val="28"/>
          <w:sz w:val="28"/>
          <w:szCs w:val="28"/>
          <w:rtl w:val="true"/>
          <w:lang w:bidi="fa-IR"/>
        </w:rPr>
        <w:t>لایشترط نیة الإمامة إلاّ إذا کان إماماً للنساء فتفسد صلاة النساء إذا لم ینو إمامهنّ الإمامة،و أمّا صلاته فصحیحة</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ذلک؛علی أساس الاجتهاد،ولا نصّ هناک</w:t>
      </w:r>
      <w:r>
        <w:rPr>
          <w:rFonts w:eastAsia="IRNazanin" w:cs="IRNazanin"/>
          <w:color w:val="111111"/>
          <w:sz w:val="28"/>
          <w:szCs w:val="28"/>
          <w:rtl w:val="true"/>
          <w:lang w:bidi="fa-IR"/>
        </w:rPr>
        <w:t>.</w:t>
      </w:r>
    </w:p>
    <w:p>
      <w:pPr>
        <w:pStyle w:val="Heading4"/>
        <w:numPr>
          <w:ilvl w:val="3"/>
          <w:numId w:val="1"/>
        </w:numPr>
        <w:rPr/>
      </w:pPr>
      <w:bookmarkStart w:id="920" w:name="__RefHeading___Toc363060_581953129"/>
      <w:bookmarkStart w:id="921" w:name="_Toc384"/>
      <w:bookmarkEnd w:id="920"/>
      <w:r>
        <w:rPr>
          <w:rtl w:val="true"/>
        </w:rPr>
        <w:t>المذهب الشافعی و المالکی</w:t>
      </w:r>
      <w:bookmarkEnd w:id="921"/>
    </w:p>
    <w:p>
      <w:pPr>
        <w:pStyle w:val="BookText"/>
        <w:rPr/>
      </w:pPr>
      <w:r>
        <w:rPr>
          <w:rFonts w:ascii="IRNazanin" w:hAnsi="IRNazanin" w:eastAsia="IRNazanin"/>
          <w:color w:val="111111"/>
          <w:sz w:val="28"/>
          <w:sz w:val="28"/>
          <w:szCs w:val="28"/>
          <w:rtl w:val="true"/>
          <w:lang w:bidi="fa-IR"/>
        </w:rPr>
        <w:t>یشترط فی صحّة الاقتداء أن ینوی الإمام نیة الجماعة فی الصلوات الّتی تتوقّف صحّتها علی الجماعة کالجمعة وما شاکلها</w:t>
      </w:r>
      <w:r>
        <w:rPr>
          <w:rFonts w:eastAsia="IRNazanin" w:cs="IRNazanin"/>
          <w:color w:val="111111"/>
          <w:sz w:val="28"/>
          <w:szCs w:val="28"/>
          <w:rtl w:val="true"/>
          <w:lang w:bidi="fa-IR"/>
        </w:rPr>
        <w:t xml:space="preserve">. </w:t>
      </w:r>
      <w:r>
        <w:rPr>
          <w:rStyle w:val="FootnoteAnchor"/>
          <w:rtl w:val="true"/>
        </w:rPr>
        <w:footnoteReference w:id="455"/>
      </w:r>
    </w:p>
    <w:p>
      <w:pPr>
        <w:pStyle w:val="Heading4"/>
        <w:numPr>
          <w:ilvl w:val="3"/>
          <w:numId w:val="1"/>
        </w:numPr>
        <w:rPr/>
      </w:pPr>
      <w:bookmarkStart w:id="922" w:name="__RefHeading___Toc363062_581953129"/>
      <w:bookmarkStart w:id="923" w:name="_Toc385"/>
      <w:bookmarkEnd w:id="922"/>
      <w:r>
        <w:rPr>
          <w:rtl w:val="true"/>
        </w:rPr>
        <w:t>المذهب الجعفری</w:t>
      </w:r>
      <w:bookmarkEnd w:id="923"/>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لایشترط فی انعقاد الجماعة،فی غیر الجمعة و العیدین نیة الإمام الجماعة و الإمامة،و أمّا المأموم فلابدّ له من نیة الائتمام فلو لم ینو لم یتحقّق الجماعة فی حقّه و إن تابعه فی الأقوال و الأفعال</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ذلک؛لوجوب الجماعة فی الجمعة فلابدّ من نیة ما هو واجب فی الصلاة؛مضافاً</w:t>
      </w:r>
      <w:bookmarkStart w:id="924" w:name="pg5240_59325"/>
    </w:p>
    <w:p>
      <w:pPr>
        <w:pStyle w:val="BookText"/>
        <w:rPr/>
      </w:pPr>
      <w:bookmarkEnd w:id="924"/>
      <w:r>
        <w:rPr>
          <w:rFonts w:ascii="IRNazanin" w:hAnsi="IRNazanin" w:eastAsia="IRNazanin"/>
          <w:color w:val="111111"/>
          <w:sz w:val="28"/>
          <w:sz w:val="28"/>
          <w:szCs w:val="28"/>
          <w:rtl w:val="true"/>
          <w:lang w:bidi="fa-IR"/>
        </w:rPr>
        <w:t>إلی أنّ الأمر متسالم علیه عند الفقهاءأجمع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یتطابق مع المذهب الشافعی و المالکی کما مرّ بنا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الرأی هو أقوی الآراء أتباعاً وأوثقها احتیاطاً</w:t>
      </w:r>
      <w:r>
        <w:rPr>
          <w:rFonts w:eastAsia="IRNazanin" w:cs="IRNazanin"/>
          <w:color w:val="111111"/>
          <w:sz w:val="28"/>
          <w:szCs w:val="28"/>
          <w:rtl w:val="true"/>
          <w:lang w:bidi="fa-IR"/>
        </w:rPr>
        <w:t>.</w:t>
      </w:r>
    </w:p>
    <w:p>
      <w:pPr>
        <w:pStyle w:val="Heading3"/>
        <w:numPr>
          <w:ilvl w:val="2"/>
          <w:numId w:val="1"/>
        </w:numPr>
        <w:rPr/>
      </w:pPr>
      <w:bookmarkStart w:id="925" w:name="__RefHeading___Toc363064_581953129"/>
      <w:bookmarkStart w:id="926" w:name="_Toc386"/>
      <w:bookmarkEnd w:id="925"/>
      <w:r>
        <w:rPr>
          <w:rtl w:val="true"/>
        </w:rPr>
        <w:t>من هو الأحقّ بالإمامة</w:t>
      </w:r>
      <w:bookmarkEnd w:id="926"/>
    </w:p>
    <w:p>
      <w:pPr>
        <w:pStyle w:val="Heading4"/>
        <w:numPr>
          <w:ilvl w:val="3"/>
          <w:numId w:val="1"/>
        </w:numPr>
        <w:rPr/>
      </w:pPr>
      <w:bookmarkStart w:id="927" w:name="__RefHeading___Toc363066_581953129"/>
      <w:bookmarkStart w:id="928" w:name="_Toc387"/>
      <w:bookmarkEnd w:id="927"/>
      <w:r>
        <w:rPr>
          <w:rtl w:val="true"/>
        </w:rPr>
        <w:t>اشارة</w:t>
      </w:r>
      <w:bookmarkEnd w:id="928"/>
    </w:p>
    <w:p>
      <w:pPr>
        <w:pStyle w:val="BookText"/>
        <w:rPr/>
      </w:pPr>
      <w:r>
        <w:rPr>
          <w:rFonts w:ascii="IRNazanin" w:hAnsi="IRNazanin" w:eastAsia="IRNazanin"/>
          <w:color w:val="111111"/>
          <w:sz w:val="28"/>
          <w:sz w:val="28"/>
          <w:szCs w:val="28"/>
          <w:rtl w:val="true"/>
          <w:lang w:bidi="fa-IR"/>
        </w:rPr>
        <w:t>اختلفت الآراءفی تشخیص الأحقّ بالإمامة عند تعدّد الأئمّة وتفصیل الاختلاف بمایلی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تقدیم الأجود قرائة ثمّ الأفقه فی أحکام الصلاة ومع التساوی فیهما فالأفقه فی سائر الأحکام،ثمّ الأسنّ فی الإسلام</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ذلک؛للنصوص وقال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والهاشمی أولی من غیره</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ویؤمّ القوم أقرؤهم لکتاب الله تعالی فإن استووا فأفقههم،فإن استووا فأسنّهم</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فلا خلاف بالنسبة إلی تلک الترجیحات إلاّ عن المالکی قائلاً بتقدیم السلطان أو نائبه</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وقال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استوا بالورع و السنّ فأحسنهم خلقاً فإن کانوا فیه سواء فأحسنهم وجهاً</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وقال الشافعی بأن فی الحج تقدّم رجل من آل أبی سائب أعجمی اللسان فاخّره المسوربن مخرمة و قدّم غیره فبلغ عمربن الخطاب فقال قد أحبت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وأحب ما صنع المسور وأقرّه العمر إذا کان الإمام أعجمیاً</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ولا یوجد هناک نصّ أو إجماع کمدرک للحکم و إنّما هو الرأی الاجتهادی الخاص ولعلّه نشأ عن العربیة و العجمیة</w:t>
      </w:r>
      <w:r>
        <w:rPr>
          <w:rFonts w:eastAsia="IRNazanin" w:cs="IRNazanin"/>
          <w:color w:val="111111"/>
          <w:sz w:val="28"/>
          <w:szCs w:val="28"/>
          <w:rtl w:val="true"/>
          <w:lang w:bidi="fa-IR"/>
        </w:rPr>
        <w:t>.</w:t>
      </w:r>
      <w:bookmarkStart w:id="929" w:name="pg5240_59327"/>
    </w:p>
    <w:p>
      <w:pPr>
        <w:pStyle w:val="Heading4"/>
        <w:numPr>
          <w:ilvl w:val="3"/>
          <w:numId w:val="1"/>
        </w:numPr>
        <w:rPr/>
      </w:pPr>
      <w:bookmarkStart w:id="930" w:name="__RefHeading___Toc363068_581953129"/>
      <w:bookmarkStart w:id="931" w:name="_Toc388"/>
      <w:bookmarkEnd w:id="929"/>
      <w:bookmarkEnd w:id="930"/>
      <w:r>
        <w:rPr>
          <w:rtl w:val="true"/>
        </w:rPr>
        <w:t>منشأ الاختلاف</w:t>
      </w:r>
      <w:bookmarkEnd w:id="9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الاختلاف بالنسبة إلی نیة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ناشئ عن الاجتهاد مع العلم أنّ الاختلاف هناک یسیر و هو ممّا لابأس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الاختلاف بالنسبة إلی من هو أولی وأحقّ بالإمامة مع تعدّد الأئمّة فهو ناشئ عن الاجتهاد الخاص بالنسبة إلی تقدیم السلطان و هوعلی خلاف النص و التسالم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حسن الحظّ أنّه هناک نص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بتقدیم من له الفضائل من الأجودیة فی القرائة و الأفقهیة فی الأحکام و الأسنیة فی الإسلام</w:t>
      </w:r>
      <w:r>
        <w:rPr>
          <w:rFonts w:eastAsia="IRNazanin" w:cs="IRNazanin"/>
          <w:color w:val="111111"/>
          <w:sz w:val="28"/>
          <w:szCs w:val="28"/>
          <w:rtl w:val="true"/>
          <w:lang w:bidi="fa-IR"/>
        </w:rPr>
        <w:t>.</w:t>
      </w:r>
      <w:bookmarkStart w:id="932" w:name="pg5240_59329"/>
    </w:p>
    <w:p>
      <w:pPr>
        <w:pStyle w:val="Heading3"/>
        <w:numPr>
          <w:ilvl w:val="2"/>
          <w:numId w:val="1"/>
        </w:numPr>
        <w:rPr/>
      </w:pPr>
      <w:bookmarkStart w:id="933" w:name="__RefHeading___Toc363070_581953129"/>
      <w:bookmarkStart w:id="934" w:name="_Toc389"/>
      <w:bookmarkEnd w:id="932"/>
      <w:bookmarkEnd w:id="933"/>
      <w:r>
        <w:rPr>
          <w:rtl w:val="true"/>
        </w:rPr>
        <w:t>الخلاصة</w:t>
      </w:r>
      <w:bookmarkEnd w:id="934"/>
    </w:p>
    <w:p>
      <w:pPr>
        <w:pStyle w:val="BookText"/>
        <w:rPr/>
      </w:pPr>
      <w:r>
        <w:rPr>
          <w:rFonts w:ascii="IRNazanin" w:hAnsi="IRNazanin" w:eastAsia="IRNazanin"/>
          <w:color w:val="111111"/>
          <w:sz w:val="28"/>
          <w:sz w:val="28"/>
          <w:szCs w:val="28"/>
          <w:rtl w:val="true"/>
          <w:lang w:bidi="fa-IR"/>
        </w:rPr>
        <w:t>الجماعة فی الصلاة واجبة علی المذهب الحنبلی ومستحبّة أکیدة علی المذاهب الأربعة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العدالة لإمام الجماعة علی المذهب الجعفری و المالکی و الحنبلی،ولایتشرط العدالة للإمام علی المذهب الحنفی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إمام الجماعة طهارة المولد علی المذهب الجعفری ولا یشترط ذلک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لامجال للجماعة فی النوافل علی المذهب الجعفری ولها مجال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اتّحاد الصلاة فی الجماعة بین الإمام و المأموم ظهراً وعصراً وغیرهما علی المذاهب الأربعة،ولا یشترط ذلک علی 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الاتّصال فی صفوف الجماعة وتحقّق المتابعة بحسب تشخیص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تحقّق الاقتداء فی الرکعة الأخیرة للإمام ووقعت رکعة اولی للمأموم یوجب انقلاباً لماهیة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دلیل علی نیة الإمامة للإمام فی الجماعة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والأولی بالإمامة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التشاحّ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أفضلهم بحسب النصّ</w:t>
      </w:r>
      <w:r>
        <w:rPr>
          <w:rFonts w:eastAsia="IRNazanin" w:cs="IRNazanin"/>
          <w:color w:val="111111"/>
          <w:sz w:val="28"/>
          <w:szCs w:val="28"/>
          <w:rtl w:val="true"/>
          <w:lang w:bidi="fa-IR"/>
        </w:rPr>
        <w:t>.</w:t>
      </w:r>
      <w:bookmarkStart w:id="935" w:name="pg5240_59331"/>
    </w:p>
    <w:p>
      <w:pPr>
        <w:pStyle w:val="Heading3"/>
        <w:numPr>
          <w:ilvl w:val="2"/>
          <w:numId w:val="1"/>
        </w:numPr>
        <w:rPr/>
      </w:pPr>
      <w:bookmarkStart w:id="936" w:name="__RefHeading___Toc363072_581953129"/>
      <w:bookmarkStart w:id="937" w:name="_Toc390"/>
      <w:bookmarkEnd w:id="935"/>
      <w:bookmarkEnd w:id="936"/>
      <w:r>
        <w:rPr>
          <w:rtl w:val="true"/>
        </w:rPr>
        <w:t>الأسئلة</w:t>
      </w:r>
      <w:bookmarkEnd w:id="9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اشتراط العدالة لإمام الجماعة؟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لإمام الجماعة طهارة المولد؟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المعیار بالنسبة إلی اتّصال الصفوف فی الجماعة؟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الاقتداء إذا اختلفت الصلاتان فی الأرکان؟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تجب نیة الاقتداء علی المذاهب کلّها أو تختلف فیه الآراء؟</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الأحقّ بالإمامة عند تعدّد الأئمّة؟</w:t>
      </w:r>
      <w:bookmarkStart w:id="938" w:name="pg5240_59333"/>
    </w:p>
    <w:p>
      <w:pPr>
        <w:pStyle w:val="Heading2"/>
        <w:numPr>
          <w:ilvl w:val="1"/>
          <w:numId w:val="1"/>
        </w:numPr>
        <w:rPr/>
      </w:pPr>
      <w:bookmarkStart w:id="939" w:name="__RefHeading___Toc363074_581953129"/>
      <w:bookmarkStart w:id="940" w:name="_Toc391"/>
      <w:bookmarkEnd w:id="938"/>
      <w:bookmarkEnd w:id="939"/>
      <w:r>
        <w:rPr/>
        <w:t>15</w:t>
      </w:r>
      <w:r>
        <w:rPr>
          <w:rtl w:val="true"/>
        </w:rPr>
        <w:t xml:space="preserve">- </w:t>
      </w:r>
      <w:r>
        <w:rPr>
          <w:rtl w:val="true"/>
        </w:rPr>
        <w:t xml:space="preserve">صلاة الجمعة </w:t>
      </w:r>
      <w:r>
        <w:rPr>
          <w:rtl w:val="true"/>
        </w:rPr>
        <w:t>(</w:t>
      </w:r>
      <w:r>
        <w:rPr/>
        <w:t>2</w:t>
      </w:r>
      <w:r>
        <w:rPr>
          <w:rtl w:val="true"/>
        </w:rPr>
        <w:t>)</w:t>
      </w:r>
      <w:bookmarkEnd w:id="940"/>
    </w:p>
    <w:p>
      <w:pPr>
        <w:pStyle w:val="Heading3"/>
        <w:numPr>
          <w:ilvl w:val="2"/>
          <w:numId w:val="1"/>
        </w:numPr>
        <w:rPr/>
      </w:pPr>
      <w:bookmarkStart w:id="941" w:name="__RefHeading___Toc363076_581953129"/>
      <w:bookmarkStart w:id="942" w:name="_Toc392"/>
      <w:bookmarkEnd w:id="941"/>
      <w:r>
        <w:rPr>
          <w:rtl w:val="true"/>
        </w:rPr>
        <w:t>اشارة</w:t>
      </w:r>
      <w:bookmarkEnd w:id="942"/>
    </w:p>
    <w:p>
      <w:pPr>
        <w:pStyle w:val="BookText"/>
        <w:rPr/>
      </w:pPr>
      <w:r>
        <w:rPr>
          <w:rFonts w:ascii="IRNazanin" w:hAnsi="IRNazanin" w:eastAsia="IRNazanin"/>
          <w:color w:val="111111"/>
          <w:sz w:val="28"/>
          <w:sz w:val="28"/>
          <w:szCs w:val="28"/>
          <w:rtl w:val="true"/>
          <w:lang w:bidi="fa-IR"/>
        </w:rPr>
        <w:t>لاریب فی وجوب صلاة الجمعة‌کتاباً وسنّة وإجماعاً بین المسلمین کافّة،ولاخلاف فی کیفیتها إلاّ الیسیر وعلیه نشیر إلی أهمّ الفتاوی فی هذا الحقل حتّی یتبین لنا موارد الخلاف ومناشئه و التفصیل بما یلی</w:t>
      </w:r>
      <w:r>
        <w:rPr>
          <w:rFonts w:eastAsia="IRNazanin" w:cs="IRNazanin"/>
          <w:color w:val="111111"/>
          <w:sz w:val="28"/>
          <w:szCs w:val="28"/>
          <w:rtl w:val="true"/>
          <w:lang w:bidi="fa-IR"/>
        </w:rPr>
        <w:t>:</w:t>
      </w:r>
    </w:p>
    <w:p>
      <w:pPr>
        <w:pStyle w:val="Heading3"/>
        <w:numPr>
          <w:ilvl w:val="2"/>
          <w:numId w:val="1"/>
        </w:numPr>
        <w:rPr/>
      </w:pPr>
      <w:bookmarkStart w:id="943" w:name="__RefHeading___Toc363078_581953129"/>
      <w:bookmarkStart w:id="944" w:name="_Toc393"/>
      <w:bookmarkEnd w:id="943"/>
      <w:r>
        <w:rPr>
          <w:rtl w:val="true"/>
        </w:rPr>
        <w:t>المذهب الجعفری</w:t>
      </w:r>
      <w:bookmarkEnd w:id="944"/>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رکعتان کصلاة الصبح وتمتاز عنها بخطبتین قبلها،ففی الأولی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الإمام ویحمد الله ویثنی علیه ویوصی بتقوی الله ویقرأ سورة من الکتاب العزیز،ثمّ یجلس قلیلاً،وفی الثانیة یقوم ویحمد الله ویثنی علیه ویصلّی علی محمّد صلی الله علیه و آله وعلی أئمّة المسلمین علیهم السلام ویستغفر للمؤمنین و المؤمنات ویعتبر فی وجوب صلاة الجمعة أمور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الوقت و هو زوال الشمس؛</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سبعة أشخاص أحدهم الإمام؛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الإمام الجامع لشرائط الإمامة من العدالة وغیرها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اقیمت الجمعة فی بلد واجدة لشرائط الوجوب و الصحّة وجب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xml:space="preserve">. </w:t>
      </w:r>
      <w:r>
        <w:rPr>
          <w:rStyle w:val="FootnoteAnchor"/>
          <w:rtl w:val="true"/>
        </w:rPr>
        <w:footnoteReference w:id="463"/>
      </w:r>
      <w:bookmarkStart w:id="945" w:name="pg5240_59335"/>
    </w:p>
    <w:p>
      <w:pPr>
        <w:pStyle w:val="Heading3"/>
        <w:numPr>
          <w:ilvl w:val="2"/>
          <w:numId w:val="1"/>
        </w:numPr>
        <w:rPr/>
      </w:pPr>
      <w:bookmarkStart w:id="946" w:name="__RefHeading___Toc363080_581953129"/>
      <w:bookmarkStart w:id="947" w:name="_Toc394"/>
      <w:bookmarkEnd w:id="945"/>
      <w:bookmarkEnd w:id="946"/>
      <w:r>
        <w:rPr>
          <w:rtl w:val="true"/>
        </w:rPr>
        <w:t>المذاهب الاربعة</w:t>
      </w:r>
      <w:bookmarkEnd w:id="947"/>
    </w:p>
    <w:p>
      <w:pPr>
        <w:pStyle w:val="BookText"/>
        <w:rPr/>
      </w:pPr>
      <w:r>
        <w:rPr>
          <w:rFonts w:ascii="IRNazanin" w:hAnsi="IRNazanin" w:eastAsia="IRNazanin"/>
          <w:color w:val="111111"/>
          <w:sz w:val="28"/>
          <w:sz w:val="28"/>
          <w:szCs w:val="28"/>
          <w:rtl w:val="true"/>
          <w:lang w:bidi="fa-IR"/>
        </w:rPr>
        <w:t>قالابن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للجمعة خطبتان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خطبة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 أنّ النبی صلی الله علیه و آله خطب خطبة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 بتسبیحة واحدة أجزأه،لأنّ الله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ولم یعین ذکراً فأجزأ ما یقع علیه إسم الذکر ویقع إسم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القرائة،ظاهر کلام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یشترط القرائة فی کلّ واحدة من الخطبتین،لأنّ الخطبتین اقیمتا مقام رکعتین فکانت القرائة شرطاً فیها کالرکعتین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مقدار القرائة فهو ممّا اختلفت فیه الآراء،والأحوط قرائة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 الشعبی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صعد المنبر یوم الجمعة استقبل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علیکم،ویحمد الله ویثنی علیه ویقرأ سورة ثمّ یجلس ثمّ یقوم فیخطب</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یظهر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تفرّد المذهب المالکی بالنسبة إلی اجتزاء خطبة واحدة،وکذلک تفرّد المذهب الحنفی بالنسبة إلی اجتزاء تسبیحة واحدة فی الخطبة هو علی خلاف الاحتیاط</w:t>
      </w:r>
      <w:r>
        <w:rPr>
          <w:rFonts w:eastAsia="IRNazanin" w:cs="IRNazanin"/>
          <w:color w:val="111111"/>
          <w:sz w:val="28"/>
          <w:szCs w:val="28"/>
          <w:rtl w:val="true"/>
          <w:lang w:bidi="fa-IR"/>
        </w:rPr>
        <w:t>.</w:t>
      </w:r>
    </w:p>
    <w:p>
      <w:pPr>
        <w:pStyle w:val="Heading3"/>
        <w:numPr>
          <w:ilvl w:val="2"/>
          <w:numId w:val="1"/>
        </w:numPr>
        <w:rPr/>
      </w:pPr>
      <w:bookmarkStart w:id="948" w:name="__RefHeading___Toc363082_581953129"/>
      <w:bookmarkStart w:id="949" w:name="_Toc395"/>
      <w:bookmarkEnd w:id="948"/>
      <w:r>
        <w:rPr>
          <w:rtl w:val="true"/>
        </w:rPr>
        <w:t>منشأ الاختلاف</w:t>
      </w:r>
      <w:bookmarkEnd w:id="949"/>
    </w:p>
    <w:p>
      <w:pPr>
        <w:pStyle w:val="BookText"/>
        <w:rPr/>
      </w:pPr>
      <w:r>
        <w:rPr>
          <w:rFonts w:ascii="IRNazanin" w:hAnsi="IRNazanin" w:eastAsia="IRNazanin"/>
          <w:color w:val="111111"/>
          <w:sz w:val="28"/>
          <w:sz w:val="28"/>
          <w:szCs w:val="28"/>
          <w:rtl w:val="true"/>
          <w:lang w:bidi="fa-IR"/>
        </w:rPr>
        <w:t>إنّ الاختلاف هنا ناشئ عن الاختلاف فی النصوص الواردة من الطریقین وعن الاختلاف فی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والحکم بوجوب الجلوس بین الخطبتین علی المذهب الجعفری و الشافعی لایخالف الحکم باستحبابه علی المذاهب الثلاثة الأخری،من ناحیة عملیة فلا خلاف بحسب الواقع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المصلّون أهل اللغة العربیة،الأولی هو الجمع بین اللغتین بلا خلاف فیه</w:t>
      </w:r>
      <w:r>
        <w:rPr>
          <w:rFonts w:eastAsia="IRNazanin" w:cs="IRNazanin"/>
          <w:color w:val="111111"/>
          <w:sz w:val="28"/>
          <w:szCs w:val="28"/>
          <w:rtl w:val="true"/>
          <w:lang w:bidi="fa-IR"/>
        </w:rPr>
        <w:t>.</w:t>
      </w:r>
      <w:bookmarkStart w:id="950" w:name="pg5240_59337"/>
    </w:p>
    <w:p>
      <w:pPr>
        <w:pStyle w:val="BookText"/>
        <w:rPr/>
      </w:pPr>
      <w:bookmarkEnd w:id="950"/>
      <w:r>
        <w:rPr>
          <w:rFonts w:ascii="IRNazanin" w:hAnsi="IRNazanin" w:eastAsia="IRNazanin"/>
          <w:color w:val="111111"/>
          <w:sz w:val="28"/>
          <w:sz w:val="28"/>
          <w:szCs w:val="28"/>
          <w:rtl w:val="true"/>
          <w:lang w:bidi="fa-IR"/>
        </w:rPr>
        <w:t>کما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هو الجمع بین اللغة العربیة ولغة الحاضرین</w:t>
      </w:r>
      <w:r>
        <w:rPr>
          <w:rFonts w:eastAsia="IRNazanin" w:cs="IRNazanin"/>
          <w:color w:val="111111"/>
          <w:sz w:val="28"/>
          <w:szCs w:val="28"/>
          <w:rtl w:val="true"/>
          <w:lang w:bidi="fa-IR"/>
        </w:rPr>
        <w:t xml:space="preserve">. </w:t>
      </w:r>
      <w:r>
        <w:rPr>
          <w:rStyle w:val="FootnoteAnchor"/>
          <w:rtl w:val="true"/>
        </w:rPr>
        <w:footnoteReference w:id="466"/>
      </w:r>
    </w:p>
    <w:p>
      <w:pPr>
        <w:pStyle w:val="Heading3"/>
        <w:numPr>
          <w:ilvl w:val="2"/>
          <w:numId w:val="1"/>
        </w:numPr>
        <w:rPr/>
      </w:pPr>
      <w:bookmarkStart w:id="951" w:name="__RefHeading___Toc363084_581953129"/>
      <w:bookmarkStart w:id="952" w:name="_Toc396"/>
      <w:bookmarkEnd w:id="951"/>
      <w:r>
        <w:rPr>
          <w:rtl w:val="true"/>
        </w:rPr>
        <w:t>العدد المشترط فی الجمعة</w:t>
      </w:r>
      <w:bookmarkEnd w:id="952"/>
    </w:p>
    <w:p>
      <w:pPr>
        <w:pStyle w:val="Heading4"/>
        <w:numPr>
          <w:ilvl w:val="3"/>
          <w:numId w:val="1"/>
        </w:numPr>
        <w:rPr/>
      </w:pPr>
      <w:bookmarkStart w:id="953" w:name="__RefHeading___Toc363086_581953129"/>
      <w:bookmarkStart w:id="954" w:name="_Toc397"/>
      <w:bookmarkEnd w:id="953"/>
      <w:r>
        <w:rPr>
          <w:rtl w:val="true"/>
        </w:rPr>
        <w:t>اشارة</w:t>
      </w:r>
      <w:bookmarkEnd w:id="954"/>
    </w:p>
    <w:p>
      <w:pPr>
        <w:pStyle w:val="BookText"/>
        <w:rPr/>
      </w:pPr>
      <w:r>
        <w:rPr>
          <w:rFonts w:ascii="IRNazanin" w:hAnsi="IRNazanin" w:eastAsia="IRNazanin"/>
          <w:color w:val="111111"/>
          <w:sz w:val="28"/>
          <w:sz w:val="28"/>
          <w:szCs w:val="28"/>
          <w:rtl w:val="true"/>
          <w:lang w:bidi="fa-IR"/>
        </w:rPr>
        <w:t>اختلفت الآراء بالنسبة إلی عدد الأفراد الّذین تنعقد بهم صلاة الجمعة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955" w:name="__RefHeading___Toc363088_581953129"/>
      <w:bookmarkStart w:id="956" w:name="_Toc398"/>
      <w:bookmarkEnd w:id="955"/>
      <w:r>
        <w:rPr>
          <w:rtl w:val="true"/>
        </w:rPr>
        <w:t>المذهب الجعفری</w:t>
      </w:r>
      <w:bookmarkEnd w:id="956"/>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وجوب صلاة الجمعة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سبعة أشخاص أحدهم الإمام</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العدد هو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الّذی تجتمع به نصوص المقام مفهوماً ومنطوقاً</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ومن النصوص الواردة حول تعیین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قال قلت لأبی‌جعفر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تجب الجمعة؟قال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نفر من المسلمین</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عمربن زید عن الإمام الصادق علیه السلام قال إذا کانوا سبعة یوم الجمعة فلیصلّوا فی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ولیقعد قعدة بین الخطبتین</w:t>
      </w:r>
      <w:r>
        <w:rPr>
          <w:rFonts w:eastAsia="IRNazanin" w:cs="IRNazanin"/>
          <w:color w:val="111111"/>
          <w:sz w:val="28"/>
          <w:szCs w:val="28"/>
          <w:rtl w:val="true"/>
          <w:lang w:bidi="fa-IR"/>
        </w:rPr>
        <w:t xml:space="preserve">. </w:t>
      </w:r>
      <w:r>
        <w:rPr>
          <w:rStyle w:val="FootnoteAnchor"/>
          <w:rtl w:val="true"/>
        </w:rPr>
        <w:footnoteReference w:id="470"/>
      </w:r>
    </w:p>
    <w:p>
      <w:pPr>
        <w:pStyle w:val="Heading4"/>
        <w:numPr>
          <w:ilvl w:val="3"/>
          <w:numId w:val="1"/>
        </w:numPr>
        <w:rPr/>
      </w:pPr>
      <w:bookmarkStart w:id="957" w:name="__RefHeading___Toc363090_581953129"/>
      <w:bookmarkStart w:id="958" w:name="_Toc399"/>
      <w:bookmarkEnd w:id="957"/>
      <w:r>
        <w:rPr>
          <w:rtl w:val="true"/>
        </w:rPr>
        <w:t>المذهب الحنفی</w:t>
      </w:r>
      <w:bookmarkEnd w:id="9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الجماعة الّتی تصحّ بها الجمعة أن تکون بثلاثة غیر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w:t>
      </w:r>
      <w:r>
        <w:rPr>
          <w:rFonts w:eastAsia="IRNazanin" w:cs="IRNazanin"/>
          <w:color w:val="111111"/>
          <w:sz w:val="28"/>
          <w:szCs w:val="28"/>
          <w:rtl w:val="true"/>
          <w:lang w:bidi="fa-IR"/>
        </w:rPr>
        <w:t xml:space="preserve">-. </w:t>
      </w:r>
      <w:r>
        <w:rPr>
          <w:rStyle w:val="FootnoteAnchor"/>
          <w:rtl w:val="true"/>
        </w:rPr>
        <w:footnoteReference w:id="471"/>
      </w:r>
      <w:bookmarkStart w:id="959" w:name="pg5240_59339"/>
    </w:p>
    <w:p>
      <w:pPr>
        <w:pStyle w:val="BookText"/>
        <w:rPr/>
      </w:pPr>
      <w:bookmarkEnd w:id="959"/>
      <w:r>
        <w:rPr>
          <w:rFonts w:ascii="Amiri" w:hAnsi="Amiri" w:eastAsia="Amiri" w:cs="Amiri"/>
          <w:color w:val="111111"/>
          <w:sz w:val="28"/>
          <w:sz w:val="28"/>
          <w:szCs w:val="28"/>
          <w:rtl w:val="true"/>
          <w:lang w:bidi="ar-SA"/>
        </w:rPr>
        <w:t>وقال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بأربعة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عدد یزید علی أقلّ الجمع المطلق؛ولأنّ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نُودِیَ لِلصَّلاةِ مِنْ یَوْمِ الْجُمُعَةِ 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صیغة الجمع فیدخل فیه الثلاثة</w:t>
      </w:r>
      <w:r>
        <w:rPr>
          <w:rFonts w:eastAsia="Amiri" w:cs="Amiri" w:ascii="Amiri" w:hAnsi="Amiri"/>
          <w:color w:val="111111"/>
          <w:sz w:val="28"/>
          <w:szCs w:val="28"/>
          <w:rtl w:val="true"/>
          <w:lang w:bidi="ar-SA"/>
        </w:rPr>
        <w:t xml:space="preserve">. </w:t>
      </w:r>
      <w:r>
        <w:rPr>
          <w:rStyle w:val="FootnoteAnchor"/>
          <w:rtl w:val="true"/>
        </w:rPr>
        <w:footnoteReference w:id="472"/>
      </w:r>
    </w:p>
    <w:p>
      <w:pPr>
        <w:pStyle w:val="Heading4"/>
        <w:numPr>
          <w:ilvl w:val="3"/>
          <w:numId w:val="1"/>
        </w:numPr>
        <w:rPr/>
      </w:pPr>
      <w:bookmarkStart w:id="960" w:name="__RefHeading___Toc363092_581953129"/>
      <w:bookmarkStart w:id="961" w:name="_Toc400"/>
      <w:bookmarkEnd w:id="960"/>
      <w:r>
        <w:rPr>
          <w:rtl w:val="true"/>
        </w:rPr>
        <w:t>المذهب الحنبلی و الشافعی</w:t>
      </w:r>
      <w:bookmarkEnd w:id="961"/>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جماعة الجمعة‌شروط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یکونوا أربعین ولو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تنعقد بأقلّ من ذلک</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الأربعون فالمشهور فی المذهب،أنّه شرط لوجوب الجمعة وصحّتها،و هو مذهب مالک و الشافعی وروی عن جابربن عبدالله قال مضت السنّة أنّ فی کلّ أربعین فما فوقها جمعة</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962" w:name="__RefHeading___Toc363094_581953129"/>
      <w:bookmarkStart w:id="963" w:name="_Toc401"/>
      <w:bookmarkEnd w:id="962"/>
      <w:r>
        <w:rPr>
          <w:rtl w:val="true"/>
        </w:rPr>
        <w:t>منشأ الاختلاف</w:t>
      </w:r>
      <w:bookmarkEnd w:id="963"/>
    </w:p>
    <w:p>
      <w:pPr>
        <w:pStyle w:val="BookText"/>
        <w:rPr/>
      </w:pPr>
      <w:r>
        <w:rPr>
          <w:rFonts w:ascii="IRNazanin" w:hAnsi="IRNazanin" w:eastAsia="IRNazanin"/>
          <w:color w:val="111111"/>
          <w:sz w:val="28"/>
          <w:sz w:val="28"/>
          <w:szCs w:val="28"/>
          <w:rtl w:val="true"/>
          <w:lang w:bidi="fa-IR"/>
        </w:rPr>
        <w:t>إنّ الاختلاف هنا ناشئ عن الاختلاف فی النصوص الواردة من الطریقین وعن الاختلاف فی الاجتهاد</w:t>
      </w:r>
      <w:r>
        <w:rPr>
          <w:rFonts w:eastAsia="IRNazanin" w:cs="IRNazanin"/>
          <w:color w:val="111111"/>
          <w:sz w:val="28"/>
          <w:szCs w:val="28"/>
          <w:rtl w:val="true"/>
          <w:lang w:bidi="fa-IR"/>
        </w:rPr>
        <w:t>.</w:t>
      </w:r>
    </w:p>
    <w:p>
      <w:pPr>
        <w:pStyle w:val="Heading3"/>
        <w:numPr>
          <w:ilvl w:val="2"/>
          <w:numId w:val="1"/>
        </w:numPr>
        <w:rPr/>
      </w:pPr>
      <w:bookmarkStart w:id="964" w:name="__RefHeading___Toc363096_581953129"/>
      <w:bookmarkStart w:id="965" w:name="_Toc402"/>
      <w:bookmarkEnd w:id="964"/>
      <w:r>
        <w:rPr>
          <w:rtl w:val="true"/>
        </w:rPr>
        <w:t>صلاة الآیات</w:t>
      </w:r>
      <w:bookmarkEnd w:id="965"/>
    </w:p>
    <w:p>
      <w:pPr>
        <w:pStyle w:val="BookText"/>
        <w:rPr/>
      </w:pPr>
      <w:r>
        <w:rPr>
          <w:rFonts w:ascii="IRNazanin" w:hAnsi="IRNazanin" w:eastAsia="IRNazanin"/>
          <w:color w:val="111111"/>
          <w:sz w:val="28"/>
          <w:sz w:val="28"/>
          <w:szCs w:val="28"/>
          <w:rtl w:val="true"/>
          <w:lang w:bidi="fa-IR"/>
        </w:rPr>
        <w:t>لاخلاف بین المسلمین فی مشروعیة صلاة الآیات و إنّما الخلاف کلّه بالنسبة إلی وصفها وکیفیتها وموجباتها وتفصیل الاختلاف بما یلی</w:t>
      </w:r>
      <w:r>
        <w:rPr>
          <w:rFonts w:eastAsia="IRNazanin" w:cs="IRNazanin"/>
          <w:color w:val="111111"/>
          <w:sz w:val="28"/>
          <w:szCs w:val="28"/>
          <w:rtl w:val="true"/>
          <w:lang w:bidi="fa-IR"/>
        </w:rPr>
        <w:t>:</w:t>
      </w:r>
    </w:p>
    <w:p>
      <w:pPr>
        <w:pStyle w:val="Heading3"/>
        <w:numPr>
          <w:ilvl w:val="2"/>
          <w:numId w:val="1"/>
        </w:numPr>
        <w:rPr/>
      </w:pPr>
      <w:bookmarkStart w:id="966" w:name="__RefHeading___Toc363098_581953129"/>
      <w:bookmarkStart w:id="967" w:name="_Toc403"/>
      <w:bookmarkEnd w:id="966"/>
      <w:r>
        <w:rPr>
          <w:rtl w:val="true"/>
        </w:rPr>
        <w:t>حکم صلاة الآیات</w:t>
      </w:r>
      <w:bookmarkEnd w:id="967"/>
    </w:p>
    <w:p>
      <w:pPr>
        <w:pStyle w:val="Heading4"/>
        <w:numPr>
          <w:ilvl w:val="3"/>
          <w:numId w:val="1"/>
        </w:numPr>
        <w:rPr/>
      </w:pPr>
      <w:bookmarkStart w:id="968" w:name="__RefHeading___Toc363100_581953129"/>
      <w:bookmarkStart w:id="969" w:name="_Toc404"/>
      <w:bookmarkEnd w:id="968"/>
      <w:r>
        <w:rPr>
          <w:rtl w:val="true"/>
        </w:rPr>
        <w:t>اشارة</w:t>
      </w:r>
      <w:bookmarkEnd w:id="96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بالنسبة إلی وجوب صلاة الآیات أو استحبابها،والیک الآراء حیالها</w:t>
      </w:r>
      <w:r>
        <w:rPr>
          <w:rFonts w:eastAsia="IRNazanin" w:cs="IRNazanin"/>
          <w:color w:val="111111"/>
          <w:sz w:val="28"/>
          <w:szCs w:val="28"/>
          <w:rtl w:val="true"/>
          <w:lang w:bidi="fa-IR"/>
        </w:rPr>
        <w:t>:</w:t>
      </w:r>
      <w:bookmarkStart w:id="970" w:name="pg5240_59341"/>
    </w:p>
    <w:p>
      <w:pPr>
        <w:pStyle w:val="Heading4"/>
        <w:numPr>
          <w:ilvl w:val="3"/>
          <w:numId w:val="1"/>
        </w:numPr>
        <w:rPr/>
      </w:pPr>
      <w:bookmarkStart w:id="971" w:name="__RefHeading___Toc363102_581953129"/>
      <w:bookmarkStart w:id="972" w:name="_Toc405"/>
      <w:bookmarkEnd w:id="970"/>
      <w:bookmarkEnd w:id="971"/>
      <w:r>
        <w:rPr>
          <w:rtl w:val="true"/>
        </w:rPr>
        <w:t>المذهب الجعفری</w:t>
      </w:r>
      <w:bookmarkEnd w:id="972"/>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ذلک؛للنصوص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جمیل عن الإمام الصادق علیه السلام قال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فریضة</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وأضاف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وقتها فی الکسوفین هو من حین الأخذ إلی تمام الانجلاء فتجب المبادرة إلیها بمعنی عدم التأخیر إلی تمام الانجلاء،والأحوط عدم نیة الأداء و القضاء علی فرض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الزلزلة وسائر الآیات المخوفة فلا وقت لها بل یجب المبادرة إلی الإتیان بها بمجرّد حصولها،و إن عصی فبعده إلی آخر العمر</w:t>
      </w:r>
      <w:r>
        <w:rPr>
          <w:rFonts w:eastAsia="IRNazanin" w:cs="IRNazanin"/>
          <w:color w:val="111111"/>
          <w:sz w:val="28"/>
          <w:szCs w:val="28"/>
          <w:rtl w:val="true"/>
          <w:lang w:bidi="fa-IR"/>
        </w:rPr>
        <w:t xml:space="preserve">. </w:t>
      </w:r>
      <w:r>
        <w:rPr>
          <w:rStyle w:val="FootnoteAnchor"/>
          <w:rtl w:val="true"/>
        </w:rPr>
        <w:footnoteReference w:id="477"/>
      </w:r>
    </w:p>
    <w:p>
      <w:pPr>
        <w:pStyle w:val="Heading4"/>
        <w:numPr>
          <w:ilvl w:val="3"/>
          <w:numId w:val="1"/>
        </w:numPr>
        <w:rPr/>
      </w:pPr>
      <w:bookmarkStart w:id="973" w:name="__RefHeading___Toc363104_581953129"/>
      <w:bookmarkStart w:id="974" w:name="_Toc406"/>
      <w:bookmarkEnd w:id="973"/>
      <w:r>
        <w:rPr>
          <w:rtl w:val="true"/>
        </w:rPr>
        <w:t>المذاهب الاربعة</w:t>
      </w:r>
      <w:bookmarkEnd w:id="974"/>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کسوف الشمس سنّة مؤکّدة؛و قد ثبت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إنّ‌الشمس و القمرآیتان من آیات الله لاینکسفان لموت أحد ولالحیاته،فإذا رأیتم‌ذلک فصلّوا وادعوا،حتّی ینکشف ما بکم</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والحدیث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الکسوف ثابتة بسنّة رسول الله صلی الله علیه و آله ولا نعلم بین أهل العلم فی مشروعیتها خلافاً</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أنّه لاریب فی أنّ صلاة الآیات ممّا أسّسها رسول الله صلی الله علیه و آله وأمر بإقامتها،حیث أنّ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الأمر للوجوب وعلیه فالقول باستحبابها ممّا لایمکن المساعدة علیه دلیلاً وحجّة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bookmarkStart w:id="975" w:name="pg5240_59342"/>
    </w:p>
    <w:p>
      <w:pPr>
        <w:pStyle w:val="BookText"/>
        <w:rPr/>
      </w:pPr>
      <w:bookmarkEnd w:id="975"/>
      <w:r>
        <w:rPr>
          <w:rFonts w:ascii="IRNazanin" w:hAnsi="IRNazanin" w:eastAsia="IRNazanin"/>
          <w:color w:val="111111"/>
          <w:sz w:val="28"/>
          <w:sz w:val="28"/>
          <w:szCs w:val="28"/>
          <w:rtl w:val="true"/>
          <w:lang w:bidi="fa-IR"/>
        </w:rPr>
        <w:t>بعض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صلاة الآیات واجبة؛لأنّ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من هذه الافزاع فافزعوا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الأمر للوجوب</w:t>
      </w:r>
      <w:r>
        <w:rPr>
          <w:rFonts w:eastAsia="IRNazanin" w:cs="IRNazanin"/>
          <w:color w:val="111111"/>
          <w:sz w:val="28"/>
          <w:szCs w:val="28"/>
          <w:rtl w:val="true"/>
          <w:lang w:bidi="fa-IR"/>
        </w:rPr>
        <w:t xml:space="preserve">. </w:t>
      </w:r>
      <w:r>
        <w:rPr>
          <w:rStyle w:val="FootnoteAnchor"/>
          <w:rtl w:val="true"/>
        </w:rPr>
        <w:footnoteReference w:id="480"/>
      </w:r>
    </w:p>
    <w:p>
      <w:pPr>
        <w:pStyle w:val="Heading3"/>
        <w:numPr>
          <w:ilvl w:val="2"/>
          <w:numId w:val="1"/>
        </w:numPr>
        <w:rPr/>
      </w:pPr>
      <w:bookmarkStart w:id="976" w:name="__RefHeading___Toc363106_581953129"/>
      <w:bookmarkStart w:id="977" w:name="_Toc407"/>
      <w:bookmarkEnd w:id="976"/>
      <w:r>
        <w:rPr>
          <w:rtl w:val="true"/>
        </w:rPr>
        <w:t>الکیفیة</w:t>
      </w:r>
      <w:bookmarkEnd w:id="977"/>
    </w:p>
    <w:p>
      <w:pPr>
        <w:pStyle w:val="Heading4"/>
        <w:numPr>
          <w:ilvl w:val="3"/>
          <w:numId w:val="1"/>
        </w:numPr>
        <w:rPr/>
      </w:pPr>
      <w:bookmarkStart w:id="978" w:name="__RefHeading___Toc363108_581953129"/>
      <w:bookmarkStart w:id="979" w:name="_Toc408"/>
      <w:bookmarkEnd w:id="978"/>
      <w:r>
        <w:rPr>
          <w:rtl w:val="true"/>
        </w:rPr>
        <w:t>اشارة</w:t>
      </w:r>
      <w:bookmarkEnd w:id="979"/>
    </w:p>
    <w:p>
      <w:pPr>
        <w:pStyle w:val="BookText"/>
        <w:rPr/>
      </w:pPr>
      <w:r>
        <w:rPr>
          <w:rFonts w:ascii="IRNazanin" w:hAnsi="IRNazanin" w:eastAsia="IRNazanin"/>
          <w:color w:val="111111"/>
          <w:sz w:val="28"/>
          <w:sz w:val="28"/>
          <w:szCs w:val="28"/>
          <w:rtl w:val="true"/>
          <w:lang w:bidi="fa-IR"/>
        </w:rPr>
        <w:t>اختلفت الآراء حول الکیفیة بما یلی</w:t>
      </w:r>
      <w:r>
        <w:rPr>
          <w:rFonts w:eastAsia="IRNazanin" w:cs="IRNazanin"/>
          <w:color w:val="111111"/>
          <w:sz w:val="28"/>
          <w:szCs w:val="28"/>
          <w:rtl w:val="true"/>
          <w:lang w:bidi="fa-IR"/>
        </w:rPr>
        <w:t>:</w:t>
      </w:r>
    </w:p>
    <w:p>
      <w:pPr>
        <w:pStyle w:val="Heading4"/>
        <w:numPr>
          <w:ilvl w:val="3"/>
          <w:numId w:val="1"/>
        </w:numPr>
        <w:rPr/>
      </w:pPr>
      <w:bookmarkStart w:id="980" w:name="__RefHeading___Toc363110_581953129"/>
      <w:bookmarkStart w:id="981" w:name="_Toc409"/>
      <w:bookmarkEnd w:id="980"/>
      <w:r>
        <w:rPr>
          <w:rtl w:val="true"/>
        </w:rPr>
        <w:t>المذهب الجعفری</w:t>
      </w:r>
      <w:bookmarkEnd w:id="981"/>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کیفیتها،فهی رکعتان،فی کلّ منهما،خمس رکوعات وسجدتان بعد الخامس من کلّ منهما فیکون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رکوعات وسجدتان بعد الخامس وسجدتان بعد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یکبّر للإحرام مقارناً للنیة ثمّ یقرأ الحمد وسورة،ثمّ یرکع،ثمّ یرفع رأسه ویقرأ الحمد وسورة،ثمّ یرکع وهکذا حتّی یتمّ خمساً فیسجد بعد الخامس سجدتین،ثمّ یقوم للرکعة الثانیة فیقرأ الحمد وسورة ثمّ یرکع وهکذا إلی العاشر فیسجد بعده ویشهّد ویسلّم، </w:t>
      </w:r>
      <w:r>
        <w:rPr>
          <w:rStyle w:val="FootnoteAnchor"/>
          <w:rtl w:val="true"/>
        </w:rPr>
        <w:footnoteReference w:id="481"/>
      </w:r>
      <w:r>
        <w:rPr>
          <w:rFonts w:ascii="IRNazanin" w:hAnsi="IRNazanin" w:eastAsia="IRNazanin"/>
          <w:color w:val="111111"/>
          <w:sz w:val="28"/>
          <w:sz w:val="28"/>
          <w:szCs w:val="28"/>
          <w:rtl w:val="true"/>
          <w:lang w:bidi="fa-IR"/>
        </w:rPr>
        <w:t>ذلک للنصّ الوارد فی الباب</w:t>
      </w:r>
      <w:r>
        <w:rPr>
          <w:rFonts w:eastAsia="IRNazanin" w:cs="IRNazanin"/>
          <w:color w:val="111111"/>
          <w:sz w:val="28"/>
          <w:szCs w:val="28"/>
          <w:rtl w:val="true"/>
          <w:lang w:bidi="fa-IR"/>
        </w:rPr>
        <w:t>.</w:t>
      </w:r>
    </w:p>
    <w:p>
      <w:pPr>
        <w:pStyle w:val="Heading4"/>
        <w:numPr>
          <w:ilvl w:val="3"/>
          <w:numId w:val="1"/>
        </w:numPr>
        <w:rPr/>
      </w:pPr>
      <w:bookmarkStart w:id="982" w:name="__RefHeading___Toc363112_581953129"/>
      <w:bookmarkStart w:id="983" w:name="_Toc410"/>
      <w:bookmarkEnd w:id="982"/>
      <w:r>
        <w:rPr>
          <w:rtl w:val="true"/>
        </w:rPr>
        <w:t>المذاهب الاربعة</w:t>
      </w:r>
      <w:bookmarkEnd w:id="983"/>
    </w:p>
    <w:p>
      <w:pPr>
        <w:pStyle w:val="BookText"/>
        <w:rPr/>
      </w:pPr>
      <w:r>
        <w:rPr>
          <w:rFonts w:ascii="IRNazanin" w:hAnsi="IRNazanin" w:eastAsia="IRNazanin"/>
          <w:color w:val="111111"/>
          <w:sz w:val="28"/>
          <w:sz w:val="28"/>
          <w:szCs w:val="28"/>
          <w:rtl w:val="true"/>
          <w:lang w:bidi="fa-IR"/>
        </w:rPr>
        <w:t xml:space="preserve">قال الشافعی بأنّه إذا خسفت الشمس یتوجه الإمام إلی المصلّی فیأمر بالصلاة جامعة،وهی رکعتان کلّ رکعة ذات رکوعین ویقرأ فیها نحو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ثلاثة من الأئمّة علی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ویزید فی کلّ رکعة منها قیاماً ورکوعاً فتکون کلّ رکعة مشتملة علی رکوعین وقیامین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w:t>
      </w:r>
      <w:bookmarkStart w:id="984" w:name="pg5240_59343"/>
    </w:p>
    <w:p>
      <w:pPr>
        <w:pStyle w:val="BookText"/>
        <w:rPr/>
      </w:pPr>
      <w:bookmarkEnd w:id="984"/>
      <w:r>
        <w:rPr>
          <w:rFonts w:ascii="IRNazanin" w:hAnsi="IRNazanin" w:eastAsia="IRNazanin"/>
          <w:color w:val="111111"/>
          <w:sz w:val="28"/>
          <w:sz w:val="28"/>
          <w:szCs w:val="28"/>
          <w:rtl w:val="true"/>
          <w:lang w:bidi="fa-IR"/>
        </w:rPr>
        <w:t>الحنفیة فی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الکسوف لاتصحّ برکوعین وقیامین بل لابدّ من قیام واحد ورکوع واحد کهیئة النفل بلا فرق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أقلّها رکعتان وله أن یصلّی أربعاً أو أکثر و الأفضل أن یصلّی أربعاً بتسلیمة واحدة أو بتسلیمتین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 تطویل القرائة فی الرکعة الأولی بنحو سورة البقرة وفی الثانیة بنحو سورة آل‌عمران</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التقدیر فی حدیث ابن‌عبّاس أنّ النبی صلی الله علیه و آله قام قیاماً طویلاً نحواً من سورة البقرة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آخر أنّه صلی الله علیه و آله قرأ فی الرکعة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 وفی الثانیة سورة آل‌عمران وبهذا قال مالک و الشافعی</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فاتّفقت المذاهب علی استحباب قرائة هاتین السورتین کما اتّفقت علی تطویل الرکوع و السجود</w:t>
      </w:r>
      <w:r>
        <w:rPr>
          <w:rFonts w:eastAsia="IRNazanin" w:cs="IRNazanin"/>
          <w:color w:val="111111"/>
          <w:sz w:val="28"/>
          <w:szCs w:val="28"/>
          <w:rtl w:val="true"/>
          <w:lang w:bidi="fa-IR"/>
        </w:rPr>
        <w:t>.</w:t>
      </w:r>
    </w:p>
    <w:p>
      <w:pPr>
        <w:pStyle w:val="Heading3"/>
        <w:numPr>
          <w:ilvl w:val="2"/>
          <w:numId w:val="1"/>
        </w:numPr>
        <w:rPr/>
      </w:pPr>
      <w:bookmarkStart w:id="985" w:name="__RefHeading___Toc363114_581953129"/>
      <w:bookmarkStart w:id="986" w:name="_Toc411"/>
      <w:bookmarkEnd w:id="985"/>
      <w:r>
        <w:rPr>
          <w:rtl w:val="true"/>
        </w:rPr>
        <w:t>الأسباب و الموجبات</w:t>
      </w:r>
      <w:bookmarkEnd w:id="986"/>
    </w:p>
    <w:p>
      <w:pPr>
        <w:pStyle w:val="Heading4"/>
        <w:numPr>
          <w:ilvl w:val="3"/>
          <w:numId w:val="1"/>
        </w:numPr>
        <w:rPr/>
      </w:pPr>
      <w:bookmarkStart w:id="987" w:name="__RefHeading___Toc363116_581953129"/>
      <w:bookmarkStart w:id="988" w:name="_Toc412"/>
      <w:bookmarkEnd w:id="987"/>
      <w:r>
        <w:rPr>
          <w:rtl w:val="true"/>
        </w:rPr>
        <w:t>اشارة</w:t>
      </w:r>
      <w:bookmarkEnd w:id="988"/>
    </w:p>
    <w:p>
      <w:pPr>
        <w:pStyle w:val="BookText"/>
        <w:rPr/>
      </w:pPr>
      <w:r>
        <w:rPr>
          <w:rFonts w:ascii="IRNazanin" w:hAnsi="IRNazanin" w:eastAsia="IRNazanin"/>
          <w:color w:val="111111"/>
          <w:sz w:val="28"/>
          <w:sz w:val="28"/>
          <w:szCs w:val="28"/>
          <w:rtl w:val="true"/>
          <w:lang w:bidi="fa-IR"/>
        </w:rPr>
        <w:t>اتّفقت الآراء فی سببیة الکسوفین بالنسبة إلی صلاة الآیات واختلفت فی سائر الموجبات،والاختلاف بما یلی</w:t>
      </w:r>
      <w:r>
        <w:rPr>
          <w:rFonts w:eastAsia="IRNazanin" w:cs="IRNazanin"/>
          <w:color w:val="111111"/>
          <w:sz w:val="28"/>
          <w:szCs w:val="28"/>
          <w:rtl w:val="true"/>
          <w:lang w:bidi="fa-IR"/>
        </w:rPr>
        <w:t>:</w:t>
      </w:r>
    </w:p>
    <w:p>
      <w:pPr>
        <w:pStyle w:val="Heading4"/>
        <w:numPr>
          <w:ilvl w:val="3"/>
          <w:numId w:val="1"/>
        </w:numPr>
        <w:rPr/>
      </w:pPr>
      <w:bookmarkStart w:id="989" w:name="__RefHeading___Toc363118_581953129"/>
      <w:bookmarkStart w:id="990" w:name="_Toc413"/>
      <w:bookmarkEnd w:id="989"/>
      <w:r>
        <w:rPr>
          <w:rtl w:val="true"/>
        </w:rPr>
        <w:t>المذاهب الاربعة</w:t>
      </w:r>
      <w:bookmarkEnd w:id="99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یندب أن یصلّی رکعتین عند الفزع من الزلزال أو الصواعق،أو الظلمة و الریح الشدیدین أو نحو ذلک من الأهوال؛لأنّها آیات من الله تعالی یخوّف بها عباده لیترکوا المعاصی ویرجعوا إلی طاعته،وهی کالنوافل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متّفق علیه عند المالکیة و الحنفیة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الحنابلة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لاتندب الصلاة لشیء من الأشیاء المذکورة إلاّ للزلازل،أمّا</w:t>
      </w:r>
      <w:bookmarkStart w:id="991" w:name="pg5240_59344"/>
    </w:p>
    <w:p>
      <w:pPr>
        <w:pStyle w:val="BookText"/>
        <w:rPr/>
      </w:pPr>
      <w:bookmarkEnd w:id="991"/>
      <w:r>
        <w:rPr>
          <w:rFonts w:ascii="IRNazanin" w:hAnsi="IRNazanin" w:eastAsia="IRNazanin"/>
          <w:color w:val="111111"/>
          <w:sz w:val="28"/>
          <w:sz w:val="28"/>
          <w:szCs w:val="28"/>
          <w:rtl w:val="true"/>
          <w:lang w:bidi="fa-IR"/>
        </w:rPr>
        <w:t>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یذکروا أنّ الصلاة مندوبة لشیء من هذا الأمور</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لسائر الآیات حسنة؛لأنّ النبی صلی الله علیه و آله علّل الکسوف بأنّه آیة من آیات الله تعالی یخوّف بها عباده،وصلّی ابن‌عبّاس للزلزلة بالبصرة،رواه أبوسعید وقال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لایصلّی لشیء من الآیات سوی الکسوف؛لأنّ النبی صلی الله علیه و آله لم یصلّ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 الصلاة للزلزلة أنّ ابن‌عبّاس صلّی لها</w:t>
      </w:r>
      <w:r>
        <w:rPr>
          <w:rFonts w:eastAsia="IRNazanin" w:cs="IRNazanin"/>
          <w:color w:val="111111"/>
          <w:sz w:val="28"/>
          <w:szCs w:val="28"/>
          <w:rtl w:val="true"/>
          <w:lang w:bidi="fa-IR"/>
        </w:rPr>
        <w:t xml:space="preserve">. </w:t>
      </w:r>
      <w:r>
        <w:rPr>
          <w:rStyle w:val="FootnoteAnchor"/>
          <w:rtl w:val="true"/>
        </w:rPr>
        <w:footnoteReference w:id="486"/>
      </w:r>
    </w:p>
    <w:p>
      <w:pPr>
        <w:pStyle w:val="Heading4"/>
        <w:numPr>
          <w:ilvl w:val="3"/>
          <w:numId w:val="1"/>
        </w:numPr>
        <w:rPr/>
      </w:pPr>
      <w:bookmarkStart w:id="992" w:name="__RefHeading___Toc363120_581953129"/>
      <w:bookmarkStart w:id="993" w:name="_Toc414"/>
      <w:bookmarkEnd w:id="992"/>
      <w:r>
        <w:rPr>
          <w:rtl w:val="true"/>
        </w:rPr>
        <w:t>المذهب الجعفری</w:t>
      </w:r>
      <w:bookmarkEnd w:id="993"/>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وسببها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الشمس وخسوف القمر،الثالث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الزلزلة،الرابع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مخوف سماوی أو أرضی کالریح الأسود أو الأحمر أو الأصفر و الظلمة الشدیدة و الصاعقة و الصیحة،وغیر ذلک من الآیات المخوفة عند غالب الناس ولا عبرة بغیر المخوف من هذه المذکورات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ذلک کلّه للنصوص الواردة فی الباب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علی‌بن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قبض إبراهیم ابن‌رسول الله صلی الله علیه و آله جرت ثلاث سنن أمّا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لمّا انکسفت الشمس 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انکسفت الشمس لفقد ابن‌رسول الله صلی الله علیه و آله فصعد رسول الله صلی الله علیه و آله المنبر؛فحمد الله وأثنی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الشمس و القمرآیتان من آیات الله یجریان بأمره مطیعان له لاینکسفان لموت أحد ولا لحیاته،فإذا انکسفتا أو واحدة منهما فصلّوا،ثمّ نزل فصلّی بالناس صلاة الکسوف</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وروی هذا الحدیث عن طریق الصحابة بسند متّفق علیه</w:t>
      </w:r>
      <w:r>
        <w:rPr>
          <w:rFonts w:eastAsia="IRNazanin" w:cs="IRNazanin"/>
          <w:color w:val="111111"/>
          <w:sz w:val="28"/>
          <w:szCs w:val="28"/>
          <w:rtl w:val="true"/>
          <w:lang w:bidi="fa-IR"/>
        </w:rPr>
        <w:t xml:space="preserve">. </w:t>
      </w:r>
      <w:r>
        <w:rPr>
          <w:rStyle w:val="FootnoteAnchor"/>
          <w:rtl w:val="true"/>
        </w:rPr>
        <w:footnoteReference w:id="489"/>
      </w:r>
      <w:bookmarkStart w:id="994" w:name="pg5240_59345"/>
    </w:p>
    <w:p>
      <w:pPr>
        <w:pStyle w:val="BookText"/>
        <w:rPr/>
      </w:pPr>
      <w:bookmarkEnd w:id="994"/>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ومحمّدبن مسلم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الریاح 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یصلّی 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أخاویف السماء من ظلمة أو ریح أو فزع فصلّ له صلاة الکسوف</w:t>
      </w:r>
      <w:r>
        <w:rPr>
          <w:rFonts w:eastAsia="IRNazanin" w:cs="IRNazanin"/>
          <w:color w:val="111111"/>
          <w:sz w:val="28"/>
          <w:szCs w:val="28"/>
          <w:rtl w:val="true"/>
          <w:lang w:bidi="fa-IR"/>
        </w:rPr>
        <w:t xml:space="preserve">». </w:t>
      </w:r>
      <w:r>
        <w:rPr>
          <w:rStyle w:val="FootnoteAnchor"/>
          <w:rtl w:val="true"/>
        </w:rPr>
        <w:footnoteReference w:id="490"/>
      </w:r>
    </w:p>
    <w:p>
      <w:pPr>
        <w:pStyle w:val="Heading4"/>
        <w:numPr>
          <w:ilvl w:val="3"/>
          <w:numId w:val="1"/>
        </w:numPr>
        <w:rPr/>
      </w:pPr>
      <w:bookmarkStart w:id="995" w:name="__RefHeading___Toc363122_581953129"/>
      <w:bookmarkStart w:id="996" w:name="_Toc415"/>
      <w:bookmarkEnd w:id="995"/>
      <w:r>
        <w:rPr>
          <w:rtl w:val="true"/>
        </w:rPr>
        <w:t>منشأ الاختلاف</w:t>
      </w:r>
      <w:bookmarkEnd w:id="996"/>
    </w:p>
    <w:p>
      <w:pPr>
        <w:pStyle w:val="BookText"/>
        <w:rPr/>
      </w:pPr>
      <w:r>
        <w:rPr>
          <w:rFonts w:ascii="IRNazanin" w:hAnsi="IRNazanin" w:eastAsia="IRNazanin"/>
          <w:color w:val="111111"/>
          <w:sz w:val="28"/>
          <w:sz w:val="28"/>
          <w:szCs w:val="28"/>
          <w:rtl w:val="true"/>
          <w:lang w:bidi="fa-IR"/>
        </w:rPr>
        <w:t>إنّ الاختلاف بالنسبة إلی کیفیة صلاة الآیات ناشئ من الاختلاف فی النصوص،والاختلاف فی الاجتهاد إلاّ أنّ الاختلاف بین المذاهب الأربعة وبین المذهب الجعفری بالنسبة إلی وجوب تلک الصلوات واستحبابها ناشئ عن الإجماع المحقّق عند أهل السنّة فحسب؛ذلک لأنّه وردت نصوص صحیحة من طریق الصحابة،الدالّة علی الأمر بإتیان تلک الصلوات وثبت من هذا الطریق أنّ النبی صلی الله علیه و آله بادر إلی إتیان صلاة الآیات،فإنّها صلاة أسّسها النبی صلی الله علیه و آله ومع ذلک اتّفقت المذاهب الأربعة علی استحباب تلک الصلاة فتبین أنّ هذا الحکم هو علی أساس إجماع أهل السنّة</w:t>
      </w:r>
      <w:r>
        <w:rPr>
          <w:rFonts w:eastAsia="IRNazanin" w:cs="IRNazanin"/>
          <w:color w:val="111111"/>
          <w:sz w:val="28"/>
          <w:szCs w:val="28"/>
          <w:rtl w:val="true"/>
          <w:lang w:bidi="fa-IR"/>
        </w:rPr>
        <w:t>.</w:t>
      </w:r>
    </w:p>
    <w:p>
      <w:pPr>
        <w:pStyle w:val="Heading3"/>
        <w:numPr>
          <w:ilvl w:val="2"/>
          <w:numId w:val="1"/>
        </w:numPr>
        <w:rPr/>
      </w:pPr>
      <w:bookmarkStart w:id="997" w:name="__RefHeading___Toc363124_581953129"/>
      <w:bookmarkStart w:id="998" w:name="_Toc416"/>
      <w:bookmarkEnd w:id="997"/>
      <w:r>
        <w:rPr>
          <w:rtl w:val="true"/>
        </w:rPr>
        <w:t>مبطلات الصلاة</w:t>
      </w:r>
      <w:bookmarkEnd w:id="998"/>
    </w:p>
    <w:p>
      <w:pPr>
        <w:pStyle w:val="BookText"/>
        <w:rPr/>
      </w:pPr>
      <w:r>
        <w:rPr>
          <w:rFonts w:ascii="IRNazanin" w:hAnsi="IRNazanin" w:eastAsia="IRNazanin"/>
          <w:color w:val="111111"/>
          <w:sz w:val="28"/>
          <w:sz w:val="28"/>
          <w:szCs w:val="28"/>
          <w:rtl w:val="true"/>
          <w:lang w:bidi="fa-IR"/>
        </w:rPr>
        <w:t>اتّفقت المذاهب بالنسبة إلی مبطلات الصلاة المشهورة کالتکلّم بکلام أجنبی أثناء الصلاة،والأکل و الشرب و القهقهة و التحوّل عن القبلة،وتحقّق ناقض الطهارة وما شاکلها،ولاخلاف إلاّ فی موارد قلیلة جدّاً متمثّلة فی الموارد التالیة</w:t>
      </w:r>
      <w:r>
        <w:rPr>
          <w:rFonts w:eastAsia="IRNazanin" w:cs="IRNazanin"/>
          <w:color w:val="111111"/>
          <w:sz w:val="28"/>
          <w:szCs w:val="28"/>
          <w:rtl w:val="true"/>
          <w:lang w:bidi="fa-IR"/>
        </w:rPr>
        <w:t>:</w:t>
      </w:r>
    </w:p>
    <w:p>
      <w:pPr>
        <w:pStyle w:val="Heading3"/>
        <w:numPr>
          <w:ilvl w:val="2"/>
          <w:numId w:val="1"/>
        </w:numPr>
        <w:rPr/>
      </w:pPr>
      <w:bookmarkStart w:id="999" w:name="__RefHeading___Toc363126_581953129"/>
      <w:bookmarkStart w:id="1000" w:name="_Toc417"/>
      <w:bookmarkEnd w:id="999"/>
      <w:r>
        <w:rPr>
          <w:rtl w:val="true"/>
        </w:rPr>
        <w:t>مبطلیة الکلام السهوی</w:t>
      </w:r>
      <w:bookmarkEnd w:id="1000"/>
    </w:p>
    <w:p>
      <w:pPr>
        <w:pStyle w:val="Heading4"/>
        <w:numPr>
          <w:ilvl w:val="3"/>
          <w:numId w:val="1"/>
        </w:numPr>
        <w:rPr/>
      </w:pPr>
      <w:bookmarkStart w:id="1001" w:name="__RefHeading___Toc363128_581953129"/>
      <w:bookmarkStart w:id="1002" w:name="_Toc418"/>
      <w:bookmarkEnd w:id="1001"/>
      <w:r>
        <w:rPr>
          <w:rtl w:val="true"/>
        </w:rPr>
        <w:t>اشارة</w:t>
      </w:r>
      <w:bookmarkEnd w:id="10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بالنسبة إلی مبطلیة التکلّم بکلام أجنبی سهواً وتفصیل الاختلاف بمایلی</w:t>
      </w:r>
      <w:r>
        <w:rPr>
          <w:rFonts w:eastAsia="IRNazanin" w:cs="IRNazanin"/>
          <w:color w:val="111111"/>
          <w:sz w:val="28"/>
          <w:szCs w:val="28"/>
          <w:rtl w:val="true"/>
          <w:lang w:bidi="fa-IR"/>
        </w:rPr>
        <w:t>:</w:t>
      </w:r>
      <w:bookmarkStart w:id="1003" w:name="pg5240_59346"/>
    </w:p>
    <w:p>
      <w:pPr>
        <w:pStyle w:val="Heading4"/>
        <w:numPr>
          <w:ilvl w:val="3"/>
          <w:numId w:val="1"/>
        </w:numPr>
        <w:rPr/>
      </w:pPr>
      <w:bookmarkStart w:id="1004" w:name="__RefHeading___Toc363130_581953129"/>
      <w:bookmarkStart w:id="1005" w:name="_Toc419"/>
      <w:bookmarkEnd w:id="1003"/>
      <w:bookmarkEnd w:id="1004"/>
      <w:r>
        <w:rPr>
          <w:rtl w:val="true"/>
        </w:rPr>
        <w:t>المذهب الجعفری</w:t>
      </w:r>
      <w:bookmarkEnd w:id="1005"/>
    </w:p>
    <w:p>
      <w:pPr>
        <w:pStyle w:val="BookText"/>
        <w:rPr/>
      </w:pPr>
      <w:r>
        <w:rPr>
          <w:rFonts w:ascii="IRNazanin" w:hAnsi="IRNazanin" w:eastAsia="IRNazanin"/>
          <w:color w:val="111111"/>
          <w:sz w:val="28"/>
          <w:sz w:val="28"/>
          <w:szCs w:val="28"/>
          <w:rtl w:val="true"/>
          <w:lang w:bidi="fa-IR"/>
        </w:rPr>
        <w:t>التکلّم إذا کان عن سهو لایبطل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الساهی عند ذلک سجودالسهو و هو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المذهب الشافعی و المالکی</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ذلک لتقدیم أدلّة السهو علی أدلّة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شتّی الموارد</w:t>
      </w:r>
      <w:r>
        <w:rPr>
          <w:rFonts w:eastAsia="IRNazanin" w:cs="IRNazanin"/>
          <w:color w:val="111111"/>
          <w:sz w:val="28"/>
          <w:szCs w:val="28"/>
          <w:rtl w:val="true"/>
          <w:lang w:bidi="fa-IR"/>
        </w:rPr>
        <w:t>.</w:t>
      </w:r>
    </w:p>
    <w:p>
      <w:pPr>
        <w:pStyle w:val="Heading4"/>
        <w:numPr>
          <w:ilvl w:val="3"/>
          <w:numId w:val="1"/>
        </w:numPr>
        <w:rPr/>
      </w:pPr>
      <w:bookmarkStart w:id="1006" w:name="__RefHeading___Toc363132_581953129"/>
      <w:bookmarkStart w:id="1007" w:name="_Toc420"/>
      <w:bookmarkEnd w:id="1006"/>
      <w:r>
        <w:rPr>
          <w:rtl w:val="true"/>
        </w:rPr>
        <w:t>المذهب الحنبلی و الحنفی</w:t>
      </w:r>
      <w:bookmarkEnd w:id="1007"/>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الأجنبی فی الصلاة مبطل لها علی المذهبین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المتکلّم ساهیاً</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ذلک أخذاً بإطلاق أدلّة المبطلات ترجیحاً علی أدلّة السهو</w:t>
      </w:r>
      <w:r>
        <w:rPr>
          <w:rFonts w:eastAsia="IRNazanin" w:cs="IRNazanin"/>
          <w:color w:val="111111"/>
          <w:sz w:val="28"/>
          <w:szCs w:val="28"/>
          <w:rtl w:val="true"/>
          <w:lang w:bidi="fa-IR"/>
        </w:rPr>
        <w:t>.</w:t>
      </w:r>
    </w:p>
    <w:p>
      <w:pPr>
        <w:pStyle w:val="Heading3"/>
        <w:numPr>
          <w:ilvl w:val="2"/>
          <w:numId w:val="1"/>
        </w:numPr>
        <w:rPr/>
      </w:pPr>
      <w:bookmarkStart w:id="1008" w:name="__RefHeading___Toc363134_581953129"/>
      <w:bookmarkStart w:id="1009" w:name="_Toc421"/>
      <w:bookmarkEnd w:id="1008"/>
      <w:r>
        <w:rPr>
          <w:rtl w:val="true"/>
        </w:rPr>
        <w:t>ردّ السلام</w:t>
      </w:r>
      <w:bookmarkEnd w:id="1009"/>
    </w:p>
    <w:p>
      <w:pPr>
        <w:pStyle w:val="Heading4"/>
        <w:numPr>
          <w:ilvl w:val="3"/>
          <w:numId w:val="1"/>
        </w:numPr>
        <w:rPr/>
      </w:pPr>
      <w:bookmarkStart w:id="1010" w:name="__RefHeading___Toc363136_581953129"/>
      <w:bookmarkStart w:id="1011" w:name="_Toc422"/>
      <w:bookmarkEnd w:id="1010"/>
      <w:r>
        <w:rPr>
          <w:rtl w:val="true"/>
        </w:rPr>
        <w:t>اشارة</w:t>
      </w:r>
      <w:bookmarkEnd w:id="1011"/>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علیه رجل و هو یصلّی،فردّ علیه السلام بلسانه بطلت صلاته،أمّا إذا ردّ علیه بالإشارة فإنّها،لاتبطل باتّفاق</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ذلک؛لتحقّق التکلّم بکلام أجنبی مبطل</w:t>
      </w:r>
      <w:r>
        <w:rPr>
          <w:rFonts w:eastAsia="IRNazanin" w:cs="IRNazanin"/>
          <w:color w:val="111111"/>
          <w:sz w:val="28"/>
          <w:szCs w:val="28"/>
          <w:rtl w:val="true"/>
          <w:lang w:bidi="fa-IR"/>
        </w:rPr>
        <w:t>.</w:t>
      </w:r>
    </w:p>
    <w:p>
      <w:pPr>
        <w:pStyle w:val="Heading4"/>
        <w:numPr>
          <w:ilvl w:val="3"/>
          <w:numId w:val="1"/>
        </w:numPr>
        <w:rPr/>
      </w:pPr>
      <w:bookmarkStart w:id="1012" w:name="__RefHeading___Toc363138_581953129"/>
      <w:bookmarkStart w:id="1013" w:name="_Toc423"/>
      <w:bookmarkEnd w:id="1012"/>
      <w:r>
        <w:rPr>
          <w:rtl w:val="true"/>
        </w:rPr>
        <w:t>المذهب الجعفری</w:t>
      </w:r>
      <w:bookmarkEnd w:id="1013"/>
    </w:p>
    <w:p>
      <w:pPr>
        <w:pStyle w:val="BookText"/>
        <w:rPr/>
      </w:pPr>
      <w:r>
        <w:rPr>
          <w:rFonts w:ascii="Amiri" w:hAnsi="Amiri" w:eastAsia="Amiri" w:cs="Amiri"/>
          <w:color w:val="111111"/>
          <w:sz w:val="28"/>
          <w:sz w:val="28"/>
          <w:szCs w:val="28"/>
          <w:rtl w:val="true"/>
          <w:lang w:bidi="ar-SA"/>
        </w:rPr>
        <w:t>قال الطباطبائی الیزدی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ردّ سلام التحیة فی أثناء الصلاة بل یجب ذلک 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حُیِّیتُمْ بِتَحِیَّةٍ فَحَیُّوا بِأَحْسَنَ مِنْها أَوْ رُدُّوها</w:t>
      </w:r>
      <w:r>
        <w:rPr>
          <w:rFonts w:eastAsia="Amiri" w:cs="Amiri" w:ascii="Amiri" w:hAnsi="Amiri"/>
          <w:color w:val="111111"/>
          <w:sz w:val="28"/>
          <w:szCs w:val="28"/>
          <w:rtl w:val="true"/>
          <w:lang w:bidi="ar-SA"/>
        </w:rPr>
        <w:t xml:space="preserve">... . </w:t>
      </w:r>
      <w:r>
        <w:rPr>
          <w:rStyle w:val="FootnoteAnchor"/>
          <w:rtl w:val="true"/>
        </w:rPr>
        <w:footnoteReference w:id="49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 عدم مانعیة الصلاة من ردّ السلام،بل الإجماع بقسمیه علیه و النصوص مستفیضة فیه إن لم تکن متواترة</w:t>
      </w:r>
      <w:r>
        <w:rPr>
          <w:rFonts w:eastAsia="IRNazanin" w:cs="IRNazanin"/>
          <w:color w:val="111111"/>
          <w:sz w:val="28"/>
          <w:szCs w:val="28"/>
          <w:rtl w:val="true"/>
          <w:lang w:bidi="fa-IR"/>
        </w:rPr>
        <w:t>.</w:t>
      </w:r>
      <w:bookmarkStart w:id="1014" w:name="pg5240_59347"/>
    </w:p>
    <w:p>
      <w:pPr>
        <w:pStyle w:val="BookText"/>
        <w:rPr/>
      </w:pPr>
      <w:bookmarkEnd w:id="1014"/>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سماعة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ولا یقول علیکم السلام فإنّ رسول الله صلی الله علیه و آله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 بأنّها صیغة 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منافاتها الصلاة؛لأنّها قرآن لاینافیه إرادة الردّ منه</w:t>
      </w:r>
      <w:r>
        <w:rPr>
          <w:rFonts w:eastAsia="IRNazanin" w:cs="IRNazanin"/>
          <w:color w:val="111111"/>
          <w:sz w:val="28"/>
          <w:szCs w:val="28"/>
          <w:rtl w:val="true"/>
          <w:lang w:bidi="fa-IR"/>
        </w:rPr>
        <w:t xml:space="preserve">. </w:t>
      </w:r>
      <w:r>
        <w:rPr>
          <w:rStyle w:val="FootnoteAnchor"/>
          <w:rtl w:val="true"/>
        </w:rPr>
        <w:footnoteReference w:id="495"/>
      </w:r>
    </w:p>
    <w:p>
      <w:pPr>
        <w:pStyle w:val="Heading3"/>
        <w:numPr>
          <w:ilvl w:val="2"/>
          <w:numId w:val="1"/>
        </w:numPr>
        <w:rPr/>
      </w:pPr>
      <w:bookmarkStart w:id="1015" w:name="__RefHeading___Toc363140_581953129"/>
      <w:bookmarkStart w:id="1016" w:name="_Toc424"/>
      <w:bookmarkEnd w:id="1015"/>
      <w:r>
        <w:rPr>
          <w:rtl w:val="true"/>
        </w:rPr>
        <w:t>التکلّم حال النوم</w:t>
      </w:r>
      <w:bookmarkEnd w:id="1016"/>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تکلّم فی صلاته و هونائم علی‌هذه الحالة فإنّها لاتبطل علی المذهب الحنبلی،فقال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یؤید من قال ببطلان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الّذی ینام فی صلاته ویتکلّم بکلام أجنبی یکون غافلاً عن ربّه تمام الغفلة فما قیمة صلاة من یفعل هذا؟ </w:t>
      </w:r>
      <w:r>
        <w:rPr>
          <w:rStyle w:val="FootnoteAnchor"/>
          <w:rtl w:val="true"/>
        </w:rPr>
        <w:footnoteReference w:id="496"/>
      </w:r>
      <w:r>
        <w:rPr>
          <w:rFonts w:ascii="IRNazanin" w:hAnsi="IRNazanin" w:eastAsia="IRNazanin"/>
          <w:color w:val="111111"/>
          <w:sz w:val="28"/>
          <w:sz w:val="28"/>
          <w:szCs w:val="28"/>
          <w:rtl w:val="true"/>
          <w:lang w:bidi="fa-IR"/>
        </w:rPr>
        <w:t>والملاحظة فی محلّها،والصلاة حال النوم باطلة من الأساس علی المذهب الجعفری؛لعدم تحقّق الأرضیة للصلاة آنذاک</w:t>
      </w:r>
      <w:r>
        <w:rPr>
          <w:rFonts w:eastAsia="IRNazanin" w:cs="IRNazanin"/>
          <w:color w:val="111111"/>
          <w:sz w:val="28"/>
          <w:szCs w:val="28"/>
          <w:rtl w:val="true"/>
          <w:lang w:bidi="fa-IR"/>
        </w:rPr>
        <w:t>.</w:t>
      </w:r>
    </w:p>
    <w:p>
      <w:pPr>
        <w:pStyle w:val="Heading3"/>
        <w:numPr>
          <w:ilvl w:val="2"/>
          <w:numId w:val="1"/>
        </w:numPr>
        <w:rPr/>
      </w:pPr>
      <w:bookmarkStart w:id="1017" w:name="__RefHeading___Toc363142_581953129"/>
      <w:bookmarkStart w:id="1018" w:name="_Toc425"/>
      <w:bookmarkEnd w:id="1017"/>
      <w:r>
        <w:rPr>
          <w:rtl w:val="true"/>
        </w:rPr>
        <w:t>بطلان الصلاة بمرور الکلب</w:t>
      </w:r>
      <w:bookmarkEnd w:id="101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یقطع الصلاة إلاّ الکلب الأسود البهیم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 بین یدیه،هذا المشهور عن أحمد نقله الجماعة عنه،و هذا قول عائشة وحکی عن طاوس وروی عن معاذ ومجاهد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الأسود البهیم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یقطع الصلاة،وعن أحمد روایة أخری أنّه یقطعها الکلب الأسود و المرأة،إذا مرّت و الحمار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هذه الأحادیث کلّها فی المرأة و الحمار یعارض حدیث أبی‌هریرة وأبی‌ذر فیهما،فیبقی الکلب الأسود خالیاً عن معارض فیجب القول به؛لثبوته وخلوّه عن معارض </w:t>
      </w:r>
      <w:r>
        <w:rPr>
          <w:rStyle w:val="FootnoteAnchor"/>
          <w:rtl w:val="true"/>
        </w:rPr>
        <w:footnoteReference w:id="497"/>
      </w:r>
      <w:r>
        <w:rPr>
          <w:rFonts w:ascii="IRNazanin" w:hAnsi="IRNazanin" w:eastAsia="IRNazanin"/>
          <w:color w:val="111111"/>
          <w:sz w:val="28"/>
          <w:sz w:val="28"/>
          <w:szCs w:val="28"/>
          <w:rtl w:val="true"/>
          <w:lang w:bidi="fa-IR"/>
        </w:rPr>
        <w:t>وبهذا یتبین أنّ الحکم المذکور محلّ وفاق بین</w:t>
      </w:r>
      <w:bookmarkStart w:id="1019" w:name="pg5240_59348"/>
    </w:p>
    <w:p>
      <w:pPr>
        <w:pStyle w:val="BookText"/>
        <w:rPr/>
      </w:pPr>
      <w:bookmarkEnd w:id="1019"/>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المذهب الجعفری فیخالف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 ببطلان الصلاة بواسطة مرور الکلب الأسود بین یدی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المخالفة،قائلاً بعدم الدلیل علی ذلک وأنّه أشبه بالمو هومات</w:t>
      </w:r>
      <w:r>
        <w:rPr>
          <w:rFonts w:eastAsia="IRNazanin" w:cs="IRNazanin"/>
          <w:color w:val="111111"/>
          <w:sz w:val="28"/>
          <w:szCs w:val="28"/>
          <w:rtl w:val="true"/>
          <w:lang w:bidi="fa-IR"/>
        </w:rPr>
        <w:t>.</w:t>
      </w:r>
    </w:p>
    <w:p>
      <w:pPr>
        <w:pStyle w:val="Heading3"/>
        <w:numPr>
          <w:ilvl w:val="2"/>
          <w:numId w:val="1"/>
        </w:numPr>
        <w:rPr/>
      </w:pPr>
      <w:bookmarkStart w:id="1020" w:name="__RefHeading___Toc363144_581953129"/>
      <w:bookmarkStart w:id="1021" w:name="_Toc426"/>
      <w:bookmarkEnd w:id="1020"/>
      <w:r>
        <w:rPr>
          <w:rtl w:val="true"/>
        </w:rPr>
        <w:t>الناقض غیر المبطل</w:t>
      </w:r>
      <w:bookmarkEnd w:id="1021"/>
    </w:p>
    <w:p>
      <w:pPr>
        <w:pStyle w:val="BookText"/>
        <w:rPr/>
      </w:pPr>
      <w:r>
        <w:rPr>
          <w:rFonts w:ascii="IRNazanin" w:hAnsi="IRNazanin" w:eastAsia="IRNazanin"/>
          <w:color w:val="111111"/>
          <w:sz w:val="28"/>
          <w:sz w:val="28"/>
          <w:szCs w:val="28"/>
          <w:rtl w:val="true"/>
          <w:lang w:bidi="fa-IR"/>
        </w:rPr>
        <w:t>اتّفقت المذاهب‌کلّها علی أنّ نواقض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و البول ونحوهما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الصلاة فی مطلق الأحوال وخالف فیه المذهب الحنفی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یبطل طروّ ناقض لهذه الأمور إذا کان قبل القعود الأخیر بقدر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طرأ بعده فلا تبطل به الصلاة علی الراجح</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ذلک لما مرّ بنا فی بحث الصلاة من أنّ التسلیم لایکون المخرج الوحید عن الصلاة علی المذهب الحنفی،بل یمکن الخروج من الصلاة بواسطة النواقض</w:t>
      </w:r>
      <w:r>
        <w:rPr>
          <w:rFonts w:eastAsia="IRNazanin" w:cs="IRNazanin"/>
          <w:color w:val="111111"/>
          <w:sz w:val="28"/>
          <w:szCs w:val="28"/>
          <w:rtl w:val="true"/>
          <w:lang w:bidi="fa-IR"/>
        </w:rPr>
        <w:t>.</w:t>
      </w:r>
    </w:p>
    <w:p>
      <w:pPr>
        <w:pStyle w:val="Heading3"/>
        <w:numPr>
          <w:ilvl w:val="2"/>
          <w:numId w:val="1"/>
        </w:numPr>
        <w:rPr/>
      </w:pPr>
      <w:bookmarkStart w:id="1022" w:name="__RefHeading___Toc363146_581953129"/>
      <w:bookmarkStart w:id="1023" w:name="_Toc427"/>
      <w:bookmarkEnd w:id="1022"/>
      <w:r>
        <w:rPr>
          <w:rtl w:val="true"/>
        </w:rPr>
        <w:t>المرور بین یدی المصلی</w:t>
      </w:r>
      <w:bookmarkEnd w:id="1023"/>
    </w:p>
    <w:p>
      <w:pPr>
        <w:pStyle w:val="Heading4"/>
        <w:numPr>
          <w:ilvl w:val="3"/>
          <w:numId w:val="1"/>
        </w:numPr>
        <w:rPr/>
      </w:pPr>
      <w:bookmarkStart w:id="1024" w:name="__RefHeading___Toc363148_581953129"/>
      <w:bookmarkStart w:id="1025" w:name="_Toc428"/>
      <w:bookmarkEnd w:id="1024"/>
      <w:r>
        <w:rPr>
          <w:rtl w:val="true"/>
        </w:rPr>
        <w:t>اشارة</w:t>
      </w:r>
      <w:bookmarkEnd w:id="1025"/>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المرور بین یدی المصلّی علی المذاهب الأربعة إلاّ أنّ للشافعی هناک ملاحظة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المرور بین یدی المصلّی إلاّ إذا اتّخذ سترة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یجعله المصلّی أمامه کحاجز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فلا حرمة ولا کراهة</w:t>
      </w:r>
      <w:r>
        <w:rPr>
          <w:rFonts w:eastAsia="IRNazanin" w:cs="IRNazanin"/>
          <w:color w:val="111111"/>
          <w:sz w:val="28"/>
          <w:szCs w:val="28"/>
          <w:rtl w:val="true"/>
          <w:lang w:bidi="fa-IR"/>
        </w:rPr>
        <w:t>.</w:t>
      </w:r>
    </w:p>
    <w:p>
      <w:pPr>
        <w:pStyle w:val="Heading4"/>
        <w:numPr>
          <w:ilvl w:val="3"/>
          <w:numId w:val="1"/>
        </w:numPr>
        <w:rPr/>
      </w:pPr>
      <w:bookmarkStart w:id="1026" w:name="__RefHeading___Toc363150_581953129"/>
      <w:bookmarkStart w:id="1027" w:name="_Toc429"/>
      <w:bookmarkEnd w:id="1026"/>
      <w:r>
        <w:rPr>
          <w:rtl w:val="true"/>
        </w:rPr>
        <w:t>المذهب الحنفی و المالکی</w:t>
      </w:r>
      <w:bookmarkEnd w:id="102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یحرم علی المصلّی أن یتعرّض بصلاته‌لمرور الناس بین یدیه،بأن یصلّی بدون سترة بمکان یکثر فیه المرور، </w:t>
      </w:r>
      <w:r>
        <w:rPr>
          <w:rStyle w:val="FootnoteAnchor"/>
          <w:rtl w:val="true"/>
        </w:rPr>
        <w:footnoteReference w:id="499"/>
      </w:r>
      <w:r>
        <w:rPr>
          <w:rFonts w:ascii="IRNazanin" w:hAnsi="IRNazanin" w:eastAsia="IRNazanin"/>
          <w:color w:val="111111"/>
          <w:sz w:val="28"/>
          <w:sz w:val="28"/>
          <w:szCs w:val="28"/>
          <w:rtl w:val="true"/>
          <w:lang w:bidi="fa-IR"/>
        </w:rPr>
        <w:t>ویکره ذلک علی المذهب الشافعی و الحنبلی</w:t>
      </w:r>
      <w:r>
        <w:rPr>
          <w:rFonts w:eastAsia="IRNazanin" w:cs="IRNazanin"/>
          <w:color w:val="111111"/>
          <w:sz w:val="28"/>
          <w:szCs w:val="28"/>
          <w:rtl w:val="true"/>
          <w:lang w:bidi="fa-IR"/>
        </w:rPr>
        <w:t>.</w:t>
      </w:r>
      <w:bookmarkStart w:id="1028" w:name="pg5240_59349"/>
    </w:p>
    <w:p>
      <w:pPr>
        <w:pStyle w:val="Heading4"/>
        <w:numPr>
          <w:ilvl w:val="3"/>
          <w:numId w:val="1"/>
        </w:numPr>
        <w:rPr/>
      </w:pPr>
      <w:bookmarkStart w:id="1029" w:name="__RefHeading___Toc363152_581953129"/>
      <w:bookmarkStart w:id="1030" w:name="_Toc430"/>
      <w:bookmarkEnd w:id="1028"/>
      <w:bookmarkEnd w:id="1029"/>
      <w:r>
        <w:rPr>
          <w:rtl w:val="true"/>
        </w:rPr>
        <w:t>المذهب الجعفری</w:t>
      </w:r>
      <w:bookmarkEnd w:id="1030"/>
    </w:p>
    <w:p>
      <w:pPr>
        <w:pStyle w:val="BookText"/>
        <w:rPr/>
      </w:pPr>
      <w:r>
        <w:rPr>
          <w:rFonts w:ascii="IRNazanin" w:hAnsi="IRNazanin" w:eastAsia="IRNazanin"/>
          <w:color w:val="111111"/>
          <w:sz w:val="28"/>
          <w:sz w:val="28"/>
          <w:szCs w:val="28"/>
          <w:rtl w:val="true"/>
          <w:lang w:bidi="fa-IR"/>
        </w:rPr>
        <w:t>لایحرم المرور بین یدی المصلّی لعدم الدلیل علیه،و إن کان للاجتناب عن المرور أهمیته إحتراماً للصلاة</w:t>
      </w:r>
      <w:r>
        <w:rPr>
          <w:rFonts w:eastAsia="IRNazanin" w:cs="IRNazanin"/>
          <w:color w:val="111111"/>
          <w:sz w:val="28"/>
          <w:szCs w:val="28"/>
          <w:rtl w:val="true"/>
          <w:lang w:bidi="fa-IR"/>
        </w:rPr>
        <w:t>.</w:t>
      </w:r>
    </w:p>
    <w:p>
      <w:pPr>
        <w:pStyle w:val="Heading3"/>
        <w:numPr>
          <w:ilvl w:val="2"/>
          <w:numId w:val="1"/>
        </w:numPr>
        <w:rPr/>
      </w:pPr>
      <w:bookmarkStart w:id="1031" w:name="__RefHeading___Toc363154_581953129"/>
      <w:bookmarkStart w:id="1032" w:name="_Toc431"/>
      <w:bookmarkEnd w:id="1031"/>
      <w:r>
        <w:rPr>
          <w:rtl w:val="true"/>
        </w:rPr>
        <w:t>الریاء فی الصلاة</w:t>
      </w:r>
      <w:bookmarkEnd w:id="1032"/>
    </w:p>
    <w:p>
      <w:pPr>
        <w:pStyle w:val="Heading4"/>
        <w:numPr>
          <w:ilvl w:val="3"/>
          <w:numId w:val="1"/>
        </w:numPr>
        <w:rPr/>
      </w:pPr>
      <w:bookmarkStart w:id="1033" w:name="__RefHeading___Toc363156_581953129"/>
      <w:bookmarkStart w:id="1034" w:name="_Toc432"/>
      <w:bookmarkEnd w:id="1033"/>
      <w:r>
        <w:rPr>
          <w:rtl w:val="true"/>
        </w:rPr>
        <w:t>اشارة</w:t>
      </w:r>
      <w:bookmarkEnd w:id="1034"/>
    </w:p>
    <w:p>
      <w:pPr>
        <w:pStyle w:val="BookText"/>
        <w:rPr/>
      </w:pPr>
      <w:r>
        <w:rPr>
          <w:rFonts w:ascii="IRNazanin" w:hAnsi="IRNazanin" w:eastAsia="IRNazanin"/>
          <w:color w:val="111111"/>
          <w:sz w:val="28"/>
          <w:sz w:val="28"/>
          <w:szCs w:val="28"/>
          <w:rtl w:val="true"/>
          <w:lang w:bidi="fa-IR"/>
        </w:rPr>
        <w:t>وممّا أعدّه المذهب الجعفری مبطلاً للصلاة الریاء،فإنّ المصلّی إذا کان مرائیاً أثناء الصلاة 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نیة الصلاة ومطلق العبادات الخلوص من الریاءفلونوی بها الریاء بطلت الصلاة،بل هو من المعاصی الکبیرة؛لأنّه شرک بالله تعالی</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والحکم مستفاد من الأدلّة القطعیة،منها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وَ ما أُمِرُوا إِلاّ لِیَعْبُدُوا اللّهَ مُخْلِصِینَ لَهُ الدِّینَ</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Heading4"/>
        <w:numPr>
          <w:ilvl w:val="3"/>
          <w:numId w:val="1"/>
        </w:numPr>
        <w:rPr/>
      </w:pPr>
      <w:bookmarkStart w:id="1035" w:name="__RefHeading___Toc363158_581953129"/>
      <w:bookmarkStart w:id="1036" w:name="_Toc433"/>
      <w:bookmarkEnd w:id="1035"/>
      <w:r>
        <w:rPr>
          <w:rtl w:val="true"/>
        </w:rPr>
        <w:t>منشأ الاختلاف</w:t>
      </w:r>
      <w:bookmarkEnd w:id="10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بالنسبة إلی مبطلات الصلاة ناشئ عن الاختلاف فی الاجتهاد علی الأغلب إلاّ أنّ ذلک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کمبطلیة مرور الکلب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 عن وجود النصّ وعدمه،حیث هناک نصّ من طریق الصحابة الدالّ علی الحکم المذکور،ولم یکن هناک نصّ من طریق آل‌البیت علیهم السلام</w:t>
      </w:r>
      <w:r>
        <w:rPr>
          <w:rFonts w:eastAsia="IRNazanin" w:cs="IRNazanin"/>
          <w:color w:val="111111"/>
          <w:sz w:val="28"/>
          <w:szCs w:val="28"/>
          <w:rtl w:val="true"/>
          <w:lang w:bidi="fa-IR"/>
        </w:rPr>
        <w:t>.</w:t>
      </w:r>
      <w:bookmarkStart w:id="1037" w:name="pg5240_59350"/>
    </w:p>
    <w:p>
      <w:pPr>
        <w:pStyle w:val="Heading3"/>
        <w:numPr>
          <w:ilvl w:val="2"/>
          <w:numId w:val="1"/>
        </w:numPr>
        <w:rPr/>
      </w:pPr>
      <w:bookmarkStart w:id="1038" w:name="__RefHeading___Toc363160_581953129"/>
      <w:bookmarkStart w:id="1039" w:name="_Toc434"/>
      <w:bookmarkEnd w:id="1037"/>
      <w:bookmarkEnd w:id="1038"/>
      <w:r>
        <w:rPr>
          <w:rtl w:val="true"/>
        </w:rPr>
        <w:t>الخلاصة</w:t>
      </w:r>
      <w:bookmarkEnd w:id="1039"/>
    </w:p>
    <w:p>
      <w:pPr>
        <w:pStyle w:val="BookText"/>
        <w:rPr/>
      </w:pPr>
      <w:r>
        <w:rPr>
          <w:rFonts w:ascii="IRNazanin" w:hAnsi="IRNazanin" w:eastAsia="IRNazanin"/>
          <w:color w:val="111111"/>
          <w:sz w:val="28"/>
          <w:sz w:val="28"/>
          <w:szCs w:val="28"/>
          <w:rtl w:val="true"/>
          <w:lang w:bidi="fa-IR"/>
        </w:rPr>
        <w:t>اتّفق أکثر المذاهب علی اشتراط الخطبتین فی صلاة الجمعة وخالف فیه قلیل منهم قائلاً بکفایة خطبة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لاخلاف فی اشتراط الجماعة فی الجمعة و إنّما الخلاف بالنسبة إلی أقلّ عدد ینعقد به الجماعة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اتّفقت المذاهب کلّها بالنسبة إلی مشروعیة صلاة الآیات،واختلفت بالنسبة إلی وجوبها واستحبابها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لاخلاف فی أنّ الکسوفین و الزلزال من الآیات الموجبة للصلاة و إنّما الخلاف بالنسبة إلی غیرها من الآیات المخوفة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لاخلاف بین المذاهب بالنسبة إلی المبطلات المشهورة للصلاة،و إنّما الخلاف بالنسبة إلی الفروع الیسیرة کالاختلاف فی مبطلیة التکلّم بکلام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 سهو</w:t>
      </w:r>
      <w:r>
        <w:rPr>
          <w:rFonts w:eastAsia="IRNazanin" w:cs="IRNazanin"/>
          <w:color w:val="111111"/>
          <w:sz w:val="28"/>
          <w:szCs w:val="28"/>
          <w:rtl w:val="true"/>
          <w:lang w:bidi="fa-IR"/>
        </w:rPr>
        <w:t>.</w:t>
      </w:r>
      <w:bookmarkStart w:id="1040" w:name="pg5240_59351"/>
    </w:p>
    <w:p>
      <w:pPr>
        <w:pStyle w:val="Heading3"/>
        <w:numPr>
          <w:ilvl w:val="2"/>
          <w:numId w:val="1"/>
        </w:numPr>
        <w:rPr/>
      </w:pPr>
      <w:bookmarkStart w:id="1041" w:name="__RefHeading___Toc363162_581953129"/>
      <w:bookmarkStart w:id="1042" w:name="_Toc435"/>
      <w:bookmarkEnd w:id="1040"/>
      <w:bookmarkEnd w:id="1041"/>
      <w:r>
        <w:rPr>
          <w:rtl w:val="true"/>
        </w:rPr>
        <w:t>الأسئلة</w:t>
      </w:r>
      <w:bookmarkEnd w:id="10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قرائة القرآن فی خطبة الجمعة،أو یکتفی بالذکر و التسبیح؟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العربیة فی الخطبة إذا لم یکن المصلّون عرباً؟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الآیات واجبة أو مندوبة؟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الآیات فی صلاة الآیات؟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السلام أثناء الصلاة واجب أو حرام أو مبطل؟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الناقض غیر المبطل علی المذهب الحنفی؟</w:t>
      </w:r>
      <w:bookmarkStart w:id="1043" w:name="pg5240_59353"/>
    </w:p>
    <w:p>
      <w:pPr>
        <w:pStyle w:val="Heading2"/>
        <w:numPr>
          <w:ilvl w:val="1"/>
          <w:numId w:val="1"/>
        </w:numPr>
        <w:rPr/>
      </w:pPr>
      <w:bookmarkStart w:id="1044" w:name="__RefHeading___Toc363164_581953129"/>
      <w:bookmarkStart w:id="1045" w:name="_Toc436"/>
      <w:bookmarkEnd w:id="1043"/>
      <w:bookmarkEnd w:id="1044"/>
      <w:r>
        <w:rPr/>
        <w:t>16</w:t>
      </w:r>
      <w:r>
        <w:rPr>
          <w:rtl w:val="true"/>
        </w:rPr>
        <w:t xml:space="preserve">- </w:t>
      </w:r>
      <w:r>
        <w:rPr>
          <w:rtl w:val="true"/>
        </w:rPr>
        <w:t>صلاة المسافر</w:t>
      </w:r>
      <w:bookmarkEnd w:id="1045"/>
    </w:p>
    <w:p>
      <w:pPr>
        <w:pStyle w:val="Heading3"/>
        <w:numPr>
          <w:ilvl w:val="2"/>
          <w:numId w:val="1"/>
        </w:numPr>
        <w:rPr/>
      </w:pPr>
      <w:bookmarkStart w:id="1046" w:name="__RefHeading___Toc363166_581953129"/>
      <w:bookmarkStart w:id="1047" w:name="_Toc437"/>
      <w:bookmarkEnd w:id="1046"/>
      <w:r>
        <w:rPr>
          <w:rtl w:val="true"/>
        </w:rPr>
        <w:t>اشارة</w:t>
      </w:r>
      <w:bookmarkEnd w:id="1047"/>
    </w:p>
    <w:p>
      <w:pPr>
        <w:pStyle w:val="BookText"/>
        <w:rPr/>
      </w:pPr>
      <w:r>
        <w:rPr>
          <w:rFonts w:ascii="IRNazanin" w:hAnsi="IRNazanin" w:eastAsia="IRNazanin"/>
          <w:color w:val="111111"/>
          <w:sz w:val="28"/>
          <w:sz w:val="28"/>
          <w:szCs w:val="28"/>
          <w:rtl w:val="true"/>
          <w:lang w:bidi="fa-IR"/>
        </w:rPr>
        <w:t>اتّفقت المذاهب کلّها بالنسبة إلی قصر الصلوات الرباعیة فی السفر؛ذلک للأدلّة القطعیة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فِی الْأَرْضِ فَلَیْسَ عَلَیْکُمْ جُناحٌ أَنْ تَقْصُرُوا مِنَ الصَّلاةِ إِنْ خِفْتُمْ أَنْ یَفْتِنَکُمُ الَّذِینَ کَفَرُوا</w:t>
      </w:r>
      <w:r>
        <w:rPr>
          <w:rFonts w:eastAsia="Amiri" w:cs="Amiri" w:ascii="Amiri" w:hAnsi="Amiri"/>
          <w:color w:val="111111"/>
          <w:sz w:val="28"/>
          <w:szCs w:val="28"/>
          <w:rtl w:val="true"/>
          <w:lang w:bidi="ar-SA"/>
        </w:rPr>
        <w:t xml:space="preserve">... . </w:t>
      </w:r>
      <w:r>
        <w:rPr>
          <w:rStyle w:val="FootnoteAnchor"/>
          <w:rtl w:val="true"/>
        </w:rPr>
        <w:footnoteReference w:id="502"/>
      </w:r>
      <w:r>
        <w:rPr>
          <w:rFonts w:ascii="Amiri" w:hAnsi="Amiri" w:eastAsia="Amiri" w:cs="Amiri"/>
          <w:color w:val="111111"/>
          <w:sz w:val="28"/>
          <w:sz w:val="28"/>
          <w:szCs w:val="28"/>
          <w:rtl w:val="true"/>
          <w:lang w:bidi="ar-SA"/>
        </w:rPr>
        <w:t>وأجود تفسیر لهذا النصّ،هوما روی زرارة ومحمّدبن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علیه السلام قالا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علیکم جناح،ولم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افعلوا،فکیف وجب ذلک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أولیس قدقال الله عزّوجلّ فی الصفاوالمروة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الْبَیْتَ أَوِ اعْتَمَرَ فَلا جُناحَ عَلَیْهِ أَنْ یَطَّوَّفَ بِهِما</w:t>
      </w:r>
      <w:r>
        <w:rPr>
          <w:rFonts w:eastAsia="Amiri" w:cs="Amiri" w:ascii="Amiri" w:hAnsi="Amiri"/>
          <w:color w:val="111111"/>
          <w:sz w:val="28"/>
          <w:szCs w:val="28"/>
          <w:rtl w:val="true"/>
          <w:lang w:bidi="ar-SA"/>
        </w:rPr>
        <w:t xml:space="preserve">... . </w:t>
      </w:r>
      <w:r>
        <w:rPr>
          <w:rStyle w:val="FootnoteAnchor"/>
          <w:rtl w:val="true"/>
        </w:rPr>
        <w:footnoteReference w:id="503"/>
      </w:r>
      <w:r>
        <w:rPr>
          <w:rFonts w:ascii="IRNazanin" w:hAnsi="IRNazanin" w:eastAsia="IRNazanin"/>
          <w:color w:val="111111"/>
          <w:sz w:val="28"/>
          <w:sz w:val="28"/>
          <w:szCs w:val="28"/>
          <w:rtl w:val="true"/>
          <w:lang w:bidi="fa-IR"/>
        </w:rPr>
        <w:t>ألا تری أنّ الطواف بهما واجب مفروض،لأنّ الله عزّوجلّ ذکره فی کتابه وصنعه نبیه صلی الله علیه و آله وکذلک التقصیر</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القرآن إباحة القصرلمن ضرب فی الأرض؛لقوله تعالی</w:t>
      </w:r>
      <w:r>
        <w:rPr>
          <w:rFonts w:eastAsia="IRNazanin" w:cs="IRNazanin"/>
          <w:color w:val="111111"/>
          <w:sz w:val="28"/>
          <w:szCs w:val="28"/>
          <w:rtl w:val="true"/>
          <w:lang w:bidi="fa-IR"/>
        </w:rPr>
        <w:t>:</w:t>
      </w:r>
      <w:bookmarkStart w:id="1048" w:name="pg5240_59354"/>
    </w:p>
    <w:p>
      <w:pPr>
        <w:pStyle w:val="BookText"/>
        <w:rPr/>
      </w:pPr>
      <w:bookmarkEnd w:id="1048"/>
      <w:r>
        <w:rPr>
          <w:rFonts w:ascii="Amiri" w:hAnsi="Amiri" w:eastAsia="Amiri" w:cs="Amiri"/>
          <w:color w:val="111111"/>
          <w:sz w:val="28"/>
          <w:sz w:val="28"/>
          <w:szCs w:val="28"/>
          <w:rtl w:val="true"/>
          <w:lang w:bidi="ar-SA"/>
        </w:rPr>
        <w:t>وَ إِذا ضَرَبْتُمْ فِی الْأَرْضِ فَلَیْسَ عَلَیْکُمْ جُناحٌ أَنْ تَقْصُرُوا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سقط شرط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بالخبر،فبقیت الآیة متناولة کلّ ضرب فی الأرض</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متواترة،قال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السنّة فقد تواترت الأخبار،أنّ رسول الله صلی الله علیه و آله،کان یقصر فی أسفاره حاجّاً ومعتمراً وغازیاً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رسول الله صلی الله علیه و آله حتّی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لایزید علی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 أهل العلم علی أنّ من سافر سفراً تقصر فی مثله الصلاة،له أن یقصر الرباعیة فیصلّیها رکعتین</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غیر واحد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القصر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الإجماع،بل الضرورة من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علیه النصوص الکثیرة</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ومحمّدبن مسلم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التقصیر فی السفر واجباً کوجوب التمام فی الحضر</w:t>
      </w:r>
      <w:r>
        <w:rPr>
          <w:rFonts w:eastAsia="IRNazanin" w:cs="IRNazanin"/>
          <w:color w:val="111111"/>
          <w:sz w:val="28"/>
          <w:szCs w:val="28"/>
          <w:rtl w:val="true"/>
          <w:lang w:bidi="fa-IR"/>
        </w:rPr>
        <w:t xml:space="preserve">». </w:t>
      </w:r>
      <w:r>
        <w:rPr>
          <w:rStyle w:val="FootnoteAnchor"/>
          <w:rtl w:val="true"/>
        </w:rPr>
        <w:footnoteReference w:id="508"/>
      </w:r>
    </w:p>
    <w:p>
      <w:pPr>
        <w:pStyle w:val="Heading3"/>
        <w:numPr>
          <w:ilvl w:val="2"/>
          <w:numId w:val="1"/>
        </w:numPr>
        <w:rPr/>
      </w:pPr>
      <w:bookmarkStart w:id="1049" w:name="__RefHeading___Toc363168_581953129"/>
      <w:bookmarkStart w:id="1050" w:name="_Toc438"/>
      <w:bookmarkEnd w:id="1049"/>
      <w:r>
        <w:rPr>
          <w:rtl w:val="true"/>
        </w:rPr>
        <w:t>کمّیة السفر</w:t>
      </w:r>
      <w:bookmarkEnd w:id="1050"/>
    </w:p>
    <w:p>
      <w:pPr>
        <w:pStyle w:val="Heading4"/>
        <w:numPr>
          <w:ilvl w:val="3"/>
          <w:numId w:val="1"/>
        </w:numPr>
        <w:rPr/>
      </w:pPr>
      <w:bookmarkStart w:id="1051" w:name="__RefHeading___Toc363170_581953129"/>
      <w:bookmarkStart w:id="1052" w:name="_Toc439"/>
      <w:bookmarkEnd w:id="1051"/>
      <w:r>
        <w:rPr>
          <w:rtl w:val="true"/>
        </w:rPr>
        <w:t>اشارة</w:t>
      </w:r>
      <w:bookmarkEnd w:id="1052"/>
    </w:p>
    <w:p>
      <w:pPr>
        <w:pStyle w:val="BookText"/>
        <w:rPr/>
      </w:pPr>
      <w:r>
        <w:rPr>
          <w:rFonts w:ascii="IRNazanin" w:hAnsi="IRNazanin" w:eastAsia="IRNazanin"/>
          <w:color w:val="111111"/>
          <w:sz w:val="28"/>
          <w:sz w:val="28"/>
          <w:szCs w:val="28"/>
          <w:rtl w:val="true"/>
          <w:lang w:bidi="fa-IR"/>
        </w:rPr>
        <w:t>ثمّة‌اختلاف ملحوظ بین الفقهاء بالنسبة إلی المسافة فرسخاً ومیلاً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053" w:name="__RefHeading___Toc363172_581953129"/>
      <w:bookmarkStart w:id="1054" w:name="_Toc440"/>
      <w:bookmarkEnd w:id="1053"/>
      <w:r>
        <w:rPr>
          <w:rtl w:val="true"/>
        </w:rPr>
        <w:t>المذهب الجعفری</w:t>
      </w:r>
      <w:bookmarkEnd w:id="105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وجوب القصر علی المسافر مع اجتماع</w:t>
      </w:r>
      <w:bookmarkStart w:id="1055" w:name="pg5240_59355"/>
    </w:p>
    <w:p>
      <w:pPr>
        <w:pStyle w:val="BookText"/>
        <w:rPr/>
      </w:pPr>
      <w:bookmarkEnd w:id="1055"/>
      <w:r>
        <w:rPr>
          <w:rFonts w:ascii="IRNazanin" w:hAnsi="IRNazanin" w:eastAsia="IRNazanin"/>
          <w:color w:val="111111"/>
          <w:sz w:val="28"/>
          <w:sz w:val="28"/>
          <w:szCs w:val="28"/>
          <w:rtl w:val="true"/>
          <w:lang w:bidi="fa-IR"/>
        </w:rPr>
        <w:t>الشرائط بإسقاط الرکعتین الأخیرتین من الرباعیات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شرط فی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المسافة وهی ثمانیة فراسخ امتدادیة ذهاباً وإیاباً أو ملفّقة من الذهاب و الإیاب</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یعتبر الزائد علیها إجماعاً وتدلّ علیه النصوص المستفیضة</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سماعة عن الإمام الصادق علیه السلام قال سألته عن المسافر فی کم یقصر الصلاة؟فقال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مسیرة یوم،وذلک بریدان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فراسخ</w:t>
      </w:r>
      <w:r>
        <w:rPr>
          <w:rFonts w:eastAsia="IRNazanin" w:cs="IRNazanin"/>
          <w:color w:val="111111"/>
          <w:sz w:val="28"/>
          <w:szCs w:val="28"/>
          <w:rtl w:val="true"/>
          <w:lang w:bidi="fa-IR"/>
        </w:rPr>
        <w:t xml:space="preserve">». </w:t>
      </w:r>
      <w:r>
        <w:rPr>
          <w:rStyle w:val="FootnoteAnchor"/>
          <w:rtl w:val="true"/>
        </w:rPr>
        <w:footnoteReference w:id="511"/>
      </w:r>
    </w:p>
    <w:p>
      <w:pPr>
        <w:pStyle w:val="Heading4"/>
        <w:numPr>
          <w:ilvl w:val="3"/>
          <w:numId w:val="1"/>
        </w:numPr>
        <w:rPr/>
      </w:pPr>
      <w:bookmarkStart w:id="1056" w:name="__RefHeading___Toc363174_581953129"/>
      <w:bookmarkStart w:id="1057" w:name="_Toc441"/>
      <w:bookmarkEnd w:id="1056"/>
      <w:r>
        <w:rPr>
          <w:rtl w:val="true"/>
        </w:rPr>
        <w:t>المذاهب الاربعة</w:t>
      </w:r>
      <w:bookmarkEnd w:id="1057"/>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لصحّة قصر الصلاة شروط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السفر مسافة تبلغ ستّة عشر فرسخاً،ذهاباً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المسافة تساوی ثمانین کیلو ونصف کیلو ومائة وأربعین 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وتقدیر المسافة بهذا متّفق علیه بین الأئمّة الثلاثة ماعدا الحنفیة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مقدّرة بالزمن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من أقصر أیام السنة،ویکفی أن یسافر فی کلّ یوم من الصباح إلی الزوال،والمعتبر السیر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الحنفیة یقدّرها بالفرسخ،ولکنّه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أربعة وعشرون فرسخاً</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 الرجل من سفره فإن کان علی میل یقصر الصلاة</w:t>
      </w:r>
      <w:r>
        <w:rPr>
          <w:rFonts w:eastAsia="IRNazanin" w:cs="IRNazanin"/>
          <w:color w:val="111111"/>
          <w:sz w:val="28"/>
          <w:szCs w:val="28"/>
          <w:rtl w:val="true"/>
          <w:lang w:bidi="fa-IR"/>
        </w:rPr>
        <w:t xml:space="preserve">. </w:t>
      </w:r>
      <w:r>
        <w:rPr>
          <w:rStyle w:val="FootnoteAnchor"/>
          <w:rtl w:val="true"/>
        </w:rPr>
        <w:footnoteReference w:id="513"/>
      </w:r>
    </w:p>
    <w:p>
      <w:pPr>
        <w:pStyle w:val="Heading4"/>
        <w:numPr>
          <w:ilvl w:val="3"/>
          <w:numId w:val="1"/>
        </w:numPr>
        <w:rPr/>
      </w:pPr>
      <w:bookmarkStart w:id="1058" w:name="__RefHeading___Toc363176_581953129"/>
      <w:bookmarkStart w:id="1059" w:name="_Toc442"/>
      <w:bookmarkEnd w:id="1058"/>
      <w:r>
        <w:rPr>
          <w:rtl w:val="true"/>
        </w:rPr>
        <w:t>اختلاف النصوص</w:t>
      </w:r>
      <w:bookmarkEnd w:id="105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تقصر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ستّة عشر فرسخاً،ومسیرة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وإلیه ذهب مالک و الشافعی وروی عن ابن‌عبّاس</w:t>
      </w:r>
      <w:bookmarkStart w:id="1060" w:name="pg5240_59356"/>
    </w:p>
    <w:p>
      <w:pPr>
        <w:pStyle w:val="BookText"/>
        <w:rPr/>
      </w:pPr>
      <w:bookmarkEnd w:id="1060"/>
      <w:r>
        <w:rPr>
          <w:rFonts w:ascii="IRNazanin" w:hAnsi="IRNazanin" w:eastAsia="IRNazanin"/>
          <w:color w:val="111111"/>
          <w:sz w:val="28"/>
          <w:sz w:val="28"/>
          <w:szCs w:val="28"/>
          <w:rtl w:val="true"/>
          <w:lang w:bidi="fa-IR"/>
        </w:rPr>
        <w:t>بأنّه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فی الیوم ولا یقصر فیما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یقصر فی مسیرة ثلاثة أیام،وبه قال أبوحنیفة؛لقول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المسافر ثلاثة أیام ولیالیهنّ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یقتضی أنّ کلّ مسافر له ذلک؛ولأنّ الثلاثة متّفق علیها،ولیس فی أقلّ من ذلک توفیق ولا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جماعة من السلف ما یدلّ علی جواز القصر فی أقلّ من یوم،فقال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أنس یقصر فیما بینه وبین خمسة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من قصره بالکوفة،حتّی أتی النخلة فصلّی بها الظهر و العصر رکعتین،ثمّ رجع من یومه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أعلّمکم سنّتکم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أری لما صار إلیه الأئمّة حجّة؛لأنّ أقوال الصحابة متعارضة مختلفة ولا حجّة فیها مع الاختلاف</w:t>
      </w:r>
      <w:r>
        <w:rPr>
          <w:rFonts w:eastAsia="IRNazanin" w:cs="IRNazanin"/>
          <w:color w:val="111111"/>
          <w:sz w:val="28"/>
          <w:szCs w:val="28"/>
          <w:rtl w:val="true"/>
          <w:lang w:bidi="fa-IR"/>
        </w:rPr>
        <w:t xml:space="preserve">. </w:t>
      </w:r>
      <w:r>
        <w:rPr>
          <w:rStyle w:val="FootnoteAnchor"/>
          <w:rtl w:val="true"/>
        </w:rPr>
        <w:footnoteReference w:id="514"/>
      </w:r>
    </w:p>
    <w:p>
      <w:pPr>
        <w:pStyle w:val="Heading4"/>
        <w:numPr>
          <w:ilvl w:val="3"/>
          <w:numId w:val="1"/>
        </w:numPr>
        <w:rPr/>
      </w:pPr>
      <w:bookmarkStart w:id="1061" w:name="__RefHeading___Toc363178_581953129"/>
      <w:bookmarkStart w:id="1062" w:name="_Toc443"/>
      <w:bookmarkEnd w:id="1061"/>
      <w:r>
        <w:rPr>
          <w:rtl w:val="true"/>
        </w:rPr>
        <w:t>منشأ الاختلاف</w:t>
      </w:r>
      <w:bookmarkEnd w:id="1062"/>
    </w:p>
    <w:p>
      <w:pPr>
        <w:pStyle w:val="BookText"/>
        <w:rPr/>
      </w:pPr>
      <w:r>
        <w:rPr>
          <w:rFonts w:ascii="IRNazanin" w:hAnsi="IRNazanin" w:eastAsia="IRNazanin"/>
          <w:color w:val="111111"/>
          <w:sz w:val="28"/>
          <w:sz w:val="28"/>
          <w:szCs w:val="28"/>
          <w:rtl w:val="true"/>
          <w:lang w:bidi="fa-IR"/>
        </w:rPr>
        <w:t>ممّا تقدم،ظهر بأنّ الاختلاف ناشئ عن الاختلاف فی النصوص</w:t>
      </w:r>
      <w:r>
        <w:rPr>
          <w:rFonts w:eastAsia="IRNazanin" w:cs="IRNazanin"/>
          <w:color w:val="111111"/>
          <w:sz w:val="28"/>
          <w:szCs w:val="28"/>
          <w:rtl w:val="true"/>
          <w:lang w:bidi="fa-IR"/>
        </w:rPr>
        <w:t>.</w:t>
      </w:r>
    </w:p>
    <w:p>
      <w:pPr>
        <w:pStyle w:val="Heading3"/>
        <w:numPr>
          <w:ilvl w:val="2"/>
          <w:numId w:val="1"/>
        </w:numPr>
        <w:rPr/>
      </w:pPr>
      <w:bookmarkStart w:id="1063" w:name="__RefHeading___Toc363180_581953129"/>
      <w:bookmarkStart w:id="1064" w:name="_Toc444"/>
      <w:bookmarkEnd w:id="1063"/>
      <w:r>
        <w:rPr>
          <w:rtl w:val="true"/>
        </w:rPr>
        <w:t>التعیین و التخییر</w:t>
      </w:r>
      <w:bookmarkEnd w:id="1064"/>
    </w:p>
    <w:p>
      <w:pPr>
        <w:pStyle w:val="Heading4"/>
        <w:numPr>
          <w:ilvl w:val="3"/>
          <w:numId w:val="1"/>
        </w:numPr>
        <w:rPr/>
      </w:pPr>
      <w:bookmarkStart w:id="1065" w:name="__RefHeading___Toc363182_581953129"/>
      <w:bookmarkStart w:id="1066" w:name="_Toc445"/>
      <w:bookmarkEnd w:id="1065"/>
      <w:r>
        <w:rPr>
          <w:rtl w:val="true"/>
        </w:rPr>
        <w:t>اشارة</w:t>
      </w:r>
      <w:bookmarkEnd w:id="1066"/>
    </w:p>
    <w:p>
      <w:pPr>
        <w:pStyle w:val="BookText"/>
        <w:rPr/>
      </w:pPr>
      <w:r>
        <w:rPr>
          <w:rFonts w:ascii="IRNazanin" w:hAnsi="IRNazanin" w:eastAsia="IRNazanin"/>
          <w:color w:val="111111"/>
          <w:sz w:val="28"/>
          <w:sz w:val="28"/>
          <w:szCs w:val="28"/>
          <w:rtl w:val="true"/>
          <w:lang w:bidi="fa-IR"/>
        </w:rPr>
        <w:t>اختلفت الآراء بالنسبة إلی وجوب القصرتعییناً وتخییراً 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1067" w:name="__RefHeading___Toc363184_581953129"/>
      <w:bookmarkStart w:id="1068" w:name="_Toc446"/>
      <w:bookmarkEnd w:id="1067"/>
      <w:r>
        <w:rPr>
          <w:rtl w:val="true"/>
        </w:rPr>
        <w:t>المذهب الجعفری</w:t>
      </w:r>
      <w:bookmarkEnd w:id="106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القصر علی المسافر فی الصلوات الرباعیة</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ذلک؛لما مرّ بنا من النصّ الدالّ علی الوجوب صریحاً وبه یتمّ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مقتضی الإطلاق هو التعیین،و أمّا التخییر فیحتاج إلی دلیل خاصّ یدلّ</w:t>
      </w:r>
      <w:bookmarkStart w:id="1069" w:name="pg5240_59357"/>
    </w:p>
    <w:p>
      <w:pPr>
        <w:pStyle w:val="BookText"/>
        <w:rPr/>
      </w:pPr>
      <w:bookmarkEnd w:id="1069"/>
      <w:r>
        <w:rPr>
          <w:rFonts w:ascii="IRNazanin" w:hAnsi="IRNazanin" w:eastAsia="IRNazanin"/>
          <w:color w:val="111111"/>
          <w:sz w:val="28"/>
          <w:sz w:val="28"/>
          <w:szCs w:val="28"/>
          <w:rtl w:val="true"/>
          <w:lang w:bidi="fa-IR"/>
        </w:rPr>
        <w:t>علیه،وعلیه فمقتضی دلیل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4"/>
        <w:numPr>
          <w:ilvl w:val="3"/>
          <w:numId w:val="1"/>
        </w:numPr>
        <w:rPr/>
      </w:pPr>
      <w:bookmarkStart w:id="1070" w:name="__RefHeading___Toc363186_581953129"/>
      <w:bookmarkStart w:id="1071" w:name="_Toc447"/>
      <w:bookmarkEnd w:id="1070"/>
      <w:r>
        <w:rPr>
          <w:rtl w:val="true"/>
        </w:rPr>
        <w:t>المذاهب الثلاثة الأخری</w:t>
      </w:r>
      <w:bookmarkEnd w:id="1071"/>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المسافر إن شاء صلّی رکعتین و إن شاء أتمّ،وبه قال الشافعی ومالک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إذا یقتدی المسافر بالمقیم یتعین علیه الإتمام تبعاً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حمّادبن أبی‌سلیمان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الإتمام فی السفر و هو قول أبی‌حنیفة 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القصر رخصة مخیر بین فعله وترکه،کسائر الرخص</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ضربتم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القصر فی السفر بلا خوف رخصة من الله تعالی</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قال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قصر الصلاة فهو عزیمة و الإکمال مکروه ومخالفته للسنة ولکن سمّی رخصة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بسفر هو معصیة؛لأنّ الجانی لایستحق التخفیف لکنا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النصوص الّتی وردت فی قصر الصلاة فی حق المسافر لاتفصل بین سفر وسفر،وأصله ما روی عن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المسافر رکعتان تمام غیر قصر علی لسان نبیکم</w:t>
      </w:r>
      <w:r>
        <w:rPr>
          <w:rFonts w:eastAsia="IRNazanin" w:cs="IRNazanin"/>
          <w:color w:val="111111"/>
          <w:sz w:val="28"/>
          <w:szCs w:val="28"/>
          <w:rtl w:val="true"/>
          <w:lang w:bidi="fa-IR"/>
        </w:rPr>
        <w:t xml:space="preserve">. </w:t>
      </w:r>
      <w:r>
        <w:rPr>
          <w:rStyle w:val="FootnoteAnchor"/>
          <w:rtl w:val="true"/>
        </w:rPr>
        <w:footnoteReference w:id="518"/>
      </w:r>
    </w:p>
    <w:p>
      <w:pPr>
        <w:pStyle w:val="Heading4"/>
        <w:numPr>
          <w:ilvl w:val="3"/>
          <w:numId w:val="1"/>
        </w:numPr>
        <w:rPr/>
      </w:pPr>
      <w:bookmarkStart w:id="1072" w:name="__RefHeading___Toc363188_581953129"/>
      <w:bookmarkStart w:id="1073" w:name="_Toc448"/>
      <w:bookmarkEnd w:id="1072"/>
      <w:r>
        <w:rPr>
          <w:rtl w:val="true"/>
        </w:rPr>
        <w:t>منشأ الاختلاف</w:t>
      </w:r>
      <w:bookmarkEnd w:id="107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المنشأ الوحید للاختلاف بالنسبة إلی التعیین و التخییر هو الاختلاف فی فهم المعنی من الآیة المذکورة فالحکم بالتخییر ناشئ عن القول بأنّ 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w:t>
      </w:r>
      <w:bookmarkStart w:id="1074" w:name="pg5240_59358"/>
    </w:p>
    <w:p>
      <w:pPr>
        <w:pStyle w:val="BookText"/>
        <w:rPr/>
      </w:pPr>
      <w:bookmarkEnd w:id="1074"/>
      <w:r>
        <w:rPr>
          <w:rFonts w:ascii="Amiri" w:hAnsi="Amiri" w:eastAsia="Amiri" w:cs="Amiri"/>
          <w:color w:val="111111"/>
          <w:sz w:val="28"/>
          <w:sz w:val="28"/>
          <w:szCs w:val="28"/>
          <w:rtl w:val="true"/>
          <w:lang w:bidi="ar-SA"/>
        </w:rPr>
        <w:t>عَلَیْکُمْ أَنْ تَنْکِحُوهُنَّ ،هو الترخیص ولم یکن هناک بیان جازم علی وجوب القصروعلیه کان القصر من الرخص الشرعیة الّتی نتیجتها التخییر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الحکم بالتعیین فهو ناشئ عن القول بأنّ معنی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 عَلَیْکُمْ جُناحٌ أَنْ تَقْصُرُوا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التکلیف السابق ومفادها إعلام التقصیر فی الصلاة امتناناً علی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رفع تکلیف السابق وإتمامه من جانب وبیان حکم واجب 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عَلَیْهِ أَنْ یَطَّوَّفَ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ما صرّح به النصّ الصحیح الوارد عن الإمام الباقر علیه السلام و قد مرّ بنا فی مطلع البحث</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363190_581953129"/>
      <w:bookmarkStart w:id="1076" w:name="_Toc449"/>
      <w:bookmarkEnd w:id="1075"/>
      <w:r>
        <w:rPr>
          <w:rtl w:val="true"/>
        </w:rPr>
        <w:t>ما هو مصداق السفر؟</w:t>
      </w:r>
      <w:bookmarkEnd w:id="1076"/>
    </w:p>
    <w:p>
      <w:pPr>
        <w:pStyle w:val="Heading4"/>
        <w:numPr>
          <w:ilvl w:val="3"/>
          <w:numId w:val="1"/>
        </w:numPr>
        <w:rPr/>
      </w:pPr>
      <w:bookmarkStart w:id="1077" w:name="__RefHeading___Toc363192_581953129"/>
      <w:bookmarkStart w:id="1078" w:name="_Toc450"/>
      <w:bookmarkEnd w:id="1077"/>
      <w:r>
        <w:rPr>
          <w:rtl w:val="true"/>
        </w:rPr>
        <w:t>اشارة</w:t>
      </w:r>
      <w:bookmarkEnd w:id="1078"/>
    </w:p>
    <w:p>
      <w:pPr>
        <w:pStyle w:val="BookText"/>
        <w:rPr/>
      </w:pPr>
      <w:r>
        <w:rPr>
          <w:rFonts w:ascii="IRNazanin" w:hAnsi="IRNazanin" w:eastAsia="IRNazanin"/>
          <w:color w:val="111111"/>
          <w:sz w:val="28"/>
          <w:sz w:val="28"/>
          <w:szCs w:val="28"/>
          <w:rtl w:val="true"/>
          <w:lang w:bidi="fa-IR"/>
        </w:rPr>
        <w:t>لاخلاف هناک بالنسبة إلی جواز القصر بعد تحقّق السفر الشرعی و إنّما الاختلاف فی ما یصدق علیه السفر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079" w:name="__RefHeading___Toc363194_581953129"/>
      <w:bookmarkStart w:id="1080" w:name="_Toc451"/>
      <w:bookmarkEnd w:id="1079"/>
      <w:r>
        <w:rPr>
          <w:rtl w:val="true"/>
        </w:rPr>
        <w:t>المذاهب الاربعة</w:t>
      </w:r>
      <w:bookmarkEnd w:id="1080"/>
    </w:p>
    <w:p>
      <w:pPr>
        <w:pStyle w:val="BookText"/>
        <w:rPr/>
      </w:pPr>
      <w:r>
        <w:rPr>
          <w:rFonts w:ascii="IRNazanin" w:hAnsi="IRNazanin" w:eastAsia="IRNazanin"/>
          <w:color w:val="111111"/>
          <w:sz w:val="28"/>
          <w:sz w:val="28"/>
          <w:szCs w:val="28"/>
          <w:rtl w:val="true"/>
          <w:lang w:bidi="fa-IR"/>
        </w:rPr>
        <w:t>یتحقّق السفر بعد مفارقة بنیان البلد فیجوز القصر عند ذلک</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ذلک؛لصدق السفر الشرعی بعد المفارقة،کما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کلّ من نحفظ عنه من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للّذی یرید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یقصر الصلاة إذا خرج من بیوت القریة الّتی یخرج منها</w:t>
      </w:r>
      <w:r>
        <w:rPr>
          <w:rFonts w:eastAsia="IRNazanin" w:cs="IRNazanin"/>
          <w:color w:val="111111"/>
          <w:sz w:val="28"/>
          <w:szCs w:val="28"/>
          <w:rtl w:val="true"/>
          <w:lang w:bidi="fa-IR"/>
        </w:rPr>
        <w:t xml:space="preserve">. </w:t>
      </w:r>
      <w:r>
        <w:rPr>
          <w:rStyle w:val="FootnoteAnchor"/>
          <w:rtl w:val="true"/>
        </w:rPr>
        <w:footnoteReference w:id="520"/>
      </w:r>
    </w:p>
    <w:p>
      <w:pPr>
        <w:pStyle w:val="Heading4"/>
        <w:numPr>
          <w:ilvl w:val="3"/>
          <w:numId w:val="1"/>
        </w:numPr>
        <w:rPr/>
      </w:pPr>
      <w:bookmarkStart w:id="1081" w:name="__RefHeading___Toc363196_581953129"/>
      <w:bookmarkStart w:id="1082" w:name="_Toc452"/>
      <w:bookmarkEnd w:id="1081"/>
      <w:r>
        <w:rPr>
          <w:rtl w:val="true"/>
        </w:rPr>
        <w:t>المذهب الجعفری</w:t>
      </w:r>
      <w:bookmarkEnd w:id="108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شرائط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حدّ الترخّص و هو</w:t>
      </w:r>
      <w:r>
        <w:rPr>
          <w:rFonts w:eastAsia="IRNazanin" w:cs="IRNazanin"/>
          <w:color w:val="111111"/>
          <w:sz w:val="28"/>
          <w:szCs w:val="28"/>
          <w:rtl w:val="true"/>
          <w:lang w:bidi="fa-IR"/>
        </w:rPr>
        <w:t>:</w:t>
      </w:r>
      <w:bookmarkStart w:id="1083" w:name="pg5240_59359"/>
    </w:p>
    <w:p>
      <w:pPr>
        <w:pStyle w:val="BookText"/>
        <w:rPr/>
      </w:pPr>
      <w:bookmarkEnd w:id="1083"/>
      <w:r>
        <w:rPr>
          <w:rFonts w:ascii="IRNazanin" w:hAnsi="IRNazanin" w:eastAsia="IRNazanin"/>
          <w:color w:val="111111"/>
          <w:sz w:val="28"/>
          <w:sz w:val="28"/>
          <w:szCs w:val="28"/>
          <w:rtl w:val="true"/>
          <w:lang w:bidi="fa-IR"/>
        </w:rPr>
        <w:t xml:space="preserve">المکان الّذی یتواری عنه جدران بیوت البلد ویخفی عنه أذانه، </w:t>
      </w:r>
      <w:r>
        <w:rPr>
          <w:rStyle w:val="FootnoteAnchor"/>
          <w:rtl w:val="true"/>
        </w:rPr>
        <w:footnoteReference w:id="521"/>
      </w:r>
      <w:r>
        <w:rPr>
          <w:rFonts w:ascii="IRNazanin" w:hAnsi="IRNazanin" w:eastAsia="IRNazanin"/>
          <w:color w:val="111111"/>
          <w:sz w:val="28"/>
          <w:sz w:val="28"/>
          <w:szCs w:val="28"/>
          <w:rtl w:val="true"/>
          <w:lang w:bidi="fa-IR"/>
        </w:rPr>
        <w:t>فلا یتحقّق السفر الشرعی إلاّ بعد اختفاء الجدران،وعدم سماع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یرید السفر فیخرج متی یقصر؟قال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تواری من البیوت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ابن‌سنان عن الإمام الصادق علیه السلام،سؤالاً عن التقصیر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فی الموضع الّذی لاتسمع فیه الأذان فقصّر</w:t>
      </w:r>
      <w:r>
        <w:rPr>
          <w:rFonts w:eastAsia="IRNazanin" w:cs="IRNazanin"/>
          <w:color w:val="111111"/>
          <w:sz w:val="28"/>
          <w:szCs w:val="28"/>
          <w:rtl w:val="true"/>
          <w:lang w:bidi="fa-IR"/>
        </w:rPr>
        <w:t xml:space="preserve">». </w:t>
      </w:r>
      <w:r>
        <w:rPr>
          <w:rStyle w:val="FootnoteAnchor"/>
          <w:rtl w:val="true"/>
        </w:rPr>
        <w:footnoteReference w:id="523"/>
      </w:r>
      <w:r>
        <w:rPr>
          <w:rFonts w:ascii="Amiri" w:hAnsi="Amiri" w:eastAsia="Amiri" w:cs="Amiri"/>
          <w:color w:val="111111"/>
          <w:sz w:val="28"/>
          <w:sz w:val="28"/>
          <w:szCs w:val="28"/>
          <w:rtl w:val="true"/>
          <w:lang w:bidi="ar-SA"/>
        </w:rPr>
        <w:t>دلّت علی تحدید الترخّص</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363198_581953129"/>
      <w:bookmarkStart w:id="1085" w:name="_Toc453"/>
      <w:bookmarkEnd w:id="1084"/>
      <w:r>
        <w:rPr>
          <w:rtl w:val="true"/>
        </w:rPr>
        <w:t>منشأ الاختلاف</w:t>
      </w:r>
      <w:bookmarkEnd w:id="1085"/>
    </w:p>
    <w:p>
      <w:pPr>
        <w:pStyle w:val="BookText"/>
        <w:rPr/>
      </w:pPr>
      <w:r>
        <w:rPr>
          <w:rFonts w:ascii="IRNazanin" w:hAnsi="IRNazanin" w:eastAsia="IRNazanin"/>
          <w:color w:val="111111"/>
          <w:sz w:val="28"/>
          <w:sz w:val="28"/>
          <w:szCs w:val="28"/>
          <w:rtl w:val="true"/>
          <w:lang w:bidi="fa-IR"/>
        </w:rPr>
        <w:t>لا شکّ،أنّ الخلاف هنا ناشئ عن الاختلاف فی النصّ والاجتهاد فالقول بتحدید الترخیص باختفاء الجدران و الأذان یکون علی أساس النصّ الخاصّ و القول بتحقّق السفر الشرعی بواسطة مفارقة البیوت یکون علی أساس الاجتهاد</w:t>
      </w:r>
      <w:r>
        <w:rPr>
          <w:rFonts w:eastAsia="IRNazanin" w:cs="IRNazanin"/>
          <w:color w:val="111111"/>
          <w:sz w:val="28"/>
          <w:szCs w:val="28"/>
          <w:rtl w:val="true"/>
          <w:lang w:bidi="fa-IR"/>
        </w:rPr>
        <w:t>.</w:t>
      </w:r>
    </w:p>
    <w:p>
      <w:pPr>
        <w:pStyle w:val="Heading3"/>
        <w:numPr>
          <w:ilvl w:val="2"/>
          <w:numId w:val="1"/>
        </w:numPr>
        <w:rPr/>
      </w:pPr>
      <w:bookmarkStart w:id="1086" w:name="__RefHeading___Toc363200_581953129"/>
      <w:bookmarkStart w:id="1087" w:name="_Toc454"/>
      <w:bookmarkEnd w:id="1086"/>
      <w:r>
        <w:rPr>
          <w:rtl w:val="true"/>
        </w:rPr>
        <w:t>إباحة السفر</w:t>
      </w:r>
      <w:bookmarkEnd w:id="108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تباح هذه الرخص فی سفر المعصیة‌کالإباق وقطع الطریق و التجارة فی الخمر و المحرّمات وقال أبوحنیفة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احتجاجاً بما ذکرنا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علی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مسافر فأبیح له الترخیص کالمطیع،ولنا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 فَلا إِثْمَ عَلَیْهِ</w:t>
      </w:r>
      <w:r>
        <w:rPr>
          <w:rFonts w:eastAsia="Amiri" w:cs="Amiri" w:ascii="Amiri" w:hAnsi="Amiri"/>
          <w:color w:val="111111"/>
          <w:sz w:val="28"/>
          <w:szCs w:val="28"/>
          <w:rtl w:val="true"/>
          <w:lang w:bidi="ar-SA"/>
        </w:rPr>
        <w:t xml:space="preserve">... . </w:t>
      </w:r>
      <w:r>
        <w:rPr>
          <w:rStyle w:val="FootnoteAnchor"/>
          <w:rtl w:val="true"/>
        </w:rPr>
        <w:footnoteReference w:id="524"/>
      </w:r>
      <w:r>
        <w:rPr>
          <w:rFonts w:ascii="IRNazanin" w:hAnsi="IRNazanin" w:eastAsia="IRNazanin"/>
          <w:color w:val="111111"/>
          <w:sz w:val="28"/>
          <w:sz w:val="28"/>
          <w:szCs w:val="28"/>
          <w:rtl w:val="true"/>
          <w:lang w:bidi="fa-IR"/>
        </w:rPr>
        <w:t>أباح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قصر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لم یکن عادیاً ولا باغیاً فلا یباح لباغ ولاعاد</w:t>
      </w:r>
      <w:r>
        <w:rPr>
          <w:rFonts w:eastAsia="IRNazanin" w:cs="IRNazanin"/>
          <w:color w:val="111111"/>
          <w:sz w:val="28"/>
          <w:szCs w:val="28"/>
          <w:rtl w:val="true"/>
          <w:lang w:bidi="fa-IR"/>
        </w:rPr>
        <w:t xml:space="preserve">. </w:t>
      </w:r>
      <w:r>
        <w:rPr>
          <w:rStyle w:val="FootnoteAnchor"/>
          <w:rtl w:val="true"/>
        </w:rPr>
        <w:footnoteReference w:id="525"/>
      </w:r>
      <w:bookmarkStart w:id="1088" w:name="pg5240_59360"/>
    </w:p>
    <w:p>
      <w:pPr>
        <w:pStyle w:val="BookText"/>
        <w:rPr/>
      </w:pPr>
      <w:bookmarkEnd w:id="1088"/>
      <w:r>
        <w:rPr>
          <w:rFonts w:ascii="IRNazanin" w:hAnsi="IRNazanin" w:eastAsia="IRNazanin"/>
          <w:color w:val="111111"/>
          <w:sz w:val="28"/>
          <w:sz w:val="28"/>
          <w:szCs w:val="28"/>
          <w:rtl w:val="true"/>
          <w:lang w:bidi="fa-IR"/>
        </w:rPr>
        <w:t>وقال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 أن لا یکون السفر حراماً وإلاّ لم یقصر،سواء کان نفسه حراماً کالفرار من الزحف أو کان غایته أمراً محرّماً کما إذا سافر لقتل نفس محترمة أو للسرقة أو لإعانة ظالم؛ذلک للنصوص الواردة عن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عمّاربن مروان عن الإمام الصادق علیه السلام إن سافر قصّر وأفطر،إلاّ أن یکون رجلاً سفره إلی صید أو معصیة الله تعالی،أو رسولاً لمن یعصی الله تعالی،أو فی طلب عدوّ،أو شحناء أو سعایة،أو ضرر علی قوم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 اتّفقت المذاهب کلّها بالنسبة إلی ذاک الإشتراط إلاّ الحنفی ومنشأ 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الأخذ بإطلاق النصوص الدالّة علی جواز القصر فی السفر</w:t>
      </w:r>
      <w:r>
        <w:rPr>
          <w:rFonts w:eastAsia="IRNazanin" w:cs="IRNazanin"/>
          <w:color w:val="111111"/>
          <w:sz w:val="28"/>
          <w:szCs w:val="28"/>
          <w:rtl w:val="true"/>
          <w:lang w:bidi="fa-IR"/>
        </w:rPr>
        <w:t>.</w:t>
      </w:r>
    </w:p>
    <w:p>
      <w:pPr>
        <w:pStyle w:val="Heading3"/>
        <w:numPr>
          <w:ilvl w:val="2"/>
          <w:numId w:val="1"/>
        </w:numPr>
        <w:rPr/>
      </w:pPr>
      <w:bookmarkStart w:id="1089" w:name="__RefHeading___Toc363202_581953129"/>
      <w:bookmarkStart w:id="1090" w:name="_Toc455"/>
      <w:bookmarkEnd w:id="1089"/>
      <w:r>
        <w:rPr>
          <w:rtl w:val="true"/>
        </w:rPr>
        <w:t>نیة القصر</w:t>
      </w:r>
      <w:bookmarkEnd w:id="1090"/>
    </w:p>
    <w:p>
      <w:pPr>
        <w:pStyle w:val="Heading4"/>
        <w:numPr>
          <w:ilvl w:val="3"/>
          <w:numId w:val="1"/>
        </w:numPr>
        <w:rPr/>
      </w:pPr>
      <w:bookmarkStart w:id="1091" w:name="__RefHeading___Toc363204_581953129"/>
      <w:bookmarkStart w:id="1092" w:name="_Toc456"/>
      <w:bookmarkEnd w:id="1091"/>
      <w:r>
        <w:rPr>
          <w:rtl w:val="true"/>
        </w:rPr>
        <w:t>اشارة</w:t>
      </w:r>
      <w:bookmarkEnd w:id="1092"/>
    </w:p>
    <w:p>
      <w:pPr>
        <w:pStyle w:val="BookText"/>
        <w:rPr/>
      </w:pPr>
      <w:r>
        <w:rPr>
          <w:rFonts w:ascii="IRNazanin" w:hAnsi="IRNazanin" w:eastAsia="IRNazanin"/>
          <w:color w:val="111111"/>
          <w:sz w:val="28"/>
          <w:sz w:val="28"/>
          <w:szCs w:val="28"/>
          <w:rtl w:val="true"/>
          <w:lang w:bidi="fa-IR"/>
        </w:rPr>
        <w:t>اختلفت الآراء بالنسبة إلی نیة القصر فی الصلاة،وتفصیل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093" w:name="__RefHeading___Toc363206_581953129"/>
      <w:bookmarkStart w:id="1094" w:name="_Toc457"/>
      <w:bookmarkEnd w:id="1093"/>
      <w:r>
        <w:rPr>
          <w:rtl w:val="true"/>
        </w:rPr>
        <w:t>المذهب الجعفری</w:t>
      </w:r>
      <w:bookmarkEnd w:id="109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العمل،ولا یجب قصد الأداء و القضاء ولا القصر ولا التمام؛ </w:t>
      </w:r>
      <w:r>
        <w:rPr>
          <w:rStyle w:val="FootnoteAnchor"/>
          <w:rtl w:val="true"/>
        </w:rPr>
        <w:footnoteReference w:id="526"/>
      </w:r>
      <w:r>
        <w:rPr>
          <w:rFonts w:ascii="IRNazanin" w:hAnsi="IRNazanin" w:eastAsia="IRNazanin"/>
          <w:color w:val="111111"/>
          <w:sz w:val="28"/>
          <w:sz w:val="28"/>
          <w:szCs w:val="28"/>
          <w:rtl w:val="true"/>
          <w:lang w:bidi="fa-IR"/>
        </w:rPr>
        <w:t>لکفایة قصد العبادة ذاتها ولا دلیل علی اعتبار قصد الوجوه و العناوین الّتی تلحق الصلاة بحسب الإضافات و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 الرأی علی المذهب الحنفی فیما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نوی السفر کان فرضه رکعتین،و قد علمت أنّه لایلزمه فی النیة تعیین عدد الرکعات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ذلک؛لعدم الدلیل علی اعتبار نیة الوجه</w:t>
      </w:r>
      <w:r>
        <w:rPr>
          <w:rFonts w:eastAsia="IRNazanin" w:cs="IRNazanin"/>
          <w:color w:val="111111"/>
          <w:sz w:val="28"/>
          <w:szCs w:val="28"/>
          <w:rtl w:val="true"/>
          <w:lang w:bidi="fa-IR"/>
        </w:rPr>
        <w:t>.</w:t>
      </w:r>
      <w:bookmarkStart w:id="1095" w:name="pg5240_59361"/>
    </w:p>
    <w:p>
      <w:pPr>
        <w:pStyle w:val="Heading4"/>
        <w:numPr>
          <w:ilvl w:val="3"/>
          <w:numId w:val="1"/>
        </w:numPr>
        <w:rPr/>
      </w:pPr>
      <w:bookmarkStart w:id="1096" w:name="__RefHeading___Toc363208_581953129"/>
      <w:bookmarkStart w:id="1097" w:name="_Toc458"/>
      <w:bookmarkEnd w:id="1095"/>
      <w:bookmarkEnd w:id="1096"/>
      <w:r>
        <w:rPr>
          <w:rtl w:val="true"/>
        </w:rPr>
        <w:t>المذهب الحنبلی و الشافعی</w:t>
      </w:r>
      <w:bookmarkEnd w:id="1097"/>
    </w:p>
    <w:p>
      <w:pPr>
        <w:pStyle w:val="BookText"/>
        <w:rPr/>
      </w:pPr>
      <w:r>
        <w:rPr>
          <w:rFonts w:ascii="IRNazanin" w:hAnsi="IRNazanin" w:eastAsia="IRNazanin"/>
          <w:color w:val="111111"/>
          <w:sz w:val="28"/>
          <w:sz w:val="28"/>
          <w:szCs w:val="28"/>
          <w:rtl w:val="true"/>
          <w:lang w:bidi="fa-IR"/>
        </w:rPr>
        <w:t>یشترط أن ینوی القصر عندکلّ صلاة ولو لم یتحقّق النیة یتعین الإتمام،ذلک؛لعدم تحقّق القصر بدون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الإتمام هو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وللمسافر أن یقصر وله أن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وإطلاق النیة‌ینصرف إلی الأصل ولا ینصرف عنه إلاّبتعیین ما یصرفه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نیة القصر</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 هو نفس الرأی علی المذهب المالکی مع اختلاف یسیر فی کیفیة النیة،حیث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بکفایة نیة القصر فی أوّل صلاة یقصرها فی السفر ولا یلزم تجدیدها فیما بعدها من الصلوات</w:t>
      </w:r>
      <w:r>
        <w:rPr>
          <w:rFonts w:eastAsia="IRNazanin" w:cs="IRNazanin"/>
          <w:color w:val="111111"/>
          <w:sz w:val="28"/>
          <w:szCs w:val="28"/>
          <w:rtl w:val="true"/>
          <w:lang w:bidi="fa-IR"/>
        </w:rPr>
        <w:t xml:space="preserve">. </w:t>
      </w:r>
      <w:r>
        <w:rPr>
          <w:rStyle w:val="FootnoteAnchor"/>
          <w:rtl w:val="true"/>
        </w:rPr>
        <w:footnoteReference w:id="529"/>
      </w:r>
    </w:p>
    <w:p>
      <w:pPr>
        <w:pStyle w:val="Heading3"/>
        <w:numPr>
          <w:ilvl w:val="2"/>
          <w:numId w:val="1"/>
        </w:numPr>
        <w:rPr/>
      </w:pPr>
      <w:bookmarkStart w:id="1098" w:name="__RefHeading___Toc363210_581953129"/>
      <w:bookmarkStart w:id="1099" w:name="_Toc459"/>
      <w:bookmarkEnd w:id="1098"/>
      <w:r>
        <w:rPr>
          <w:rtl w:val="true"/>
        </w:rPr>
        <w:t>نیة الإقامة</w:t>
      </w:r>
      <w:bookmarkEnd w:id="1099"/>
    </w:p>
    <w:p>
      <w:pPr>
        <w:pStyle w:val="Heading4"/>
        <w:numPr>
          <w:ilvl w:val="3"/>
          <w:numId w:val="1"/>
        </w:numPr>
        <w:rPr/>
      </w:pPr>
      <w:bookmarkStart w:id="1100" w:name="__RefHeading___Toc363212_581953129"/>
      <w:bookmarkStart w:id="1101" w:name="_Toc460"/>
      <w:bookmarkEnd w:id="1100"/>
      <w:r>
        <w:rPr>
          <w:rtl w:val="true"/>
        </w:rPr>
        <w:t>اشارة</w:t>
      </w:r>
      <w:bookmarkEnd w:id="1101"/>
    </w:p>
    <w:p>
      <w:pPr>
        <w:pStyle w:val="BookText"/>
        <w:rPr/>
      </w:pPr>
      <w:r>
        <w:rPr>
          <w:rFonts w:ascii="IRNazanin" w:hAnsi="IRNazanin" w:eastAsia="IRNazanin"/>
          <w:color w:val="111111"/>
          <w:sz w:val="28"/>
          <w:sz w:val="28"/>
          <w:szCs w:val="28"/>
          <w:rtl w:val="true"/>
          <w:lang w:bidi="fa-IR"/>
        </w:rPr>
        <w:t>لاخلاف بین المذاهب کلّها فی أنّ أحد قواطع السفر هو العزم علی الإقامة فی مکان ما،وحینئذ یتعین الإتمام إلاّ أنّ الاختلاف هو فی تحدید مدّة الإقامة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102" w:name="__RefHeading___Toc363214_581953129"/>
      <w:bookmarkStart w:id="1103" w:name="_Toc461"/>
      <w:bookmarkEnd w:id="1102"/>
      <w:r>
        <w:rPr>
          <w:rtl w:val="true"/>
        </w:rPr>
        <w:t>المذهب الجعفری</w:t>
      </w:r>
      <w:bookmarkEnd w:id="1103"/>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قواطع السفر العزم علی إقامة عشرة أیام متوالیات فی مکان واحد من بلد أو قریة أو فلاة من الأرض أو العلم بذلک و إن کان لا عن اختیار</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هناک ممّا لا إشکال فیه بل لعلّه من الضروریات،والنصوص الدالّة علیه مستفیضة لو لم تکن متواترة </w:t>
      </w:r>
      <w:r>
        <w:rPr>
          <w:rStyle w:val="FootnoteAnchor"/>
          <w:rtl w:val="true"/>
        </w:rPr>
        <w:footnoteReference w:id="531"/>
      </w:r>
      <w:r>
        <w:rPr>
          <w:rFonts w:ascii="IRNazanin" w:hAnsi="IRNazanin" w:eastAsia="IRNazanin"/>
          <w:color w:val="111111"/>
          <w:sz w:val="28"/>
          <w:sz w:val="28"/>
          <w:szCs w:val="28"/>
          <w:rtl w:val="true"/>
          <w:lang w:bidi="fa-IR"/>
        </w:rPr>
        <w:t>ومن الروایات،</w:t>
      </w:r>
      <w:bookmarkStart w:id="1104" w:name="pg5240_59362"/>
    </w:p>
    <w:p>
      <w:pPr>
        <w:pStyle w:val="BookText"/>
        <w:rPr/>
      </w:pPr>
      <w:bookmarkEnd w:id="1104"/>
      <w:r>
        <w:rPr>
          <w:rFonts w:ascii="IRNazanin" w:hAnsi="IRNazanin" w:eastAsia="IRNazanin"/>
          <w:color w:val="111111"/>
          <w:sz w:val="28"/>
          <w:sz w:val="28"/>
          <w:szCs w:val="28"/>
          <w:rtl w:val="true"/>
          <w:lang w:bidi="fa-IR"/>
        </w:rPr>
        <w:t>صحیحة زرارة عن الإمام الباقر علیه السلام 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من قدم بلدة إلی متی ینبغی له أن یکون مقصّراً؟ومتی ینبغی له أن یتمّ؟فقال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أرضاً فأیقنت أنّ لک بها مقام عشرة أیام فأتمّ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المطلوب بوضوح کامل</w:t>
      </w:r>
      <w:r>
        <w:rPr>
          <w:rFonts w:eastAsia="IRNazanin" w:cs="IRNazanin"/>
          <w:color w:val="111111"/>
          <w:sz w:val="28"/>
          <w:szCs w:val="28"/>
          <w:rtl w:val="true"/>
          <w:lang w:bidi="fa-IR"/>
        </w:rPr>
        <w:t>.</w:t>
      </w:r>
    </w:p>
    <w:p>
      <w:pPr>
        <w:pStyle w:val="Heading4"/>
        <w:numPr>
          <w:ilvl w:val="3"/>
          <w:numId w:val="1"/>
        </w:numPr>
        <w:rPr/>
      </w:pPr>
      <w:bookmarkStart w:id="1105" w:name="__RefHeading___Toc363216_581953129"/>
      <w:bookmarkStart w:id="1106" w:name="_Toc462"/>
      <w:bookmarkEnd w:id="1105"/>
      <w:r>
        <w:rPr>
          <w:rtl w:val="true"/>
        </w:rPr>
        <w:t>المذهب الحنبلی</w:t>
      </w:r>
      <w:bookmarkEnd w:id="1106"/>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المدّة الّتی تلزم المسافر الإتمام بنیة الإقامة فیها،هی ما کان أکثر من إحدی وعشرین صلاة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إقامة أربعة أیام أتمّ و إن نوی دونها قصّر و هذا قول مالک و الشافعی،ذلک؛لأنّ الثلاث حدّ القلّة بدلیل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المهاجر بعد قضاء منسکه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أنّ الثلاث فی حکم السفر ومازاد فی حکم الإقامة</w:t>
      </w:r>
      <w:r>
        <w:rPr>
          <w:rFonts w:eastAsia="IRNazanin" w:cs="IRNazanin"/>
          <w:color w:val="111111"/>
          <w:sz w:val="28"/>
          <w:szCs w:val="28"/>
          <w:rtl w:val="true"/>
          <w:lang w:bidi="fa-IR"/>
        </w:rPr>
        <w:t xml:space="preserve">. </w:t>
      </w:r>
      <w:r>
        <w:rPr>
          <w:rStyle w:val="FootnoteAnchor"/>
          <w:rtl w:val="true"/>
        </w:rPr>
        <w:footnoteReference w:id="532"/>
      </w:r>
    </w:p>
    <w:p>
      <w:pPr>
        <w:pStyle w:val="Heading4"/>
        <w:numPr>
          <w:ilvl w:val="3"/>
          <w:numId w:val="1"/>
        </w:numPr>
        <w:rPr/>
      </w:pPr>
      <w:bookmarkStart w:id="1107" w:name="__RefHeading___Toc363218_581953129"/>
      <w:bookmarkStart w:id="1108" w:name="_Toc463"/>
      <w:bookmarkEnd w:id="1107"/>
      <w:r>
        <w:rPr>
          <w:rtl w:val="true"/>
        </w:rPr>
        <w:t>المذهب الحنفی</w:t>
      </w:r>
      <w:bookmarkEnd w:id="1108"/>
    </w:p>
    <w:p>
      <w:pPr>
        <w:pStyle w:val="BookText"/>
        <w:rPr/>
      </w:pPr>
      <w:r>
        <w:rPr>
          <w:rFonts w:ascii="IRNazanin" w:hAnsi="IRNazanin" w:eastAsia="IRNazanin"/>
          <w:color w:val="111111"/>
          <w:sz w:val="28"/>
          <w:sz w:val="28"/>
          <w:szCs w:val="28"/>
          <w:rtl w:val="true"/>
          <w:lang w:bidi="fa-IR"/>
        </w:rPr>
        <w:t>یمتنع القصر إذا نوی الإقامة خمسة عشر یوماً متوالیة کاملة</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ذلک؛لما روی عن ابن‌عمر وابن‌عبّاس،أنّهما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قدمت وفی نفسک أن تقیم بها خمس عشرة لیلة فأکمل الصلاة</w:t>
      </w:r>
      <w:r>
        <w:rPr>
          <w:rFonts w:eastAsia="IRNazanin" w:cs="IRNazanin"/>
          <w:color w:val="111111"/>
          <w:sz w:val="28"/>
          <w:szCs w:val="28"/>
          <w:rtl w:val="true"/>
          <w:lang w:bidi="fa-IR"/>
        </w:rPr>
        <w:t xml:space="preserve">. </w:t>
      </w:r>
      <w:r>
        <w:rPr>
          <w:rStyle w:val="FootnoteAnchor"/>
          <w:rtl w:val="true"/>
        </w:rPr>
        <w:footnoteReference w:id="534"/>
      </w:r>
    </w:p>
    <w:p>
      <w:pPr>
        <w:pStyle w:val="Heading3"/>
        <w:numPr>
          <w:ilvl w:val="2"/>
          <w:numId w:val="1"/>
        </w:numPr>
        <w:rPr/>
      </w:pPr>
      <w:bookmarkStart w:id="1109" w:name="__RefHeading___Toc363220_581953129"/>
      <w:bookmarkStart w:id="1110" w:name="_Toc464"/>
      <w:bookmarkEnd w:id="1109"/>
      <w:r>
        <w:rPr>
          <w:rtl w:val="true"/>
        </w:rPr>
        <w:t>التردّد فی البقاء</w:t>
      </w:r>
      <w:bookmarkEnd w:id="1110"/>
    </w:p>
    <w:p>
      <w:pPr>
        <w:pStyle w:val="Heading4"/>
        <w:numPr>
          <w:ilvl w:val="3"/>
          <w:numId w:val="1"/>
        </w:numPr>
        <w:rPr/>
      </w:pPr>
      <w:bookmarkStart w:id="1111" w:name="__RefHeading___Toc363222_581953129"/>
      <w:bookmarkStart w:id="1112" w:name="_Toc465"/>
      <w:bookmarkEnd w:id="1111"/>
      <w:r>
        <w:rPr>
          <w:rtl w:val="true"/>
        </w:rPr>
        <w:t>اشارة</w:t>
      </w:r>
      <w:bookmarkEnd w:id="111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القواطع التردّد فی البقاء وعدمه،ثلاثین یوماً إذا کان بعد بلوغ المسافة</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یکون</w:t>
      </w:r>
      <w:bookmarkStart w:id="1113" w:name="pg5240_59363"/>
    </w:p>
    <w:p>
      <w:pPr>
        <w:pStyle w:val="BookText"/>
        <w:rPr/>
      </w:pPr>
      <w:bookmarkEnd w:id="1113"/>
      <w:r>
        <w:rPr>
          <w:rFonts w:ascii="IRNazanin" w:hAnsi="IRNazanin" w:eastAsia="IRNazanin"/>
          <w:color w:val="111111"/>
          <w:sz w:val="28"/>
          <w:sz w:val="28"/>
          <w:szCs w:val="28"/>
          <w:rtl w:val="true"/>
          <w:lang w:bidi="fa-IR"/>
        </w:rPr>
        <w:t>کذلک إجماعاً،وتدلّ علیه النصوص المستفیضة</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تدر ما مقامک بها،تقول غداً أخرج أو بعد غد،فقصّر ما بینک وبین أن یمضی شهر،فإذا تمّ لک شهر فأتمّ الصلاة،و إن أردت أن تخرج من ساعتک</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الصلاة الّذی یقیم عشراً،ویقصر الصلاة الّذی یقول أخرج الیوم،أخرج غداً،شهراً</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فالحکم مروی عن الطریقین</w:t>
      </w:r>
      <w:r>
        <w:rPr>
          <w:rFonts w:eastAsia="IRNazanin" w:cs="IRNazanin"/>
          <w:color w:val="111111"/>
          <w:sz w:val="28"/>
          <w:szCs w:val="28"/>
          <w:rtl w:val="true"/>
          <w:lang w:bidi="fa-IR"/>
        </w:rPr>
        <w:t>.</w:t>
      </w:r>
    </w:p>
    <w:p>
      <w:pPr>
        <w:pStyle w:val="Heading4"/>
        <w:numPr>
          <w:ilvl w:val="3"/>
          <w:numId w:val="1"/>
        </w:numPr>
        <w:rPr/>
      </w:pPr>
      <w:bookmarkStart w:id="1114" w:name="__RefHeading___Toc363224_581953129"/>
      <w:bookmarkStart w:id="1115" w:name="_Toc466"/>
      <w:bookmarkEnd w:id="1114"/>
      <w:r>
        <w:rPr>
          <w:rtl w:val="true"/>
        </w:rPr>
        <w:t>منشأ الاختلاف</w:t>
      </w:r>
      <w:bookmarkEnd w:id="1115"/>
    </w:p>
    <w:p>
      <w:pPr>
        <w:pStyle w:val="BookText"/>
        <w:rPr/>
      </w:pPr>
      <w:r>
        <w:rPr>
          <w:rFonts w:ascii="IRNazanin" w:hAnsi="IRNazanin" w:eastAsia="IRNazanin"/>
          <w:color w:val="111111"/>
          <w:sz w:val="28"/>
          <w:sz w:val="28"/>
          <w:szCs w:val="28"/>
          <w:rtl w:val="true"/>
          <w:lang w:bidi="fa-IR"/>
        </w:rPr>
        <w:t>تبین لنا أنّ الاختلاف ناشئ عن الاختلاف فی النصّ والاجتهاد فإنّ مدّة الإقامة عشرة کاملة وردت فی النصوص عن طریق آل‌البیت علیهم السلام وعن طریق الصحابة وعلیه فإنّ هذا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من التحدیدات الأخری</w:t>
      </w:r>
      <w:r>
        <w:rPr>
          <w:rFonts w:eastAsia="IRNazanin" w:cs="IRNazanin"/>
          <w:color w:val="111111"/>
          <w:sz w:val="28"/>
          <w:szCs w:val="28"/>
          <w:rtl w:val="true"/>
          <w:lang w:bidi="fa-IR"/>
        </w:rPr>
        <w:t>.</w:t>
      </w:r>
    </w:p>
    <w:p>
      <w:pPr>
        <w:pStyle w:val="Heading3"/>
        <w:numPr>
          <w:ilvl w:val="2"/>
          <w:numId w:val="1"/>
        </w:numPr>
        <w:rPr/>
      </w:pPr>
      <w:bookmarkStart w:id="1116" w:name="__RefHeading___Toc363226_581953129"/>
      <w:bookmarkStart w:id="1117" w:name="_Toc467"/>
      <w:bookmarkEnd w:id="1116"/>
      <w:r>
        <w:rPr>
          <w:rtl w:val="true"/>
        </w:rPr>
        <w:t>استمرار السفر</w:t>
      </w:r>
      <w:bookmarkEnd w:id="1117"/>
    </w:p>
    <w:p>
      <w:pPr>
        <w:pStyle w:val="Heading4"/>
        <w:numPr>
          <w:ilvl w:val="3"/>
          <w:numId w:val="1"/>
        </w:numPr>
        <w:rPr/>
      </w:pPr>
      <w:bookmarkStart w:id="1118" w:name="__RefHeading___Toc363228_581953129"/>
      <w:bookmarkStart w:id="1119" w:name="_Toc468"/>
      <w:bookmarkEnd w:id="1118"/>
      <w:r>
        <w:rPr>
          <w:rtl w:val="true"/>
        </w:rPr>
        <w:t>اشارة</w:t>
      </w:r>
      <w:bookmarkEnd w:id="111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السفر عملاً وشغلاً له،کالمکاری و الجمّال و الملّاح و الساعی و الراعی ونحوهم،فإنّ هؤلاء یتمّون الصلاة و الصوم فی سفرهم</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ذلک؛للإجماع و النصوص الواردة فی المقام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صحیحة‌زراة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قدیجب علیهم التمام فی السفر کانوا أو فی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المکاری،والکری و الراعی والاشتقان</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دلّت علی أنّ من یستمر سفره لم یکن له قصر و هذا ما یذهب</w:t>
      </w:r>
      <w:bookmarkStart w:id="1120" w:name="pg5240_59364"/>
    </w:p>
    <w:p>
      <w:pPr>
        <w:pStyle w:val="BookText"/>
        <w:rPr/>
      </w:pPr>
      <w:bookmarkEnd w:id="1120"/>
      <w:r>
        <w:rPr>
          <w:rFonts w:ascii="IRNazanin" w:hAnsi="IRNazanin" w:eastAsia="IRNazanin"/>
          <w:color w:val="111111"/>
          <w:sz w:val="28"/>
          <w:sz w:val="28"/>
          <w:szCs w:val="28"/>
          <w:rtl w:val="true"/>
          <w:lang w:bidi="fa-IR"/>
        </w:rPr>
        <w:t>إلیه المذهب الحنبلی بالنسبة إلی الملّاح فحسب،کما 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والملّاح الّذی یسیر فی سفینته ولیس له بیت سوی سفینته فیها أهله‌وتنوّره وحاجته لایباح له الترخیص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الجمّال و المکاری فلهم الترخّص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ویفطر الملّاح وغیره؛لعموم‌النصوص‌وقول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وضع عن المسافر الصوم وشطر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أبوداود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و هذا أیضاً،وجهة نظر المذهب المالکی و الحنفی</w:t>
      </w:r>
      <w:r>
        <w:rPr>
          <w:rFonts w:eastAsia="IRNazanin" w:cs="IRNazanin"/>
          <w:color w:val="111111"/>
          <w:sz w:val="28"/>
          <w:szCs w:val="28"/>
          <w:rtl w:val="true"/>
          <w:lang w:bidi="fa-IR"/>
        </w:rPr>
        <w:t xml:space="preserve">. </w:t>
      </w:r>
      <w:r>
        <w:rPr>
          <w:rStyle w:val="FootnoteAnchor"/>
          <w:rtl w:val="true"/>
        </w:rPr>
        <w:footnoteReference w:id="542"/>
      </w:r>
    </w:p>
    <w:p>
      <w:pPr>
        <w:pStyle w:val="Heading4"/>
        <w:numPr>
          <w:ilvl w:val="3"/>
          <w:numId w:val="1"/>
        </w:numPr>
        <w:rPr/>
      </w:pPr>
      <w:bookmarkStart w:id="1121" w:name="__RefHeading___Toc363230_581953129"/>
      <w:bookmarkStart w:id="1122" w:name="_Toc469"/>
      <w:bookmarkEnd w:id="1121"/>
      <w:r>
        <w:rPr>
          <w:rtl w:val="true"/>
        </w:rPr>
        <w:t>منشأ الاختلاف</w:t>
      </w:r>
      <w:bookmarkEnd w:id="112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ممّا مرّ أنّ الاختلاف ناشئ عن الاختلاف فی ورود النصّ وعدم وروده،حیث 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آل‌البیت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عدم القصر لمن یستمرّ فی السفر کعمل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لم یرد نصّ عن طریق الصحابة یدلّ علی ذلک فیبقی عموم أدلّة القصر شاملاً للمسافرین أجمع</w:t>
      </w:r>
      <w:r>
        <w:rPr>
          <w:rFonts w:eastAsia="IRNazanin" w:cs="IRNazanin"/>
          <w:color w:val="111111"/>
          <w:sz w:val="28"/>
          <w:szCs w:val="28"/>
          <w:rtl w:val="true"/>
          <w:lang w:bidi="fa-IR"/>
        </w:rPr>
        <w:t>.</w:t>
      </w:r>
      <w:bookmarkStart w:id="1123" w:name="pg5240_59365"/>
    </w:p>
    <w:p>
      <w:pPr>
        <w:pStyle w:val="Heading3"/>
        <w:numPr>
          <w:ilvl w:val="2"/>
          <w:numId w:val="1"/>
        </w:numPr>
        <w:rPr/>
      </w:pPr>
      <w:bookmarkStart w:id="1124" w:name="__RefHeading___Toc363232_581953129"/>
      <w:bookmarkStart w:id="1125" w:name="_Toc470"/>
      <w:bookmarkEnd w:id="1123"/>
      <w:bookmarkEnd w:id="1124"/>
      <w:r>
        <w:rPr>
          <w:rtl w:val="true"/>
        </w:rPr>
        <w:t>الخلاصة</w:t>
      </w:r>
      <w:bookmarkEnd w:id="1125"/>
    </w:p>
    <w:p>
      <w:pPr>
        <w:pStyle w:val="BookText"/>
        <w:rPr/>
      </w:pPr>
      <w:r>
        <w:rPr>
          <w:rFonts w:ascii="IRNazanin" w:hAnsi="IRNazanin" w:eastAsia="IRNazanin"/>
          <w:color w:val="111111"/>
          <w:sz w:val="28"/>
          <w:sz w:val="28"/>
          <w:szCs w:val="28"/>
          <w:rtl w:val="true"/>
          <w:lang w:bidi="fa-IR"/>
        </w:rPr>
        <w:t>لاخلاف فی قصر الصلوات الرباعیة فی السفر و إنّما الخلاف فی حدّ المسافة فرسخاً ومیلاً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الواردة عن طریق الصحابة بالنسبة إلی تحدید المسافة مختلفة ومتعارضة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القصر التعیین و أمّا التخییر بینه وبین الإتمام یحتاج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الترخّص هو خفاء الأذان و الجدران علی المذهب الجعفری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مفارقة بنیان البلد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الآراء بالنسبة إلی مدّة الإقامة،أوثقها مدرکاً العشرة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یستمرّ فی السفر یتمّ صلاته علی المذهب الجعفری و الحنبلی</w:t>
      </w:r>
      <w:r>
        <w:rPr>
          <w:rFonts w:eastAsia="IRNazanin" w:cs="IRNazanin"/>
          <w:color w:val="111111"/>
          <w:sz w:val="28"/>
          <w:szCs w:val="28"/>
          <w:rtl w:val="true"/>
          <w:lang w:bidi="fa-IR"/>
        </w:rPr>
        <w:t>.</w:t>
      </w:r>
      <w:bookmarkStart w:id="1126" w:name="pg5240_59366"/>
    </w:p>
    <w:p>
      <w:pPr>
        <w:pStyle w:val="Heading3"/>
        <w:numPr>
          <w:ilvl w:val="2"/>
          <w:numId w:val="1"/>
        </w:numPr>
        <w:rPr/>
      </w:pPr>
      <w:bookmarkStart w:id="1127" w:name="__RefHeading___Toc363234_581953129"/>
      <w:bookmarkStart w:id="1128" w:name="_Toc471"/>
      <w:bookmarkEnd w:id="1126"/>
      <w:bookmarkEnd w:id="1127"/>
      <w:r>
        <w:rPr>
          <w:rtl w:val="true"/>
        </w:rPr>
        <w:t>الأسئلة</w:t>
      </w:r>
      <w:bookmarkEnd w:id="1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یستفاد التخییر بین القصر و الإتمام من الآیة الشریفة؟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السفر المحرّم الّذی لایوجب القصر فی الصلاة؟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المتردّد فی الإقامة؟</w:t>
      </w:r>
      <w:bookmarkStart w:id="1129" w:name="pg5240_59367"/>
    </w:p>
    <w:p>
      <w:pPr>
        <w:pStyle w:val="Heading2"/>
        <w:numPr>
          <w:ilvl w:val="1"/>
          <w:numId w:val="1"/>
        </w:numPr>
        <w:rPr/>
      </w:pPr>
      <w:bookmarkStart w:id="1130" w:name="__RefHeading___Toc363236_581953129"/>
      <w:bookmarkStart w:id="1131" w:name="_Toc472"/>
      <w:bookmarkEnd w:id="1129"/>
      <w:bookmarkEnd w:id="1130"/>
      <w:r>
        <w:rPr/>
        <w:t>17</w:t>
      </w:r>
      <w:r>
        <w:rPr>
          <w:rtl w:val="true"/>
        </w:rPr>
        <w:t xml:space="preserve">- </w:t>
      </w:r>
      <w:r>
        <w:rPr>
          <w:rtl w:val="true"/>
        </w:rPr>
        <w:t>صلاة المیت</w:t>
      </w:r>
      <w:bookmarkEnd w:id="1131"/>
    </w:p>
    <w:p>
      <w:pPr>
        <w:pStyle w:val="Heading3"/>
        <w:numPr>
          <w:ilvl w:val="2"/>
          <w:numId w:val="1"/>
        </w:numPr>
        <w:rPr/>
      </w:pPr>
      <w:bookmarkStart w:id="1132" w:name="__RefHeading___Toc363238_581953129"/>
      <w:bookmarkStart w:id="1133" w:name="_Toc473"/>
      <w:bookmarkEnd w:id="1132"/>
      <w:r>
        <w:rPr>
          <w:rtl w:val="true"/>
        </w:rPr>
        <w:t>الصلاة علی المیت</w:t>
      </w:r>
      <w:bookmarkEnd w:id="1133"/>
    </w:p>
    <w:p>
      <w:pPr>
        <w:pStyle w:val="BookText"/>
        <w:rPr/>
      </w:pPr>
      <w:r>
        <w:rPr>
          <w:rFonts w:ascii="IRNazanin" w:hAnsi="IRNazanin" w:eastAsia="IRNazanin"/>
          <w:color w:val="111111"/>
          <w:sz w:val="28"/>
          <w:sz w:val="28"/>
          <w:szCs w:val="28"/>
          <w:rtl w:val="true"/>
          <w:lang w:bidi="fa-IR"/>
        </w:rPr>
        <w:t>یوجد هناک اختلافات تتصل باقامة الصلاة وماله صلة بها وهی بما بلی</w:t>
      </w:r>
      <w:r>
        <w:rPr>
          <w:rFonts w:eastAsia="IRNazanin" w:cs="IRNazanin"/>
          <w:color w:val="111111"/>
          <w:sz w:val="28"/>
          <w:szCs w:val="28"/>
          <w:rtl w:val="true"/>
          <w:lang w:bidi="fa-IR"/>
        </w:rPr>
        <w:t>:</w:t>
      </w:r>
    </w:p>
    <w:p>
      <w:pPr>
        <w:pStyle w:val="Heading3"/>
        <w:numPr>
          <w:ilvl w:val="2"/>
          <w:numId w:val="1"/>
        </w:numPr>
        <w:rPr/>
      </w:pPr>
      <w:bookmarkStart w:id="1134" w:name="__RefHeading___Toc363240_581953129"/>
      <w:bookmarkStart w:id="1135" w:name="_Toc474"/>
      <w:bookmarkEnd w:id="1134"/>
      <w:r>
        <w:rPr>
          <w:rtl w:val="true"/>
        </w:rPr>
        <w:t>إقامة الصلاة علی الشهید</w:t>
      </w:r>
      <w:bookmarkEnd w:id="1135"/>
    </w:p>
    <w:p>
      <w:pPr>
        <w:pStyle w:val="Heading4"/>
        <w:numPr>
          <w:ilvl w:val="3"/>
          <w:numId w:val="1"/>
        </w:numPr>
        <w:rPr/>
      </w:pPr>
      <w:bookmarkStart w:id="1136" w:name="__RefHeading___Toc363242_581953129"/>
      <w:bookmarkStart w:id="1137" w:name="_Toc475"/>
      <w:bookmarkEnd w:id="1136"/>
      <w:r>
        <w:rPr>
          <w:rtl w:val="true"/>
        </w:rPr>
        <w:t>المذهب الجعفری</w:t>
      </w:r>
      <w:bookmarkEnd w:id="11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الصلاة علی کل مسلم من غیر فرق بین العادل و الفاسق و الشهید وغیرهم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الطباطبائی الحکیم بأنّ ذلک الحکم مما یقتضیه اطلاق النصوص مضافاً إلی خبر السکونی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أحداً من أمتی بلاصلاة</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وإلی ما ورد فی نصوص الشهید </w:t>
      </w:r>
      <w:r>
        <w:rPr>
          <w:rStyle w:val="FootnoteAnchor"/>
          <w:rtl w:val="true"/>
        </w:rPr>
        <w:footnoteReference w:id="545"/>
      </w:r>
      <w:r>
        <w:rPr>
          <w:rFonts w:ascii="IRNazanin" w:hAnsi="IRNazanin" w:eastAsia="IRNazanin"/>
          <w:color w:val="111111"/>
          <w:sz w:val="28"/>
          <w:sz w:val="28"/>
          <w:szCs w:val="28"/>
          <w:rtl w:val="true"/>
          <w:lang w:bidi="fa-IR"/>
        </w:rPr>
        <w:t xml:space="preserve">مما یظهر منه وجوب الصلاة علیه </w:t>
      </w:r>
      <w:r>
        <w:rPr>
          <w:rStyle w:val="FootnoteAnchor"/>
          <w:rtl w:val="true"/>
        </w:rPr>
        <w:footnoteReference w:id="546"/>
      </w:r>
      <w:r>
        <w:rPr>
          <w:rFonts w:ascii="IRNazanin" w:hAnsi="IRNazanin" w:eastAsia="IRNazanin"/>
          <w:color w:val="111111"/>
          <w:sz w:val="28"/>
          <w:sz w:val="28"/>
          <w:szCs w:val="28"/>
          <w:rtl w:val="true"/>
          <w:lang w:bidi="fa-IR"/>
        </w:rPr>
        <w:t>و هذا هو</w:t>
      </w:r>
      <w:bookmarkStart w:id="1138" w:name="pg5240_59368"/>
    </w:p>
    <w:p>
      <w:pPr>
        <w:pStyle w:val="BookText"/>
        <w:rPr/>
      </w:pPr>
      <w:bookmarkEnd w:id="1138"/>
      <w:r>
        <w:rPr>
          <w:rFonts w:ascii="IRNazanin" w:hAnsi="IRNazanin" w:eastAsia="IRNazanin"/>
          <w:color w:val="111111"/>
          <w:sz w:val="28"/>
          <w:sz w:val="28"/>
          <w:szCs w:val="28"/>
          <w:rtl w:val="true"/>
          <w:lang w:bidi="fa-IR"/>
        </w:rPr>
        <w:t>رأی الحنفی،لعموم الدلیل وروی عن ابن عباس أن النبی صلی الله علیه و آله صلّی علی قتلی احد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المذاهب الثلاثة الأخری</w:t>
      </w:r>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صلاة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شهیداً فتحرم الصلاة علیه لحرمة غسله باتفاق ثلاثة،وقال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الشهید لا یغسل ولکن تجب الصلاة علیه</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ما روی جابر أنّ النبی صلی الله علیه و آله أمر بدفن شهداء احد فی دمائهم ولم یغسلهم ولم یصل علیهم</w:t>
      </w:r>
      <w:r>
        <w:rPr>
          <w:rFonts w:eastAsia="IRNazanin" w:cs="IRNazanin"/>
          <w:color w:val="111111"/>
          <w:sz w:val="28"/>
          <w:szCs w:val="28"/>
          <w:rtl w:val="true"/>
          <w:lang w:bidi="fa-IR"/>
        </w:rPr>
        <w:t xml:space="preserve">. </w:t>
      </w:r>
      <w:r>
        <w:rPr>
          <w:rStyle w:val="FootnoteAnchor"/>
          <w:rtl w:val="true"/>
        </w:rPr>
        <w:footnoteReference w:id="549"/>
      </w:r>
    </w:p>
    <w:p>
      <w:pPr>
        <w:pStyle w:val="Heading3"/>
        <w:numPr>
          <w:ilvl w:val="2"/>
          <w:numId w:val="1"/>
        </w:numPr>
        <w:rPr/>
      </w:pPr>
      <w:bookmarkStart w:id="1139" w:name="__RefHeading___Toc363244_581953129"/>
      <w:bookmarkStart w:id="1140" w:name="_Toc476"/>
      <w:bookmarkEnd w:id="1139"/>
      <w:r>
        <w:rPr>
          <w:rtl w:val="true"/>
        </w:rPr>
        <w:t>کیفیة الصلاة</w:t>
      </w:r>
      <w:bookmarkEnd w:id="11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یأتی بخمس تکبیرات یأتی بالشهادتین بعدالتکبیرة الأولی و الصلاة علی النبی صلی الله علیه و آله بعد ثانیة و الدعاء للمؤمنین و المؤمنات بعد الثالثة و الدعاء للمیت بعد الرابعة ثم یکبر الخامسة وینصرف،فیجزی بعد نیة القربة وتعیین المیت ولو اجمالاً </w:t>
      </w:r>
      <w:r>
        <w:rPr>
          <w:rStyle w:val="FootnoteAnchor"/>
          <w:rtl w:val="true"/>
        </w:rPr>
        <w:footnoteReference w:id="550"/>
      </w:r>
      <w:r>
        <w:rPr>
          <w:rFonts w:ascii="IRNazanin" w:hAnsi="IRNazanin" w:eastAsia="IRNazanin"/>
          <w:color w:val="111111"/>
          <w:sz w:val="28"/>
          <w:sz w:val="28"/>
          <w:szCs w:val="28"/>
          <w:rtl w:val="true"/>
          <w:lang w:bidi="fa-IR"/>
        </w:rPr>
        <w:t>ذلک کله للنصوص الواردة فی الباب منها صحیحة ابن سنان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علی المیت خمس تکبیرات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مصحح الحلبی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الشهادتین و الصلاة علی النبی صلی الله علیه و آله و الدعاء المؤمنین وللمیت بعد کل تکبیرة من التکبیرات</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والدلالة تامة کاملة 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تکبیرات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ضروریات المذهب</w:t>
      </w:r>
      <w:r>
        <w:rPr>
          <w:rFonts w:eastAsia="IRNazanin" w:cs="IRNazanin"/>
          <w:color w:val="111111"/>
          <w:sz w:val="28"/>
          <w:szCs w:val="28"/>
          <w:rtl w:val="true"/>
          <w:lang w:bidi="fa-IR"/>
        </w:rPr>
        <w:t xml:space="preserve">. </w:t>
      </w:r>
      <w:r>
        <w:rPr>
          <w:rStyle w:val="FootnoteAnchor"/>
          <w:rtl w:val="true"/>
        </w:rPr>
        <w:footnoteReference w:id="552"/>
      </w:r>
      <w:bookmarkStart w:id="1141" w:name="pg5240_59369"/>
    </w:p>
    <w:p>
      <w:pPr>
        <w:pStyle w:val="Heading3"/>
        <w:numPr>
          <w:ilvl w:val="2"/>
          <w:numId w:val="1"/>
        </w:numPr>
        <w:rPr/>
      </w:pPr>
      <w:bookmarkStart w:id="1142" w:name="__RefHeading___Toc363246_581953129"/>
      <w:bookmarkStart w:id="1143" w:name="_Toc477"/>
      <w:bookmarkEnd w:id="1141"/>
      <w:bookmarkEnd w:id="1142"/>
      <w:r>
        <w:rPr>
          <w:rtl w:val="true"/>
        </w:rPr>
        <w:t>اختلاف النصوص فی عدد التکبیرات</w:t>
      </w:r>
      <w:bookmarkEnd w:id="1143"/>
    </w:p>
    <w:p>
      <w:pPr>
        <w:pStyle w:val="Heading4"/>
        <w:numPr>
          <w:ilvl w:val="3"/>
          <w:numId w:val="1"/>
        </w:numPr>
        <w:rPr/>
      </w:pPr>
      <w:bookmarkStart w:id="1144" w:name="__RefHeading___Toc363248_581953129"/>
      <w:bookmarkStart w:id="1145" w:name="_Toc478"/>
      <w:bookmarkEnd w:id="1144"/>
      <w:r>
        <w:rPr>
          <w:rtl w:val="true"/>
        </w:rPr>
        <w:t>اشارة</w:t>
      </w:r>
      <w:bookmarkEnd w:id="1145"/>
    </w:p>
    <w:p>
      <w:pPr>
        <w:pStyle w:val="BookText"/>
        <w:rPr/>
      </w:pPr>
      <w:r>
        <w:rPr>
          <w:rFonts w:ascii="IRNazanin" w:hAnsi="IRNazanin" w:eastAsia="IRNazanin"/>
          <w:color w:val="111111"/>
          <w:sz w:val="28"/>
          <w:sz w:val="28"/>
          <w:szCs w:val="28"/>
          <w:rtl w:val="true"/>
          <w:lang w:bidi="fa-IR"/>
        </w:rPr>
        <w:t>توجد هناک اختلاف فی النصوص الواردة عن طریق أبناء السنة بالنسبة إلی عدد التکبیرات من أربع إلی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المذاهب أنّه لایجوز الزیادة علی سبع تکبیرات ولا أنقص من أربع،والأولی أربع لایزاد علیها واختلف الروایة فیما بین ذلک،فظاهر کلام الخرقی أنّ الإمام إذا کبّر خمساً تابعه المأموم،ولا یتابعه فی زیادة علیها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لم یر متابعة الإمام فی زیادة علی أربع،الثوری ومالک وأبو حنفیة و الشافعی واختارها ابن عقیل؛لأنّها زیادة غیر مسنونة للإمام فلا یتابعه المأموم فیها کالقنوت فی الرکعة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ولناماروی عن زیدبن أرقم أنّه کبّر علی جنازة خمساً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یکبّرها،أخرجه مسلم وسعیدبن منصور وغیرهما،وفی روایة سعید فسئل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رسول الله صلی الله علیه و آله وقال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خالدبن عبدالله عن یحیی الجابری عن عیسی مولی لحذیفة أنّه کبّر علی جنازة خمساً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وولی نعمتی صلّی علی جنازة وکبّر علیها خمساً،وذکر حذیفة أنّ النبی صلی الله علیه و آله فعل ذلک وروی بإسناده أن علیاً صلی علی سهل‌بن حنیف فکبّر علیه خمساً وکان أصحاب معاذ یکبّرون علی الجنائز خمساً،وروی الخلال بإسناده عن عمربن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قد کان أربعاً وخمساً وأمر الناس بأربع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فی أسناد زیدبن أرقم أسناد جید</w:t>
      </w:r>
      <w:r>
        <w:rPr>
          <w:rFonts w:eastAsia="IRNazanin" w:cs="IRNazanin"/>
          <w:color w:val="111111"/>
          <w:sz w:val="28"/>
          <w:szCs w:val="28"/>
          <w:rtl w:val="true"/>
          <w:lang w:bidi="fa-IR"/>
        </w:rPr>
        <w:t xml:space="preserve">. </w:t>
      </w:r>
      <w:r>
        <w:rPr>
          <w:rStyle w:val="FootnoteAnchor"/>
          <w:rtl w:val="true"/>
        </w:rPr>
        <w:footnoteReference w:id="553"/>
      </w:r>
    </w:p>
    <w:p>
      <w:pPr>
        <w:pStyle w:val="Heading4"/>
        <w:numPr>
          <w:ilvl w:val="3"/>
          <w:numId w:val="1"/>
        </w:numPr>
        <w:rPr/>
      </w:pPr>
      <w:bookmarkStart w:id="1146" w:name="__RefHeading___Toc363250_581953129"/>
      <w:bookmarkStart w:id="1147" w:name="_Toc479"/>
      <w:bookmarkEnd w:id="1146"/>
      <w:r>
        <w:rPr>
          <w:rtl w:val="true"/>
        </w:rPr>
        <w:t>أربع تکبیرات رأی عمربن الخطاب</w:t>
      </w:r>
      <w:bookmarkEnd w:id="114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النصوص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أنّ عمر جمع الناس فاستشارهم،فقال بعضهم کبّر النبی صلی الله علیه و آله سبعاً وقال بعضهم خمساً وقال بعضهم أربعاً فجمع عمر</w:t>
      </w:r>
      <w:bookmarkStart w:id="1148" w:name="pg5240_59370"/>
    </w:p>
    <w:p>
      <w:pPr>
        <w:pStyle w:val="BookText"/>
        <w:rPr/>
      </w:pPr>
      <w:bookmarkEnd w:id="1148"/>
      <w:r>
        <w:rPr>
          <w:rFonts w:ascii="IRNazanin" w:hAnsi="IRNazanin" w:eastAsia="IRNazanin"/>
          <w:color w:val="111111"/>
          <w:sz w:val="28"/>
          <w:sz w:val="28"/>
          <w:szCs w:val="28"/>
          <w:rtl w:val="true"/>
          <w:lang w:bidi="fa-IR"/>
        </w:rPr>
        <w:t>الناس علی أربع تکبیرات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أطول الصلاة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والأفضل أن لایزید علی أربع لأنّ فیه خروجاً من الخلاف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وجمع عمر الناس علی أربع </w:t>
      </w:r>
      <w:r>
        <w:rPr>
          <w:rStyle w:val="FootnoteAnchor"/>
          <w:rtl w:val="true"/>
        </w:rPr>
        <w:footnoteReference w:id="554"/>
      </w:r>
      <w:r>
        <w:rPr>
          <w:rFonts w:ascii="IRNazanin" w:hAnsi="IRNazanin" w:eastAsia="IRNazanin"/>
          <w:color w:val="111111"/>
          <w:sz w:val="28"/>
          <w:sz w:val="28"/>
          <w:szCs w:val="28"/>
          <w:rtl w:val="true"/>
          <w:lang w:bidi="fa-IR"/>
        </w:rPr>
        <w:t>فتبین لنا أن التزام المذاهب الأربعة علی أربع تکبیرات هناک‌کان علی أساس رأی عمربن الخطاب فأصبح رأی الحاکم مع مشاورة الناس شرعاً فی الدین</w:t>
      </w:r>
      <w:r>
        <w:rPr>
          <w:rFonts w:eastAsia="IRNazanin" w:cs="IRNazanin"/>
          <w:color w:val="111111"/>
          <w:sz w:val="28"/>
          <w:szCs w:val="28"/>
          <w:rtl w:val="true"/>
          <w:lang w:bidi="fa-IR"/>
        </w:rPr>
        <w:t>.</w:t>
      </w:r>
    </w:p>
    <w:p>
      <w:pPr>
        <w:pStyle w:val="Heading4"/>
        <w:numPr>
          <w:ilvl w:val="3"/>
          <w:numId w:val="1"/>
        </w:numPr>
        <w:rPr/>
      </w:pPr>
      <w:bookmarkStart w:id="1149" w:name="__RefHeading___Toc363252_581953129"/>
      <w:bookmarkStart w:id="1150" w:name="_Toc480"/>
      <w:bookmarkEnd w:id="1149"/>
      <w:r>
        <w:rPr>
          <w:rtl w:val="true"/>
        </w:rPr>
        <w:t>طریقة آل البیت علیهم السلام</w:t>
      </w:r>
      <w:bookmarkEnd w:id="1150"/>
    </w:p>
    <w:p>
      <w:pPr>
        <w:pStyle w:val="BookText"/>
        <w:rPr/>
      </w:pPr>
      <w:r>
        <w:rPr>
          <w:rFonts w:ascii="IRNazanin" w:hAnsi="IRNazanin" w:eastAsia="IRNazanin"/>
          <w:color w:val="111111"/>
          <w:sz w:val="28"/>
          <w:sz w:val="28"/>
          <w:szCs w:val="28"/>
          <w:rtl w:val="true"/>
          <w:lang w:bidi="fa-IR"/>
        </w:rPr>
        <w:t>لاخلاف بین الفقهاء من أتباع آل البیت علیهم السلام فی أنّ العبادات‌من الماهیات المخترعة الشرعیة التی لا تخضع لرأی الناس،فلابد أن تنطلق من منطلق الکتاب و السنّة،وعلیه فالصلاة من العبادات الشرعیة التی تثبت بأمر من الله تعالی ماهیة وصیاغة وعلی هذا الأساس لامجال لأحد من الناس ولو کان کحاکم علی المسلمین أن یشرّع صلاة أو یعلن بحسب رأیه شاکلة للصلاة ذلک لعدم الأهلیة لتشریع الأحکام الدینیة الالیهیة إلاّ 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عدد التکبیرات حسب ما ورد من طریق الصحابة ومن طریق آل البیت علیهم السلام بسند صحیح هو خمس وها هو الأوثق حجة و الأوفق بالقواعد الشرعیة الفقهیة</w:t>
      </w:r>
      <w:r>
        <w:rPr>
          <w:rFonts w:eastAsia="IRNazanin" w:cs="IRNazanin"/>
          <w:color w:val="111111"/>
          <w:sz w:val="28"/>
          <w:szCs w:val="28"/>
          <w:rtl w:val="true"/>
          <w:lang w:bidi="fa-IR"/>
        </w:rPr>
        <w:t>.</w:t>
      </w:r>
    </w:p>
    <w:p>
      <w:pPr>
        <w:pStyle w:val="Heading4"/>
        <w:numPr>
          <w:ilvl w:val="3"/>
          <w:numId w:val="1"/>
        </w:numPr>
        <w:rPr/>
      </w:pPr>
      <w:bookmarkStart w:id="1151" w:name="__RefHeading___Toc363254_581953129"/>
      <w:bookmarkStart w:id="1152" w:name="_Toc481"/>
      <w:bookmarkEnd w:id="1151"/>
      <w:r>
        <w:rPr>
          <w:rtl w:val="true"/>
        </w:rPr>
        <w:t>المذاهب الاربعة</w:t>
      </w:r>
      <w:bookmarkEnd w:id="115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 بأنّ أول أرکان صلاة الجنازة،النیة،وثانیها التکبیرات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بتکبیرة الإحرام </w:t>
      </w:r>
      <w:r>
        <w:rPr>
          <w:rStyle w:val="FootnoteAnchor"/>
          <w:rtl w:val="true"/>
        </w:rPr>
        <w:footnoteReference w:id="555"/>
      </w:r>
      <w:r>
        <w:rPr>
          <w:rFonts w:ascii="IRNazanin" w:hAnsi="IRNazanin" w:eastAsia="IRNazanin"/>
          <w:color w:val="111111"/>
          <w:sz w:val="28"/>
          <w:sz w:val="28"/>
          <w:szCs w:val="28"/>
          <w:rtl w:val="true"/>
          <w:lang w:bidi="fa-IR"/>
        </w:rPr>
        <w:t>واما القرائة فهی الثناء لله و الصلاة علی النبی صلی الله علیه و آله و الدعاء للمیت وللمسلمین علی المذهب الحنفی و المالکی وزاد الشافعی و الحنبلی قرائة الفاتحة بعد التکبیرة الأولی وینتهی الأمر إلی التسلیم</w:t>
      </w:r>
      <w:r>
        <w:rPr>
          <w:rFonts w:eastAsia="IRNazanin" w:cs="IRNazanin"/>
          <w:color w:val="111111"/>
          <w:sz w:val="28"/>
          <w:szCs w:val="28"/>
          <w:rtl w:val="true"/>
          <w:lang w:bidi="fa-IR"/>
        </w:rPr>
        <w:t>.</w:t>
      </w:r>
      <w:bookmarkStart w:id="1153" w:name="pg5240_59371"/>
    </w:p>
    <w:p>
      <w:pPr>
        <w:pStyle w:val="BookText"/>
        <w:rPr/>
      </w:pPr>
      <w:bookmarkEnd w:id="1153"/>
      <w:r>
        <w:rPr>
          <w:rFonts w:ascii="IRNazanin" w:hAnsi="IRNazanin" w:eastAsia="IRNazanin"/>
          <w:color w:val="111111"/>
          <w:sz w:val="28"/>
          <w:sz w:val="28"/>
          <w:szCs w:val="28"/>
          <w:rtl w:val="true"/>
          <w:lang w:bidi="fa-IR"/>
        </w:rPr>
        <w:t>والذی یسهل الخطب أنّ المذاهب الأربعة‌کلهم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زاد الإمام عن أربع تکبیرات صحت صلاة الجمیع </w:t>
      </w:r>
      <w:r>
        <w:rPr>
          <w:rStyle w:val="FootnoteAnchor"/>
          <w:rtl w:val="true"/>
        </w:rPr>
        <w:footnoteReference w:id="556"/>
      </w:r>
      <w:r>
        <w:rPr>
          <w:rFonts w:ascii="IRNazanin" w:hAnsi="IRNazanin" w:eastAsia="IRNazanin"/>
          <w:color w:val="111111"/>
          <w:sz w:val="28"/>
          <w:sz w:val="28"/>
          <w:szCs w:val="28"/>
          <w:rtl w:val="true"/>
          <w:lang w:bidi="fa-IR"/>
        </w:rPr>
        <w:t>وعلیه فتصح الصلاة بخمس‌تکبیرات فی کافة المذاهب</w:t>
      </w:r>
      <w:r>
        <w:rPr>
          <w:rFonts w:eastAsia="IRNazanin" w:cs="IRNazanin"/>
          <w:color w:val="111111"/>
          <w:sz w:val="28"/>
          <w:szCs w:val="28"/>
          <w:rtl w:val="true"/>
          <w:lang w:bidi="fa-IR"/>
        </w:rPr>
        <w:t>.</w:t>
      </w:r>
    </w:p>
    <w:p>
      <w:pPr>
        <w:pStyle w:val="Heading3"/>
        <w:numPr>
          <w:ilvl w:val="2"/>
          <w:numId w:val="1"/>
        </w:numPr>
        <w:rPr/>
      </w:pPr>
      <w:bookmarkStart w:id="1154" w:name="__RefHeading___Toc363256_581953129"/>
      <w:bookmarkStart w:id="1155" w:name="_Toc482"/>
      <w:bookmarkEnd w:id="1154"/>
      <w:r>
        <w:rPr>
          <w:rtl w:val="true"/>
        </w:rPr>
        <w:t>من أحق بالإمامة</w:t>
      </w:r>
      <w:bookmarkEnd w:id="1155"/>
    </w:p>
    <w:p>
      <w:pPr>
        <w:pStyle w:val="Heading4"/>
        <w:numPr>
          <w:ilvl w:val="3"/>
          <w:numId w:val="1"/>
        </w:numPr>
        <w:rPr/>
      </w:pPr>
      <w:bookmarkStart w:id="1156" w:name="__RefHeading___Toc363258_581953129"/>
      <w:bookmarkStart w:id="1157" w:name="_Toc483"/>
      <w:bookmarkEnd w:id="1156"/>
      <w:r>
        <w:rPr>
          <w:rtl w:val="true"/>
        </w:rPr>
        <w:t>المذهب الجعفری</w:t>
      </w:r>
      <w:bookmarkEnd w:id="1157"/>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صحة الصلاة أن یکون المصلی مؤمناً وأن یکون مأذوناً من الولی</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ذلک لبطلان عبادة غیر المؤمن ولأنّ الصلاة علی المیت ترتبط بولایة ولی المیت فلا یجوز الصلاة بدون إذن من الولی</w:t>
      </w:r>
      <w:r>
        <w:rPr>
          <w:rFonts w:eastAsia="IRNazanin" w:cs="IRNazanin"/>
          <w:color w:val="111111"/>
          <w:sz w:val="28"/>
          <w:szCs w:val="28"/>
          <w:rtl w:val="true"/>
          <w:lang w:bidi="fa-IR"/>
        </w:rPr>
        <w:t>.</w:t>
      </w:r>
    </w:p>
    <w:p>
      <w:pPr>
        <w:pStyle w:val="Heading4"/>
        <w:numPr>
          <w:ilvl w:val="3"/>
          <w:numId w:val="1"/>
        </w:numPr>
        <w:rPr/>
      </w:pPr>
      <w:bookmarkStart w:id="1158" w:name="__RefHeading___Toc363260_581953129"/>
      <w:bookmarkStart w:id="1159" w:name="_Toc484"/>
      <w:bookmarkEnd w:id="1158"/>
      <w:r>
        <w:rPr>
          <w:rtl w:val="true"/>
        </w:rPr>
        <w:t>المذاهب الاربعة</w:t>
      </w:r>
      <w:bookmarkEnd w:id="1159"/>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فی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إن حضر ثم نائبه و هو أمیر المصر ثم القاضی ثم صاحب الشرطة ثم إمامة الحی إذا کان أفضل من ولی المیت ثم ولی المیت علی ترتیب العصبة</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کل ذلک علی اساس الولایة لاُولی الأمر من السلطان إلی صاحب الشرطة،وأن ولایة السلطة تتقدم علی ولایة ولی المیت الشرعیة و هذا هو الاجتهاد الخاص للحنفی وخالف فیه الحنبلی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بالصلاة علیه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العدل ثمّ السلطان ثمّ نائبه ثمّ أب المیت و هذا هو الرأی علی المالکی مع اختلاف یسیر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بإمامتها أب المیت و إن علا ثمّ إبنه و إن سفل وهکذا علی ترتیب المیراث ثمّ الإمام الأعظم</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فاستبان لنا أن ولایة الشرعیة تتقدم علی ولایة</w:t>
      </w:r>
      <w:bookmarkStart w:id="1160" w:name="pg5240_59372"/>
    </w:p>
    <w:p>
      <w:pPr>
        <w:pStyle w:val="BookText"/>
        <w:rPr/>
      </w:pPr>
      <w:bookmarkEnd w:id="1160"/>
      <w:r>
        <w:rPr>
          <w:rFonts w:ascii="IRNazanin" w:hAnsi="IRNazanin" w:eastAsia="IRNazanin"/>
          <w:color w:val="111111"/>
          <w:sz w:val="28"/>
          <w:sz w:val="28"/>
          <w:szCs w:val="28"/>
          <w:rtl w:val="true"/>
          <w:lang w:bidi="fa-IR"/>
        </w:rPr>
        <w:t>السلطة الحاکمة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تقدم الوصی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الصحابة وروی أن أبابکر أوصی أن یصلی علیه عمر وعایشة أوصت أن یصلّی علیها أبو هریرة</w:t>
      </w:r>
      <w:r>
        <w:rPr>
          <w:rFonts w:eastAsia="IRNazanin" w:cs="IRNazanin"/>
          <w:color w:val="111111"/>
          <w:sz w:val="28"/>
          <w:szCs w:val="28"/>
          <w:rtl w:val="true"/>
          <w:lang w:bidi="fa-IR"/>
        </w:rPr>
        <w:t xml:space="preserve">. </w:t>
      </w:r>
      <w:r>
        <w:rPr>
          <w:rStyle w:val="FootnoteAnchor"/>
          <w:rtl w:val="true"/>
        </w:rPr>
        <w:footnoteReference w:id="560"/>
      </w:r>
    </w:p>
    <w:p>
      <w:pPr>
        <w:pStyle w:val="Heading4"/>
        <w:numPr>
          <w:ilvl w:val="3"/>
          <w:numId w:val="1"/>
        </w:numPr>
        <w:rPr/>
      </w:pPr>
      <w:bookmarkStart w:id="1161" w:name="__RefHeading___Toc363262_581953129"/>
      <w:bookmarkStart w:id="1162" w:name="_Toc485"/>
      <w:bookmarkEnd w:id="1161"/>
      <w:r>
        <w:rPr>
          <w:rtl w:val="true"/>
        </w:rPr>
        <w:t>منشأ الاختلاف</w:t>
      </w:r>
      <w:bookmarkEnd w:id="1162"/>
    </w:p>
    <w:p>
      <w:pPr>
        <w:pStyle w:val="BookText"/>
        <w:rPr/>
      </w:pPr>
      <w:r>
        <w:rPr>
          <w:rFonts w:ascii="IRNazanin" w:hAnsi="IRNazanin" w:eastAsia="IRNazanin"/>
          <w:color w:val="111111"/>
          <w:sz w:val="28"/>
          <w:sz w:val="28"/>
          <w:szCs w:val="28"/>
          <w:rtl w:val="true"/>
          <w:lang w:bidi="fa-IR"/>
        </w:rPr>
        <w:t>إنّ الاختلاف هناک ناشئ عن الاجتهاد و الرأی الشخصی ومتابعة السلطة</w:t>
      </w:r>
      <w:r>
        <w:rPr>
          <w:rFonts w:eastAsia="IRNazanin" w:cs="IRNazanin"/>
          <w:color w:val="111111"/>
          <w:sz w:val="28"/>
          <w:szCs w:val="28"/>
          <w:rtl w:val="true"/>
          <w:lang w:bidi="fa-IR"/>
        </w:rPr>
        <w:t>.</w:t>
      </w:r>
    </w:p>
    <w:p>
      <w:pPr>
        <w:pStyle w:val="Heading3"/>
        <w:numPr>
          <w:ilvl w:val="2"/>
          <w:numId w:val="1"/>
        </w:numPr>
        <w:rPr/>
      </w:pPr>
      <w:bookmarkStart w:id="1163" w:name="__RefHeading___Toc363264_581953129"/>
      <w:bookmarkStart w:id="1164" w:name="_Toc486"/>
      <w:bookmarkEnd w:id="1163"/>
      <w:r>
        <w:rPr>
          <w:rtl w:val="true"/>
        </w:rPr>
        <w:t>وضع الجرید تین فی القبر</w:t>
      </w:r>
      <w:bookmarkEnd w:id="1164"/>
    </w:p>
    <w:p>
      <w:pPr>
        <w:pStyle w:val="Heading4"/>
        <w:numPr>
          <w:ilvl w:val="3"/>
          <w:numId w:val="1"/>
        </w:numPr>
        <w:rPr/>
      </w:pPr>
      <w:bookmarkStart w:id="1165" w:name="__RefHeading___Toc363266_581953129"/>
      <w:bookmarkStart w:id="1166" w:name="_Toc487"/>
      <w:bookmarkEnd w:id="1165"/>
      <w:r>
        <w:rPr>
          <w:rtl w:val="true"/>
        </w:rPr>
        <w:t>اشارة</w:t>
      </w:r>
      <w:bookmarkEnd w:id="1166"/>
    </w:p>
    <w:p>
      <w:pPr>
        <w:pStyle w:val="BookText"/>
        <w:rPr/>
      </w:pPr>
      <w:r>
        <w:rPr>
          <w:rFonts w:ascii="IRNazanin" w:hAnsi="IRNazanin" w:eastAsia="IRNazanin"/>
          <w:color w:val="111111"/>
          <w:sz w:val="28"/>
          <w:sz w:val="28"/>
          <w:szCs w:val="28"/>
          <w:rtl w:val="true"/>
          <w:lang w:bidi="fa-IR"/>
        </w:rPr>
        <w:t>یوجد هناک اختلاف هام بین الفریقین بالنسبة إلی وضع الجریدة فی القبر،فإنّ هذا العمل و إن کان من المستحباب،والخلاف فی الأمر المستحب سهل بسیط،إلاّ أنّ فی خصوص ذلک العمل إختلاف حاد یستتبع الأحکام الالزامیة کإنتهاک الحرمة وغیره،وربما یستهزأ بعض الجهال ویستنکر بعض آخر منهم،وعلیه فیجدر بنا أن نتحدث فی ما یتصل بأحکام الموتی عن وضع الجریدة فی القبر بالتفصیل التالی</w:t>
      </w:r>
      <w:r>
        <w:rPr>
          <w:rFonts w:eastAsia="IRNazanin" w:cs="IRNazanin"/>
          <w:color w:val="111111"/>
          <w:sz w:val="28"/>
          <w:szCs w:val="28"/>
          <w:rtl w:val="true"/>
          <w:lang w:bidi="fa-IR"/>
        </w:rPr>
        <w:t>:</w:t>
      </w:r>
    </w:p>
    <w:p>
      <w:pPr>
        <w:pStyle w:val="Heading4"/>
        <w:numPr>
          <w:ilvl w:val="3"/>
          <w:numId w:val="1"/>
        </w:numPr>
        <w:rPr/>
      </w:pPr>
      <w:bookmarkStart w:id="1167" w:name="__RefHeading___Toc363268_581953129"/>
      <w:bookmarkStart w:id="1168" w:name="_Toc488"/>
      <w:bookmarkEnd w:id="1167"/>
      <w:r>
        <w:rPr>
          <w:rtl w:val="true"/>
        </w:rPr>
        <w:t>المذهب الجعفری</w:t>
      </w:r>
      <w:bookmarkEnd w:id="1168"/>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الجریدة من المستحبات الأکیدأ عند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الخبر أنّ الجریدة تنفع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ومادامت رطبة یرفع عن المیت عذاب القبر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 أنّ النبی صلی الله علیه و آله مرّ علی قبر یعذب صاحبه،فطلب جریدة فشقها نصفین فوضع أحدهما فوق رأسه و الأخری عند رجله وقال یخفف عنه العذاب ماداماً رطبین وفی بعض الأخبار أن آدم علیه السلام أوصی بوضع جریدتین فی کفنه،لأنسه وکان هذا معمولاً بین الأنبیاء علیهم السلام وترک فی زمان الجاهلیة فأحیاه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أن تکونا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النخل</w:t>
      </w:r>
      <w:r>
        <w:rPr>
          <w:rFonts w:eastAsia="IRNazanin" w:cs="IRNazanin"/>
          <w:color w:val="111111"/>
          <w:sz w:val="28"/>
          <w:szCs w:val="28"/>
          <w:rtl w:val="true"/>
          <w:lang w:bidi="fa-IR"/>
        </w:rPr>
        <w:t xml:space="preserve">. </w:t>
      </w:r>
      <w:r>
        <w:rPr>
          <w:rStyle w:val="FootnoteAnchor"/>
          <w:rtl w:val="true"/>
        </w:rPr>
        <w:footnoteReference w:id="561"/>
      </w:r>
      <w:bookmarkStart w:id="1169" w:name="pg5240_59373"/>
    </w:p>
    <w:p>
      <w:pPr>
        <w:pStyle w:val="Heading4"/>
        <w:numPr>
          <w:ilvl w:val="3"/>
          <w:numId w:val="1"/>
        </w:numPr>
        <w:rPr/>
      </w:pPr>
      <w:bookmarkStart w:id="1170" w:name="__RefHeading___Toc363270_581953129"/>
      <w:bookmarkStart w:id="1171" w:name="_Toc489"/>
      <w:bookmarkEnd w:id="1169"/>
      <w:bookmarkEnd w:id="1170"/>
      <w:r>
        <w:rPr>
          <w:rtl w:val="true"/>
        </w:rPr>
        <w:t>المذاهب الاربعة</w:t>
      </w:r>
      <w:bookmarkEnd w:id="1171"/>
    </w:p>
    <w:p>
      <w:pPr>
        <w:pStyle w:val="Heading3"/>
        <w:numPr>
          <w:ilvl w:val="2"/>
          <w:numId w:val="1"/>
        </w:numPr>
        <w:rPr/>
      </w:pPr>
      <w:bookmarkStart w:id="1172" w:name="__RefHeading___Toc363272_581953129"/>
      <w:bookmarkStart w:id="1173" w:name="_Toc490"/>
      <w:bookmarkEnd w:id="1172"/>
      <w:r>
        <w:rPr>
          <w:rtl w:val="true"/>
        </w:rPr>
        <w:t>وضع الجرید علی القبر</w:t>
      </w:r>
      <w:bookmarkEnd w:id="1173"/>
    </w:p>
    <w:p>
      <w:pPr>
        <w:pStyle w:val="Heading4"/>
        <w:numPr>
          <w:ilvl w:val="3"/>
          <w:numId w:val="1"/>
        </w:numPr>
        <w:rPr/>
      </w:pPr>
      <w:bookmarkStart w:id="1174" w:name="__RefHeading___Toc363274_581953129"/>
      <w:bookmarkStart w:id="1175" w:name="_Toc491"/>
      <w:bookmarkEnd w:id="1174"/>
      <w:r>
        <w:rPr>
          <w:rtl w:val="true"/>
        </w:rPr>
        <w:t>اشارة</w:t>
      </w:r>
      <w:bookmarkEnd w:id="1175"/>
    </w:p>
    <w:p>
      <w:pPr>
        <w:pStyle w:val="BookText"/>
        <w:rPr/>
      </w:pPr>
      <w:r>
        <w:rPr>
          <w:rFonts w:ascii="IRNazanin" w:hAnsi="IRNazanin" w:eastAsia="IRNazanin"/>
          <w:color w:val="111111"/>
          <w:sz w:val="28"/>
          <w:sz w:val="28"/>
          <w:szCs w:val="28"/>
          <w:rtl w:val="true"/>
          <w:lang w:bidi="fa-IR"/>
        </w:rPr>
        <w:t>قال الشیخ السید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یشرع وضع الجرید ولا الزهور فوق القبر،واما ما رواه البخاری وغیره عن ابن عباس أنّ النبی صلی الله علیه و آله مرّ علی قبرین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یعذبان،وما یعذبان فی کبیر،أمّا هذا فکان لا یستنزه من البول،و أما هذا فکان یمشی بالنمیمة،ثمّ دعا بعسیب رطب فشقّه باثنین،ثمّ غرس علی هذا واحداً،وعلی هذا واحداً،وقال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یخفّف عنهما ما لم ییبسا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أجاب عنه الخطابی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غرسه شقّ العسیب علی القبر،وقوله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یخفّف عنهما ما لم ییبسا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ناحیة التبرّک بأثر النبی صلی الله علیه و آله ودعائه بالتخفیف عنهما وکأنّه صلی الله علیه و آله جعل مدة بقاء النداوة فیهما حداً لما وقعت به المسألة من تخفیف العذاب عنهما،ولیس ذلک من أجل أن فی الجرید الرّطب معنی لیس فی الیابس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والعامّة فی کثیر من البلدان تفرش الخوص فی قبور موتاهم،وأراهم ذهبوا إلی هذا ولیس لما تعاطوه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الخطابی صحیح،و هذا هو الذی فهمه أصحاب رسول الله صلی الله علیه و آله،إذ لم ینقل عن أحد منهم أنّه وضع جریداً ولا أزهاراً علی قبر سوی بریدة الأسلمی،فإنّه أوصی أن یجعل فی قبره جریدتان،رواه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ویبعد أن یکون وضع الجرید مشروعاً ویخفی علی جمیع الصّحابة ما عدا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فی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 بریدة حمل الحدیث علی عمومه،ولم یره خاصّاً بذینک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ویظهر من تصرّف البخاری أنّ ذلک خاص بهما،فلذلک عقّبه بقول ابن عمر حین رأی فسطاطاً علی قبرعبدالرحمن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انزعه یا غلام فإنّما یظله عمله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کلام ابن عمر ما یشعر بأنّه لا تأثیر لما یوضع علی القبر،بل التأثیر للعمل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تموت وفی بطنها جنین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المرأة وفی بطنها جنین حی وجب شقّ بطنها لإخراج الجنین إذا کانت حیاته مرجوة،ویعرف ذلک بواسطة الأطباء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الکتابیة تموت وهی حامل من مسلم تدفن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البیهقی عن واثلة‌بن الأسقع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دفن امرأة نصرانیة فی بطنها ولد مسلم فی مقبرة لیست بمقبرة النّصاری ولا المسلمین،واختار هذا الإمام أحمد لأنّها کافرة لا تدفن فی مقبرة المسلمین،فیتأذوا بعذابها،ولا فی مقبرة الکفار لأن ولدها مسلم فیتأذی بعذابهم</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والتحقیق أنّ الشیخ السید السابق فی بدایة البحث یعلن عدم المشروعیة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لایشرع وضع الجرید ولاالزهور فوق القبر،ثم یوإلیه بما یدل علی المشروعیة بکل وضوح،فیقول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البخاری وغیره عن ابن عباس عن النبی صلی الله علیه و آله،بأنّه صلی الله علیه و آله أمر بوضع الجرید وبما أن سند الروایة معتبر ودلالتها واضحة تصلح أن تکون مدرکاً تاماً للحکم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بادر السید السابق إلی ردّ هذا الدلیل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أجاب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حاصله تأویل الروایة وردّها بالاستحسان العقلی بحسب ذوقه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قاله الخطّابی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ما یستحسنه العقل علی خلاف النقل المعتبر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فهمه أصحاب رسول الله صلی الله علیه و آله،إذ لم ینقل عن أحد منهم أنّه وضع جریداً علی قبر سوی بریدة الأسلمی،فإنّه أوصی أن یجعل فی قبره جریدتان،رواه البخاری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والتحقیق‌أن عدم نقل‌العمل المستحب</w:t>
      </w:r>
      <w:bookmarkStart w:id="1176" w:name="pg5240_59375"/>
    </w:p>
    <w:p>
      <w:pPr>
        <w:pStyle w:val="BookText"/>
        <w:rPr/>
      </w:pPr>
      <w:bookmarkEnd w:id="1176"/>
      <w:r>
        <w:rPr>
          <w:rFonts w:ascii="IRNazanin" w:hAnsi="IRNazanin" w:eastAsia="IRNazanin"/>
          <w:color w:val="111111"/>
          <w:sz w:val="28"/>
          <w:sz w:val="28"/>
          <w:szCs w:val="28"/>
          <w:rtl w:val="true"/>
          <w:lang w:bidi="fa-IR"/>
        </w:rPr>
        <w:t>عن‌أکثرالأصحاب لایدل علی‌عدم مشروعیته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ویبعد أن یکون وضع الجرید مشروعاً ویخفی علی جمیع الصحابة ماعدا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أنّه لا یبعد عدم نقل العمل المستحب من الصحابة بل یبعد کل البعید أن یکون عمل بریدة الأسلمی الذی هو من کبار الأصحاب،علی خلاف الشرع؛لأنّ الحکم بعدم مشروعیة وضع الجرید یستلزم عدم مشروعیة عمل بریدة الأسلمی،کما یستلزم ردّ الحدیث المعتبر المنقول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فی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 بریدة حمل الحدیث علی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یؤکد علی صحة الحدیث ومشروعیة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ویظهر من تصرف البخاری أنّ ذلک خاص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یعلنه ابن رشد بحسب فهمه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رأی البخاری غیر ظاهر بالاختصاص فی مورد خاص مع أنّ التخصیص بحاجة إلی الدلیل ولا یخضع لفهم الاشخاص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وضع الجریدة فی القبر وارد فی النص المعتبر بحسب نقل البخاری وعمل‌به الصحابی المعروف بریدة‌الأسلمی،وعمل بمقتضی هذا النص‌کثیر من المسلمین کما قال الخطّابی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والعامة فی کثیر من البلدان تفرش الخوص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 من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قبور موتاهم،وأراهم ذهبوا إلی هذا أی إلی الحدیث</w:t>
      </w:r>
      <w:r>
        <w:rPr>
          <w:rFonts w:eastAsia="IRNazanin" w:cs="IRNazanin"/>
          <w:color w:val="111111"/>
          <w:sz w:val="28"/>
          <w:szCs w:val="28"/>
          <w:rtl w:val="true"/>
          <w:lang w:bidi="fa-IR"/>
        </w:rPr>
        <w:t>.</w:t>
      </w:r>
    </w:p>
    <w:p>
      <w:pPr>
        <w:pStyle w:val="Heading4"/>
        <w:numPr>
          <w:ilvl w:val="3"/>
          <w:numId w:val="1"/>
        </w:numPr>
        <w:rPr/>
      </w:pPr>
      <w:bookmarkStart w:id="1177" w:name="__RefHeading___Toc363276_581953129"/>
      <w:bookmarkStart w:id="1178" w:name="_Toc492"/>
      <w:bookmarkEnd w:id="1177"/>
      <w:r>
        <w:rPr>
          <w:rtl w:val="true"/>
        </w:rPr>
        <w:t>منشأ الاختلاف</w:t>
      </w:r>
      <w:bookmarkEnd w:id="117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هناک ناشئ من الإجتهاد فی مقابل النص،فإنّ وضع الجریدتین فی القبر،ورد فی النص عن الطریقین فعمل به أتباع آل البیت علیهم السلام وترکه أبناء السنة،إعتماداً علی الاستحسان العقلی</w:t>
      </w:r>
      <w:r>
        <w:rPr>
          <w:rFonts w:eastAsia="IRNazanin" w:cs="IRNazanin"/>
          <w:color w:val="111111"/>
          <w:sz w:val="28"/>
          <w:szCs w:val="28"/>
          <w:rtl w:val="true"/>
          <w:lang w:bidi="fa-IR"/>
        </w:rPr>
        <w:t>.</w:t>
      </w:r>
      <w:bookmarkStart w:id="1179" w:name="pg5240_59376"/>
    </w:p>
    <w:p>
      <w:pPr>
        <w:pStyle w:val="Heading3"/>
        <w:numPr>
          <w:ilvl w:val="2"/>
          <w:numId w:val="1"/>
        </w:numPr>
        <w:rPr/>
      </w:pPr>
      <w:bookmarkStart w:id="1180" w:name="__RefHeading___Toc363278_581953129"/>
      <w:bookmarkStart w:id="1181" w:name="_Toc493"/>
      <w:bookmarkEnd w:id="1179"/>
      <w:bookmarkEnd w:id="1180"/>
      <w:r>
        <w:rPr>
          <w:rtl w:val="true"/>
        </w:rPr>
        <w:t>الخلاصة</w:t>
      </w:r>
      <w:bookmarkEnd w:id="1181"/>
    </w:p>
    <w:p>
      <w:pPr>
        <w:pStyle w:val="BookText"/>
        <w:rPr/>
      </w:pPr>
      <w:r>
        <w:rPr>
          <w:rFonts w:ascii="IRNazanin" w:hAnsi="IRNazanin" w:eastAsia="IRNazanin"/>
          <w:color w:val="111111"/>
          <w:sz w:val="28"/>
          <w:sz w:val="28"/>
          <w:szCs w:val="28"/>
          <w:rtl w:val="true"/>
          <w:lang w:bidi="fa-IR"/>
        </w:rPr>
        <w:t>تصح صلاة المیت بخمس تکبیرات علی المذاهب الإسلامیة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تکبیرات فی صلاة المیت رأی عمر ابن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الجریدة فی القبر غیر مشروع عند فقهاء السنة علی أساس اجتهادهم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یستحب عند فقهاء الشیعة،إعتماد علی النص الوارد هناک</w:t>
      </w:r>
      <w:r>
        <w:rPr>
          <w:rFonts w:eastAsia="IRNazanin" w:cs="IRNazanin"/>
          <w:color w:val="111111"/>
          <w:sz w:val="28"/>
          <w:szCs w:val="28"/>
          <w:rtl w:val="true"/>
          <w:lang w:bidi="fa-IR"/>
        </w:rPr>
        <w:t>.</w:t>
      </w:r>
      <w:bookmarkStart w:id="1182" w:name="pg5240_59377"/>
    </w:p>
    <w:p>
      <w:pPr>
        <w:pStyle w:val="Heading3"/>
        <w:numPr>
          <w:ilvl w:val="2"/>
          <w:numId w:val="1"/>
        </w:numPr>
        <w:rPr/>
      </w:pPr>
      <w:bookmarkStart w:id="1183" w:name="__RefHeading___Toc363280_581953129"/>
      <w:bookmarkStart w:id="1184" w:name="_Toc494"/>
      <w:bookmarkEnd w:id="1182"/>
      <w:bookmarkEnd w:id="1183"/>
      <w:r>
        <w:rPr>
          <w:rtl w:val="true"/>
        </w:rPr>
        <w:t>الأسئلة</w:t>
      </w:r>
      <w:bookmarkEnd w:id="1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الأحق بالإمامة فی صلاة المیت؟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الصلاة علی الشهید؟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وضع الجریدة فی القبر؟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وضع الجرید منصوصاً هناک؟</w:t>
      </w:r>
      <w:bookmarkStart w:id="1185" w:name="pg5240_59379"/>
    </w:p>
    <w:p>
      <w:pPr>
        <w:pStyle w:val="Heading2"/>
        <w:numPr>
          <w:ilvl w:val="1"/>
          <w:numId w:val="1"/>
        </w:numPr>
        <w:rPr/>
      </w:pPr>
      <w:bookmarkStart w:id="1186" w:name="__RefHeading___Toc363282_581953129"/>
      <w:bookmarkStart w:id="1187" w:name="_Toc495"/>
      <w:bookmarkEnd w:id="1185"/>
      <w:bookmarkEnd w:id="1186"/>
      <w:r>
        <w:rPr/>
        <w:t>18</w:t>
      </w:r>
      <w:r>
        <w:rPr>
          <w:rtl w:val="true"/>
        </w:rPr>
        <w:t xml:space="preserve">- </w:t>
      </w:r>
      <w:r>
        <w:rPr>
          <w:rtl w:val="true"/>
        </w:rPr>
        <w:t>کتاب الصوم</w:t>
      </w:r>
      <w:bookmarkEnd w:id="1187"/>
    </w:p>
    <w:p>
      <w:pPr>
        <w:pStyle w:val="Heading3"/>
        <w:numPr>
          <w:ilvl w:val="2"/>
          <w:numId w:val="1"/>
        </w:numPr>
        <w:rPr/>
      </w:pPr>
      <w:bookmarkStart w:id="1188" w:name="__RefHeading___Toc363284_581953129"/>
      <w:bookmarkStart w:id="1189" w:name="_Toc496"/>
      <w:bookmarkEnd w:id="1188"/>
      <w:r>
        <w:rPr>
          <w:rtl w:val="true"/>
        </w:rPr>
        <w:t>اشارة</w:t>
      </w:r>
      <w:bookmarkEnd w:id="1189"/>
    </w:p>
    <w:p>
      <w:pPr>
        <w:pStyle w:val="BookText"/>
        <w:rPr/>
      </w:pPr>
      <w:r>
        <w:rPr>
          <w:rFonts w:ascii="IRNazanin" w:hAnsi="IRNazanin" w:eastAsia="IRNazanin"/>
          <w:color w:val="111111"/>
          <w:sz w:val="28"/>
          <w:sz w:val="28"/>
          <w:szCs w:val="28"/>
          <w:rtl w:val="true"/>
          <w:lang w:bidi="fa-IR"/>
        </w:rPr>
        <w:t>إنّ الصوم من ضرورات الدین وأرکانه ولا خلاف فی معظم المسائل بین المذاهب کلّها إلاّ بالنسبة إلی بعض الخصائص و هو بالتفصیل التالی</w:t>
      </w:r>
      <w:r>
        <w:rPr>
          <w:rFonts w:eastAsia="IRNazanin" w:cs="IRNazanin"/>
          <w:color w:val="111111"/>
          <w:sz w:val="28"/>
          <w:szCs w:val="28"/>
          <w:rtl w:val="true"/>
          <w:lang w:bidi="fa-IR"/>
        </w:rPr>
        <w:t>:</w:t>
      </w:r>
    </w:p>
    <w:p>
      <w:pPr>
        <w:pStyle w:val="Heading3"/>
        <w:numPr>
          <w:ilvl w:val="2"/>
          <w:numId w:val="1"/>
        </w:numPr>
        <w:rPr/>
      </w:pPr>
      <w:bookmarkStart w:id="1190" w:name="__RefHeading___Toc363286_581953129"/>
      <w:bookmarkStart w:id="1191" w:name="_Toc497"/>
      <w:bookmarkEnd w:id="1190"/>
      <w:r>
        <w:rPr>
          <w:rtl w:val="true"/>
        </w:rPr>
        <w:t>الإشتراط بالعقل</w:t>
      </w:r>
      <w:bookmarkEnd w:id="1191"/>
    </w:p>
    <w:p>
      <w:pPr>
        <w:pStyle w:val="Heading4"/>
        <w:numPr>
          <w:ilvl w:val="3"/>
          <w:numId w:val="1"/>
        </w:numPr>
        <w:rPr/>
      </w:pPr>
      <w:bookmarkStart w:id="1192" w:name="__RefHeading___Toc363288_581953129"/>
      <w:bookmarkStart w:id="1193" w:name="_Toc498"/>
      <w:bookmarkEnd w:id="1192"/>
      <w:r>
        <w:rPr>
          <w:rtl w:val="true"/>
        </w:rPr>
        <w:t>اشارة</w:t>
      </w:r>
      <w:bookmarkEnd w:id="1193"/>
    </w:p>
    <w:p>
      <w:pPr>
        <w:pStyle w:val="BookText"/>
        <w:rPr/>
      </w:pPr>
      <w:r>
        <w:rPr>
          <w:rFonts w:ascii="IRNazanin" w:hAnsi="IRNazanin" w:eastAsia="IRNazanin"/>
          <w:color w:val="111111"/>
          <w:sz w:val="28"/>
          <w:sz w:val="28"/>
          <w:szCs w:val="28"/>
          <w:rtl w:val="true"/>
          <w:lang w:bidi="fa-IR"/>
        </w:rPr>
        <w:t>اتّفقت الآراءبالنسبة إلی کون العقل شرطاً لصحّة الصوم ووجوبه وأنّه لامجال لصحّة الصوم مع فقدان العقل فی الوقت کلّه و إنّما الخلاف فیما إذا توفّر العقل فی بعض الوقت وزال فی بعضه،وتفصیل الاختلاف بالنسبة إلی ذاک الحقل بما یلی</w:t>
      </w:r>
      <w:r>
        <w:rPr>
          <w:rFonts w:eastAsia="IRNazanin" w:cs="IRNazanin"/>
          <w:color w:val="111111"/>
          <w:sz w:val="28"/>
          <w:szCs w:val="28"/>
          <w:rtl w:val="true"/>
          <w:lang w:bidi="fa-IR"/>
        </w:rPr>
        <w:t>:</w:t>
      </w:r>
    </w:p>
    <w:p>
      <w:pPr>
        <w:pStyle w:val="Heading4"/>
        <w:numPr>
          <w:ilvl w:val="3"/>
          <w:numId w:val="1"/>
        </w:numPr>
        <w:rPr/>
      </w:pPr>
      <w:bookmarkStart w:id="1194" w:name="__RefHeading___Toc363290_581953129"/>
      <w:bookmarkStart w:id="1195" w:name="_Toc499"/>
      <w:bookmarkEnd w:id="1194"/>
      <w:r>
        <w:rPr>
          <w:rtl w:val="true"/>
        </w:rPr>
        <w:t>المذهب الجعفری</w:t>
      </w:r>
      <w:bookmarkEnd w:id="119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شرائط صحّة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فلا یصحّ من المجنون ولو أدواراً،و إن کان جنونه فی جزء من النهار،ولا من السکران ولا من المغمی علیه ولو فی بعض النهار و إن سبقت منه النیة علی الأصحّ</w:t>
      </w:r>
      <w:r>
        <w:rPr>
          <w:rFonts w:eastAsia="IRNazanin" w:cs="IRNazanin"/>
          <w:color w:val="111111"/>
          <w:sz w:val="28"/>
          <w:szCs w:val="28"/>
          <w:rtl w:val="true"/>
          <w:lang w:bidi="fa-IR"/>
        </w:rPr>
        <w:t xml:space="preserve">. </w:t>
      </w:r>
      <w:r>
        <w:rPr>
          <w:rStyle w:val="FootnoteAnchor"/>
          <w:rtl w:val="true"/>
        </w:rPr>
        <w:footnoteReference w:id="563"/>
      </w:r>
      <w:bookmarkStart w:id="1196" w:name="pg5240_59380"/>
    </w:p>
    <w:p>
      <w:pPr>
        <w:pStyle w:val="BookText"/>
        <w:rPr/>
      </w:pPr>
      <w:bookmarkEnd w:id="1196"/>
      <w:r>
        <w:rPr>
          <w:rFonts w:ascii="IRNazanin" w:hAnsi="IRNazanin" w:eastAsia="IRNazanin"/>
          <w:color w:val="111111"/>
          <w:sz w:val="28"/>
          <w:sz w:val="28"/>
          <w:szCs w:val="28"/>
          <w:rtl w:val="true"/>
          <w:lang w:bidi="fa-IR"/>
        </w:rPr>
        <w:t>ذلک؛لاشتراط التکلیف بالعقل و أنّ المجنون مرفوع القلم بلا خلاف و المجنون و السکران و المغمی علیه کلّهم من سنخ واحد فیصدق علی کلّ واحد من هؤلاء أنّه لا عقل له،وعلیه لا یتوجّه الخطاب إلیهم فلم یکونوا مکلّفین بالصوم أداءً وقضاءً لرفع القلم عنهم،وبما أنّ الصوم محددّ بزمان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تمام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إذا زال العقل خلال ذلک أوبعضه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بالجنون أو السکر،أو الإغماء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ینقطع الصوم بانقطاع شرط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ویتحقّق الموضوع لرفع القلم ولا أثر للنیة فی المبدأ إذا لم تستمرّ إلی المنتهی؛لأنّ العبادة لا تنفک عن القصد،ولا فرق فی ذلک کلّه بین أن یکون زوال العقل بسبب إختیاری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المسکرات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أوبسبب خارج عن الاختیارکالمرض ونحوه،ذلک؛لتحقّق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زوال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 القلم وعدم توجّه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الموت موضوع لرفع التکلیف و إن کان بسبب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هناک عدّة نصوص معتبرة،منها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علی‌بن مهزیار عن أبی‌الحسن الثالث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السؤال عن المغمی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لایقضی الصوم ولاالصلاة،وکلّما غلب الله علیه فالله أولی بالعذر</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دلّت علی عدم وجوب الصوم علی المغمی علیه أداءً وقضاءً و أمّا مافات بواسطة السکر فیجب قضاؤه؛لعموم قضاء الفائت ولأنّ السکر یستند إلی الإرادة واستعمال المسکرات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کالجنون و الإغماء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إلی قضاء الله فلا تشمله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فالله أولی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الإسکار قهراً فهو کالإفطار بالعنف</w:t>
      </w:r>
      <w:r>
        <w:rPr>
          <w:rFonts w:eastAsia="IRNazanin" w:cs="IRNazanin"/>
          <w:color w:val="111111"/>
          <w:sz w:val="28"/>
          <w:szCs w:val="28"/>
          <w:rtl w:val="true"/>
          <w:lang w:bidi="fa-IR"/>
        </w:rPr>
        <w:t>.</w:t>
      </w:r>
    </w:p>
    <w:p>
      <w:pPr>
        <w:pStyle w:val="Heading4"/>
        <w:numPr>
          <w:ilvl w:val="3"/>
          <w:numId w:val="1"/>
        </w:numPr>
        <w:rPr/>
      </w:pPr>
      <w:bookmarkStart w:id="1197" w:name="__RefHeading___Toc363292_581953129"/>
      <w:bookmarkStart w:id="1198" w:name="_Toc500"/>
      <w:bookmarkEnd w:id="1197"/>
      <w:r>
        <w:rPr>
          <w:rtl w:val="true"/>
        </w:rPr>
        <w:t>المذهب الحنبلی</w:t>
      </w:r>
      <w:bookmarkEnd w:id="119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الشروط،العقل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الصوم علی مجنون ولا یصحّ منه،لکن لو جنّ فی أثناء یوم من رمضان أو کان مجنوناً وأفاق أثناء یوم رمضان،وجب علیه</w:t>
      </w:r>
      <w:bookmarkStart w:id="1199" w:name="pg5240_59381"/>
    </w:p>
    <w:p>
      <w:pPr>
        <w:pStyle w:val="BookText"/>
        <w:rPr/>
      </w:pPr>
      <w:bookmarkEnd w:id="1199"/>
      <w:r>
        <w:rPr>
          <w:rFonts w:ascii="IRNazanin" w:hAnsi="IRNazanin" w:eastAsia="IRNazanin"/>
          <w:color w:val="111111"/>
          <w:sz w:val="28"/>
          <w:sz w:val="28"/>
          <w:szCs w:val="28"/>
          <w:rtl w:val="true"/>
          <w:lang w:bidi="fa-IR"/>
        </w:rPr>
        <w:t>قضاء ذلک الیوم،و أمّا إذا جنّ یوماً کاملاً،أو أکثر فلا یجب علیه قضاؤه،بخلاف المغمی علیه،فیجب علیه إذا طال زمن الإغماء،والسکران کالمغمی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بین أن یکون السکران معتدیاً بسکره أو لا</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ذلک؛لأنّ الخطاب یتوجّة إلی المغمی علیه و السکران؛لعدم اشتراط التکلیف بعدم الإغماء وعدم السکر کاشتراطه بالعقل</w:t>
      </w:r>
      <w:r>
        <w:rPr>
          <w:rFonts w:eastAsia="IRNazanin" w:cs="IRNazanin"/>
          <w:color w:val="111111"/>
          <w:sz w:val="28"/>
          <w:szCs w:val="28"/>
          <w:rtl w:val="true"/>
          <w:lang w:bidi="fa-IR"/>
        </w:rPr>
        <w:t>.</w:t>
      </w:r>
    </w:p>
    <w:p>
      <w:pPr>
        <w:pStyle w:val="Heading4"/>
        <w:numPr>
          <w:ilvl w:val="3"/>
          <w:numId w:val="1"/>
        </w:numPr>
        <w:rPr/>
      </w:pPr>
      <w:bookmarkStart w:id="1200" w:name="__RefHeading___Toc363294_581953129"/>
      <w:bookmarkStart w:id="1201" w:name="_Toc501"/>
      <w:bookmarkEnd w:id="1200"/>
      <w:r>
        <w:rPr>
          <w:rtl w:val="true"/>
        </w:rPr>
        <w:t>المذهب الحنفی</w:t>
      </w:r>
      <w:bookmarkEnd w:id="1201"/>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الصوم العقل؛فلا یجب علی المجنون حال جنونه،و إذا أفاق بعد فراغ الشهر فلا یجب علیه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المجنون،المغمی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جنّ نصف الشهر ثمّ أفاق وجب علیه صیام مابقی وقضاء مافات</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ذلک؛لعدم توجّه الخطاب إلی المجنون و المغمی علیه لزوال العقل ویشترط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زوال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مستوعباً تمام الشهر ولو لم یکن کذلک لم یمنع عن توجّه الخطاب</w:t>
      </w:r>
      <w:r>
        <w:rPr>
          <w:rFonts w:eastAsia="IRNazanin" w:cs="IRNazanin"/>
          <w:color w:val="111111"/>
          <w:sz w:val="28"/>
          <w:szCs w:val="28"/>
          <w:rtl w:val="true"/>
          <w:lang w:bidi="fa-IR"/>
        </w:rPr>
        <w:t>.</w:t>
      </w:r>
    </w:p>
    <w:p>
      <w:pPr>
        <w:pStyle w:val="Heading4"/>
        <w:numPr>
          <w:ilvl w:val="3"/>
          <w:numId w:val="1"/>
        </w:numPr>
        <w:rPr/>
      </w:pPr>
      <w:bookmarkStart w:id="1202" w:name="__RefHeading___Toc363296_581953129"/>
      <w:bookmarkStart w:id="1203" w:name="_Toc502"/>
      <w:bookmarkEnd w:id="1202"/>
      <w:r>
        <w:rPr>
          <w:rtl w:val="true"/>
        </w:rPr>
        <w:t>المذهب الشافعی</w:t>
      </w:r>
      <w:bookmarkEnd w:id="1203"/>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الصوم،العقل،فلا یجب علی المجنون إلاّ إذا کان زوال عقله بتعدّیه،فإنّه یلزمه قضاؤه بعد الإفاقة ومثله السکران إن کان متعدّیاً بسکره فیلزمه قضاؤه،و إن کان غیر متعدّ کما إذا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عن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یطالب بقضاء زمن السکر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المغمی علیه فیجب علیه القضاء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متعدیاً بسب الإغماء أم لا</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ذلک لعدم توجّه الخطاب إلی المجنون و السکران لزوال العقل</w:t>
      </w:r>
      <w:r>
        <w:rPr>
          <w:rFonts w:eastAsia="IRNazanin" w:cs="IRNazanin"/>
          <w:color w:val="111111"/>
          <w:sz w:val="28"/>
          <w:szCs w:val="28"/>
          <w:rtl w:val="true"/>
          <w:lang w:bidi="fa-IR"/>
        </w:rPr>
        <w:t>.</w:t>
      </w:r>
      <w:bookmarkStart w:id="1204" w:name="pg5240_59382"/>
    </w:p>
    <w:p>
      <w:pPr>
        <w:pStyle w:val="BookText"/>
        <w:rPr/>
      </w:pPr>
      <w:bookmarkEnd w:id="1204"/>
      <w:r>
        <w:rPr>
          <w:rFonts w:ascii="IRNazanin" w:hAnsi="IRNazanin" w:eastAsia="IRNazanin"/>
          <w:color w:val="111111"/>
          <w:sz w:val="28"/>
          <w:sz w:val="28"/>
          <w:szCs w:val="28"/>
          <w:rtl w:val="true"/>
          <w:lang w:bidi="fa-IR"/>
        </w:rPr>
        <w:t>ویشترط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زوال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بسوء اختیار المکلف وإلاّ فیتوجّه الخطاب إلیه؛لأنّ الامتناع بالاختیار لاینافی الاختیار</w:t>
      </w:r>
      <w:r>
        <w:rPr>
          <w:rFonts w:eastAsia="IRNazanin" w:cs="IRNazanin"/>
          <w:color w:val="111111"/>
          <w:sz w:val="28"/>
          <w:szCs w:val="28"/>
          <w:rtl w:val="true"/>
          <w:lang w:bidi="fa-IR"/>
        </w:rPr>
        <w:t>.</w:t>
      </w:r>
    </w:p>
    <w:p>
      <w:pPr>
        <w:pStyle w:val="Heading4"/>
        <w:numPr>
          <w:ilvl w:val="3"/>
          <w:numId w:val="1"/>
        </w:numPr>
        <w:rPr/>
      </w:pPr>
      <w:bookmarkStart w:id="1205" w:name="__RefHeading___Toc363298_581953129"/>
      <w:bookmarkStart w:id="1206" w:name="_Toc503"/>
      <w:bookmarkEnd w:id="1205"/>
      <w:r>
        <w:rPr>
          <w:rtl w:val="true"/>
        </w:rPr>
        <w:t>المذهب المالکی</w:t>
      </w:r>
      <w:bookmarkEnd w:id="1206"/>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الصوم،العقل؛فلا یجب علی المجنون و المغمی علیه ولا یصحّ منهما،و أمّا وجوب القضاء ففیه تفصیل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زوال العقل مستوعباً تمام وقت الصوم أو مستوعباً وقت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القضاء بعد الإفاقة و أمّا إذا کان مضیقاً وقت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ونوی قبل زوال العقل یصحّ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القضاء و السکران‌کالمغمی علیه</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ذلک؛لأنّ العبادة وثیقة الصلة بالنیة نفیاً وإثباتاً بلا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کان الاستدلال بصورة موجزة و أمّا تفصیل الاستدلال فهو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وجملة ذلک أنّه متی اغمی علیه جمیع النهار فلم یفق فی شیء منه لم یصحّ صومه فی قول إمامنا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یصحّ؛لأنّ النیة قد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وزوال الاستعشار بعد ذلک لایمنع صحّة الصوم کالنوم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الصوم هو الإمساک مع النیة،فإذا کان مغمی علیه فلا یضاف الإمساک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یصحّ استناد العمل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یجزئه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النوم فإنّه عادة ولا یزیل الإحساس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والإغماء عارض یزیل العقل فأشبه الجنون ومتی فسد الصوم به فعلی المغمی علیه القضاء بغیر خلاف علمناه؛لأنّ مدّته لاتتطاول غالباً ولا تثبت الولایة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کالولایة علی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التکلیف به وقضاء العبادات کالنوم،ومتی أفاق المغمی علیه فی جزء من النهار صحّ صومه سواء کان فی أوّله أو آخره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الشافعی 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الإفاقة فی أوّل النهار لیحصل حکم النیة فی</w:t>
      </w:r>
      <w:bookmarkStart w:id="1207" w:name="pg5240_59383"/>
    </w:p>
    <w:p>
      <w:pPr>
        <w:pStyle w:val="BookText"/>
        <w:rPr/>
      </w:pPr>
      <w:bookmarkEnd w:id="1207"/>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حکمه حکم الإغماء إلاّ أنّه إذا وجد فی جمیع النهار لم یجب قضاؤه؛ذلک لرفع التکلیف وثبوت الولایة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أفاق المجنون فی جزء من رمضان لزمه قضاء ما مضی منه؛لأنّه أدرک جزءاً من رمضان و هو ما عقل فلزمه صیامه،کما لو أفاق فی جزء من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الجنون فی جزء من النهار أفسد الصوم؛لأنّه معنی یمنع وجوب الصوم فأفسده وجوده فی بعضه کالحیض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معنی یمنع الوجوب إذا وجد فی جمیع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مستوعباً لایمنع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علی الشافعی أنّه زوال عقل فی بعض النهار فلم یمنع صحّة الصوم کالإغماء و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ویفارق الحیض،فإنّ الحیض لایمنع الوجوب و إنّما یجوّز تأخیر الصوم ویحرم فعله،فلا یصحّ قیاس الجنون علیه</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ممّا تقدم،تبین لنا أنّ المقصود من الجنون الّذی یرفع التکلیف هو ما یستوعب تمام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رمضان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 فقط وعلیه إذا أفاق فی بعض أیام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رمضان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الجنون الرافع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الجنون بهذا المستوی ممّا لایمکن المساعدة علیه نصّاً وفتوی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ذلک؛لأنّ کلّ یوم من أیام شهر رمضان المبارک،مستقلّ إطاعة وعصیاناً و هو واضح فیحتاج کلّ یوم إلی نیة خاصّة و إذا زال العقل فی یوم لایضرّ بیوم آخر ولا ینفعه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فالإفاقة فی الیوم اللاحق لایؤثّر فی الیوم السابق الّذی صحبه الجنون</w:t>
      </w:r>
      <w:r>
        <w:rPr>
          <w:rFonts w:eastAsia="IRNazanin" w:cs="IRNazanin"/>
          <w:color w:val="111111"/>
          <w:sz w:val="28"/>
          <w:szCs w:val="28"/>
          <w:rtl w:val="true"/>
          <w:lang w:bidi="fa-IR"/>
        </w:rPr>
        <w:t>.</w:t>
      </w:r>
    </w:p>
    <w:p>
      <w:pPr>
        <w:pStyle w:val="Heading4"/>
        <w:numPr>
          <w:ilvl w:val="3"/>
          <w:numId w:val="1"/>
        </w:numPr>
        <w:rPr/>
      </w:pPr>
      <w:bookmarkStart w:id="1208" w:name="__RefHeading___Toc363300_581953129"/>
      <w:bookmarkStart w:id="1209" w:name="_Toc504"/>
      <w:bookmarkEnd w:id="1208"/>
      <w:r>
        <w:rPr>
          <w:rtl w:val="true"/>
        </w:rPr>
        <w:t>منشأ الاختلاف</w:t>
      </w:r>
      <w:bookmarkEnd w:id="120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ممّا تقدّم أن الاختلاف ناشئ عن الاختلاف بالنسبة إلی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ودوره الإیجابی و السلبی وبما أنّه یوجد نصّ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w:t>
      </w:r>
      <w:bookmarkStart w:id="1210" w:name="pg5240_59384"/>
    </w:p>
    <w:p>
      <w:pPr>
        <w:pStyle w:val="BookText"/>
        <w:rPr/>
      </w:pPr>
      <w:bookmarkEnd w:id="1210"/>
      <w:r>
        <w:rPr>
          <w:rFonts w:ascii="IRNazanin" w:hAnsi="IRNazanin" w:eastAsia="IRNazanin"/>
          <w:color w:val="111111"/>
          <w:sz w:val="28"/>
          <w:sz w:val="28"/>
          <w:szCs w:val="28"/>
          <w:rtl w:val="true"/>
          <w:lang w:bidi="fa-IR"/>
        </w:rPr>
        <w:t>رفع القلم عن المجنون،وبما أنّ الجنون و الإغماء و السکر،کلّها من سنخ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زوال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فعندئذکان مقتضی إطلاق النصّ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التکلیف أداءً وقضاءً إلاّ أنّ السکر بسوء اختیار المکلف یوجب القضاء</w:t>
      </w:r>
      <w:r>
        <w:rPr>
          <w:rFonts w:eastAsia="IRNazanin" w:cs="IRNazanin"/>
          <w:color w:val="111111"/>
          <w:sz w:val="28"/>
          <w:szCs w:val="28"/>
          <w:rtl w:val="true"/>
          <w:lang w:bidi="fa-IR"/>
        </w:rPr>
        <w:t>.</w:t>
      </w:r>
    </w:p>
    <w:p>
      <w:pPr>
        <w:pStyle w:val="Heading3"/>
        <w:numPr>
          <w:ilvl w:val="2"/>
          <w:numId w:val="1"/>
        </w:numPr>
        <w:rPr/>
      </w:pPr>
      <w:bookmarkStart w:id="1211" w:name="__RefHeading___Toc363302_581953129"/>
      <w:bookmarkStart w:id="1212" w:name="_Toc505"/>
      <w:bookmarkEnd w:id="1211"/>
      <w:r>
        <w:rPr>
          <w:rtl w:val="true"/>
        </w:rPr>
        <w:t>سلامة البدن من المرض</w:t>
      </w:r>
      <w:bookmarkEnd w:id="1212"/>
    </w:p>
    <w:p>
      <w:pPr>
        <w:pStyle w:val="Heading4"/>
        <w:numPr>
          <w:ilvl w:val="3"/>
          <w:numId w:val="1"/>
        </w:numPr>
        <w:rPr/>
      </w:pPr>
      <w:bookmarkStart w:id="1213" w:name="__RefHeading___Toc363304_581953129"/>
      <w:bookmarkStart w:id="1214" w:name="_Toc506"/>
      <w:bookmarkEnd w:id="1213"/>
      <w:r>
        <w:rPr>
          <w:rtl w:val="true"/>
        </w:rPr>
        <w:t>اشارة</w:t>
      </w:r>
      <w:bookmarkEnd w:id="1214"/>
    </w:p>
    <w:p>
      <w:pPr>
        <w:pStyle w:val="BookText"/>
        <w:rPr/>
      </w:pPr>
      <w:r>
        <w:rPr>
          <w:rFonts w:ascii="IRNazanin" w:hAnsi="IRNazanin" w:eastAsia="IRNazanin"/>
          <w:color w:val="111111"/>
          <w:sz w:val="28"/>
          <w:sz w:val="28"/>
          <w:szCs w:val="28"/>
          <w:rtl w:val="true"/>
          <w:lang w:bidi="fa-IR"/>
        </w:rPr>
        <w:t>اختلفت الآراء بالنسبة إلی کون السلامة هناک شرطاً لصحّة الصوم وعدم کونها کذلک،وتفصیل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215" w:name="__RefHeading___Toc363306_581953129"/>
      <w:bookmarkStart w:id="1216" w:name="_Toc507"/>
      <w:bookmarkEnd w:id="1215"/>
      <w:r>
        <w:rPr>
          <w:rtl w:val="true"/>
        </w:rPr>
        <w:t>المذهب الجعفری</w:t>
      </w:r>
      <w:bookmarkEnd w:id="1216"/>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المرض أو الرمد الّذی یضرّه الصوم لإیجابه شدّته أو طول برئه أو شدّة ألمه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فی تحقّق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الموجب للخوف</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یکون کذلک بلا خلاف فیه،بل هو فی الجملة من الضروریات و قد نطق به قبل النصوص المسفیضة الکتاب العزیز،قال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بناء علی ظهور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فصوموا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الوجوب التعیینی، </w:t>
      </w:r>
      <w:r>
        <w:rPr>
          <w:rStyle w:val="FootnoteAnchor"/>
          <w:rtl w:val="true"/>
        </w:rPr>
        <w:footnoteReference w:id="572"/>
      </w:r>
      <w:r>
        <w:rPr>
          <w:rFonts w:ascii="IRNazanin" w:hAnsi="IRNazanin" w:eastAsia="IRNazanin"/>
          <w:color w:val="111111"/>
          <w:sz w:val="28"/>
          <w:sz w:val="28"/>
          <w:szCs w:val="28"/>
          <w:rtl w:val="true"/>
          <w:lang w:bidi="fa-IR"/>
        </w:rPr>
        <w:t>دلّت الآیة علی أنّ فرض المریض و المسافر هو أیام اخر بعد حصول البرء من المرض وبعد الرجوع من السفر ولا یصحّ الصوم حال المرض و السفر لدلالة الأمر فی قوله تعالی فعدّة من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فصوموا عدّة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الواجب هو صیام عدّة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التعیین،والدلالة ظاهرة تامّة وبها غنی</w:t>
      </w:r>
    </w:p>
    <w:p>
      <w:pPr>
        <w:pStyle w:val="BookText"/>
        <w:rPr/>
      </w:pPr>
      <w:r>
        <w:rPr>
          <w:rFonts w:ascii="IRNazanin" w:hAnsi="IRNazanin" w:eastAsia="IRNazanin"/>
          <w:color w:val="111111"/>
          <w:sz w:val="28"/>
          <w:sz w:val="28"/>
          <w:szCs w:val="28"/>
          <w:rtl w:val="true"/>
          <w:lang w:bidi="fa-IR"/>
        </w:rPr>
        <w:t>وکفایةً فلا حاجة إلی الاستدلال بالنصوص المستفیضة الواردة فی الباب کما أنّه لا حاجة إلی الاستدلال بقاعدة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المقصود من المرض هو الّذی یضرّ بحال الصائم ذلک؛للانصراف أوّلاً ولاستفادته من الروایات الکثیرة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صحیحة عمربن أذنیة فی جواب السؤال عن حدّ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علی نفسه بصیرة ذاک إلیه،هو أعلم بنفسه</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دلّت علی أنّ المانع هو خصوص المرض المضرّ ولذا احیل تشخیصه إلی المکلّف نفسه الّذی هو علی نفسه بصیرة،ولا فرق فی الضرر بین أقسامه من کونه موجباً لشدّة المرض أو طول البرء أو شدّة الألم أو نحو ذلک؛للإطلاق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تحقّق الضرر فیکفی فیه الخوف المتحقّق نتیجة لاحتمال الضرر العقلائی،کما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لأنّه؛مضافاً إلی أنّ الغالب عدم إمکان الإحراز،والخوف طریق 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السفر الّذی فیه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تکفینا صحیحة حریز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إذا خاف علی عینه من الرمد أفطر</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الاکتفاء بالخوف فی الرمد و هو عضو واحد من‌الجسد ففی المرض المستوعب لتمام البدن الّذی هو أشدّ وأقوی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الجملة فالمستفاد من الأدلّة أنّ العبرة بمجرّد الخوف ولا یلزم الظنّ أو الاطمئنان فضلاً عن العلم،بل لایبعد أن یکون هذا طریقاً عقلائیاً فی باب الضرر مطلقاً،لما یفصح عند ما ورد فی مقامات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ماورد فی باب الغسل من أنّه إذا خاف علی نفسه من البرد تیمّم</w:t>
      </w:r>
      <w:r>
        <w:rPr>
          <w:rFonts w:eastAsia="IRNazanin" w:cs="IRNazanin"/>
          <w:color w:val="111111"/>
          <w:sz w:val="28"/>
          <w:szCs w:val="28"/>
          <w:rtl w:val="true"/>
          <w:lang w:bidi="fa-IR"/>
        </w:rPr>
        <w:t xml:space="preserve">. </w:t>
      </w:r>
      <w:r>
        <w:rPr>
          <w:rStyle w:val="FootnoteAnchor"/>
          <w:rtl w:val="true"/>
        </w:rPr>
        <w:footnoteReference w:id="575"/>
      </w:r>
      <w:bookmarkStart w:id="1217" w:name="pg5240_59386"/>
    </w:p>
    <w:p>
      <w:pPr>
        <w:pStyle w:val="Heading4"/>
        <w:numPr>
          <w:ilvl w:val="3"/>
          <w:numId w:val="1"/>
        </w:numPr>
        <w:rPr/>
      </w:pPr>
      <w:bookmarkStart w:id="1218" w:name="__RefHeading___Toc363308_581953129"/>
      <w:bookmarkStart w:id="1219" w:name="_Toc508"/>
      <w:bookmarkEnd w:id="1217"/>
      <w:bookmarkEnd w:id="1218"/>
      <w:r>
        <w:rPr>
          <w:rtl w:val="true"/>
        </w:rPr>
        <w:t>المذاهب الاربعة</w:t>
      </w:r>
      <w:bookmarkEnd w:id="1219"/>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مرض الصائم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علی ظنّه الهلاک أو الضرر الشدید بسبب الصوم،کما إذا خاف تعطیل حاسّة من حواسّه فإنّه یجب علیه الإفطار ویحرم علیه الصوم باتّفاق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زیادة المرض أو تأخّر البرء من المرض فإنّه یجوز له الإفطار</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ونتیجة جواز الإفطار هو التخییر بین الإمساک و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أهل العلم علی إباحة الفطر للمریض،والأصل فیه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،والمرض المبیح للفطر هو الشدید الّذی یزید بالصوم أو یخشی تباطؤ برئه فإذا ثبت هذا فإنّ تحمّل المریض وصام مع هذا فقد فعل مکروهاً؛للإضرار بالنفس،ولترکه تخفیف الله تعالی وقبول رخصته ویصحّ صومه؛لأنّه عزیمة ترکها رخصة</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وبعد ماثبت التخییر بالإجماع یقال إنّ المقصود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القضاء فی صورة اختیار الإفطار،فإذاً لابدّ من الالتزام بالتقدیر فی الآیة،من کان منکم مریضاً أو علی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أیام أخر،علی أساس القرینة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363310_581953129"/>
      <w:bookmarkStart w:id="1221" w:name="_Toc509"/>
      <w:bookmarkEnd w:id="1220"/>
      <w:r>
        <w:rPr>
          <w:rtl w:val="true"/>
        </w:rPr>
        <w:t>منشأ الاختلاف</w:t>
      </w:r>
      <w:bookmarkEnd w:id="122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أنّ الاختلاف ناشئ عن الاختلاف فی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 وإجماعاً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بنا أنّه توجد نصوص معتبرة من طریق آل‌البیت علیهم السلام دالّة علی أنّ الإفطار فی السفر عزیمة</w:t>
      </w:r>
      <w:bookmarkStart w:id="1222" w:name="pg5240_59387"/>
    </w:p>
    <w:p>
      <w:pPr>
        <w:pStyle w:val="BookText"/>
        <w:rPr/>
      </w:pPr>
      <w:bookmarkEnd w:id="1222"/>
      <w:r>
        <w:rPr>
          <w:rFonts w:ascii="IRNazanin" w:hAnsi="IRNazanin" w:eastAsia="IRNazanin"/>
          <w:color w:val="111111"/>
          <w:sz w:val="28"/>
          <w:sz w:val="28"/>
          <w:szCs w:val="28"/>
          <w:rtl w:val="true"/>
          <w:lang w:bidi="fa-IR"/>
        </w:rPr>
        <w:t>وکما مرّ بنا أنّه تحقّق الإجماع عند أهل العلم من أبناء السنّة علی أنّ الإفطار للمرض رخصة،فتختلف المبانی الاستنباطیة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مقتضی القاعدة فی باب التعارض هو الأخذ بالجانب الّذی وافق الکتاب،وعلیه تتقدّم النصوص الواردة من طریق آل‌البیت علیهم السلام؛لکونها موافقة لظاهر الکتاب فإنّ الآیة المذکورة بظاهرها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تعیین الإفطار فی السفر و أمّا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مؤدّی الإجماع علی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ظاهر الآیة ویحتاج إلی التقدیر؛أضف إلی ذلک أنّ الإجماع غیر صالح للمعارض مع النصّ</w:t>
      </w:r>
      <w:r>
        <w:rPr>
          <w:rFonts w:eastAsia="IRNazanin" w:cs="IRNazanin"/>
          <w:color w:val="111111"/>
          <w:sz w:val="28"/>
          <w:szCs w:val="28"/>
          <w:rtl w:val="true"/>
          <w:lang w:bidi="fa-IR"/>
        </w:rPr>
        <w:t>.</w:t>
      </w:r>
    </w:p>
    <w:p>
      <w:pPr>
        <w:pStyle w:val="Heading3"/>
        <w:numPr>
          <w:ilvl w:val="2"/>
          <w:numId w:val="1"/>
        </w:numPr>
        <w:rPr/>
      </w:pPr>
      <w:bookmarkStart w:id="1223" w:name="__RefHeading___Toc363312_581953129"/>
      <w:bookmarkStart w:id="1224" w:name="_Toc510"/>
      <w:bookmarkEnd w:id="1223"/>
      <w:r>
        <w:rPr>
          <w:rtl w:val="true"/>
        </w:rPr>
        <w:t>السفر الّذی یوجب الإفطار</w:t>
      </w:r>
      <w:bookmarkEnd w:id="1224"/>
    </w:p>
    <w:p>
      <w:pPr>
        <w:pStyle w:val="Heading4"/>
        <w:numPr>
          <w:ilvl w:val="3"/>
          <w:numId w:val="1"/>
        </w:numPr>
        <w:rPr/>
      </w:pPr>
      <w:bookmarkStart w:id="1225" w:name="__RefHeading___Toc363314_581953129"/>
      <w:bookmarkStart w:id="1226" w:name="_Toc511"/>
      <w:bookmarkEnd w:id="1225"/>
      <w:r>
        <w:rPr>
          <w:rtl w:val="true"/>
        </w:rPr>
        <w:t>اشارة</w:t>
      </w:r>
      <w:bookmarkEnd w:id="1226"/>
    </w:p>
    <w:p>
      <w:pPr>
        <w:pStyle w:val="BookText"/>
        <w:rPr/>
      </w:pPr>
      <w:r>
        <w:rPr>
          <w:rFonts w:ascii="IRNazanin" w:hAnsi="IRNazanin" w:eastAsia="IRNazanin"/>
          <w:color w:val="111111"/>
          <w:sz w:val="28"/>
          <w:sz w:val="28"/>
          <w:szCs w:val="28"/>
          <w:rtl w:val="true"/>
          <w:lang w:bidi="fa-IR"/>
        </w:rPr>
        <w:t>تحقّق الاختلاف بین المذهب الجعفری و المذاهب الأربعة بالنسبة إلی الإفطار فی السفر الشرعی بنفس الاختلاف الّذی تحقّق بین الجانبین بالنسبة إلی المرض الموجب للإفطار</w:t>
      </w:r>
      <w:r>
        <w:rPr>
          <w:rFonts w:eastAsia="IRNazanin" w:cs="IRNazanin"/>
          <w:color w:val="111111"/>
          <w:sz w:val="28"/>
          <w:szCs w:val="28"/>
          <w:rtl w:val="true"/>
          <w:lang w:bidi="fa-IR"/>
        </w:rPr>
        <w:t>.</w:t>
      </w:r>
    </w:p>
    <w:p>
      <w:pPr>
        <w:pStyle w:val="Heading4"/>
        <w:numPr>
          <w:ilvl w:val="3"/>
          <w:numId w:val="1"/>
        </w:numPr>
        <w:rPr/>
      </w:pPr>
      <w:bookmarkStart w:id="1227" w:name="__RefHeading___Toc363316_581953129"/>
      <w:bookmarkStart w:id="1228" w:name="_Toc512"/>
      <w:bookmarkEnd w:id="1227"/>
      <w:r>
        <w:rPr>
          <w:rtl w:val="true"/>
        </w:rPr>
        <w:t>المذهب الجعفری</w:t>
      </w:r>
      <w:bookmarkEnd w:id="122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لایجوز الصوم فی السفر إلاّ ما ثبت صحّته بدلیل خاصّ کالصوم بدل الهدی و الصوم بدل البدنة و الصوم المنذور؛ذلک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تامّة کاملة؛مضافاً إلی النصوص الواردة فی الباب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علیه السلام فی روایة یحیی‌بن أبی‌العلا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فی السفر فی شهر رمضان کالمفطر فیه فی الحضر</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دلّت هذه الروایة علی وجوب الإفطار فی السفر تعییناً</w:t>
      </w:r>
      <w:r>
        <w:rPr>
          <w:rFonts w:eastAsia="IRNazanin" w:cs="IRNazanin"/>
          <w:color w:val="111111"/>
          <w:sz w:val="28"/>
          <w:szCs w:val="28"/>
          <w:rtl w:val="true"/>
          <w:lang w:bidi="fa-IR"/>
        </w:rPr>
        <w:t>.</w:t>
      </w:r>
      <w:bookmarkStart w:id="1229" w:name="pg5240_59388"/>
    </w:p>
    <w:p>
      <w:pPr>
        <w:pStyle w:val="Heading4"/>
        <w:numPr>
          <w:ilvl w:val="3"/>
          <w:numId w:val="1"/>
        </w:numPr>
        <w:rPr/>
      </w:pPr>
      <w:bookmarkStart w:id="1230" w:name="__RefHeading___Toc363318_581953129"/>
      <w:bookmarkStart w:id="1231" w:name="_Toc513"/>
      <w:bookmarkEnd w:id="1229"/>
      <w:bookmarkEnd w:id="1230"/>
      <w:r>
        <w:rPr>
          <w:rtl w:val="true"/>
        </w:rPr>
        <w:t>المذاهب الاربعة</w:t>
      </w:r>
      <w:bookmarkEnd w:id="1231"/>
    </w:p>
    <w:p>
      <w:pPr>
        <w:pStyle w:val="BookText"/>
        <w:rPr/>
      </w:pPr>
      <w:r>
        <w:rPr>
          <w:rFonts w:ascii="IRNazanin" w:hAnsi="IRNazanin" w:eastAsia="IRNazanin"/>
          <w:color w:val="111111"/>
          <w:sz w:val="28"/>
          <w:sz w:val="28"/>
          <w:szCs w:val="28"/>
          <w:rtl w:val="true"/>
          <w:lang w:bidi="fa-IR"/>
        </w:rPr>
        <w:t>یجوز الإفطار فی السفر الشرعی و الجواز هو التخییر بین الإفطار و الصوم فی السفر؛ذلک للنصوص الکثیرة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رسول الله صلی الله علیه و آله نسافر فیتمّ بعضنا ویقصر بعضنا،ویصوم بعضنا ویفطر بعضنا فلایعیب أحد علی أحد،وذلک إجماع الصحابة </w:t>
      </w:r>
      <w:r>
        <w:rPr>
          <w:rStyle w:val="FootnoteAnchor"/>
          <w:rtl w:val="true"/>
        </w:rPr>
        <w:footnoteReference w:id="579"/>
      </w:r>
      <w:r>
        <w:rPr>
          <w:rFonts w:ascii="IRNazanin" w:hAnsi="IRNazanin" w:eastAsia="IRNazanin"/>
          <w:color w:val="111111"/>
          <w:sz w:val="28"/>
          <w:sz w:val="28"/>
          <w:szCs w:val="28"/>
          <w:rtl w:val="true"/>
          <w:lang w:bidi="fa-IR"/>
        </w:rPr>
        <w:t>دلّت هذه الروایة علی أنّ المسافر مخیر بین الإفطار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وقضیة تعارض النصوص والاختلاف تجاه الآیة المذکورة أخذاً بالظاهر و التزاماً بالتقدیر،کلّ ذلک ینسحب علی ما مرّ بنا حول البحث عن المرض المانع عن الصوم</w:t>
      </w:r>
      <w:r>
        <w:rPr>
          <w:rFonts w:eastAsia="IRNazanin" w:cs="IRNazanin"/>
          <w:color w:val="111111"/>
          <w:sz w:val="28"/>
          <w:szCs w:val="28"/>
          <w:rtl w:val="true"/>
          <w:lang w:bidi="fa-IR"/>
        </w:rPr>
        <w:t>.</w:t>
      </w:r>
    </w:p>
    <w:p>
      <w:pPr>
        <w:pStyle w:val="Heading3"/>
        <w:numPr>
          <w:ilvl w:val="2"/>
          <w:numId w:val="1"/>
        </w:numPr>
        <w:rPr/>
      </w:pPr>
      <w:bookmarkStart w:id="1232" w:name="__RefHeading___Toc363320_581953129"/>
      <w:bookmarkStart w:id="1233" w:name="_Toc514"/>
      <w:bookmarkEnd w:id="1232"/>
      <w:r>
        <w:rPr>
          <w:rtl w:val="true"/>
        </w:rPr>
        <w:t>شرط السفر</w:t>
      </w:r>
      <w:bookmarkEnd w:id="1233"/>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یباح الفطر للمسافر علی المذاهب الأربعة بشرط أن یشرع فیه قبل طلوع الفجربحیث یصل إلی المکان الّذی یبدأ فیه قصر الصلاة قبل طلوع الفجر</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ذلک؛للإجماع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حاضراً فخرج إلی السفر فإن کان قبل الزوال وجب علیه الإفطار و إن کان بعده وجب علیه البقاء علی صومه </w:t>
      </w:r>
      <w:r>
        <w:rPr>
          <w:rStyle w:val="FootnoteAnchor"/>
          <w:rtl w:val="true"/>
        </w:rPr>
        <w:footnoteReference w:id="581"/>
      </w:r>
      <w:r>
        <w:rPr>
          <w:rFonts w:ascii="IRNazanin" w:hAnsi="IRNazanin" w:eastAsia="IRNazanin"/>
          <w:color w:val="111111"/>
          <w:sz w:val="28"/>
          <w:sz w:val="28"/>
          <w:szCs w:val="28"/>
          <w:rtl w:val="true"/>
          <w:lang w:bidi="fa-IR"/>
        </w:rPr>
        <w:t>ذلک؛للنصوص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الرجل یخرج من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صائم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 من قبل أن ینتصف النهار فلیفطر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ولیقض ذلک الیوم</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دلّت علی المطلب بوضوح کامل</w:t>
      </w:r>
      <w:r>
        <w:rPr>
          <w:rFonts w:eastAsia="IRNazanin" w:cs="IRNazanin"/>
          <w:color w:val="111111"/>
          <w:sz w:val="28"/>
          <w:szCs w:val="28"/>
          <w:rtl w:val="true"/>
          <w:lang w:bidi="fa-IR"/>
        </w:rPr>
        <w:t>.</w:t>
      </w:r>
      <w:bookmarkStart w:id="1234" w:name="pg5240_59389"/>
    </w:p>
    <w:p>
      <w:pPr>
        <w:pStyle w:val="Heading3"/>
        <w:numPr>
          <w:ilvl w:val="2"/>
          <w:numId w:val="1"/>
        </w:numPr>
        <w:rPr/>
      </w:pPr>
      <w:bookmarkStart w:id="1235" w:name="__RefHeading___Toc363322_581953129"/>
      <w:bookmarkStart w:id="1236" w:name="_Toc515"/>
      <w:bookmarkEnd w:id="1234"/>
      <w:bookmarkEnd w:id="1235"/>
      <w:r>
        <w:rPr>
          <w:rtl w:val="true"/>
        </w:rPr>
        <w:t>استمرار السفر</w:t>
      </w:r>
      <w:bookmarkEnd w:id="123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بنا فی قصر الصلاة أنّ من یستمرّ فی السفر یتمّ صلاته ویجب علیه الصوم علی المذهب الجعفری و هو نفس الرأی علی المذهب الشافعی فی خصوص الصوم کما 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جواز الإفطار فی السفرعلی المذهب الشافعی أن لایکون الشخص مدیماً للسفر،فإن کان مدیماً له حرم علیه الفطر</w:t>
      </w:r>
      <w:r>
        <w:rPr>
          <w:rFonts w:eastAsia="IRNazanin" w:cs="IRNazanin"/>
          <w:color w:val="111111"/>
          <w:sz w:val="28"/>
          <w:szCs w:val="28"/>
          <w:rtl w:val="true"/>
          <w:lang w:bidi="fa-IR"/>
        </w:rPr>
        <w:t xml:space="preserve">. </w:t>
      </w:r>
      <w:r>
        <w:rPr>
          <w:rStyle w:val="FootnoteAnchor"/>
          <w:rtl w:val="true"/>
        </w:rPr>
        <w:footnoteReference w:id="583"/>
      </w:r>
      <w:bookmarkStart w:id="1237" w:name="pg5240_59390"/>
    </w:p>
    <w:p>
      <w:pPr>
        <w:pStyle w:val="Heading3"/>
        <w:numPr>
          <w:ilvl w:val="2"/>
          <w:numId w:val="1"/>
        </w:numPr>
        <w:rPr/>
      </w:pPr>
      <w:bookmarkStart w:id="1238" w:name="__RefHeading___Toc363324_581953129"/>
      <w:bookmarkStart w:id="1239" w:name="_Toc516"/>
      <w:bookmarkEnd w:id="1237"/>
      <w:bookmarkEnd w:id="1238"/>
      <w:r>
        <w:rPr>
          <w:rtl w:val="true"/>
        </w:rPr>
        <w:t>الخلاصة</w:t>
      </w:r>
      <w:bookmarkEnd w:id="1239"/>
    </w:p>
    <w:p>
      <w:pPr>
        <w:pStyle w:val="BookText"/>
        <w:rPr/>
      </w:pPr>
      <w:r>
        <w:rPr>
          <w:rFonts w:ascii="IRNazanin" w:hAnsi="IRNazanin" w:eastAsia="IRNazanin"/>
          <w:color w:val="111111"/>
          <w:sz w:val="28"/>
          <w:sz w:val="28"/>
          <w:szCs w:val="28"/>
          <w:rtl w:val="true"/>
          <w:lang w:bidi="fa-IR"/>
        </w:rPr>
        <w:t>لا یصحّ الصوم مع زوال العقل و إن کان ذلک فی جزء من النهار بعد تحقّق النیة ولا فرق فی ذلک بین الجنون و الإغماء و السکر ولا یجب القضاء إلاّ علی السکران و هو نفس الحکم علی فتوی السید الطباطبائی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علی المجنون قضاء مافات منه من صیام شهر رمضان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الجنون مستغرقاً تمام الوقت و أمّا لو تحقّق الإفاقة أثناء الیوم یجب قضاء ذلک الیوم ویجب القضاء علی المغمی علیه و السکران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القضاء علی المجنون و المغمی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استوعب الجنون أو الإغماء تمام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یستوعب یجب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القضاء علی المجنون و السکران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زوال العقل بسوء اختیار المکلّف و أمّا المغمی علیه فیجب علیه القضاء مطلقاً ویجب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زوال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بالجنون أو الإغماء أو 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مستوعباً وقت نیة الصوم،و أمّا إذا نوی ثمّ زال عقله یصحّ الصوم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السفر المسوّغ للإفطار،أن یبدأ قبل طلوع الفجر علی المذاهب الأربعة ویشترط أن یبدأ قبل الزوال علی المذهب الجعفری</w:t>
      </w:r>
      <w:r>
        <w:rPr>
          <w:rFonts w:eastAsia="IRNazanin" w:cs="IRNazanin"/>
          <w:color w:val="111111"/>
          <w:sz w:val="28"/>
          <w:szCs w:val="28"/>
          <w:rtl w:val="true"/>
          <w:lang w:bidi="fa-IR"/>
        </w:rPr>
        <w:t>.</w:t>
      </w:r>
      <w:bookmarkStart w:id="1240" w:name="pg5240_59391"/>
    </w:p>
    <w:p>
      <w:pPr>
        <w:pStyle w:val="Heading3"/>
        <w:numPr>
          <w:ilvl w:val="2"/>
          <w:numId w:val="1"/>
        </w:numPr>
        <w:rPr/>
      </w:pPr>
      <w:bookmarkStart w:id="1241" w:name="__RefHeading___Toc363326_581953129"/>
      <w:bookmarkStart w:id="1242" w:name="_Toc517"/>
      <w:bookmarkEnd w:id="1240"/>
      <w:bookmarkEnd w:id="1241"/>
      <w:r>
        <w:rPr>
          <w:rtl w:val="true"/>
        </w:rPr>
        <w:t>الأسئلة</w:t>
      </w:r>
      <w:bookmarkEnd w:id="1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وحدة المجنون و المغمی علیه و السکران حکماً؟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قضاء مافات من الصیام علی المجنون بالاتّفاق بین المذاهب؟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یکتفی بخوف الضرر بالنسبة إلی صوم المریض،أو یعتبر الظنّ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التعیین و التخییر فی الإفطار؟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هناک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الإفطار فی السفر الشرعی؟</w:t>
      </w:r>
      <w:bookmarkStart w:id="1243" w:name="pg5240_59393"/>
    </w:p>
    <w:p>
      <w:pPr>
        <w:pStyle w:val="Heading2"/>
        <w:numPr>
          <w:ilvl w:val="1"/>
          <w:numId w:val="1"/>
        </w:numPr>
        <w:rPr/>
      </w:pPr>
      <w:bookmarkStart w:id="1244" w:name="__RefHeading___Toc363328_581953129"/>
      <w:bookmarkStart w:id="1245" w:name="_Toc518"/>
      <w:bookmarkEnd w:id="1243"/>
      <w:bookmarkEnd w:id="1244"/>
      <w:r>
        <w:rPr/>
        <w:t>19</w:t>
      </w:r>
      <w:r>
        <w:rPr>
          <w:rtl w:val="true"/>
        </w:rPr>
        <w:t xml:space="preserve">- </w:t>
      </w:r>
      <w:r>
        <w:rPr>
          <w:rtl w:val="true"/>
        </w:rPr>
        <w:t>المفطرات</w:t>
      </w:r>
      <w:bookmarkEnd w:id="1245"/>
    </w:p>
    <w:p>
      <w:pPr>
        <w:pStyle w:val="Heading3"/>
        <w:numPr>
          <w:ilvl w:val="2"/>
          <w:numId w:val="1"/>
        </w:numPr>
        <w:rPr/>
      </w:pPr>
      <w:bookmarkStart w:id="1246" w:name="__RefHeading___Toc363330_581953129"/>
      <w:bookmarkStart w:id="1247" w:name="_Toc519"/>
      <w:bookmarkEnd w:id="1246"/>
      <w:r>
        <w:rPr>
          <w:rtl w:val="true"/>
        </w:rPr>
        <w:t>اشارة</w:t>
      </w:r>
      <w:bookmarkEnd w:id="1247"/>
    </w:p>
    <w:p>
      <w:pPr>
        <w:pStyle w:val="BookText"/>
        <w:rPr/>
      </w:pPr>
      <w:r>
        <w:rPr>
          <w:rFonts w:ascii="IRNazanin" w:hAnsi="IRNazanin" w:eastAsia="IRNazanin"/>
          <w:color w:val="111111"/>
          <w:sz w:val="28"/>
          <w:sz w:val="28"/>
          <w:szCs w:val="28"/>
          <w:rtl w:val="true"/>
          <w:lang w:bidi="fa-IR"/>
        </w:rPr>
        <w:t>ثمّة خلاف بین المذاهب بالنسبة إلی المفطرات وما له صلة بها،وتفصیل ذلک بمایلی</w:t>
      </w:r>
      <w:r>
        <w:rPr>
          <w:rFonts w:eastAsia="IRNazanin" w:cs="IRNazanin"/>
          <w:color w:val="111111"/>
          <w:sz w:val="28"/>
          <w:szCs w:val="28"/>
          <w:rtl w:val="true"/>
          <w:lang w:bidi="fa-IR"/>
        </w:rPr>
        <w:t>:</w:t>
      </w:r>
    </w:p>
    <w:p>
      <w:pPr>
        <w:pStyle w:val="Heading3"/>
        <w:numPr>
          <w:ilvl w:val="2"/>
          <w:numId w:val="1"/>
        </w:numPr>
        <w:rPr/>
      </w:pPr>
      <w:bookmarkStart w:id="1248" w:name="__RefHeading___Toc363332_581953129"/>
      <w:bookmarkStart w:id="1249" w:name="_Toc520"/>
      <w:bookmarkEnd w:id="1248"/>
      <w:r>
        <w:rPr>
          <w:rtl w:val="true"/>
        </w:rPr>
        <w:t>الإفطار عن سهو</w:t>
      </w:r>
      <w:bookmarkEnd w:id="1249"/>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توجب المفطرات بطلان الصوم إذا وقعت علی وجه العمد والاختیار و أمّامع السهو وعدم القصد فلا توجبه من غیر فرق بین أقسام الصوم</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ذلک؛للنصوص الواردة من طریق آل‌البیت علیهم السلام ومن طریق الصحابة ولا خلاف فیه إلاّ عن المذهب المالکی؛حیث ذهب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یفطر الصائم بالمفطر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لایصحّ الصوم مع شیء من جنسه عمداً لایجوز مع سهوه کالجماع و النیة</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 هذا اجتهاد خاصّ فی المسألة</w:t>
      </w:r>
      <w:r>
        <w:rPr>
          <w:rFonts w:eastAsia="IRNazanin" w:cs="IRNazanin"/>
          <w:color w:val="111111"/>
          <w:sz w:val="28"/>
          <w:szCs w:val="28"/>
          <w:rtl w:val="true"/>
          <w:lang w:bidi="fa-IR"/>
        </w:rPr>
        <w:t>.</w:t>
      </w:r>
    </w:p>
    <w:p>
      <w:pPr>
        <w:pStyle w:val="Heading3"/>
        <w:numPr>
          <w:ilvl w:val="2"/>
          <w:numId w:val="1"/>
        </w:numPr>
        <w:rPr/>
      </w:pPr>
      <w:bookmarkStart w:id="1250" w:name="__RefHeading___Toc363334_581953129"/>
      <w:bookmarkStart w:id="1251" w:name="_Toc521"/>
      <w:bookmarkEnd w:id="1250"/>
      <w:r>
        <w:rPr>
          <w:rtl w:val="true"/>
        </w:rPr>
        <w:t>تعمّد القیء</w:t>
      </w:r>
      <w:bookmarkEnd w:id="125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القیء إذا کان عن عمد یبطل الصوم قلیلاً کان أو کثیراً ولا خلاف فیه إلاّ عن المذهب الحنفی حیث یقرّر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تعمّد القیء لا یفطر إلاّ إذا کان القیء ملء</w:t>
      </w:r>
      <w:bookmarkStart w:id="1252" w:name="pg5240_59394"/>
    </w:p>
    <w:p>
      <w:pPr>
        <w:pStyle w:val="BookText"/>
        <w:rPr/>
      </w:pPr>
      <w:bookmarkEnd w:id="1252"/>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ذلک؛لما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القیء المفطر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تملأ الفم </w:t>
      </w:r>
      <w:r>
        <w:rPr>
          <w:rStyle w:val="FootnoteAnchor"/>
          <w:rtl w:val="true"/>
        </w:rPr>
        <w:footnoteReference w:id="587"/>
      </w:r>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Style w:val="FootnoteAnchor"/>
          <w:rtl w:val="true"/>
        </w:rPr>
        <w:footnoteReference w:id="588"/>
      </w:r>
    </w:p>
    <w:p>
      <w:pPr>
        <w:pStyle w:val="Heading3"/>
        <w:numPr>
          <w:ilvl w:val="2"/>
          <w:numId w:val="1"/>
        </w:numPr>
        <w:rPr/>
      </w:pPr>
      <w:bookmarkStart w:id="1253" w:name="__RefHeading___Toc363336_581953129"/>
      <w:bookmarkStart w:id="1254" w:name="_Toc522"/>
      <w:bookmarkEnd w:id="1253"/>
      <w:r>
        <w:rPr>
          <w:rtl w:val="true"/>
        </w:rPr>
        <w:t>الغبار الغلیظ</w:t>
      </w:r>
      <w:bookmarkEnd w:id="1254"/>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الغبار الغلیظ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کغبار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حلقه ولو بإثارة الهواء مع التمکین منه وعدم تحفّظه،ولابأس بما یدخل فی الحلق غفلة أو نسیاناً أو قهراً أو مع ترک التحفّظ بظنّ عدم الوصول</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المفسد للصوم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ما کان عن عمد وقصد فأمّا ما حصل منه عن غیر قصد کالغبار الّذی یدخل حلقه من الطریق وما أشبه هذا فلا یفسد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فیه خلافاً</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التحقیق أنّه بعد المقارنة بین هذین القولین نصل إلی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أنّ إیصال الغبار إلی الحلق عن عمد یبطل الصوم،ذلک؛لصدق الأکلّ بکلّ 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وصول الغبار من غیر عمد فلا یبطل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بین المذاهب کلّها وبهذا یتّضح أنّ إیصال الغبار الغلیظ فی الحلق یکون من مصادیق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وتفرّد بذکره المذهب الجعفری</w:t>
      </w:r>
      <w:r>
        <w:rPr>
          <w:rFonts w:eastAsia="IRNazanin" w:cs="IRNazanin"/>
          <w:color w:val="111111"/>
          <w:sz w:val="28"/>
          <w:szCs w:val="28"/>
          <w:rtl w:val="true"/>
          <w:lang w:bidi="fa-IR"/>
        </w:rPr>
        <w:t>.</w:t>
      </w:r>
    </w:p>
    <w:p>
      <w:pPr>
        <w:pStyle w:val="Heading3"/>
        <w:numPr>
          <w:ilvl w:val="2"/>
          <w:numId w:val="1"/>
        </w:numPr>
        <w:rPr/>
      </w:pPr>
      <w:bookmarkStart w:id="1255" w:name="__RefHeading___Toc363338_581953129"/>
      <w:bookmarkStart w:id="1256" w:name="_Toc523"/>
      <w:bookmarkEnd w:id="1255"/>
      <w:r>
        <w:rPr>
          <w:rtl w:val="true"/>
        </w:rPr>
        <w:t>الاکتحال</w:t>
      </w:r>
      <w:bookmarkEnd w:id="125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یدخل من العین إلی الحلق کالکحل یفطر؛لأنّه واصل إلی جوفه</w:t>
      </w:r>
      <w:bookmarkStart w:id="1257" w:name="pg5240_59395"/>
    </w:p>
    <w:p>
      <w:pPr>
        <w:pStyle w:val="BookText"/>
        <w:rPr/>
      </w:pPr>
      <w:bookmarkEnd w:id="1257"/>
      <w:r>
        <w:rPr>
          <w:rFonts w:ascii="IRNazanin" w:hAnsi="IRNazanin" w:eastAsia="IRNazanin"/>
          <w:color w:val="111111"/>
          <w:sz w:val="28"/>
          <w:sz w:val="28"/>
          <w:szCs w:val="28"/>
          <w:rtl w:val="true"/>
          <w:lang w:bidi="fa-IR"/>
        </w:rPr>
        <w:t>فأشبه الأکل،وبهذا قال الشافعی،وقال مالک لایفطر إلاّ أن ینزل إلی حلقه</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وعلیه،فإنّ الاکتحال من‌المفطرات علی‌المذهب الحنبلی و الشافعی و المالکی خلافاً للمذهب الجعفری و الحنفی و قد اتّضح بأنّ القول بکون الاکتحال من المفطرات یبتنی علی وصوله إلی الحلق،وصدق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بعدم کونه مفطراً یبتنی علی عدم تحقّق الأکل عرفاً</w:t>
      </w:r>
      <w:r>
        <w:rPr>
          <w:rFonts w:eastAsia="IRNazanin" w:cs="IRNazanin"/>
          <w:color w:val="111111"/>
          <w:sz w:val="28"/>
          <w:szCs w:val="28"/>
          <w:rtl w:val="true"/>
          <w:lang w:bidi="fa-IR"/>
        </w:rPr>
        <w:t>.</w:t>
      </w:r>
    </w:p>
    <w:p>
      <w:pPr>
        <w:pStyle w:val="Heading3"/>
        <w:numPr>
          <w:ilvl w:val="2"/>
          <w:numId w:val="1"/>
        </w:numPr>
        <w:rPr/>
      </w:pPr>
      <w:bookmarkStart w:id="1258" w:name="__RefHeading___Toc363340_581953129"/>
      <w:bookmarkStart w:id="1259" w:name="_Toc524"/>
      <w:bookmarkEnd w:id="1258"/>
      <w:r>
        <w:rPr>
          <w:rtl w:val="true"/>
        </w:rPr>
        <w:t>الحجامة</w:t>
      </w:r>
      <w:bookmarkEnd w:id="1259"/>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الحجامة یفطربها الحاجم و المحجوم ذلک؛لما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الحاجم و المحجوم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مالک وأبوحنیفة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للصائم أن یحتجم؛لما روی أنّ النبی صلی الله علیه و آله احتجم و هو صائم</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فالاختلاف 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للصائم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الاکتحال بما یصل طعمه أو رائحته إلی الحلق،ومنها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الدم المضعف</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ذلک جمعاً بین النصوص،وعدم صدق الأکل</w:t>
      </w:r>
      <w:r>
        <w:rPr>
          <w:rFonts w:eastAsia="IRNazanin" w:cs="IRNazanin"/>
          <w:color w:val="111111"/>
          <w:sz w:val="28"/>
          <w:szCs w:val="28"/>
          <w:rtl w:val="true"/>
          <w:lang w:bidi="fa-IR"/>
        </w:rPr>
        <w:t>.</w:t>
      </w:r>
    </w:p>
    <w:p>
      <w:pPr>
        <w:pStyle w:val="Heading3"/>
        <w:numPr>
          <w:ilvl w:val="2"/>
          <w:numId w:val="1"/>
        </w:numPr>
        <w:rPr/>
      </w:pPr>
      <w:bookmarkStart w:id="1260" w:name="__RefHeading___Toc363342_581953129"/>
      <w:bookmarkStart w:id="1261" w:name="_Toc525"/>
      <w:bookmarkEnd w:id="1260"/>
      <w:r>
        <w:rPr>
          <w:rtl w:val="true"/>
        </w:rPr>
        <w:t>قطع نیة الصوم</w:t>
      </w:r>
      <w:bookmarkEnd w:id="1261"/>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لونوی القطع أو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قصد الانصراف أو قصد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الصوم الواجب المعین بطل صومه</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الدلیل علی اعتبار النیة من طلوع الفجر إلی</w:t>
      </w:r>
      <w:bookmarkStart w:id="1262" w:name="pg5240_59396"/>
    </w:p>
    <w:p>
      <w:pPr>
        <w:pStyle w:val="BookText"/>
        <w:rPr/>
      </w:pPr>
      <w:bookmarkEnd w:id="1262"/>
      <w:r>
        <w:rPr>
          <w:rFonts w:ascii="IRNazanin" w:hAnsi="IRNazanin" w:eastAsia="IRNazanin"/>
          <w:color w:val="111111"/>
          <w:sz w:val="28"/>
          <w:sz w:val="28"/>
          <w:szCs w:val="28"/>
          <w:rtl w:val="true"/>
          <w:lang w:bidi="fa-IR"/>
        </w:rPr>
        <w:t>الغروب،فی صحّة الصوم،کانت نیة القطع أو القاطع منافیة لها،فیبطل الصوم لفوات شرطه</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وقال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نوی الإفطار فقد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قدامة هذا الظاهر من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الشافعی،ولنا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عبادة من شرطها النیة،ففسدت بنیة الخروج منها کالصلاة،ولأنّ الأصل اعتبار النیة فی جمیع أجزاء العبادة إلاّ أنّ أصحاب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 فنوی قبل أن ینتصف النهار أجزأه بناء علی أصلهم أنّ الصوم یجزئ بنیة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نفس الرأی المالکی علی ماحکی، </w:t>
      </w:r>
      <w:r>
        <w:rPr>
          <w:rStyle w:val="FootnoteAnchor"/>
          <w:rtl w:val="true"/>
        </w:rPr>
        <w:footnoteReference w:id="596"/>
      </w:r>
      <w:r>
        <w:rPr>
          <w:rFonts w:ascii="IRNazanin" w:hAnsi="IRNazanin" w:eastAsia="IRNazanin"/>
          <w:color w:val="111111"/>
          <w:sz w:val="28"/>
          <w:sz w:val="28"/>
          <w:szCs w:val="28"/>
          <w:rtl w:val="true"/>
          <w:lang w:bidi="fa-IR"/>
        </w:rPr>
        <w:t>وحکی عن ابن‌حامد أنّ الصوم لایفسد بذلک؛لأنّها عبادة یلزم المضی فی فاسدها کالحجّ فلم تفسد بنیة الخروج</w:t>
      </w:r>
      <w:r>
        <w:rPr>
          <w:rFonts w:eastAsia="IRNazanin" w:cs="IRNazanin"/>
          <w:color w:val="111111"/>
          <w:sz w:val="28"/>
          <w:szCs w:val="28"/>
          <w:rtl w:val="true"/>
          <w:lang w:bidi="fa-IR"/>
        </w:rPr>
        <w:t xml:space="preserve">. </w:t>
      </w:r>
      <w:r>
        <w:rPr>
          <w:rStyle w:val="FootnoteAnchor"/>
          <w:rtl w:val="true"/>
        </w:rPr>
        <w:footnoteReference w:id="597"/>
      </w:r>
    </w:p>
    <w:p>
      <w:pPr>
        <w:pStyle w:val="Heading3"/>
        <w:numPr>
          <w:ilvl w:val="2"/>
          <w:numId w:val="1"/>
        </w:numPr>
        <w:rPr/>
      </w:pPr>
      <w:bookmarkStart w:id="1263" w:name="__RefHeading___Toc363344_581953129"/>
      <w:bookmarkStart w:id="1264" w:name="_Toc526"/>
      <w:bookmarkEnd w:id="1263"/>
      <w:r>
        <w:rPr>
          <w:rtl w:val="true"/>
        </w:rPr>
        <w:t>الارتماس بالماء</w:t>
      </w:r>
      <w:bookmarkEnd w:id="1264"/>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الارتماس فی الماء ویکفی فیه رمس الرأس فیه</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ذلک؛للنصوص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حریز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لایرتمس الصائم ولا المحرم رأسه فی الماء</w:t>
      </w:r>
      <w:r>
        <w:rPr>
          <w:rFonts w:eastAsia="IRNazanin" w:cs="IRNazanin"/>
          <w:color w:val="111111"/>
          <w:sz w:val="28"/>
          <w:szCs w:val="28"/>
          <w:rtl w:val="true"/>
          <w:lang w:bidi="fa-IR"/>
        </w:rPr>
        <w:t xml:space="preserve">» </w:t>
      </w:r>
      <w:r>
        <w:rPr>
          <w:rStyle w:val="FootnoteAnchor"/>
          <w:rtl w:val="true"/>
        </w:rPr>
        <w:footnoteReference w:id="599"/>
      </w:r>
      <w:r>
        <w:rPr>
          <w:rFonts w:ascii="Amiri" w:hAnsi="Amiri" w:eastAsia="Amiri" w:cs="Amiri"/>
          <w:color w:val="111111"/>
          <w:sz w:val="28"/>
          <w:sz w:val="28"/>
          <w:szCs w:val="28"/>
          <w:rtl w:val="true"/>
          <w:lang w:bidi="ar-SA"/>
        </w:rPr>
        <w:t>والدلالة تامّة</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363346_581953129"/>
      <w:bookmarkStart w:id="1266" w:name="_Toc527"/>
      <w:bookmarkEnd w:id="1265"/>
      <w:r>
        <w:rPr>
          <w:rtl w:val="true"/>
        </w:rPr>
        <w:t>البقاء علی الجنابة</w:t>
      </w:r>
      <w:bookmarkEnd w:id="126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علی الجنابة عمداً إلی الفجر الصادق فی صوم شهر رمضان</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ذلک؛للنصوص الواردة فی المقام منها صحیحة</w:t>
      </w:r>
      <w:bookmarkStart w:id="1267" w:name="pg5240_59397"/>
    </w:p>
    <w:p>
      <w:pPr>
        <w:pStyle w:val="BookText"/>
        <w:rPr/>
      </w:pPr>
      <w:bookmarkEnd w:id="1267"/>
      <w:r>
        <w:rPr>
          <w:rFonts w:ascii="IRNazanin" w:hAnsi="IRNazanin" w:eastAsia="IRNazanin"/>
          <w:color w:val="111111"/>
          <w:sz w:val="28"/>
          <w:sz w:val="28"/>
          <w:szCs w:val="28"/>
          <w:rtl w:val="true"/>
          <w:lang w:bidi="fa-IR"/>
        </w:rPr>
        <w:t>أبی‌بصیر فی رجل أجنب فی شهر رمضان باللیل ثمّ ترک الغسل متعمّداً حتّی أصبح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رقبة أو یصوم شهرین متتابعین أو یطعم ستّین مسکیناً</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دلّت علی أنّ البقاء علی الجنابة عن عمد مفطر</w:t>
      </w:r>
      <w:r>
        <w:rPr>
          <w:rFonts w:eastAsia="IRNazanin" w:cs="IRNazanin"/>
          <w:color w:val="111111"/>
          <w:sz w:val="28"/>
          <w:szCs w:val="28"/>
          <w:rtl w:val="true"/>
          <w:lang w:bidi="fa-IR"/>
        </w:rPr>
        <w:t>.</w:t>
      </w:r>
    </w:p>
    <w:p>
      <w:pPr>
        <w:pStyle w:val="Heading3"/>
        <w:numPr>
          <w:ilvl w:val="2"/>
          <w:numId w:val="1"/>
        </w:numPr>
        <w:rPr/>
      </w:pPr>
      <w:bookmarkStart w:id="1268" w:name="__RefHeading___Toc363348_581953129"/>
      <w:bookmarkStart w:id="1269" w:name="_Toc528"/>
      <w:bookmarkEnd w:id="1268"/>
      <w:r>
        <w:rPr>
          <w:rtl w:val="true"/>
        </w:rPr>
        <w:t>تعمد الکذب علی الله</w:t>
      </w:r>
      <w:bookmarkEnd w:id="1269"/>
    </w:p>
    <w:p>
      <w:pPr>
        <w:pStyle w:val="BookText"/>
        <w:rPr/>
      </w:pPr>
      <w:r>
        <w:rPr>
          <w:rFonts w:ascii="IRNazanin" w:hAnsi="IRNazanin" w:eastAsia="IRNazanin"/>
          <w:color w:val="111111"/>
          <w:sz w:val="28"/>
          <w:sz w:val="28"/>
          <w:szCs w:val="28"/>
          <w:rtl w:val="true"/>
          <w:lang w:bidi="fa-IR"/>
        </w:rPr>
        <w:t>ومن المفطرات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الکذب علی الله أو رسوله أو الأئمّة صلوات الله علیهم </w:t>
      </w:r>
      <w:r>
        <w:rPr>
          <w:rStyle w:val="FootnoteAnchor"/>
          <w:rtl w:val="true"/>
        </w:rPr>
        <w:footnoteReference w:id="602"/>
      </w:r>
      <w:r>
        <w:rPr>
          <w:rFonts w:ascii="IRNazanin" w:hAnsi="IRNazanin" w:eastAsia="IRNazanin"/>
          <w:color w:val="111111"/>
          <w:sz w:val="28"/>
          <w:sz w:val="28"/>
          <w:szCs w:val="28"/>
          <w:rtl w:val="true"/>
          <w:lang w:bidi="fa-IR"/>
        </w:rPr>
        <w:t>ذلک؛للنصوص الواردة فی الباب منها موثّقة أبی‌بصیر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علی الله وعلی رسوله وعلی الأئمّة علیهم السلام یفطر الصائم</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دلّت علی المطلوب دلالة کاملة،وتلک الموارد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الارتماس فی الماء،البقاء علی الجنابة و الکذب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الموارد الّتی تفرّد بها المذهب الجعفری ذلک؛للنصوص الواردة هناک عن طریق آل‌البیت علیهم السلام وعدم ورود النصّ بالنسبة إلی تلک الموارد عن طریق الصحابة</w:t>
      </w:r>
      <w:r>
        <w:rPr>
          <w:rFonts w:eastAsia="IRNazanin" w:cs="IRNazanin"/>
          <w:color w:val="111111"/>
          <w:sz w:val="28"/>
          <w:szCs w:val="28"/>
          <w:rtl w:val="true"/>
          <w:lang w:bidi="fa-IR"/>
        </w:rPr>
        <w:t>.</w:t>
      </w:r>
    </w:p>
    <w:p>
      <w:pPr>
        <w:pStyle w:val="Heading3"/>
        <w:numPr>
          <w:ilvl w:val="2"/>
          <w:numId w:val="1"/>
        </w:numPr>
        <w:rPr/>
      </w:pPr>
      <w:bookmarkStart w:id="1270" w:name="__RefHeading___Toc363350_581953129"/>
      <w:bookmarkStart w:id="1271" w:name="_Toc529"/>
      <w:bookmarkEnd w:id="1270"/>
      <w:r>
        <w:rPr>
          <w:rtl w:val="true"/>
        </w:rPr>
        <w:t>الکفارة</w:t>
      </w:r>
      <w:bookmarkEnd w:id="1271"/>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رمضان المبارک مخیرة بین العتق وصیام شهرین متتابعین وإطعام ستّین مسکین علی الأقوی و إن کان الأحوط الترتیب فیختار العتق ومع العجز عنه فالصیام ومع العجز عنه فالإطعام</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والکفّارة عتق رقبة،فإن لم یمکنه فصیام شهرین متتابعین فإن لم یستطع فإطعام ستّین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الترتیب</w:t>
      </w:r>
      <w:r>
        <w:rPr>
          <w:rFonts w:eastAsia="IRNazanin" w:cs="IRNazanin"/>
          <w:color w:val="111111"/>
          <w:sz w:val="28"/>
          <w:szCs w:val="28"/>
          <w:rtl w:val="true"/>
          <w:lang w:bidi="fa-IR"/>
        </w:rPr>
        <w:t>-.</w:t>
      </w:r>
      <w:bookmarkStart w:id="1272" w:name="pg5240_59398"/>
    </w:p>
    <w:p>
      <w:pPr>
        <w:pStyle w:val="BookText"/>
        <w:rPr/>
      </w:pPr>
      <w:bookmarkEnd w:id="1272"/>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جمهور العلماء،وبه یقول الشافعی،وعن أحمد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علی التخییر بین العتق و الصیام و الإطعام وبأیها کفّر أجزأه و هو روایة عن مالک</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والأحوط الترتیب</w:t>
      </w:r>
      <w:r>
        <w:rPr>
          <w:rFonts w:eastAsia="IRNazanin" w:cs="IRNazanin"/>
          <w:color w:val="111111"/>
          <w:sz w:val="28"/>
          <w:szCs w:val="28"/>
          <w:rtl w:val="true"/>
          <w:lang w:bidi="fa-IR"/>
        </w:rPr>
        <w:t>.</w:t>
      </w:r>
    </w:p>
    <w:p>
      <w:pPr>
        <w:pStyle w:val="Heading3"/>
        <w:numPr>
          <w:ilvl w:val="2"/>
          <w:numId w:val="1"/>
        </w:numPr>
        <w:rPr/>
      </w:pPr>
      <w:bookmarkStart w:id="1273" w:name="__RefHeading___Toc363352_581953129"/>
      <w:bookmarkStart w:id="1274" w:name="_Toc530"/>
      <w:bookmarkEnd w:id="1273"/>
      <w:r>
        <w:rPr>
          <w:rtl w:val="true"/>
        </w:rPr>
        <w:t>موجبات الکفّارة</w:t>
      </w:r>
      <w:bookmarkEnd w:id="1274"/>
    </w:p>
    <w:p>
      <w:pPr>
        <w:pStyle w:val="Heading4"/>
        <w:numPr>
          <w:ilvl w:val="3"/>
          <w:numId w:val="1"/>
        </w:numPr>
        <w:rPr/>
      </w:pPr>
      <w:bookmarkStart w:id="1275" w:name="__RefHeading___Toc363354_581953129"/>
      <w:bookmarkStart w:id="1276" w:name="_Toc531"/>
      <w:bookmarkEnd w:id="1275"/>
      <w:r>
        <w:rPr>
          <w:rtl w:val="true"/>
        </w:rPr>
        <w:t>اشارة</w:t>
      </w:r>
      <w:bookmarkEnd w:id="1276"/>
    </w:p>
    <w:p>
      <w:pPr>
        <w:pStyle w:val="BookText"/>
        <w:rPr/>
      </w:pPr>
      <w:r>
        <w:rPr>
          <w:rFonts w:ascii="IRNazanin" w:hAnsi="IRNazanin" w:eastAsia="IRNazanin"/>
          <w:color w:val="111111"/>
          <w:sz w:val="28"/>
          <w:sz w:val="28"/>
          <w:szCs w:val="28"/>
          <w:rtl w:val="true"/>
          <w:lang w:bidi="fa-IR"/>
        </w:rPr>
        <w:t>اختلفت الآراءبالنسبة إلی تحقّق الکفّارة فی موارد،منها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تحقّقها بواسطة إنزال المنی و هو بالتفصیل التالی</w:t>
      </w:r>
      <w:r>
        <w:rPr>
          <w:rFonts w:eastAsia="IRNazanin" w:cs="IRNazanin"/>
          <w:color w:val="111111"/>
          <w:sz w:val="28"/>
          <w:szCs w:val="28"/>
          <w:rtl w:val="true"/>
          <w:lang w:bidi="fa-IR"/>
        </w:rPr>
        <w:t>.</w:t>
      </w:r>
    </w:p>
    <w:p>
      <w:pPr>
        <w:pStyle w:val="Heading4"/>
        <w:numPr>
          <w:ilvl w:val="3"/>
          <w:numId w:val="1"/>
        </w:numPr>
        <w:rPr/>
      </w:pPr>
      <w:bookmarkStart w:id="1277" w:name="__RefHeading___Toc363356_581953129"/>
      <w:bookmarkStart w:id="1278" w:name="_Toc532"/>
      <w:bookmarkEnd w:id="1277"/>
      <w:r>
        <w:rPr>
          <w:rtl w:val="true"/>
        </w:rPr>
        <w:t>المذهب الجعفری</w:t>
      </w:r>
      <w:bookmarkEnd w:id="1278"/>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 المنی متعمّداً بملامسة أو قبلة مبطل للصوم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ویوجب القضاء و الکفّارة</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الکفّارة تجب علی من أنزل بلمس أو قُبلة؛لأنّه إنزال،أشبه الجماع</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و أمّا إذا خرج المنی من غیر جماع فإنّه یوجب القضاء </w:t>
      </w:r>
      <w:r>
        <w:rPr>
          <w:rStyle w:val="FootnoteAnchor"/>
          <w:rtl w:val="true"/>
        </w:rPr>
        <w:footnoteReference w:id="608"/>
      </w:r>
      <w:r>
        <w:rPr>
          <w:rFonts w:ascii="IRNazanin" w:hAnsi="IRNazanin" w:eastAsia="IRNazanin"/>
          <w:color w:val="111111"/>
          <w:sz w:val="28"/>
          <w:sz w:val="28"/>
          <w:szCs w:val="28"/>
          <w:rtl w:val="true"/>
          <w:lang w:bidi="fa-IR"/>
        </w:rPr>
        <w:t>و هو نفس الرأی عند المالکی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المذی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یمذی فیفطر عند إمامنا ومالک؛لأنّه إنزال بمباشرة فأشبه الإنزال بالجماع وقال أبوحنیفة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لایفطر؛لأنّه خارج لایوجب الغسل أشبه البول</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ولا یکون المذی مفطراً للصوم علی المذهب الجعفری</w:t>
      </w:r>
      <w:r>
        <w:rPr>
          <w:rFonts w:eastAsia="IRNazanin" w:cs="IRNazanin"/>
          <w:color w:val="111111"/>
          <w:sz w:val="28"/>
          <w:szCs w:val="28"/>
          <w:rtl w:val="true"/>
          <w:lang w:bidi="fa-IR"/>
        </w:rPr>
        <w:t xml:space="preserve">. </w:t>
      </w:r>
      <w:r>
        <w:rPr>
          <w:rStyle w:val="FootnoteAnchor"/>
          <w:rtl w:val="true"/>
        </w:rPr>
        <w:footnoteReference w:id="610"/>
      </w:r>
      <w:bookmarkStart w:id="1279" w:name="pg5240_59399"/>
    </w:p>
    <w:p>
      <w:pPr>
        <w:pStyle w:val="BookText"/>
        <w:rPr/>
      </w:pPr>
      <w:bookmarkEnd w:id="1279"/>
      <w:r>
        <w:rPr>
          <w:rFonts w:ascii="IRNazanin" w:hAnsi="IRNazanin" w:eastAsia="IRNazanin"/>
          <w:color w:val="111111"/>
          <w:sz w:val="28"/>
          <w:sz w:val="28"/>
          <w:szCs w:val="28"/>
          <w:rtl w:val="true"/>
          <w:lang w:bidi="fa-IR"/>
        </w:rPr>
        <w:t>قال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جامع البهیمة فأنزل یفسد صومه ولا یلزمه الکفارة؛لأنّه وجد الجماع من حیث الصورة وعلی وجه القصور لسعة المحل،فلا یکون نظیراً للجماع فی قبل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اولج فی البهیمة ولم ینزل لا یفسد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0" w:name="__RefHeading___Toc363358_581953129"/>
      <w:bookmarkStart w:id="1281" w:name="_Toc533"/>
      <w:bookmarkEnd w:id="1280"/>
      <w:r>
        <w:rPr>
          <w:rtl w:val="true"/>
        </w:rPr>
        <w:t>المذهب الحنفی و الشافعی</w:t>
      </w:r>
      <w:bookmarkEnd w:id="1281"/>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أنزل فعلیه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الاختلاف فی تحقّق الکفّارة نتیجة لتأخیر قضاء صوم رمضان و التفصیل بما یلی</w:t>
      </w:r>
      <w:r>
        <w:rPr>
          <w:rFonts w:eastAsia="IRNazanin" w:cs="IRNazanin"/>
          <w:color w:val="111111"/>
          <w:sz w:val="28"/>
          <w:szCs w:val="28"/>
          <w:rtl w:val="true"/>
          <w:lang w:bidi="fa-IR"/>
        </w:rPr>
        <w:t>:</w:t>
      </w:r>
    </w:p>
    <w:p>
      <w:pPr>
        <w:pStyle w:val="Heading4"/>
        <w:numPr>
          <w:ilvl w:val="3"/>
          <w:numId w:val="1"/>
        </w:numPr>
        <w:rPr/>
      </w:pPr>
      <w:bookmarkStart w:id="1282" w:name="__RefHeading___Toc363360_581953129"/>
      <w:bookmarkStart w:id="1283" w:name="_Toc534"/>
      <w:bookmarkEnd w:id="1282"/>
      <w:r>
        <w:rPr>
          <w:rtl w:val="true"/>
        </w:rPr>
        <w:t>المذهب الحنفی</w:t>
      </w:r>
      <w:bookmarkEnd w:id="1283"/>
    </w:p>
    <w:p>
      <w:pPr>
        <w:pStyle w:val="BookText"/>
        <w:rPr/>
      </w:pPr>
      <w:r>
        <w:rPr>
          <w:rFonts w:ascii="IRNazanin" w:hAnsi="IRNazanin" w:eastAsia="IRNazanin"/>
          <w:color w:val="111111"/>
          <w:sz w:val="28"/>
          <w:sz w:val="28"/>
          <w:szCs w:val="28"/>
          <w:rtl w:val="true"/>
          <w:lang w:bidi="fa-IR"/>
        </w:rPr>
        <w:t xml:space="preserve">إذا ترک المکلّف قضاء صوم رمضان متهاوناً إلی أن دخل رمضان الثانی یجب علیه القضاء فحسب </w:t>
      </w:r>
      <w:r>
        <w:rPr>
          <w:rStyle w:val="FootnoteAnchor"/>
          <w:rtl w:val="true"/>
        </w:rPr>
        <w:footnoteReference w:id="612"/>
      </w:r>
      <w:r>
        <w:rPr>
          <w:rFonts w:ascii="IRNazanin" w:hAnsi="IRNazanin" w:eastAsia="IRNazanin"/>
          <w:color w:val="111111"/>
          <w:sz w:val="28"/>
          <w:sz w:val="28"/>
          <w:szCs w:val="28"/>
          <w:rtl w:val="true"/>
          <w:lang w:bidi="fa-IR"/>
        </w:rPr>
        <w:t>ذلک علی أساس الإجتهاد الخاص</w:t>
      </w:r>
      <w:r>
        <w:rPr>
          <w:rFonts w:eastAsia="IRNazanin" w:cs="IRNazanin"/>
          <w:color w:val="111111"/>
          <w:sz w:val="28"/>
          <w:szCs w:val="28"/>
          <w:rtl w:val="true"/>
          <w:lang w:bidi="fa-IR"/>
        </w:rPr>
        <w:t>.</w:t>
      </w:r>
    </w:p>
    <w:p>
      <w:pPr>
        <w:pStyle w:val="Heading4"/>
        <w:numPr>
          <w:ilvl w:val="3"/>
          <w:numId w:val="1"/>
        </w:numPr>
        <w:rPr/>
      </w:pPr>
      <w:bookmarkStart w:id="1284" w:name="__RefHeading___Toc363362_581953129"/>
      <w:bookmarkStart w:id="1285" w:name="_Toc535"/>
      <w:bookmarkEnd w:id="1284"/>
      <w:r>
        <w:rPr>
          <w:rtl w:val="true"/>
        </w:rPr>
        <w:t>المذاهب الأخری</w:t>
      </w:r>
      <w:bookmarkEnd w:id="1285"/>
    </w:p>
    <w:p>
      <w:pPr>
        <w:pStyle w:val="BookText"/>
        <w:rPr/>
      </w:pPr>
      <w:r>
        <w:rPr>
          <w:rFonts w:ascii="IRNazanin" w:hAnsi="IRNazanin" w:eastAsia="IRNazanin"/>
          <w:color w:val="111111"/>
          <w:sz w:val="28"/>
          <w:sz w:val="28"/>
          <w:szCs w:val="28"/>
          <w:rtl w:val="true"/>
          <w:lang w:bidi="fa-IR"/>
        </w:rPr>
        <w:t>یجب علی التارک المتمکّن من القضاء هناک القضاء و الکفّارة بمُدّ عن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Style w:val="FootnoteAnchor"/>
          <w:rtl w:val="true"/>
        </w:rPr>
        <w:footnoteReference w:id="613"/>
      </w:r>
    </w:p>
    <w:p>
      <w:pPr>
        <w:pStyle w:val="Heading3"/>
        <w:numPr>
          <w:ilvl w:val="2"/>
          <w:numId w:val="1"/>
        </w:numPr>
        <w:rPr/>
      </w:pPr>
      <w:bookmarkStart w:id="1286" w:name="__RefHeading___Toc363364_581953129"/>
      <w:bookmarkStart w:id="1287" w:name="_Toc536"/>
      <w:bookmarkEnd w:id="1286"/>
      <w:r>
        <w:rPr>
          <w:rtl w:val="true"/>
        </w:rPr>
        <w:t>العجز عن القضاء</w:t>
      </w:r>
      <w:bookmarkEnd w:id="128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عجز المکلّف عن القضاء بواسطة استمرار العذر تجب علیه عن کلّ یوم فدیة طعام مسکین ولا یجب 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ذلک؛لعدم القدرة وعدم التکلیف علیه،ویستحبّ الفدیة علی المذهب المالکی </w:t>
      </w:r>
      <w:r>
        <w:rPr>
          <w:rStyle w:val="FootnoteAnchor"/>
          <w:rtl w:val="true"/>
        </w:rPr>
        <w:footnoteReference w:id="614"/>
      </w:r>
      <w:r>
        <w:rPr>
          <w:rFonts w:ascii="IRNazanin" w:hAnsi="IRNazanin" w:eastAsia="IRNazanin"/>
          <w:color w:val="111111"/>
          <w:sz w:val="28"/>
          <w:sz w:val="28"/>
          <w:szCs w:val="28"/>
          <w:rtl w:val="true"/>
          <w:lang w:bidi="fa-IR"/>
        </w:rPr>
        <w:t>ذلک علی أساس الاجتهاد الخاصّ</w:t>
      </w:r>
      <w:bookmarkStart w:id="1288" w:name="pg5240_59400"/>
    </w:p>
    <w:p>
      <w:pPr>
        <w:pStyle w:val="BookText"/>
        <w:rPr/>
      </w:pPr>
      <w:bookmarkEnd w:id="1288"/>
      <w:r>
        <w:rPr>
          <w:rFonts w:ascii="Amiri" w:hAnsi="Amiri" w:eastAsia="Amiri" w:cs="Amiri"/>
          <w:color w:val="111111"/>
          <w:sz w:val="28"/>
          <w:sz w:val="28"/>
          <w:szCs w:val="28"/>
          <w:rtl w:val="true"/>
          <w:lang w:bidi="ar-SA"/>
        </w:rPr>
        <w:t>و أمّا وجوب الفدیة فهو علی أساس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الَّذِینَ یُطِیقُونَهُ فِدْیَةٌ طَعامُ مِسْکِینٍ</w:t>
      </w:r>
      <w:r>
        <w:rPr>
          <w:rFonts w:eastAsia="Amiri" w:cs="Amiri" w:ascii="Amiri" w:hAnsi="Amiri"/>
          <w:color w:val="111111"/>
          <w:sz w:val="28"/>
          <w:szCs w:val="28"/>
          <w:rtl w:val="true"/>
          <w:lang w:bidi="ar-SA"/>
        </w:rPr>
        <w:t xml:space="preserve">... . </w:t>
      </w:r>
      <w:r>
        <w:rPr>
          <w:rStyle w:val="FootnoteAnchor"/>
          <w:rtl w:val="true"/>
        </w:rPr>
        <w:footnoteReference w:id="615"/>
      </w:r>
    </w:p>
    <w:p>
      <w:pPr>
        <w:pStyle w:val="Heading3"/>
        <w:numPr>
          <w:ilvl w:val="2"/>
          <w:numId w:val="1"/>
        </w:numPr>
        <w:rPr/>
      </w:pPr>
      <w:bookmarkStart w:id="1289" w:name="__RefHeading___Toc363366_581953129"/>
      <w:bookmarkStart w:id="1290" w:name="_Toc537"/>
      <w:bookmarkEnd w:id="1289"/>
      <w:r>
        <w:rPr>
          <w:rtl w:val="true"/>
        </w:rPr>
        <w:t>إفطار قضاء رمضان</w:t>
      </w:r>
      <w:bookmarkEnd w:id="1290"/>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دخل فی واجب کقضاء رمضان لم یجز له الخروج منه فصار بمنزلة الفرض المتعین ولیس فی هذا خلاف </w:t>
      </w:r>
      <w:r>
        <w:rPr>
          <w:rStyle w:val="FootnoteAnchor"/>
          <w:rtl w:val="true"/>
        </w:rPr>
        <w:footnoteReference w:id="616"/>
      </w:r>
      <w:r>
        <w:rPr>
          <w:rFonts w:ascii="IRNazanin" w:hAnsi="IRNazanin" w:eastAsia="IRNazanin"/>
          <w:color w:val="111111"/>
          <w:sz w:val="28"/>
          <w:sz w:val="28"/>
          <w:szCs w:val="28"/>
          <w:rtl w:val="true"/>
          <w:lang w:bidi="fa-IR"/>
        </w:rPr>
        <w:t>وما عثرنا علی تعیین کفّارة هناک فی صورة التخلّف و أمّا علی المذهب الجعفری فیجوز الخروج عن قضاء صوم رمضان قبل الزوال ولایجوز بعد الزوال،و إذا تحقّق الخروج بعد الزوال یجب الکفّارة حیال ذلک کما 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الإفطار هناک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إطعام عشرة مساکین فإن لم یتمکّن فصوم ثلاثة أیام، </w:t>
      </w:r>
      <w:r>
        <w:rPr>
          <w:rStyle w:val="FootnoteAnchor"/>
          <w:rtl w:val="true"/>
        </w:rPr>
        <w:footnoteReference w:id="617"/>
      </w:r>
      <w:r>
        <w:rPr>
          <w:rFonts w:ascii="IRNazanin" w:hAnsi="IRNazanin" w:eastAsia="IRNazanin"/>
          <w:color w:val="111111"/>
          <w:sz w:val="28"/>
          <w:sz w:val="28"/>
          <w:szCs w:val="28"/>
          <w:rtl w:val="true"/>
          <w:lang w:bidi="fa-IR"/>
        </w:rPr>
        <w:t>ذلک؛للنصوص الواردة فی المقام منها صحیحة هشام‌بن سالم عن الإمام الصادق علیه السلام فی رجل وقع علی أهله و هو یقضی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وقع علیها قبل صلاة العصر فلا شیء علیه یصوم یوماً بدله،و إن فعل بعد العصر صام ذلک الیوم وأطعم عشرة مساکین فإن لم یمکنه صام ثلاثة أیام کفّارة لذلک</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والمراد من بعد العصر فی الروایة هو بعد الزوال بمناسبة الحکم و الموضوع</w:t>
      </w:r>
      <w:r>
        <w:rPr>
          <w:rFonts w:eastAsia="IRNazanin" w:cs="IRNazanin"/>
          <w:color w:val="111111"/>
          <w:sz w:val="28"/>
          <w:szCs w:val="28"/>
          <w:rtl w:val="true"/>
          <w:lang w:bidi="fa-IR"/>
        </w:rPr>
        <w:t>.</w:t>
      </w:r>
    </w:p>
    <w:p>
      <w:pPr>
        <w:pStyle w:val="Heading3"/>
        <w:numPr>
          <w:ilvl w:val="2"/>
          <w:numId w:val="1"/>
        </w:numPr>
        <w:rPr/>
      </w:pPr>
      <w:bookmarkStart w:id="1291" w:name="__RefHeading___Toc363368_581953129"/>
      <w:bookmarkStart w:id="1292" w:name="_Toc538"/>
      <w:bookmarkEnd w:id="1291"/>
      <w:r>
        <w:rPr>
          <w:rtl w:val="true"/>
        </w:rPr>
        <w:t>التارک لقضاء رمضان</w:t>
      </w:r>
      <w:bookmarkEnd w:id="1292"/>
    </w:p>
    <w:p>
      <w:pPr>
        <w:pStyle w:val="Heading4"/>
        <w:numPr>
          <w:ilvl w:val="3"/>
          <w:numId w:val="1"/>
        </w:numPr>
        <w:rPr/>
      </w:pPr>
      <w:bookmarkStart w:id="1293" w:name="__RefHeading___Toc363370_581953129"/>
      <w:bookmarkStart w:id="1294" w:name="_Toc539"/>
      <w:bookmarkEnd w:id="1293"/>
      <w:r>
        <w:rPr>
          <w:rtl w:val="true"/>
        </w:rPr>
        <w:t>اشارة</w:t>
      </w:r>
      <w:bookmarkEnd w:id="129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ولم یقض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ولده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ذلک؛للنصوص الواردة فی المقام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حفص ابن‌البختری عن الأمام الصادق علیه السلام فی الرجل یموت</w:t>
      </w:r>
      <w:bookmarkStart w:id="1295" w:name="pg5240_59401"/>
    </w:p>
    <w:p>
      <w:pPr>
        <w:pStyle w:val="BookText"/>
        <w:rPr/>
      </w:pPr>
      <w:bookmarkEnd w:id="1295"/>
      <w:r>
        <w:rPr>
          <w:rFonts w:ascii="IRNazanin" w:hAnsi="IRNazanin" w:eastAsia="IRNazanin"/>
          <w:color w:val="111111"/>
          <w:sz w:val="28"/>
          <w:sz w:val="28"/>
          <w:szCs w:val="28"/>
          <w:rtl w:val="true"/>
          <w:lang w:bidi="fa-IR"/>
        </w:rPr>
        <w:t>وعلیه صلاة وصیام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و إنّ أولی الناس بالمیراث هنا الولد الأکبر،فالدلالة تامّة</w:t>
      </w:r>
      <w:r>
        <w:rPr>
          <w:rFonts w:eastAsia="IRNazanin" w:cs="IRNazanin"/>
          <w:color w:val="111111"/>
          <w:sz w:val="28"/>
          <w:szCs w:val="28"/>
          <w:rtl w:val="true"/>
          <w:lang w:bidi="fa-IR"/>
        </w:rPr>
        <w:t>.</w:t>
      </w:r>
    </w:p>
    <w:p>
      <w:pPr>
        <w:pStyle w:val="Heading4"/>
        <w:numPr>
          <w:ilvl w:val="3"/>
          <w:numId w:val="1"/>
        </w:numPr>
        <w:rPr/>
      </w:pPr>
      <w:bookmarkStart w:id="1296" w:name="__RefHeading___Toc363372_581953129"/>
      <w:bookmarkStart w:id="1297" w:name="_Toc540"/>
      <w:bookmarkEnd w:id="1296"/>
      <w:r>
        <w:rPr>
          <w:rtl w:val="true"/>
        </w:rPr>
        <w:t>المذاهب الاربعة</w:t>
      </w:r>
      <w:bookmarkEnd w:id="1297"/>
    </w:p>
    <w:p>
      <w:pPr>
        <w:pStyle w:val="BookText"/>
        <w:rPr/>
      </w:pPr>
      <w:r>
        <w:rPr>
          <w:rFonts w:ascii="IRNazanin" w:hAnsi="IRNazanin" w:eastAsia="IRNazanin"/>
          <w:color w:val="111111"/>
          <w:sz w:val="28"/>
          <w:sz w:val="28"/>
          <w:szCs w:val="28"/>
          <w:rtl w:val="true"/>
          <w:lang w:bidi="fa-IR"/>
        </w:rPr>
        <w:t>من مات وعلیه قضاء رمضان یتصدّق عنه عن‌کلّ یوم بمُدّ ذلک؛للإجماع وأضاف المالکی هناک شرط الإیصاء،فیتصدّق إذا أوصی بالصدقة وإلاّ فلا یجب</w:t>
      </w:r>
      <w:r>
        <w:rPr>
          <w:rFonts w:eastAsia="IRNazanin" w:cs="IRNazanin"/>
          <w:color w:val="111111"/>
          <w:sz w:val="28"/>
          <w:szCs w:val="28"/>
          <w:rtl w:val="true"/>
          <w:lang w:bidi="fa-IR"/>
        </w:rPr>
        <w:t>.</w:t>
      </w:r>
    </w:p>
    <w:p>
      <w:pPr>
        <w:pStyle w:val="Heading3"/>
        <w:numPr>
          <w:ilvl w:val="2"/>
          <w:numId w:val="1"/>
        </w:numPr>
        <w:rPr/>
      </w:pPr>
      <w:bookmarkStart w:id="1298" w:name="__RefHeading___Toc363374_581953129"/>
      <w:bookmarkStart w:id="1299" w:name="_Toc541"/>
      <w:bookmarkEnd w:id="1298"/>
      <w:r>
        <w:rPr>
          <w:rtl w:val="true"/>
        </w:rPr>
        <w:t>تعدّد الکفّارة بتعدّد الجماع</w:t>
      </w:r>
      <w:bookmarkEnd w:id="1299"/>
    </w:p>
    <w:p>
      <w:pPr>
        <w:pStyle w:val="Heading4"/>
        <w:numPr>
          <w:ilvl w:val="3"/>
          <w:numId w:val="1"/>
        </w:numPr>
        <w:rPr/>
      </w:pPr>
      <w:bookmarkStart w:id="1300" w:name="__RefHeading___Toc363376_581953129"/>
      <w:bookmarkStart w:id="1301" w:name="_Toc542"/>
      <w:bookmarkEnd w:id="1300"/>
      <w:r>
        <w:rPr>
          <w:rtl w:val="true"/>
        </w:rPr>
        <w:t>اشارة</w:t>
      </w:r>
      <w:bookmarkEnd w:id="1301"/>
    </w:p>
    <w:p>
      <w:p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کفّر ثمّ جامع ثانیة فکفّارة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یوم واحد کفّارة ثانیة،نصّ علیه أحمد،وقال أبوحنیفة ومالک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علیه بذلک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یصادف الصوم ولم یمنع صحّته فلم یوجب شیئاً</w:t>
      </w:r>
      <w:r>
        <w:rPr>
          <w:rFonts w:eastAsia="IRNazanin" w:cs="IRNazanin"/>
          <w:color w:val="111111"/>
          <w:sz w:val="28"/>
          <w:szCs w:val="28"/>
          <w:rtl w:val="true"/>
          <w:lang w:bidi="fa-IR"/>
        </w:rPr>
        <w:t xml:space="preserve">. </w:t>
      </w:r>
      <w:r>
        <w:rPr>
          <w:rStyle w:val="FootnoteAnchor"/>
          <w:rtl w:val="true"/>
        </w:rPr>
        <w:footnoteReference w:id="620"/>
      </w:r>
    </w:p>
    <w:p>
      <w:pPr>
        <w:pStyle w:val="Heading4"/>
        <w:numPr>
          <w:ilvl w:val="3"/>
          <w:numId w:val="1"/>
        </w:numPr>
        <w:rPr/>
      </w:pPr>
      <w:bookmarkStart w:id="1302" w:name="__RefHeading___Toc363378_581953129"/>
      <w:bookmarkStart w:id="1303" w:name="_Toc543"/>
      <w:bookmarkEnd w:id="1302"/>
      <w:r>
        <w:rPr>
          <w:rtl w:val="true"/>
        </w:rPr>
        <w:t>المذهب الجعفری</w:t>
      </w:r>
      <w:bookmarkEnd w:id="1303"/>
    </w:p>
    <w:p>
      <w:pPr>
        <w:pStyle w:val="BookText"/>
        <w:rPr/>
      </w:pPr>
      <w:r>
        <w:rPr>
          <w:rFonts w:ascii="IRNazanin" w:hAnsi="IRNazanin" w:eastAsia="IRNazanin"/>
          <w:color w:val="111111"/>
          <w:sz w:val="28"/>
          <w:sz w:val="28"/>
          <w:szCs w:val="28"/>
          <w:rtl w:val="true"/>
          <w:lang w:bidi="fa-IR"/>
        </w:rPr>
        <w:t>وقال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جامع فی یوم واحد مرّات وجب علیه کفّارات بعددها</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وحینئذیکون مقتضی أصالة عدم التداخل وجوب التکرار</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ویدلّ علیه روایة فتح ابن‌یزید الجرجانی عن الإمام الرضا علیه السلام فی تکرّر الجماع یوم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مرّة کفّارة</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علی المطلوب دلالة کاملة و الحکم متسالم علیه عند الفقهاء الإمامیین</w:t>
      </w:r>
      <w:r>
        <w:rPr>
          <w:rFonts w:eastAsia="IRNazanin" w:cs="IRNazanin"/>
          <w:color w:val="111111"/>
          <w:sz w:val="28"/>
          <w:szCs w:val="28"/>
          <w:rtl w:val="true"/>
          <w:lang w:bidi="fa-IR"/>
        </w:rPr>
        <w:t>.</w:t>
      </w:r>
      <w:bookmarkStart w:id="1304" w:name="pg5240_59402"/>
    </w:p>
    <w:p>
      <w:pPr>
        <w:pStyle w:val="Heading3"/>
        <w:numPr>
          <w:ilvl w:val="2"/>
          <w:numId w:val="1"/>
        </w:numPr>
        <w:rPr/>
      </w:pPr>
      <w:bookmarkStart w:id="1305" w:name="__RefHeading___Toc363380_581953129"/>
      <w:bookmarkStart w:id="1306" w:name="_Toc544"/>
      <w:bookmarkEnd w:id="1304"/>
      <w:bookmarkEnd w:id="1305"/>
      <w:r>
        <w:rPr>
          <w:rtl w:val="true"/>
        </w:rPr>
        <w:t>العجز عن الکفّارة</w:t>
      </w:r>
      <w:bookmarkEnd w:id="1306"/>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عجز عن الخصال الثلاث فی کفّارة مثل شهر رمضان تخیر بین أن یصوم ثمانیة عشر یوماً أو یتصدّق بما یطیق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عجز بالممکن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قاعدة المیسور،بناء علی تعدّد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یقدر علی شیء منهما استغفرالله</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جمعاً بین النصوص و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عن العتق و الصیام و الإطعام سقطت الکفّارة،بدلیل أنّ الأعرابی لمّا دفع إلیه النبی صلی الله علیه و آله التمر وأخبره بحاجته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یأمره بکفّارة أخری،و هذا قول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قول بعدم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کفّارة واجبة فلم تسقط کسائر الکفّارات و هذه روایة ثانیة عن أحمد و هو قیاس أبی‌حنیفة و الثوری وعن الشافعی کالمذهبین،ولنا الحدیث المذکور ولا یصحّ القیاس علی سائر الکفّارات؛لأنّه إطراح النصّ بالقیاس</w:t>
      </w:r>
      <w:r>
        <w:rPr>
          <w:rFonts w:eastAsia="IRNazanin" w:cs="IRNazanin"/>
          <w:color w:val="111111"/>
          <w:sz w:val="28"/>
          <w:szCs w:val="28"/>
          <w:rtl w:val="true"/>
          <w:lang w:bidi="fa-IR"/>
        </w:rPr>
        <w:t xml:space="preserve">. </w:t>
      </w:r>
      <w:r>
        <w:rPr>
          <w:rStyle w:val="FootnoteAnchor"/>
          <w:rtl w:val="true"/>
        </w:rPr>
        <w:footnoteReference w:id="625"/>
      </w:r>
    </w:p>
    <w:p>
      <w:pPr>
        <w:pStyle w:val="Heading3"/>
        <w:numPr>
          <w:ilvl w:val="2"/>
          <w:numId w:val="1"/>
        </w:numPr>
        <w:rPr/>
      </w:pPr>
      <w:bookmarkStart w:id="1307" w:name="__RefHeading___Toc363382_581953129"/>
      <w:bookmarkStart w:id="1308" w:name="_Toc545"/>
      <w:bookmarkEnd w:id="1307"/>
      <w:r>
        <w:rPr>
          <w:rtl w:val="true"/>
        </w:rPr>
        <w:t>تتابع الشهرین</w:t>
      </w:r>
      <w:bookmarkEnd w:id="1308"/>
    </w:p>
    <w:p>
      <w:pPr>
        <w:pStyle w:val="Heading4"/>
        <w:numPr>
          <w:ilvl w:val="3"/>
          <w:numId w:val="1"/>
        </w:numPr>
        <w:rPr/>
      </w:pPr>
      <w:bookmarkStart w:id="1309" w:name="__RefHeading___Toc363384_581953129"/>
      <w:bookmarkStart w:id="1310" w:name="_Toc546"/>
      <w:bookmarkEnd w:id="1309"/>
      <w:r>
        <w:rPr>
          <w:rtl w:val="true"/>
        </w:rPr>
        <w:t>اشارة</w:t>
      </w:r>
      <w:bookmarkEnd w:id="1310"/>
    </w:p>
    <w:p>
      <w:pPr>
        <w:pStyle w:val="BookText"/>
        <w:rPr/>
      </w:pPr>
      <w:r>
        <w:rPr>
          <w:rFonts w:ascii="IRNazanin" w:hAnsi="IRNazanin" w:eastAsia="IRNazanin"/>
          <w:color w:val="111111"/>
          <w:sz w:val="28"/>
          <w:sz w:val="28"/>
          <w:szCs w:val="28"/>
          <w:rtl w:val="true"/>
          <w:lang w:bidi="fa-IR"/>
        </w:rPr>
        <w:t>المقصود من التتابع هناک هو صیام الشهرالأوّل بتمامه مع صیام یوم واحد من الشهر الثانی،وبذلک یتحقّق التتابع علی 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التتابع علی المذاهب الأربعة فهو عبارة عن صیام شهرین کاملین بلا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عذر شرعی فلا یقطع التتابع علی المذهب الجعفری و الحنبلی،ویقطعه علی المذاهب الثلاثة الأخری</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ومنشأ الاخلاف هو الاختلاف فی فهم المعنی من کلمة التتابع</w:t>
      </w:r>
      <w:r>
        <w:rPr>
          <w:rFonts w:eastAsia="IRNazanin" w:cs="IRNazanin"/>
          <w:color w:val="111111"/>
          <w:sz w:val="28"/>
          <w:szCs w:val="28"/>
          <w:rtl w:val="true"/>
          <w:lang w:bidi="fa-IR"/>
        </w:rPr>
        <w:t>.</w:t>
      </w:r>
      <w:bookmarkStart w:id="1311" w:name="pg5240_59403"/>
    </w:p>
    <w:p>
      <w:pPr>
        <w:pStyle w:val="Heading4"/>
        <w:numPr>
          <w:ilvl w:val="3"/>
          <w:numId w:val="1"/>
        </w:numPr>
        <w:rPr/>
      </w:pPr>
      <w:bookmarkStart w:id="1312" w:name="__RefHeading___Toc363386_581953129"/>
      <w:bookmarkStart w:id="1313" w:name="_Toc547"/>
      <w:bookmarkEnd w:id="1311"/>
      <w:bookmarkEnd w:id="1312"/>
      <w:r>
        <w:rPr>
          <w:rtl w:val="true"/>
        </w:rPr>
        <w:t>منشأ الاختلاف</w:t>
      </w:r>
      <w:bookmarkEnd w:id="1313"/>
    </w:p>
    <w:p>
      <w:pPr>
        <w:pStyle w:val="BookText"/>
        <w:rPr/>
      </w:pPr>
      <w:r>
        <w:rPr>
          <w:rFonts w:ascii="IRNazanin" w:hAnsi="IRNazanin" w:eastAsia="IRNazanin"/>
          <w:color w:val="111111"/>
          <w:sz w:val="28"/>
          <w:sz w:val="28"/>
          <w:szCs w:val="28"/>
          <w:rtl w:val="true"/>
          <w:lang w:bidi="fa-IR"/>
        </w:rPr>
        <w:t>تبین ممّا تقدّم أنّ الاختلاف بالنسبة إلی المفطرات وما یرتبط بها ناشئ عن الاختلاف فی النصّ والاجتهاد فإنّ الاختلاف فی مبطلیة الإفطار عن سهو ناشئ عن الاجتهاد الخاصّ للمذهب المالکی کما أنّ الاختلاف فی مبطلیة تعمّد القیء ناشئ عن تفردّ المذهب الحنفی علی أساس النصّ المعتبر عندهم والاختلاف فی مبطلیة الغبار الغلیظ ناشئ عن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وتفرّد المذهب الجعفری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والاختلاف فی مفطریة الاکتحال و الحجامة ناشئ عن الاختلاف فی النصّ الوارد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والاختلاف فی مفطریة قطع النیة ناشئ عن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والاختلاف فی مفطریة الارتماس بالماء و البقاء علی الجنابة و الکذب علی الله ناشئ عن ورود النصّ عن طریق آل‌البیت علیهم السلام وعدم وروده عن طریق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والاختلاف فی تحقّق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 المنی،تأخیر القضاء وإفطار قضاء رمضان ناشئ عن الاختلاف فی الاجتهاد و النصّ</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والاختلاف فی سقوط الکفّارة مع العجز وتبدّلها بکفّارة أخری ناشئ عن الاختلاف فی النصّ الوارد هناک من طریق اهل‌البیت علیهم السلام و الصحابة</w:t>
      </w:r>
      <w:r>
        <w:rPr>
          <w:rFonts w:eastAsia="IRNazanin" w:cs="IRNazanin"/>
          <w:color w:val="111111"/>
          <w:sz w:val="28"/>
          <w:szCs w:val="28"/>
          <w:rtl w:val="true"/>
          <w:lang w:bidi="fa-IR"/>
        </w:rPr>
        <w:t>.</w:t>
      </w:r>
      <w:bookmarkStart w:id="1314" w:name="pg5240_59404"/>
    </w:p>
    <w:p>
      <w:pPr>
        <w:pStyle w:val="Heading3"/>
        <w:numPr>
          <w:ilvl w:val="2"/>
          <w:numId w:val="1"/>
        </w:numPr>
        <w:rPr/>
      </w:pPr>
      <w:bookmarkStart w:id="1315" w:name="__RefHeading___Toc363388_581953129"/>
      <w:bookmarkStart w:id="1316" w:name="_Toc548"/>
      <w:bookmarkEnd w:id="1314"/>
      <w:bookmarkEnd w:id="1315"/>
      <w:r>
        <w:rPr>
          <w:rtl w:val="true"/>
        </w:rPr>
        <w:t>الخلاصة</w:t>
      </w:r>
      <w:bookmarkEnd w:id="1316"/>
    </w:p>
    <w:p>
      <w:pPr>
        <w:pStyle w:val="BookText"/>
        <w:rPr/>
      </w:pPr>
      <w:r>
        <w:rPr>
          <w:rFonts w:ascii="IRNazanin" w:hAnsi="IRNazanin" w:eastAsia="IRNazanin"/>
          <w:color w:val="111111"/>
          <w:sz w:val="28"/>
          <w:sz w:val="28"/>
          <w:szCs w:val="28"/>
          <w:rtl w:val="true"/>
          <w:lang w:bidi="fa-IR"/>
        </w:rPr>
        <w:t>الإفطار عن سهو لایبطل الصوم إلاّ علی المذهب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تعمّد القی یبطل الصوم إلاّ علی المذهب الحنفی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بالإبطال بشرط أن یملأ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الغبار الغلیظ فی الحلق یبطل الصوم بشرط أن یکون عن عمد أو ما یشبه بالعمد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الاکتحال یبطل الصوم علی المذهب الحنبلی و الشافعی و المالکی ولا یبطل علی المذهب الجعفری و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والحجامة تبطل الصوم علی المذهب الحنبلی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النیة فی الصوم یبطل علی المذهب الجعفری و الحنبلی و الشافعی ولا یبطل علی المذهب الحنفی و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الإرتماس بالماء و البقاء علی الجنابة وتعمّد الکذب علی الله من المفطرات الّتی تفرّد بها المذهب الجعفری،للنصوص الواردة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إنزال المنی یوجب الکفّارة علی المذهب الجعفری و الحنبلی،ویوجب القضاء علی المذاهب الاُخری وتأخیر قضاء رمضان یوجب القضاء فحسب علی المذهب الحنفی ویوجب القضاء و الکفّارة بمدّ عن کلّ یوم علی المذاهب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العجز عن القضاء یوجب الکفّارة بمدّ عن کلّ یوم استحباباً علی المذهب المالکی،ووجوباً،علی المذاهب الأربعة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إفطار قضاء رمضان بعد الزوال یوجب الکفّارة بإطعام عشرة مساکین ومع العجز،صیام ثلاثة أیام علی المذهب الجعفری ولا یوجب شیئاً علی المذاهب الأربعة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وعلیه قضاء رمضان یجب علی ولدالمیت الأکبر،قضاؤه علی المذهب الجعفری وحکمه التصدّق بمدّ عن کل یوم علی المذاهب الأربعة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تتکررّ الکفّارة بتکرّر الموجب فی یوم واحد إلاّ علی المذهب الجعفری و المذهب الحنبلی وتسقط الکفّارة مع العجز،علی المذهب الحنبلی ولا تسقط بل یتبدل بصوم ثمانیة عشر یوم أو التصدّق بما یطیق علی المذهب الجعفری ومع العجز یکفی الاستغفار علی هذا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 العاجز،الکفّارة بعد الیسر علی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وتتابع الشهرین هو صیام شهرین کاملین علی المذاهب الأربعة و هو صیام شهر کامل مع یوم واحد أو أکثر من الشهر الثانی علی المذهب الجعفری</w:t>
      </w:r>
      <w:r>
        <w:rPr>
          <w:rFonts w:eastAsia="IRNazanin" w:cs="IRNazanin"/>
          <w:color w:val="111111"/>
          <w:sz w:val="28"/>
          <w:szCs w:val="28"/>
          <w:rtl w:val="true"/>
          <w:lang w:bidi="fa-IR"/>
        </w:rPr>
        <w:t>.</w:t>
      </w:r>
      <w:bookmarkStart w:id="1317" w:name="pg5240_59406"/>
    </w:p>
    <w:p>
      <w:pPr>
        <w:pStyle w:val="Heading3"/>
        <w:numPr>
          <w:ilvl w:val="2"/>
          <w:numId w:val="1"/>
        </w:numPr>
        <w:rPr/>
      </w:pPr>
      <w:bookmarkStart w:id="1318" w:name="__RefHeading___Toc363390_581953129"/>
      <w:bookmarkStart w:id="1319" w:name="_Toc549"/>
      <w:bookmarkEnd w:id="1317"/>
      <w:bookmarkEnd w:id="1318"/>
      <w:r>
        <w:rPr>
          <w:rtl w:val="true"/>
        </w:rPr>
        <w:t>الأسئلة</w:t>
      </w:r>
      <w:bookmarkEnd w:id="1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أنّ إیصال الغبار الغلیظ إلی الحلق یبطل الصوم؟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قطع النیة فی الصوم؟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تجب الکفّارات الثلاث علی الترتیب أو علی التخییر؟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بوجوب الکفّارة علی العاجز عن قضاء رمضان؟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تتعدّد الکفّارة بتعدّد الموجبات أم لا؟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التتابع فی عبارة شهرین متتابعین؟</w:t>
      </w:r>
      <w:bookmarkStart w:id="1320" w:name="pg5240_59407"/>
    </w:p>
    <w:p>
      <w:pPr>
        <w:pStyle w:val="Heading2"/>
        <w:numPr>
          <w:ilvl w:val="1"/>
          <w:numId w:val="1"/>
        </w:numPr>
        <w:rPr/>
      </w:pPr>
      <w:bookmarkStart w:id="1321" w:name="__RefHeading___Toc363392_581953129"/>
      <w:bookmarkStart w:id="1322" w:name="_Toc550"/>
      <w:bookmarkEnd w:id="1320"/>
      <w:bookmarkEnd w:id="1321"/>
      <w:r>
        <w:rPr/>
        <w:t>20</w:t>
      </w:r>
      <w:r>
        <w:rPr>
          <w:rtl w:val="true"/>
        </w:rPr>
        <w:t xml:space="preserve">- </w:t>
      </w:r>
      <w:r>
        <w:rPr>
          <w:rtl w:val="true"/>
        </w:rPr>
        <w:t>حول رؤیة الهلال</w:t>
      </w:r>
      <w:bookmarkEnd w:id="1322"/>
    </w:p>
    <w:p>
      <w:pPr>
        <w:pStyle w:val="Heading3"/>
        <w:numPr>
          <w:ilvl w:val="2"/>
          <w:numId w:val="1"/>
        </w:numPr>
        <w:rPr/>
      </w:pPr>
      <w:bookmarkStart w:id="1323" w:name="__RefHeading___Toc363394_581953129"/>
      <w:bookmarkStart w:id="1324" w:name="_Toc551"/>
      <w:bookmarkEnd w:id="1323"/>
      <w:r>
        <w:rPr>
          <w:rtl w:val="true"/>
        </w:rPr>
        <w:t>ثبوت الهلال</w:t>
      </w:r>
      <w:bookmarkEnd w:id="1324"/>
    </w:p>
    <w:p>
      <w:pPr>
        <w:pStyle w:val="Heading4"/>
        <w:numPr>
          <w:ilvl w:val="3"/>
          <w:numId w:val="1"/>
        </w:numPr>
        <w:rPr/>
      </w:pPr>
      <w:bookmarkStart w:id="1325" w:name="__RefHeading___Toc363396_581953129"/>
      <w:bookmarkStart w:id="1326" w:name="_Toc552"/>
      <w:bookmarkEnd w:id="1325"/>
      <w:r>
        <w:rPr>
          <w:rtl w:val="true"/>
        </w:rPr>
        <w:t>اشارة</w:t>
      </w:r>
      <w:bookmarkEnd w:id="1326"/>
    </w:p>
    <w:p>
      <w:pPr>
        <w:pStyle w:val="BookText"/>
        <w:rPr/>
      </w:pPr>
      <w:r>
        <w:rPr>
          <w:rFonts w:ascii="IRNazanin" w:hAnsi="IRNazanin" w:eastAsia="IRNazanin"/>
          <w:color w:val="111111"/>
          <w:sz w:val="28"/>
          <w:sz w:val="28"/>
          <w:szCs w:val="28"/>
          <w:rtl w:val="true"/>
          <w:lang w:bidi="fa-IR"/>
        </w:rPr>
        <w:t>لا خلاف بین أهل العلم فی ثبوت هلال رمضان بواسطة رؤیة المکلّف الهلال نفسه وبواسطة التواتر و الشیاع المفید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 ثبوته بخبر واحد أو بخبر عدلین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327" w:name="__RefHeading___Toc363398_581953129"/>
      <w:bookmarkStart w:id="1328" w:name="_Toc553"/>
      <w:bookmarkEnd w:id="1327"/>
      <w:r>
        <w:rPr>
          <w:rtl w:val="true"/>
        </w:rPr>
        <w:t>المذهب الجعفری</w:t>
      </w:r>
      <w:bookmarkEnd w:id="132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هلال رمضان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البینة الشرعیة وهی خبر عدلین </w:t>
      </w:r>
      <w:r>
        <w:rPr>
          <w:rStyle w:val="FootnoteAnchor"/>
          <w:rtl w:val="true"/>
        </w:rPr>
        <w:footnoteReference w:id="627"/>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تکن عنده؛ذلک لعموم حجّیة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ولایثبت بخبر عدل واحد؛للنصوص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البالغة حدّ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الناطقة بعدم ثبوت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 العدل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یتوافق مع المذهب المالکی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إلاّ شهادة اثنین و هو قول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 أنّ</w:t>
      </w:r>
      <w:bookmarkStart w:id="1329" w:name="pg5240_59408"/>
    </w:p>
    <w:p>
      <w:pPr>
        <w:pStyle w:val="BookText"/>
        <w:rPr/>
      </w:pPr>
      <w:bookmarkEnd w:id="1329"/>
      <w:r>
        <w:rPr>
          <w:rFonts w:ascii="IRNazanin" w:hAnsi="IRNazanin" w:eastAsia="IRNazanin"/>
          <w:color w:val="111111"/>
          <w:sz w:val="28"/>
          <w:sz w:val="28"/>
          <w:szCs w:val="28"/>
          <w:rtl w:val="true"/>
          <w:lang w:bidi="fa-IR"/>
        </w:rPr>
        <w:t>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شهد شاهدان ذوا عدل فصوموا وأفطروا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النسائی </w:t>
      </w:r>
      <w:r>
        <w:rPr>
          <w:rStyle w:val="FootnoteAnchor"/>
          <w:rtl w:val="true"/>
        </w:rPr>
        <w:footnoteReference w:id="628"/>
      </w:r>
      <w:r>
        <w:rPr>
          <w:rFonts w:ascii="IRNazanin" w:hAnsi="IRNazanin" w:eastAsia="IRNazanin"/>
          <w:color w:val="111111"/>
          <w:sz w:val="28"/>
          <w:sz w:val="28"/>
          <w:szCs w:val="28"/>
          <w:rtl w:val="true"/>
          <w:lang w:bidi="fa-IR"/>
        </w:rPr>
        <w:t>و هذا هو الأحوط</w:t>
      </w:r>
      <w:r>
        <w:rPr>
          <w:rFonts w:eastAsia="IRNazanin" w:cs="IRNazanin"/>
          <w:color w:val="111111"/>
          <w:sz w:val="28"/>
          <w:szCs w:val="28"/>
          <w:rtl w:val="true"/>
          <w:lang w:bidi="fa-IR"/>
        </w:rPr>
        <w:t>.</w:t>
      </w:r>
    </w:p>
    <w:p>
      <w:pPr>
        <w:pStyle w:val="Heading4"/>
        <w:numPr>
          <w:ilvl w:val="3"/>
          <w:numId w:val="1"/>
        </w:numPr>
        <w:rPr/>
      </w:pPr>
      <w:bookmarkStart w:id="1330" w:name="__RefHeading___Toc363400_581953129"/>
      <w:bookmarkStart w:id="1331" w:name="_Toc554"/>
      <w:bookmarkEnd w:id="1330"/>
      <w:r>
        <w:rPr>
          <w:rtl w:val="true"/>
        </w:rPr>
        <w:t>المذهب الثلاثة الأخری</w:t>
      </w:r>
      <w:bookmarkEnd w:id="1331"/>
    </w:p>
    <w:p>
      <w:pPr>
        <w:pStyle w:val="BookText"/>
        <w:rPr/>
      </w:pPr>
      <w:r>
        <w:rPr>
          <w:rFonts w:ascii="IRNazanin" w:hAnsi="IRNazanin" w:eastAsia="IRNazanin"/>
          <w:color w:val="111111"/>
          <w:sz w:val="28"/>
          <w:sz w:val="28"/>
          <w:szCs w:val="28"/>
          <w:rtl w:val="true"/>
          <w:lang w:bidi="fa-IR"/>
        </w:rPr>
        <w:t>قال السید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شهر رمضان برؤیة الهلال ولو من واحد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 ابن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 رسول الله صلی الله علیه و آله إنّی رأیته فصام وأمر الناس بصیامه،و أمّا هلال شوال لا تقبل فیه شهادة الواحد عند عامة الفقهاء</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یقبل فی هلال رمضان قول واحد عدل و هو قول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هلال رمضان وشوّال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ورد من ثبوت الهلال بشهادة عدلین فهو یختصّ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بهلال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یقبل فی هلال شوّال إلاّ شهادة اثنین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أبوحنیفة فی الغیم کقولنا وفی الصحو لایقبل إلاّ الاستفاضة؛لأنّه لایجوز أن تنظر الجماعة فیراه واحد دون الباقین</w:t>
      </w:r>
      <w:r>
        <w:rPr>
          <w:rFonts w:eastAsia="IRNazanin" w:cs="IRNazanin"/>
          <w:color w:val="111111"/>
          <w:sz w:val="28"/>
          <w:szCs w:val="28"/>
          <w:rtl w:val="true"/>
          <w:lang w:bidi="fa-IR"/>
        </w:rPr>
        <w:t xml:space="preserve">. </w:t>
      </w:r>
      <w:r>
        <w:rPr>
          <w:rStyle w:val="FootnoteAnchor"/>
          <w:rtl w:val="true"/>
        </w:rPr>
        <w:footnoteReference w:id="630"/>
      </w:r>
    </w:p>
    <w:p>
      <w:pPr>
        <w:pStyle w:val="Heading3"/>
        <w:numPr>
          <w:ilvl w:val="2"/>
          <w:numId w:val="1"/>
        </w:numPr>
        <w:rPr/>
      </w:pPr>
      <w:bookmarkStart w:id="1332" w:name="__RefHeading___Toc363402_581953129"/>
      <w:bookmarkStart w:id="1333" w:name="_Toc555"/>
      <w:bookmarkEnd w:id="1332"/>
      <w:r>
        <w:rPr>
          <w:rtl w:val="true"/>
        </w:rPr>
        <w:t>اختلاف الآفاق</w:t>
      </w:r>
      <w:bookmarkEnd w:id="1333"/>
    </w:p>
    <w:p>
      <w:pPr>
        <w:pStyle w:val="Heading4"/>
        <w:numPr>
          <w:ilvl w:val="3"/>
          <w:numId w:val="1"/>
        </w:numPr>
        <w:rPr/>
      </w:pPr>
      <w:bookmarkStart w:id="1334" w:name="__RefHeading___Toc363404_581953129"/>
      <w:bookmarkStart w:id="1335" w:name="_Toc556"/>
      <w:bookmarkEnd w:id="1334"/>
      <w:r>
        <w:rPr>
          <w:rtl w:val="true"/>
        </w:rPr>
        <w:t>اشارة</w:t>
      </w:r>
      <w:bookmarkEnd w:id="1335"/>
    </w:p>
    <w:p>
      <w:pPr>
        <w:pStyle w:val="BookText"/>
        <w:rPr/>
      </w:pPr>
      <w:r>
        <w:rPr>
          <w:rFonts w:ascii="IRNazanin" w:hAnsi="IRNazanin" w:eastAsia="IRNazanin"/>
          <w:color w:val="111111"/>
          <w:sz w:val="28"/>
          <w:sz w:val="28"/>
          <w:szCs w:val="28"/>
          <w:rtl w:val="true"/>
          <w:lang w:bidi="fa-IR"/>
        </w:rPr>
        <w:t>قال الإمام 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ثبت الهلال فی بلد آخر دون بلده فان کان متقاربین أو علم توافق أفقهما کفی وإلا فلا</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کفایة الرؤیة فی بلد مّا،لثبوت الهلال فی بلد آخر،مع اشتراکهما فی کون لیلة واحدة لیلة لهما معاً ولو مع اختلاف افقهما</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استدلالاً</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الهلال قابلاً للرؤیة فی أحد النصفین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النصف من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بأنّ هذه اللیلة‌أوّل شهر بالإضافة إلی سکنة هذا النصف المشترکین فی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 یتولّد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القمر من تحت الشعاع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فبالنسبة إلی الحالة الکونیة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بالنظر إلی الروایات فیستفاد منها أیضاً أنّ الأمر کذلک وتدلّنا علیه أوّلاً إطلاقات النصوص الواردة فی رؤیة الهلال 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الخاصّة،وأوضح من الجمیع صحیحة أبی‌بصیر عن الإمام الصادق علیه السلام،أنّه سئل عن الیوم الّذی یقضی من شهر رمضان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لاتقضه إلاّ أن یثبت شاهدان عدلان من جمیع أهل الصلاة متی‌کان رأس الشهر</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فإنّ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أهل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واضحة علی عدم اختصاص رأس الشهر القمری ببلد دون بلد،و إنّما هو حکم واحد عام لجمیع المسلمین‌کافّة علی اختلاف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اختلاف الآفاق،واتّحادها،فمتی قامت البینة علی الرؤیة من أی قطر من أقطار هذا المجموع المرکّب،وهم کافّة أهل الصلاة،کفی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فما ذهب إلیه جملة من الأعاظم من عدم الاعتبار بوحدة الأفق هو الأوفق بالاعتبار</w:t>
      </w:r>
      <w:r>
        <w:rPr>
          <w:rFonts w:eastAsia="IRNazanin" w:cs="IRNazanin"/>
          <w:color w:val="111111"/>
          <w:sz w:val="28"/>
          <w:szCs w:val="28"/>
          <w:rtl w:val="true"/>
          <w:lang w:bidi="fa-IR"/>
        </w:rPr>
        <w:t xml:space="preserve">. </w:t>
      </w:r>
      <w:r>
        <w:rPr>
          <w:rStyle w:val="FootnoteAnchor"/>
          <w:rtl w:val="true"/>
        </w:rPr>
        <w:footnoteReference w:id="63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رؤیة الهلال بقطر من الأقطار وجب الصوم علی سائر الأقطار،لا فرق بین القریب من جهة‌الثبوت و البعید،إذا بلغهم من‌طریق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ولاعبرة باختلاف مطلع الهلال مطلقاً عند ثلاثة من الأئمّة وخالف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ثبتت رؤیة الهلال فی جهة وجب علی أهل الجهة القریبة</w:t>
      </w:r>
      <w:bookmarkStart w:id="1336" w:name="pg5240_59410"/>
    </w:p>
    <w:p>
      <w:pPr>
        <w:pStyle w:val="BookText"/>
        <w:rPr/>
      </w:pPr>
      <w:bookmarkEnd w:id="1336"/>
      <w:r>
        <w:rPr>
          <w:rFonts w:ascii="IRNazanin" w:hAnsi="IRNazanin" w:eastAsia="IRNazanin"/>
          <w:color w:val="111111"/>
          <w:sz w:val="28"/>
          <w:sz w:val="28"/>
          <w:szCs w:val="28"/>
          <w:rtl w:val="true"/>
          <w:lang w:bidi="fa-IR"/>
        </w:rPr>
        <w:t>منها من کلّ ناحیة أن یصوموا،بناءً علی هذا الثبوت،والقرب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باتّحاد 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بینهما أقلّ من أربعة وعشرین فرسخاً تحدیداً،أمّا أهل الجهة البعیدة،فلا یجب علیهم الصوم بهذه الرؤیة لاختلاف المطلع</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قال السید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الجمهور إلی أنّه لاعبرة باختلاف المطالع فمتی رأی الهلال أهل بلد وجب الصوم علی جمیع البلاد،والصحیح عند الاحناف و المختار عند الشافعیة انّه یعتبر لأهل کلّ بلد رؤیتهم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رواه کریب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ابن‌عباس فی المدینة ما اکتفی برؤیة معاویة وصیامه 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636"/>
      </w:r>
    </w:p>
    <w:p>
      <w:pPr>
        <w:pStyle w:val="Heading4"/>
        <w:numPr>
          <w:ilvl w:val="3"/>
          <w:numId w:val="1"/>
        </w:numPr>
        <w:rPr/>
      </w:pPr>
      <w:bookmarkStart w:id="1337" w:name="__RefHeading___Toc363406_581953129"/>
      <w:bookmarkStart w:id="1338" w:name="_Toc557"/>
      <w:bookmarkEnd w:id="1337"/>
      <w:r>
        <w:rPr>
          <w:rtl w:val="true"/>
        </w:rPr>
        <w:t>منشأ الاختلاف</w:t>
      </w:r>
      <w:bookmarkEnd w:id="1338"/>
    </w:p>
    <w:p>
      <w:pPr>
        <w:pStyle w:val="BookText"/>
        <w:rPr/>
      </w:pPr>
      <w:r>
        <w:rPr>
          <w:rFonts w:ascii="IRNazanin" w:hAnsi="IRNazanin" w:eastAsia="IRNazanin"/>
          <w:color w:val="111111"/>
          <w:sz w:val="28"/>
          <w:sz w:val="28"/>
          <w:szCs w:val="28"/>
          <w:rtl w:val="true"/>
          <w:lang w:bidi="fa-IR"/>
        </w:rPr>
        <w:t>والتحقیق أنّ رؤیة الهلال فی بلد واحد یکفی فی ثبوت الهلال فی کافّة البلاد مع عدم الاختلاف فی الآفاق و هو الأوفق بالأصل والاختلاف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لنا أنّ منشأ الاختلاف فی مسألة اختلاف الآفاق،هو اجتهاد الفقهاء</w:t>
      </w:r>
      <w:r>
        <w:rPr>
          <w:rFonts w:eastAsia="IRNazanin" w:cs="IRNazanin"/>
          <w:color w:val="111111"/>
          <w:sz w:val="28"/>
          <w:szCs w:val="28"/>
          <w:rtl w:val="true"/>
          <w:lang w:bidi="fa-IR"/>
        </w:rPr>
        <w:t>.</w:t>
      </w:r>
    </w:p>
    <w:p>
      <w:pPr>
        <w:pStyle w:val="Heading3"/>
        <w:numPr>
          <w:ilvl w:val="2"/>
          <w:numId w:val="1"/>
        </w:numPr>
        <w:rPr/>
      </w:pPr>
      <w:bookmarkStart w:id="1339" w:name="__RefHeading___Toc363408_581953129"/>
      <w:bookmarkStart w:id="1340" w:name="_Toc558"/>
      <w:bookmarkEnd w:id="1339"/>
      <w:r>
        <w:rPr>
          <w:rtl w:val="true"/>
        </w:rPr>
        <w:t>یوم الشکّ</w:t>
      </w:r>
      <w:bookmarkEnd w:id="1340"/>
    </w:p>
    <w:p>
      <w:pPr>
        <w:pStyle w:val="Heading4"/>
        <w:numPr>
          <w:ilvl w:val="3"/>
          <w:numId w:val="1"/>
        </w:numPr>
        <w:rPr/>
      </w:pPr>
      <w:bookmarkStart w:id="1341" w:name="__RefHeading___Toc363410_581953129"/>
      <w:bookmarkStart w:id="1342" w:name="_Toc559"/>
      <w:bookmarkEnd w:id="1341"/>
      <w:r>
        <w:rPr>
          <w:rtl w:val="true"/>
        </w:rPr>
        <w:t>اشارة</w:t>
      </w:r>
      <w:bookmarkEnd w:id="1342"/>
    </w:p>
    <w:p>
      <w:pPr>
        <w:pStyle w:val="BookText"/>
        <w:rPr/>
      </w:pPr>
      <w:r>
        <w:rPr>
          <w:rFonts w:ascii="IRNazanin" w:hAnsi="IRNazanin" w:eastAsia="IRNazanin"/>
          <w:color w:val="111111"/>
          <w:sz w:val="28"/>
          <w:sz w:val="28"/>
          <w:szCs w:val="28"/>
          <w:rtl w:val="true"/>
          <w:lang w:bidi="fa-IR"/>
        </w:rPr>
        <w:t>هو الیوم الّذی شکّ فی کونه من شعبان أو من رمضان لاخلاف فی عدم وجوب الصیام فی ذلک الیوم و الخلاف کلّه فی أنّه إذا صام المکلّف مع الشکّ ثمّ تبین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رمضان هل یجزیه أو لا؟وتفصیل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343" w:name="__RefHeading___Toc363412_581953129"/>
      <w:bookmarkStart w:id="1344" w:name="_Toc560"/>
      <w:bookmarkEnd w:id="1343"/>
      <w:r>
        <w:rPr>
          <w:rtl w:val="true"/>
        </w:rPr>
        <w:t>المذهب الجعفری</w:t>
      </w:r>
      <w:bookmarkEnd w:id="134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 فی أنّه من شعبان أو رمضان یبنی علی أنّه من شعبان فلایجب صومه و إن صام ینویه ندباً أوقضاءً أو غیرهما،ولو بان بعد ذلک</w:t>
      </w:r>
      <w:bookmarkStart w:id="1345" w:name="pg5240_59411"/>
    </w:p>
    <w:p>
      <w:pPr>
        <w:pStyle w:val="BookText"/>
        <w:rPr/>
      </w:pPr>
      <w:bookmarkEnd w:id="1345"/>
      <w:r>
        <w:rPr>
          <w:rFonts w:ascii="IRNazanin" w:hAnsi="IRNazanin" w:eastAsia="IRNazanin"/>
          <w:color w:val="111111"/>
          <w:sz w:val="28"/>
          <w:sz w:val="28"/>
          <w:szCs w:val="28"/>
          <w:rtl w:val="true"/>
          <w:lang w:bidi="fa-IR"/>
        </w:rPr>
        <w:t>أنّه من رمضان أجزأ عنه،ووجب علیه تجدید النیة ولو کان بعد الزوال ولو صامه بنیة أنّه من رمضان لم یصحّ و إن صادف الواقع</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ذلک؛للنصوص الواردة منها موثّقة سماعة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صوم یوم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ینوی من اللیلة أنّه یصوم من شعبان فإن‌کان من‌شهر رمضان أجزأ عنه </w:t>
      </w:r>
      <w:r>
        <w:rPr>
          <w:rStyle w:val="FootnoteAnchor"/>
          <w:rtl w:val="true"/>
        </w:rPr>
        <w:footnoteReference w:id="638"/>
      </w: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مطابق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و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لم‌ترد روایة‌أصلاً </w:t>
      </w:r>
      <w:r>
        <w:rPr>
          <w:rStyle w:val="FootnoteAnchor"/>
          <w:rtl w:val="true"/>
        </w:rPr>
        <w:footnoteReference w:id="639"/>
      </w:r>
      <w:r>
        <w:rPr>
          <w:rFonts w:ascii="IRNazanin" w:hAnsi="IRNazanin" w:eastAsia="IRNazanin"/>
          <w:color w:val="111111"/>
          <w:sz w:val="28"/>
          <w:sz w:val="28"/>
          <w:szCs w:val="28"/>
          <w:rtl w:val="true"/>
          <w:lang w:bidi="fa-IR"/>
        </w:rPr>
        <w:t>والإجزاءهناک مفتی به علی 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 یوم الشکّ من رمضان أجزأه صیامه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المذهب الحنفی بأی نحو نوی </w:t>
      </w:r>
      <w:r>
        <w:rPr>
          <w:rStyle w:val="FootnoteAnchor"/>
          <w:rtl w:val="true"/>
        </w:rPr>
        <w:footnoteReference w:id="640"/>
      </w:r>
      <w:r>
        <w:rPr>
          <w:rFonts w:ascii="IRNazanin" w:hAnsi="IRNazanin" w:eastAsia="IRNazanin"/>
          <w:color w:val="111111"/>
          <w:sz w:val="28"/>
          <w:sz w:val="28"/>
          <w:szCs w:val="28"/>
          <w:rtl w:val="true"/>
          <w:lang w:bidi="fa-IR"/>
        </w:rPr>
        <w:t>ذلک؛لعدم مخالفة عملیة هناک</w:t>
      </w:r>
      <w:r>
        <w:rPr>
          <w:rFonts w:eastAsia="IRNazanin" w:cs="IRNazanin"/>
          <w:color w:val="111111"/>
          <w:sz w:val="28"/>
          <w:szCs w:val="28"/>
          <w:rtl w:val="true"/>
          <w:lang w:bidi="fa-IR"/>
        </w:rPr>
        <w:t>.</w:t>
      </w:r>
    </w:p>
    <w:p>
      <w:pPr>
        <w:pStyle w:val="Heading4"/>
        <w:numPr>
          <w:ilvl w:val="3"/>
          <w:numId w:val="1"/>
        </w:numPr>
        <w:rPr/>
      </w:pPr>
      <w:bookmarkStart w:id="1346" w:name="__RefHeading___Toc363414_581953129"/>
      <w:bookmarkStart w:id="1347" w:name="_Toc561"/>
      <w:bookmarkEnd w:id="1346"/>
      <w:r>
        <w:rPr>
          <w:rtl w:val="true"/>
        </w:rPr>
        <w:t>المذاهب الثلاثة الأخری</w:t>
      </w:r>
      <w:bookmarkEnd w:id="1347"/>
    </w:p>
    <w:p>
      <w:pPr>
        <w:pStyle w:val="BookText"/>
        <w:rPr/>
      </w:pPr>
      <w:r>
        <w:rPr>
          <w:rFonts w:ascii="IRNazanin" w:hAnsi="IRNazanin" w:eastAsia="IRNazanin"/>
          <w:color w:val="111111"/>
          <w:sz w:val="28"/>
          <w:sz w:val="28"/>
          <w:szCs w:val="28"/>
          <w:rtl w:val="true"/>
          <w:lang w:bidi="fa-IR"/>
        </w:rPr>
        <w:t>لایجزئ الصوم فی هذه الحالة ویجب القضاء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صام تطوّعاً فوافق شهر رمضان لم یجزئه،نصّ علیه أحمد وبه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یبتنی علی تعیین النیة لرمضان</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فلا صوم إلاّ بالنیة</w:t>
      </w:r>
      <w:r>
        <w:rPr>
          <w:rFonts w:eastAsia="IRNazanin" w:cs="IRNazanin"/>
          <w:color w:val="111111"/>
          <w:sz w:val="28"/>
          <w:szCs w:val="28"/>
          <w:rtl w:val="true"/>
          <w:lang w:bidi="fa-IR"/>
        </w:rPr>
        <w:t>.</w:t>
      </w:r>
    </w:p>
    <w:p>
      <w:pPr>
        <w:pStyle w:val="Heading4"/>
        <w:numPr>
          <w:ilvl w:val="3"/>
          <w:numId w:val="1"/>
        </w:numPr>
        <w:rPr/>
      </w:pPr>
      <w:bookmarkStart w:id="1348" w:name="__RefHeading___Toc363416_581953129"/>
      <w:bookmarkStart w:id="1349" w:name="_Toc562"/>
      <w:bookmarkEnd w:id="1348"/>
      <w:r>
        <w:rPr>
          <w:rtl w:val="true"/>
        </w:rPr>
        <w:t>منشأ الاختلاف</w:t>
      </w:r>
      <w:bookmarkEnd w:id="134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بالنسبة إلی ثبوت الهلال بعدل واحد أو عدلین،ناشئ عن الاختلاف فی النصوص الواردة فی الباب،فإنّ النصوص الواردة‌من طریق آل‌البیت علیهم السلام تؤکّد علی عدم کفایة عدل واحد و النصوص الواردة من طریق الصحابة تتفاوت فیما بینها ولم</w:t>
      </w:r>
      <w:bookmarkStart w:id="1350" w:name="pg5240_59412"/>
    </w:p>
    <w:p>
      <w:pPr>
        <w:pStyle w:val="BookText"/>
        <w:rPr/>
      </w:pPr>
      <w:bookmarkEnd w:id="1350"/>
      <w:r>
        <w:rPr>
          <w:rFonts w:ascii="IRNazanin" w:hAnsi="IRNazanin" w:eastAsia="IRNazanin"/>
          <w:color w:val="111111"/>
          <w:sz w:val="28"/>
          <w:sz w:val="28"/>
          <w:szCs w:val="28"/>
          <w:rtl w:val="true"/>
          <w:lang w:bidi="fa-IR"/>
        </w:rPr>
        <w:t>یکن لها مدلول واحد،و هذا ما استتبع تفاوت النظر لدی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الاختلاف فی اشتراط الاتّحادفی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تجاه‌ثبوت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الإشتراط فهو اختلاف یسیر ناشئ عن اجتهاد الشافعی علی خلاف المذاهب الأخری</w:t>
      </w:r>
      <w:r>
        <w:rPr>
          <w:rFonts w:eastAsia="IRNazanin" w:cs="IRNazanin"/>
          <w:color w:val="111111"/>
          <w:sz w:val="28"/>
          <w:szCs w:val="28"/>
          <w:rtl w:val="true"/>
          <w:lang w:bidi="fa-IR"/>
        </w:rPr>
        <w:t>.</w:t>
      </w:r>
    </w:p>
    <w:p>
      <w:pPr>
        <w:pStyle w:val="Heading3"/>
        <w:numPr>
          <w:ilvl w:val="2"/>
          <w:numId w:val="1"/>
        </w:numPr>
        <w:rPr/>
      </w:pPr>
      <w:bookmarkStart w:id="1351" w:name="__RefHeading___Toc363418_581953129"/>
      <w:bookmarkStart w:id="1352" w:name="_Toc563"/>
      <w:bookmarkEnd w:id="1351"/>
      <w:r>
        <w:rPr>
          <w:rtl w:val="true"/>
        </w:rPr>
        <w:t>ترخیص الإفطار</w:t>
      </w:r>
      <w:bookmarkEnd w:id="1352"/>
    </w:p>
    <w:p>
      <w:pPr>
        <w:pStyle w:val="Heading4"/>
        <w:numPr>
          <w:ilvl w:val="3"/>
          <w:numId w:val="1"/>
        </w:numPr>
        <w:rPr/>
      </w:pPr>
      <w:bookmarkStart w:id="1353" w:name="__RefHeading___Toc363420_581953129"/>
      <w:bookmarkStart w:id="1354" w:name="_Toc564"/>
      <w:bookmarkEnd w:id="1353"/>
      <w:r>
        <w:rPr>
          <w:rtl w:val="true"/>
        </w:rPr>
        <w:t>اشارة</w:t>
      </w:r>
      <w:bookmarkEnd w:id="1354"/>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الرخصة فی إفطار شهر رمضان لعدّة 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الثانی الشیخ و الشیخة إذا تعذّر علیهما الصوم،أو کان حرجاً،فیجوز لهما الإفطار،ویجب فی صورة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وعلیهما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کلّ یوم بمدّ من الطعام،والأقوی وجوب القضاء علیهما لو تمکّنا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داء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علیه الکفّارة بمدّ و الأقوی وجوب القضاء علیه إذا تمکّن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المقرب الّتی یضرّها الصوم أو یضرّ حملها فتفطر وتتصدّق من مالها بالمدّ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وتقضی بعد ذلک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المرضعة القلیلة اللبن إذا أضرّ بها الصوم أو أضرّ بالولد ویجب علیها الکفّارة بالمدّ من مالها و القضاء بعد ذلک</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الترخیص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عموم دلیل نفی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العزیز المعتضد بالروایات الخاصّة الواردة فی المقام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 فَمَنْ کانَ مِنْکُمْ مَرِیضاً أَوْ عَلی سَفَرٍ فَعِدَّةٌ مِنْ أَیّامٍ أُخَرَ وَ عَلَی الَّذِینَ یُطِیقُونَهُ فِدْیَةٌ طَعامُ مِسْکِینٍ فَمَنْ تَطَوَّعَ خَیْراً فَهُوَ خَیْرٌ لَهُ وَ أَنْ تَصُومُوا خَیْرٌ لَکُمْ</w:t>
      </w:r>
      <w:r>
        <w:rPr>
          <w:rFonts w:eastAsia="Amiri" w:cs="Amiri" w:ascii="Amiri" w:hAnsi="Amiri"/>
          <w:color w:val="111111"/>
          <w:sz w:val="28"/>
          <w:szCs w:val="28"/>
          <w:rtl w:val="true"/>
          <w:lang w:bidi="ar-SA"/>
        </w:rPr>
        <w:t xml:space="preserve">... . </w:t>
      </w:r>
      <w:r>
        <w:rPr>
          <w:rStyle w:val="FootnoteAnchor"/>
          <w:rtl w:val="true"/>
        </w:rPr>
        <w:footnoteReference w:id="643"/>
      </w:r>
      <w:r>
        <w:rPr>
          <w:rFonts w:ascii="IRNazanin" w:hAnsi="IRNazanin" w:eastAsia="IRNazanin"/>
          <w:color w:val="111111"/>
          <w:sz w:val="28"/>
          <w:sz w:val="28"/>
          <w:szCs w:val="28"/>
          <w:rtl w:val="true"/>
          <w:lang w:bidi="fa-IR"/>
        </w:rPr>
        <w:t>تضمّنت الآیة المبارکة تقسیم المکلّفین إلی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یتعین علیهم الصیام أداءً وهم الأفراد المکلّفون من الحاضرین‌الأصحّاء،حیث أن التعبیرب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 اللّاحقة ظاهر فی الوجوب التعیینی،الثانی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یتعین علیه القضاء و هو المریض و المسافر،الثالث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یجب علیه الصوم رأساً لا أداءً ولاقضاءً،بل یتعین فی حقّه الفداء،وهم الّذین یقعون من أجل الصوم فی الإطاقة أی فی کلفة ومشقّة کالشیخ و الشیخة،وذوالعطاش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الآیة الکریمة أنّ الوجوب فی کلّ من الأقسام الثلاثة تعیینی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أکّد سبحانه ما بینه من الصوم فی القسمین الأوّلین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تَصُومُوا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خیره ونفعه عائد الیکم لا إلی الله سبحانه الّذی هو غنی علی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إلی من به داء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الکلام فی الشیخ و الشیخة بعینه لوحدة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کتاباً وسنّةً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یرشدک إلی ذلک ماورد فی صحیحة محمّدبن مسلم عن‌الإمام الباقر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الَّذِینَ یُطِیقُونَهُ فِدْیَةٌ طَعامُ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الکبیر و الّذی یأخذه العطاش</w:t>
      </w:r>
      <w:r>
        <w:rPr>
          <w:rFonts w:eastAsia="Amiri" w:cs="Amiri" w:ascii="Amiri" w:hAnsi="Amiri"/>
          <w:color w:val="111111"/>
          <w:sz w:val="28"/>
          <w:szCs w:val="28"/>
          <w:rtl w:val="true"/>
          <w:lang w:bidi="ar-SA"/>
        </w:rPr>
        <w:t xml:space="preserve">. </w:t>
      </w:r>
      <w:r>
        <w:rPr>
          <w:rStyle w:val="FootnoteAnchor"/>
          <w:rtl w:val="true"/>
        </w:rPr>
        <w:footnoteReference w:id="644"/>
      </w:r>
      <w:r>
        <w:rPr>
          <w:rFonts w:ascii="IRNazanin" w:hAnsi="IRNazanin" w:eastAsia="IRNazanin"/>
          <w:color w:val="111111"/>
          <w:sz w:val="28"/>
          <w:sz w:val="28"/>
          <w:szCs w:val="28"/>
          <w:rtl w:val="true"/>
          <w:lang w:bidi="fa-IR"/>
        </w:rPr>
        <w:t>حیث جعل ذوالعطاش مرادفاً للشیخ</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والنصوص الواردة فی الباب کثیرة جدّاً،منها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محمّدبن مسلم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الکبیر و الّذی به العطاش لا حرج علیهما أن یفطرا فی شهر رمضان،ویتصدّق کلّ واحد منهما فی کلّ یوم بمدّ من طعام لاقضاء علیهما</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دلّت علی تعیین الفدیة وعدم وجوب الصوم أداءً وقضاءً</w:t>
      </w:r>
      <w:r>
        <w:rPr>
          <w:rFonts w:eastAsia="IRNazanin" w:cs="IRNazanin"/>
          <w:color w:val="111111"/>
          <w:sz w:val="28"/>
          <w:szCs w:val="28"/>
          <w:rtl w:val="true"/>
          <w:lang w:bidi="fa-IR"/>
        </w:rPr>
        <w:t>.</w:t>
      </w:r>
      <w:bookmarkStart w:id="1355" w:name="pg5240_59414"/>
    </w:p>
    <w:p>
      <w:pPr>
        <w:pStyle w:val="BookText"/>
        <w:rPr/>
      </w:pPr>
      <w:bookmarkEnd w:id="1355"/>
      <w:r>
        <w:rPr>
          <w:rFonts w:ascii="IRNazanin" w:hAnsi="IRNazanin" w:eastAsia="IRNazanin"/>
          <w:color w:val="111111"/>
          <w:sz w:val="28"/>
          <w:sz w:val="28"/>
          <w:szCs w:val="28"/>
          <w:rtl w:val="true"/>
          <w:lang w:bidi="fa-IR"/>
        </w:rPr>
        <w:t>و أمّا الحکم بوجوب القضاء إنّما هو لعموم قضاء الفائت ولقاعدة الاحتیاط،و أمّا جواز الإفطار بالنسبة إلی الحامل المقرب و المرضعة فهو ممّا تسالم علیه الفقهاء ویشمله عموم قاعدتی الضرر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 فی صحیحة محمّدبن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الإمام الباقر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المقرب،والمرضعة القلیلة اللبن،لاحرج علیهما أن تفطرا فی شهر رمضان؛لأنّهما لاتطیقان وعلیهما أن تتصدّقاً کلّ واحدة منهما فی کلّ یوم تفطران فیه بمدّ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وعلیهما قضاء کلّ یوم أفطرتا فیه تقضیانه بعد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دلّت علی المطلوب دلالة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الترخیص فی هذه الموارد لیس بمعنی تخییر المکلّف بین الصیام و الإفطار بل بمعنی عدم وجوب الصیام،و إن کان اللازم علیهم الإفطار</w:t>
      </w:r>
      <w:r>
        <w:rPr>
          <w:rFonts w:eastAsia="IRNazanin" w:cs="IRNazanin"/>
          <w:color w:val="111111"/>
          <w:sz w:val="28"/>
          <w:szCs w:val="28"/>
          <w:rtl w:val="true"/>
          <w:lang w:bidi="fa-IR"/>
        </w:rPr>
        <w:t xml:space="preserve">. </w:t>
      </w:r>
      <w:r>
        <w:rPr>
          <w:rStyle w:val="FootnoteAnchor"/>
          <w:rtl w:val="true"/>
        </w:rPr>
        <w:footnoteReference w:id="648"/>
      </w:r>
    </w:p>
    <w:p>
      <w:pPr>
        <w:pStyle w:val="Heading4"/>
        <w:numPr>
          <w:ilvl w:val="3"/>
          <w:numId w:val="1"/>
        </w:numPr>
        <w:rPr/>
      </w:pPr>
      <w:bookmarkStart w:id="1356" w:name="__RefHeading___Toc363422_581953129"/>
      <w:bookmarkStart w:id="1357" w:name="_Toc565"/>
      <w:bookmarkEnd w:id="1356"/>
      <w:r>
        <w:rPr>
          <w:rtl w:val="true"/>
        </w:rPr>
        <w:t>المذاهب الاربعة</w:t>
      </w:r>
      <w:bookmarkEnd w:id="135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الکبیر و العجوز إذا کان یجهدهما الصوم ویشقّ علیهما مشقّة شدیدة فلهما أن یفطرا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ویطعما لکلّ یوم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یُطِیقُونَهُ 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رخصة للشیخ الکبیر،ولأنّ الأداء صوم واجب،فجاز أن یسقط إلی الکفّارة کالقضاء و هذا قول أبی‌حنیفة و الشافعی،وقال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علیه شیء؛لأنّه ترک الصوم؛لعجزه فلم تجب فدیة‌کما لو ترکه لمرض اتّصل به الموت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و أمّا الحامل و المرضع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خافتا علی أنفسهما فلهما الفطر وعلیهما القضاء فحسب،لانعلم فیه بین أهل العلم اختلافاً؛لأنهما بمنزلة المریض الخائف علی نفسه و إن خافتا علی ولدیهما</w:t>
      </w:r>
      <w:bookmarkStart w:id="1358" w:name="pg5240_59415"/>
    </w:p>
    <w:p>
      <w:pPr>
        <w:pStyle w:val="BookText"/>
        <w:rPr/>
      </w:pPr>
      <w:bookmarkEnd w:id="1358"/>
      <w:r>
        <w:rPr>
          <w:rFonts w:ascii="IRNazanin" w:hAnsi="IRNazanin" w:eastAsia="IRNazanin"/>
          <w:color w:val="111111"/>
          <w:sz w:val="28"/>
          <w:sz w:val="28"/>
          <w:szCs w:val="28"/>
          <w:rtl w:val="true"/>
          <w:lang w:bidi="fa-IR"/>
        </w:rPr>
        <w:t>أفطرتا وعلیهما القضاء وإطعام مسکین عن کلّ یوم و هذا یروی عن ابن‌عمر،قال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الحبلی و المرضع إذا خافتا علی أولادهما أفطرتا وأطعمتا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داخلتان فی 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والآیة أوجبت الإطعام ولم تتعرّض للقضاء فأخذناه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دلیل آخر و هو المشهور من 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إحدی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علی المرضع دون الحامل؛لأنّ المرضع یمکنها أنّ تسترضع لولدها بخلاف الحامل،ولأنّ الحمل متّصل بالحامل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فالخوف علیه کالخوف علی بعض أعضائها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علیهما؛لما روی أنس‌بن مالک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وضع عن المسافر شطر الصلاة وعن الحامل و المرضع الصوم،ولم یأمره بکفّارة ولأنّه فطر أبیح لعذر فلم یجب به کفّارة کالفطر للمریض</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 أمّا العطش المحرج فدوره دور المرض علی المذاهب الأربعة 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الجوع و العطش الشدیدان اللّذان لایقدر معهما علی الصوم،فیجوز لمن حصل له شیء من ذلک الفطر،وعلیه القضاء</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العطش و الجوع إذا أوجبا الحرج الشدید علی الصائم یرتفع وجوب الصوم عند ذلک،علی أساس قاعدة نفی الحرج ویجب القضاء بعد رفع الحرج و أمّا مَنْ به داء العطش یجوز له الإفطار مع الفدیة للنصّ الوارد من طریق‌آل‌البیت علیهم السلام</w:t>
      </w:r>
      <w:r>
        <w:rPr>
          <w:rFonts w:eastAsia="IRNazanin" w:cs="IRNazanin"/>
          <w:color w:val="111111"/>
          <w:sz w:val="28"/>
          <w:szCs w:val="28"/>
          <w:rtl w:val="true"/>
          <w:lang w:bidi="fa-IR"/>
        </w:rPr>
        <w:t>.</w:t>
      </w:r>
    </w:p>
    <w:p>
      <w:pPr>
        <w:pStyle w:val="Heading3"/>
        <w:numPr>
          <w:ilvl w:val="2"/>
          <w:numId w:val="1"/>
        </w:numPr>
        <w:rPr/>
      </w:pPr>
      <w:bookmarkStart w:id="1359" w:name="__RefHeading___Toc363424_581953129"/>
      <w:bookmarkStart w:id="1360" w:name="_Toc566"/>
      <w:bookmarkEnd w:id="1359"/>
      <w:r>
        <w:rPr>
          <w:rtl w:val="true"/>
        </w:rPr>
        <w:t>زوال العذر</w:t>
      </w:r>
      <w:bookmarkEnd w:id="1360"/>
    </w:p>
    <w:p>
      <w:pPr>
        <w:pStyle w:val="Heading4"/>
        <w:numPr>
          <w:ilvl w:val="3"/>
          <w:numId w:val="1"/>
        </w:numPr>
        <w:rPr/>
      </w:pPr>
      <w:bookmarkStart w:id="1361" w:name="__RefHeading___Toc363426_581953129"/>
      <w:bookmarkStart w:id="1362" w:name="_Toc567"/>
      <w:bookmarkEnd w:id="1361"/>
      <w:r>
        <w:rPr>
          <w:rtl w:val="true"/>
        </w:rPr>
        <w:t>اشارة</w:t>
      </w:r>
      <w:bookmarkEnd w:id="136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زال السبب المسوّغ للإفطار،أثناء الیوم کما لو برئ المریض،أو قدم المسافر،أو طهرت الحائض،وما شاکلها بعد الإفطار أو بعد الزوال یستحبّ الإمساک تأدّباً علی</w:t>
      </w:r>
      <w:bookmarkStart w:id="1363" w:name="pg5240_59416"/>
    </w:p>
    <w:p>
      <w:pPr>
        <w:pStyle w:val="BookText"/>
        <w:rPr/>
      </w:pPr>
      <w:bookmarkEnd w:id="1363"/>
      <w:r>
        <w:rPr>
          <w:rFonts w:ascii="IRNazanin" w:hAnsi="IRNazanin" w:eastAsia="IRNazanin"/>
          <w:color w:val="111111"/>
          <w:sz w:val="28"/>
          <w:sz w:val="28"/>
          <w:szCs w:val="28"/>
          <w:rtl w:val="true"/>
          <w:lang w:bidi="fa-IR"/>
        </w:rPr>
        <w:t>المذهب الجعفری و الشافعی ویجب الإمساک علی‌المذهب الحنفی و الحنبلی ذلک؛لشمول أدلّة التکلیف،ولا حکم له علی المذهب المالکی؛لعدم الدلیل علیه</w:t>
      </w:r>
      <w:r>
        <w:rPr>
          <w:rFonts w:eastAsia="IRNazanin" w:cs="IRNazanin"/>
          <w:color w:val="111111"/>
          <w:sz w:val="28"/>
          <w:szCs w:val="28"/>
          <w:rtl w:val="true"/>
          <w:lang w:bidi="fa-IR"/>
        </w:rPr>
        <w:t>.</w:t>
      </w:r>
    </w:p>
    <w:p>
      <w:pPr>
        <w:pStyle w:val="Heading4"/>
        <w:numPr>
          <w:ilvl w:val="3"/>
          <w:numId w:val="1"/>
        </w:numPr>
        <w:rPr/>
      </w:pPr>
      <w:bookmarkStart w:id="1364" w:name="__RefHeading___Toc363428_581953129"/>
      <w:bookmarkStart w:id="1365" w:name="_Toc568"/>
      <w:bookmarkEnd w:id="1364"/>
      <w:r>
        <w:rPr>
          <w:rtl w:val="true"/>
        </w:rPr>
        <w:t>منشأ الاختلاف</w:t>
      </w:r>
      <w:bookmarkEnd w:id="1365"/>
    </w:p>
    <w:p>
      <w:pPr>
        <w:pStyle w:val="BookText"/>
        <w:rPr/>
      </w:pPr>
      <w:r>
        <w:rPr>
          <w:rFonts w:ascii="Amiri" w:hAnsi="Amiri" w:eastAsia="Amiri" w:cs="Amiri"/>
          <w:color w:val="111111"/>
          <w:sz w:val="28"/>
          <w:sz w:val="28"/>
          <w:szCs w:val="28"/>
          <w:rtl w:val="true"/>
          <w:lang w:bidi="ar-SA"/>
        </w:rPr>
        <w:t>الاختلاف بالنسبة إلی وجوب الإفطار تعییناً،وجوازه تخییراً ناشئ عن الاختلاف فی فهم المعنی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الَّذِینَ یُطِیقُونَهُ فِدْیَةٌ طَعامُ مِسْکِینٍ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فالحکم بوجوب الإفطار یستفاد من ظاهر الآیة؛لأنّ تعیین الفدیة هی بحسب الحقیقة تعیین الإفطار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بجواز الإفطار یستفاد من رفع العزیمة،فیقال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تلک الآیة رفعت العزیمة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العزیمة عبارة عن الرخصة و أمّا الاختلافات الأخری حول الأعذار المسوّغة‌للإفطار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القضاء وعدمه ووجوب الفدیة وعدمها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ناشئة عن الاختلاف فی النصوص والاختلاف فی الاجتهاد</w:t>
      </w:r>
      <w:r>
        <w:rPr>
          <w:rFonts w:eastAsia="IRNazanin" w:cs="IRNazanin"/>
          <w:color w:val="111111"/>
          <w:sz w:val="28"/>
          <w:szCs w:val="28"/>
          <w:rtl w:val="true"/>
          <w:lang w:bidi="fa-IR"/>
        </w:rPr>
        <w:t>.</w:t>
      </w:r>
      <w:bookmarkStart w:id="1366" w:name="pg5240_59417"/>
    </w:p>
    <w:p>
      <w:pPr>
        <w:pStyle w:val="Heading3"/>
        <w:numPr>
          <w:ilvl w:val="2"/>
          <w:numId w:val="1"/>
        </w:numPr>
        <w:rPr/>
      </w:pPr>
      <w:bookmarkStart w:id="1367" w:name="__RefHeading___Toc363430_581953129"/>
      <w:bookmarkStart w:id="1368" w:name="_Toc569"/>
      <w:bookmarkEnd w:id="1366"/>
      <w:bookmarkEnd w:id="1367"/>
      <w:r>
        <w:rPr>
          <w:rtl w:val="true"/>
        </w:rPr>
        <w:t>الخلاصة</w:t>
      </w:r>
      <w:bookmarkEnd w:id="1368"/>
    </w:p>
    <w:p>
      <w:pPr>
        <w:pStyle w:val="BookText"/>
        <w:rPr/>
      </w:pPr>
      <w:r>
        <w:rPr>
          <w:rFonts w:ascii="IRNazanin" w:hAnsi="IRNazanin" w:eastAsia="IRNazanin"/>
          <w:color w:val="111111"/>
          <w:sz w:val="28"/>
          <w:sz w:val="28"/>
          <w:szCs w:val="28"/>
          <w:rtl w:val="true"/>
          <w:lang w:bidi="fa-IR"/>
        </w:rPr>
        <w:t>یثبت هلال شهر رمضان المبارک بشهادة عدل واحد علی المذهب الحنبلی و الحنفی و الشافعی ولا یثبت إلاّ بشهادة عدلین علی المذهب الجعفری و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الإفطار للهرم مع الفدیة،ولا خلاف فیه إلاّ عن المذهب المالکی حیث ذهب إلی عدم وجوب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الفدیة علی الحامل و المرضع عن کلّ یوم بمدّ من الطعام مع القضاء علی 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 الحکم علی المذهب الحنبلی و الشافعی إذا کان الإفطار لاحتمال الضرر بالنسبة إلی الولد و أمّا إذا کان الإفطاربسبب الضررعلی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نفس‌الحامل و المرضع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القضاء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فدیة علی الحامل و المرضع،علی المذهب الحنفی ویجب الفدیة علی المرضع دون الحامل،علی المذهب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الإفطار بسبب المسوّغات المذکورة عزیمة علی المذهب الجعفری،ورخصة علی المذاهب الأربعة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الإمساک بعد زوال العذر أثناء الیوم علی المذهب الجعفری و الشافعی ویجب علی المذهب الحنبلی و الحنفی ولا حکم لذلک الیوم علی المذهب المالکی</w:t>
      </w:r>
      <w:r>
        <w:rPr>
          <w:rFonts w:eastAsia="IRNazanin" w:cs="IRNazanin"/>
          <w:color w:val="111111"/>
          <w:sz w:val="28"/>
          <w:szCs w:val="28"/>
          <w:rtl w:val="true"/>
          <w:lang w:bidi="fa-IR"/>
        </w:rPr>
        <w:t>.</w:t>
      </w:r>
      <w:bookmarkStart w:id="1369" w:name="pg5240_59418"/>
    </w:p>
    <w:p>
      <w:pPr>
        <w:pStyle w:val="Heading3"/>
        <w:numPr>
          <w:ilvl w:val="2"/>
          <w:numId w:val="1"/>
        </w:numPr>
        <w:rPr/>
      </w:pPr>
      <w:bookmarkStart w:id="1370" w:name="__RefHeading___Toc363432_581953129"/>
      <w:bookmarkStart w:id="1371" w:name="_Toc570"/>
      <w:bookmarkEnd w:id="1369"/>
      <w:bookmarkEnd w:id="1370"/>
      <w:r>
        <w:rPr>
          <w:rtl w:val="true"/>
        </w:rPr>
        <w:t>الأسئلة</w:t>
      </w:r>
      <w:bookmarkEnd w:id="1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اشتراط الاتّحاد فی الآفاق بالنسبة إلی رؤیة الهلال؟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صوم یوم الشکّ وما هو حکمه؟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أنّ ترخیص الإفطار للهرم عزیمة؟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العطش المسوّغ للإفطار؟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الإمساک أو یستحب،بعد زوال العذر أثناء النهار؟</w:t>
      </w:r>
      <w:bookmarkStart w:id="1372" w:name="pg5240_59419"/>
    </w:p>
    <w:p>
      <w:pPr>
        <w:pStyle w:val="Heading2"/>
        <w:numPr>
          <w:ilvl w:val="1"/>
          <w:numId w:val="1"/>
        </w:numPr>
        <w:rPr/>
      </w:pPr>
      <w:bookmarkStart w:id="1373" w:name="__RefHeading___Toc363434_581953129"/>
      <w:bookmarkStart w:id="1374" w:name="_Toc571"/>
      <w:bookmarkEnd w:id="1372"/>
      <w:bookmarkEnd w:id="1373"/>
      <w:r>
        <w:rPr/>
        <w:t>21</w:t>
      </w:r>
      <w:r>
        <w:rPr>
          <w:rtl w:val="true"/>
        </w:rPr>
        <w:t xml:space="preserve">- </w:t>
      </w:r>
      <w:r>
        <w:rPr>
          <w:rtl w:val="true"/>
        </w:rPr>
        <w:t>الزکاة</w:t>
      </w:r>
      <w:bookmarkEnd w:id="1374"/>
    </w:p>
    <w:p>
      <w:pPr>
        <w:pStyle w:val="Heading3"/>
        <w:numPr>
          <w:ilvl w:val="2"/>
          <w:numId w:val="1"/>
        </w:numPr>
        <w:rPr/>
      </w:pPr>
      <w:bookmarkStart w:id="1375" w:name="__RefHeading___Toc363436_581953129"/>
      <w:bookmarkStart w:id="1376" w:name="_Toc572"/>
      <w:bookmarkEnd w:id="1375"/>
      <w:r>
        <w:rPr>
          <w:rtl w:val="true"/>
        </w:rPr>
        <w:t>اشارة</w:t>
      </w:r>
      <w:bookmarkEnd w:id="1376"/>
    </w:p>
    <w:p>
      <w:pPr>
        <w:pStyle w:val="BookText"/>
        <w:rPr/>
      </w:pPr>
      <w:r>
        <w:rPr>
          <w:rFonts w:ascii="IRNazanin" w:hAnsi="IRNazanin" w:eastAsia="IRNazanin"/>
          <w:color w:val="111111"/>
          <w:sz w:val="28"/>
          <w:sz w:val="28"/>
          <w:szCs w:val="28"/>
          <w:rtl w:val="true"/>
          <w:lang w:bidi="fa-IR"/>
        </w:rPr>
        <w:t>إنّ الزکاة من الفرائض الّتی لاخلاف فیها بین علماء الإسلام أجمع ولا ریب فی أنّها من ضرورات الدین ولها دور بنّاء فی إقامة القسط وإزالة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هناک خلاف بین المذاهب من حیث الفروع التی لها صلة بالزکاة،نشیر إلیها بالتفصیل التالی</w:t>
      </w:r>
      <w:r>
        <w:rPr>
          <w:rFonts w:eastAsia="IRNazanin" w:cs="IRNazanin"/>
          <w:color w:val="111111"/>
          <w:sz w:val="28"/>
          <w:szCs w:val="28"/>
          <w:rtl w:val="true"/>
          <w:lang w:bidi="fa-IR"/>
        </w:rPr>
        <w:t>:</w:t>
      </w:r>
    </w:p>
    <w:p>
      <w:pPr>
        <w:pStyle w:val="Heading3"/>
        <w:numPr>
          <w:ilvl w:val="2"/>
          <w:numId w:val="1"/>
        </w:numPr>
        <w:rPr/>
      </w:pPr>
      <w:bookmarkStart w:id="1377" w:name="__RefHeading___Toc363438_581953129"/>
      <w:bookmarkStart w:id="1378" w:name="_Toc573"/>
      <w:bookmarkEnd w:id="1377"/>
      <w:r>
        <w:rPr>
          <w:rtl w:val="true"/>
        </w:rPr>
        <w:t>الشروط</w:t>
      </w:r>
      <w:bookmarkEnd w:id="1378"/>
    </w:p>
    <w:p>
      <w:pPr>
        <w:pStyle w:val="Heading4"/>
        <w:numPr>
          <w:ilvl w:val="3"/>
          <w:numId w:val="1"/>
        </w:numPr>
        <w:rPr/>
      </w:pPr>
      <w:bookmarkStart w:id="1379" w:name="__RefHeading___Toc363440_581953129"/>
      <w:bookmarkStart w:id="1380" w:name="_Toc574"/>
      <w:bookmarkEnd w:id="1379"/>
      <w:r>
        <w:rPr>
          <w:rtl w:val="true"/>
        </w:rPr>
        <w:t>اشارة</w:t>
      </w:r>
      <w:bookmarkEnd w:id="1380"/>
    </w:p>
    <w:p>
      <w:pPr>
        <w:pStyle w:val="BookText"/>
        <w:rPr/>
      </w:pPr>
      <w:r>
        <w:rPr>
          <w:rFonts w:ascii="IRNazanin" w:hAnsi="IRNazanin" w:eastAsia="IRNazanin"/>
          <w:color w:val="111111"/>
          <w:sz w:val="28"/>
          <w:sz w:val="28"/>
          <w:szCs w:val="28"/>
          <w:rtl w:val="true"/>
          <w:lang w:bidi="fa-IR"/>
        </w:rPr>
        <w:t>اختلفت الآراء بالنسبة إلی اشتراط البلوغ و العقل فی وجوب الزکاة إثباتاً ونفیاً و هو بما یلی</w:t>
      </w:r>
      <w:r>
        <w:rPr>
          <w:rFonts w:eastAsia="IRNazanin" w:cs="IRNazanin"/>
          <w:color w:val="111111"/>
          <w:sz w:val="28"/>
          <w:szCs w:val="28"/>
          <w:rtl w:val="true"/>
          <w:lang w:bidi="fa-IR"/>
        </w:rPr>
        <w:t>:</w:t>
      </w:r>
    </w:p>
    <w:p>
      <w:pPr>
        <w:pStyle w:val="Heading4"/>
        <w:numPr>
          <w:ilvl w:val="3"/>
          <w:numId w:val="1"/>
        </w:numPr>
        <w:rPr/>
      </w:pPr>
      <w:bookmarkStart w:id="1381" w:name="__RefHeading___Toc363442_581953129"/>
      <w:bookmarkStart w:id="1382" w:name="_Toc575"/>
      <w:bookmarkEnd w:id="1381"/>
      <w:r>
        <w:rPr>
          <w:rtl w:val="true"/>
        </w:rPr>
        <w:t>المذهب الجعفری</w:t>
      </w:r>
      <w:bookmarkEnd w:id="1382"/>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فلا تجب علی غیر البالغ فی تمام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یعتبر فیه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مَن کان غیر بالغ فی بعضه،و أمّا ما لا یعتبر فیه الحول من الغلاة الأربع،فالمناط البلوغ قبل وقت التعلّق و هو انعقاد الحب</w:t>
      </w:r>
      <w:r>
        <w:rPr>
          <w:rFonts w:eastAsia="IRNazanin" w:cs="IRNazanin"/>
          <w:color w:val="111111"/>
          <w:sz w:val="28"/>
          <w:szCs w:val="28"/>
          <w:rtl w:val="true"/>
          <w:lang w:bidi="fa-IR"/>
        </w:rPr>
        <w:t>.</w:t>
      </w:r>
      <w:bookmarkStart w:id="1383" w:name="pg5240_59420"/>
    </w:p>
    <w:p>
      <w:pPr>
        <w:pStyle w:val="BookText"/>
        <w:rPr/>
      </w:pPr>
      <w:bookmarkEnd w:id="1383"/>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العقل،فلا زکاة فی مال المجنون،فی تمام الحول وفی بعضه </w:t>
      </w:r>
      <w:r>
        <w:rPr>
          <w:rStyle w:val="FootnoteAnchor"/>
          <w:rtl w:val="true"/>
        </w:rPr>
        <w:footnoteReference w:id="652"/>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عموم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یونس‌بن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إلی الإمام الصادق علیه السلام أنّ لی إخوة صغاراً،فمتی تجب علی أموالهم الزکاة؟قال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 علیهم الصلاة وجبت علیهم الزکاة</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ومع عدم الفرق بین الصبی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هو الرأی علی المذهب الحنفی فی ذهابه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الزکاة فی أموالهما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الصبی حتّی یبلغ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المجنون حتّی یفیق،</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محضة،فلا تجب علیهما کالصلاة و الحجّ</w:t>
      </w:r>
      <w:r>
        <w:rPr>
          <w:rFonts w:eastAsia="IRNazanin" w:cs="IRNazanin"/>
          <w:color w:val="111111"/>
          <w:sz w:val="28"/>
          <w:szCs w:val="28"/>
          <w:rtl w:val="true"/>
          <w:lang w:bidi="fa-IR"/>
        </w:rPr>
        <w:t xml:space="preserve">. </w:t>
      </w:r>
      <w:r>
        <w:rPr>
          <w:rStyle w:val="FootnoteAnchor"/>
          <w:rtl w:val="true"/>
        </w:rPr>
        <w:footnoteReference w:id="654"/>
      </w:r>
    </w:p>
    <w:p>
      <w:pPr>
        <w:pStyle w:val="Heading4"/>
        <w:numPr>
          <w:ilvl w:val="3"/>
          <w:numId w:val="1"/>
        </w:numPr>
        <w:rPr/>
      </w:pPr>
      <w:bookmarkStart w:id="1384" w:name="__RefHeading___Toc363444_581953129"/>
      <w:bookmarkStart w:id="1385" w:name="_Toc576"/>
      <w:bookmarkEnd w:id="1384"/>
      <w:r>
        <w:rPr>
          <w:rtl w:val="true"/>
        </w:rPr>
        <w:t>المذاهب الثلاثة الأخری</w:t>
      </w:r>
      <w:bookmarkEnd w:id="1385"/>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الزکاة تجب فی مال الصبی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عنهما ولیهما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قال مالک و الشافعی؛لما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یتیماً له مال،فلیتجرّ له ولا یترکه حتّی تأکله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والمجنون کالصبی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والزکاة حقّ یتعلّق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فأشبه نفقة الأقارب و الزوجات وأروش الجنایات</w:t>
      </w:r>
      <w:r>
        <w:rPr>
          <w:rFonts w:eastAsia="IRNazanin" w:cs="IRNazanin"/>
          <w:color w:val="111111"/>
          <w:sz w:val="28"/>
          <w:szCs w:val="28"/>
          <w:rtl w:val="true"/>
          <w:lang w:bidi="fa-IR"/>
        </w:rPr>
        <w:t xml:space="preserve">. </w:t>
      </w:r>
      <w:r>
        <w:rPr>
          <w:rStyle w:val="FootnoteAnchor"/>
          <w:rtl w:val="true"/>
        </w:rPr>
        <w:footnoteReference w:id="655"/>
      </w:r>
    </w:p>
    <w:p>
      <w:pPr>
        <w:pStyle w:val="Heading4"/>
        <w:numPr>
          <w:ilvl w:val="3"/>
          <w:numId w:val="1"/>
        </w:numPr>
        <w:rPr/>
      </w:pPr>
      <w:bookmarkStart w:id="1386" w:name="__RefHeading___Toc363446_581953129"/>
      <w:bookmarkStart w:id="1387" w:name="_Toc577"/>
      <w:bookmarkEnd w:id="1386"/>
      <w:r>
        <w:rPr>
          <w:rtl w:val="true"/>
        </w:rPr>
        <w:t>منشأ الاختلاف</w:t>
      </w:r>
      <w:bookmarkEnd w:id="138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ممّا تقدّم أنّ الاختلاف ناشئ عن الاختلاف فی النصوص</w:t>
      </w:r>
      <w:r>
        <w:rPr>
          <w:rFonts w:eastAsia="IRNazanin" w:cs="IRNazanin"/>
          <w:color w:val="111111"/>
          <w:sz w:val="28"/>
          <w:szCs w:val="28"/>
          <w:rtl w:val="true"/>
          <w:lang w:bidi="fa-IR"/>
        </w:rPr>
        <w:t>.</w:t>
      </w:r>
      <w:bookmarkStart w:id="1388" w:name="pg5240_59421"/>
    </w:p>
    <w:p>
      <w:pPr>
        <w:pStyle w:val="Heading3"/>
        <w:numPr>
          <w:ilvl w:val="2"/>
          <w:numId w:val="1"/>
        </w:numPr>
        <w:rPr/>
      </w:pPr>
      <w:bookmarkStart w:id="1389" w:name="__RefHeading___Toc363448_581953129"/>
      <w:bookmarkStart w:id="1390" w:name="_Toc578"/>
      <w:bookmarkEnd w:id="1388"/>
      <w:bookmarkEnd w:id="1389"/>
      <w:r>
        <w:rPr>
          <w:rtl w:val="true"/>
        </w:rPr>
        <w:t>نصاب الإبل</w:t>
      </w:r>
      <w:bookmarkEnd w:id="1390"/>
    </w:p>
    <w:p>
      <w:pPr>
        <w:pStyle w:val="Heading4"/>
        <w:numPr>
          <w:ilvl w:val="3"/>
          <w:numId w:val="1"/>
        </w:numPr>
        <w:rPr/>
      </w:pPr>
      <w:bookmarkStart w:id="1391" w:name="__RefHeading___Toc363450_581953129"/>
      <w:bookmarkStart w:id="1392" w:name="_Toc579"/>
      <w:bookmarkEnd w:id="1391"/>
      <w:r>
        <w:rPr>
          <w:rtl w:val="true"/>
        </w:rPr>
        <w:t>اشارة</w:t>
      </w:r>
      <w:bookmarkEnd w:id="1392"/>
    </w:p>
    <w:p>
      <w:pPr>
        <w:pStyle w:val="BookText"/>
        <w:rPr/>
      </w:pPr>
      <w:r>
        <w:rPr>
          <w:rFonts w:ascii="IRNazanin" w:hAnsi="IRNazanin" w:eastAsia="IRNazanin"/>
          <w:color w:val="111111"/>
          <w:sz w:val="28"/>
          <w:sz w:val="28"/>
          <w:szCs w:val="28"/>
          <w:rtl w:val="true"/>
          <w:lang w:bidi="fa-IR"/>
        </w:rPr>
        <w:t>لاخلاف فی هذا النصاب إلاّ بالنسبة إلی عدد خمس وعشرین فاتّفقت المذاهب أنّ فی هذا النصاب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الواجبة بنت مخاض،ذلک؛لقول النبی صلی الله علیه و آله فی‌کلّ خمس شاة فإذا بلغت خمساً وعشرین إلی خمس وثلاثین ففیها بنت مخاض</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قال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زکاة الإبل ونصابها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مأة وعشرین وعلیه الإجماع،وأن لازکاة فی الإبل ما لم تبلغ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خمساً وعشرین ففیها بنت مخاض</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وخالف فیه المذهب الجعفری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هناک خمس شیاة،ذلک؛للنصّ‌الصحیح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زکاة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خمساً ففیهاشاة إلی عشرة،فإذا کانت عشراً ففیها شاتان،فإذا بلغت خمس عشرة ففیهاثلاث من الغنم،فإذا بلغت عشرین ففیها أربع من الغنم فإذا بلغت خمساًوعشرین ففیها خمس من الغنم فإذا زادت واحدة ففیها إبنة مخاض</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والحکم مفتی به</w:t>
      </w:r>
      <w:r>
        <w:rPr>
          <w:rFonts w:eastAsia="IRNazanin" w:cs="IRNazanin"/>
          <w:color w:val="111111"/>
          <w:sz w:val="28"/>
          <w:szCs w:val="28"/>
          <w:rtl w:val="true"/>
          <w:lang w:bidi="fa-IR"/>
        </w:rPr>
        <w:t xml:space="preserve">». </w:t>
      </w:r>
      <w:r>
        <w:rPr>
          <w:rStyle w:val="FootnoteAnchor"/>
          <w:rtl w:val="true"/>
        </w:rPr>
        <w:footnoteReference w:id="659"/>
      </w:r>
    </w:p>
    <w:p>
      <w:pPr>
        <w:pStyle w:val="Heading4"/>
        <w:numPr>
          <w:ilvl w:val="3"/>
          <w:numId w:val="1"/>
        </w:numPr>
        <w:rPr/>
      </w:pPr>
      <w:bookmarkStart w:id="1393" w:name="__RefHeading___Toc363452_581953129"/>
      <w:bookmarkStart w:id="1394" w:name="_Toc580"/>
      <w:bookmarkEnd w:id="1393"/>
      <w:r>
        <w:rPr>
          <w:rtl w:val="true"/>
        </w:rPr>
        <w:t>منشأ الاختلاف</w:t>
      </w:r>
      <w:bookmarkEnd w:id="139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أنّ الاختلاف ناشئ عن الاختلاف فی النصوص و الّذی یسهّل الخطب هو أنّ الاختلاف یسیر جدّاً</w:t>
      </w:r>
      <w:r>
        <w:rPr>
          <w:rFonts w:eastAsia="IRNazanin" w:cs="IRNazanin"/>
          <w:color w:val="111111"/>
          <w:sz w:val="28"/>
          <w:szCs w:val="28"/>
          <w:rtl w:val="true"/>
          <w:lang w:bidi="fa-IR"/>
        </w:rPr>
        <w:t>.</w:t>
      </w:r>
      <w:bookmarkStart w:id="1395" w:name="pg5240_59422"/>
    </w:p>
    <w:p>
      <w:pPr>
        <w:pStyle w:val="Heading3"/>
        <w:numPr>
          <w:ilvl w:val="2"/>
          <w:numId w:val="1"/>
        </w:numPr>
        <w:rPr/>
      </w:pPr>
      <w:bookmarkStart w:id="1396" w:name="__RefHeading___Toc363454_581953129"/>
      <w:bookmarkStart w:id="1397" w:name="_Toc581"/>
      <w:bookmarkEnd w:id="1395"/>
      <w:bookmarkEnd w:id="1396"/>
      <w:r>
        <w:rPr>
          <w:rtl w:val="true"/>
        </w:rPr>
        <w:t>نصاب الغنم</w:t>
      </w:r>
      <w:bookmarkEnd w:id="1397"/>
    </w:p>
    <w:p>
      <w:pPr>
        <w:pStyle w:val="Heading4"/>
        <w:numPr>
          <w:ilvl w:val="3"/>
          <w:numId w:val="1"/>
        </w:numPr>
        <w:rPr/>
      </w:pPr>
      <w:bookmarkStart w:id="1398" w:name="__RefHeading___Toc363456_581953129"/>
      <w:bookmarkStart w:id="1399" w:name="_Toc582"/>
      <w:bookmarkEnd w:id="1398"/>
      <w:r>
        <w:rPr>
          <w:rtl w:val="true"/>
        </w:rPr>
        <w:t>اشارة</w:t>
      </w:r>
      <w:bookmarkEnd w:id="1399"/>
    </w:p>
    <w:p>
      <w:pPr>
        <w:pStyle w:val="BookText"/>
        <w:rPr/>
      </w:pPr>
      <w:r>
        <w:rPr>
          <w:rFonts w:ascii="IRNazanin" w:hAnsi="IRNazanin" w:eastAsia="IRNazanin"/>
          <w:color w:val="111111"/>
          <w:sz w:val="28"/>
          <w:sz w:val="28"/>
          <w:szCs w:val="28"/>
          <w:rtl w:val="true"/>
          <w:lang w:bidi="fa-IR"/>
        </w:rPr>
        <w:t>لاخلاف بالنسبة إلی هذا النصاب إلاّ فی مورد واحد و هو عدد ثلاثمائة وواحدة و هو بما یلی</w:t>
      </w:r>
      <w:r>
        <w:rPr>
          <w:rFonts w:eastAsia="IRNazanin" w:cs="IRNazanin"/>
          <w:color w:val="111111"/>
          <w:sz w:val="28"/>
          <w:szCs w:val="28"/>
          <w:rtl w:val="true"/>
          <w:lang w:bidi="fa-IR"/>
        </w:rPr>
        <w:t>:</w:t>
      </w:r>
    </w:p>
    <w:p>
      <w:pPr>
        <w:pStyle w:val="Heading4"/>
        <w:numPr>
          <w:ilvl w:val="3"/>
          <w:numId w:val="1"/>
        </w:numPr>
        <w:rPr/>
      </w:pPr>
      <w:bookmarkStart w:id="1400" w:name="__RefHeading___Toc363458_581953129"/>
      <w:bookmarkStart w:id="1401" w:name="_Toc583"/>
      <w:bookmarkEnd w:id="1400"/>
      <w:r>
        <w:rPr>
          <w:rtl w:val="true"/>
        </w:rPr>
        <w:t>المذاهب الاربعة</w:t>
      </w:r>
      <w:bookmarkEnd w:id="1401"/>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مائتین وواحدة ففیها ثلاث شیاة وفی أربعمائة شاة أربع شیاة</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ذلک؛للنصوص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زادت علی ثلاثمائة وواحدة فلیس فیها شیء حتّی تبلغ أربعمائة شاة ففیها أربع شیاة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لایجوز خلافه</w:t>
      </w:r>
      <w:r>
        <w:rPr>
          <w:rFonts w:eastAsia="IRNazanin" w:cs="IRNazanin"/>
          <w:color w:val="111111"/>
          <w:sz w:val="28"/>
          <w:szCs w:val="28"/>
          <w:rtl w:val="true"/>
          <w:lang w:bidi="fa-IR"/>
        </w:rPr>
        <w:t xml:space="preserve">. </w:t>
      </w:r>
      <w:r>
        <w:rPr>
          <w:rStyle w:val="FootnoteAnchor"/>
          <w:rtl w:val="true"/>
        </w:rPr>
        <w:footnoteReference w:id="661"/>
      </w:r>
    </w:p>
    <w:p>
      <w:pPr>
        <w:pStyle w:val="Heading4"/>
        <w:numPr>
          <w:ilvl w:val="3"/>
          <w:numId w:val="1"/>
        </w:numPr>
        <w:rPr/>
      </w:pPr>
      <w:bookmarkStart w:id="1402" w:name="__RefHeading___Toc363460_581953129"/>
      <w:bookmarkStart w:id="1403" w:name="_Toc584"/>
      <w:bookmarkEnd w:id="1402"/>
      <w:r>
        <w:rPr>
          <w:rtl w:val="true"/>
        </w:rPr>
        <w:t>المذهب الجعفری</w:t>
      </w:r>
      <w:bookmarkEnd w:id="1403"/>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النصب فی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وواحدة وفیها أربع شیاة</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زادت علی ثلاثمائة ففی کلّ مأة شاة وذلک عند الجمهور إلاّ الحسن‌بن صالح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ثلاثمائة شاة وشاة واحدة،أنّ فیها أربع شیاة وروی قوله عن منصور عن ابراهیم</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ذلک؛للنصّ الصحیح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أربعین شاة،شاة فإذا زادت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أربع شیاة حتّی تبلغ أربعمائة</w:t>
      </w:r>
      <w:r>
        <w:rPr>
          <w:rFonts w:eastAsia="IRNazanin" w:cs="IRNazanin"/>
          <w:color w:val="111111"/>
          <w:sz w:val="28"/>
          <w:szCs w:val="28"/>
          <w:rtl w:val="true"/>
          <w:lang w:bidi="fa-IR"/>
        </w:rPr>
        <w:t xml:space="preserve">». </w:t>
      </w:r>
      <w:r>
        <w:rPr>
          <w:rStyle w:val="FootnoteAnchor"/>
          <w:rtl w:val="true"/>
        </w:rPr>
        <w:footnoteReference w:id="664"/>
      </w:r>
      <w:bookmarkStart w:id="1404" w:name="pg5240_59423"/>
    </w:p>
    <w:p>
      <w:pPr>
        <w:pStyle w:val="BookText"/>
        <w:rPr/>
      </w:pPr>
      <w:bookmarkEnd w:id="1404"/>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أحمد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إذا زادت علی ثلاثمائة وواحدة ففیها أربع شیاة</w:t>
      </w:r>
      <w:r>
        <w:rPr>
          <w:rFonts w:eastAsia="IRNazanin" w:cs="IRNazanin"/>
          <w:color w:val="111111"/>
          <w:sz w:val="28"/>
          <w:szCs w:val="28"/>
          <w:rtl w:val="true"/>
          <w:lang w:bidi="fa-IR"/>
        </w:rPr>
        <w:t xml:space="preserve">. </w:t>
      </w:r>
      <w:r>
        <w:rPr>
          <w:rStyle w:val="FootnoteAnchor"/>
          <w:rtl w:val="true"/>
        </w:rPr>
        <w:footnoteReference w:id="665"/>
      </w:r>
    </w:p>
    <w:p>
      <w:pPr>
        <w:pStyle w:val="Heading4"/>
        <w:numPr>
          <w:ilvl w:val="3"/>
          <w:numId w:val="1"/>
        </w:numPr>
        <w:rPr/>
      </w:pPr>
      <w:bookmarkStart w:id="1405" w:name="__RefHeading___Toc363462_581953129"/>
      <w:bookmarkStart w:id="1406" w:name="_Toc585"/>
      <w:bookmarkEnd w:id="1405"/>
      <w:r>
        <w:rPr>
          <w:rtl w:val="true"/>
        </w:rPr>
        <w:t>منشأ الاختلاف</w:t>
      </w:r>
      <w:bookmarkEnd w:id="1406"/>
    </w:p>
    <w:p>
      <w:pPr>
        <w:pStyle w:val="BookText"/>
        <w:rPr/>
      </w:pPr>
      <w:r>
        <w:rPr>
          <w:rFonts w:ascii="IRNazanin" w:hAnsi="IRNazanin" w:eastAsia="IRNazanin"/>
          <w:color w:val="111111"/>
          <w:sz w:val="28"/>
          <w:sz w:val="28"/>
          <w:szCs w:val="28"/>
          <w:rtl w:val="true"/>
          <w:lang w:bidi="fa-IR"/>
        </w:rPr>
        <w:t>إنّ الاختلاف هنا ناشئ عن الاختلاف فی النصوص کما هو واضح</w:t>
      </w:r>
      <w:r>
        <w:rPr>
          <w:rFonts w:eastAsia="IRNazanin" w:cs="IRNazanin"/>
          <w:color w:val="111111"/>
          <w:sz w:val="28"/>
          <w:szCs w:val="28"/>
          <w:rtl w:val="true"/>
          <w:lang w:bidi="fa-IR"/>
        </w:rPr>
        <w:t>.</w:t>
      </w:r>
    </w:p>
    <w:p>
      <w:pPr>
        <w:pStyle w:val="Heading3"/>
        <w:numPr>
          <w:ilvl w:val="2"/>
          <w:numId w:val="1"/>
        </w:numPr>
        <w:rPr/>
      </w:pPr>
      <w:bookmarkStart w:id="1407" w:name="__RefHeading___Toc363464_581953129"/>
      <w:bookmarkStart w:id="1408" w:name="_Toc586"/>
      <w:bookmarkEnd w:id="1407"/>
      <w:r>
        <w:rPr>
          <w:rtl w:val="true"/>
        </w:rPr>
        <w:t>شروط زکاة الأنعام</w:t>
      </w:r>
      <w:bookmarkEnd w:id="1408"/>
    </w:p>
    <w:p>
      <w:pPr>
        <w:pStyle w:val="BookText"/>
        <w:rPr/>
      </w:pPr>
      <w:r>
        <w:rPr>
          <w:rFonts w:ascii="IRNazanin" w:hAnsi="IRNazanin" w:eastAsia="IRNazanin"/>
          <w:color w:val="111111"/>
          <w:sz w:val="28"/>
          <w:sz w:val="28"/>
          <w:szCs w:val="28"/>
          <w:rtl w:val="true"/>
          <w:lang w:bidi="fa-IR"/>
        </w:rPr>
        <w:t>تواترت النصوص الواردة عن الطریقین علی أنّه یشترط فی تحقّق الزکاة بالنسبة إلی الأنعام لو کانت سائمة وغیر 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معدّة للعمل کالحمل و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فیه إلاّ عن المالکی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لایشترط فی وجوب زکاة النعم السوم فتجب فیها متی بلغت نصاباً سواء کانت سائمة أو معلوفة ولو فی جمیع السنة وسواء کانت عاملة أو غیر عاملة </w:t>
      </w:r>
      <w:r>
        <w:rPr>
          <w:rStyle w:val="FootnoteAnchor"/>
          <w:rtl w:val="true"/>
        </w:rPr>
        <w:footnoteReference w:id="666"/>
      </w:r>
      <w:r>
        <w:rPr>
          <w:rFonts w:ascii="IRNazanin" w:hAnsi="IRNazanin" w:eastAsia="IRNazanin"/>
          <w:color w:val="111111"/>
          <w:sz w:val="28"/>
          <w:sz w:val="28"/>
          <w:szCs w:val="28"/>
          <w:rtl w:val="true"/>
          <w:lang w:bidi="fa-IR"/>
        </w:rPr>
        <w:t>قال أبوالبرکات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زکاة النعم،بملک وحول کملا،و إن کانت معلوفة ولو فی کلّ الحول وعاملة فی حرث أو حمل أو سقی</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والتخلّف هنا ناشئ عن الاجتهاد الخاص کما هو واضح</w:t>
      </w:r>
      <w:r>
        <w:rPr>
          <w:rFonts w:eastAsia="IRNazanin" w:cs="IRNazanin"/>
          <w:color w:val="111111"/>
          <w:sz w:val="28"/>
          <w:szCs w:val="28"/>
          <w:rtl w:val="true"/>
          <w:lang w:bidi="fa-IR"/>
        </w:rPr>
        <w:t>.</w:t>
      </w:r>
    </w:p>
    <w:p>
      <w:pPr>
        <w:pStyle w:val="Heading3"/>
        <w:numPr>
          <w:ilvl w:val="2"/>
          <w:numId w:val="1"/>
        </w:numPr>
        <w:rPr/>
      </w:pPr>
      <w:bookmarkStart w:id="1409" w:name="__RefHeading___Toc363466_581953129"/>
      <w:bookmarkStart w:id="1410" w:name="_Toc587"/>
      <w:bookmarkEnd w:id="1409"/>
      <w:r>
        <w:rPr>
          <w:rtl w:val="true"/>
        </w:rPr>
        <w:t>زکاة النقدین</w:t>
      </w:r>
      <w:bookmarkEnd w:id="1410"/>
    </w:p>
    <w:p>
      <w:pPr>
        <w:pStyle w:val="Heading4"/>
        <w:numPr>
          <w:ilvl w:val="3"/>
          <w:numId w:val="1"/>
        </w:numPr>
        <w:rPr/>
      </w:pPr>
      <w:bookmarkStart w:id="1411" w:name="__RefHeading___Toc363468_581953129"/>
      <w:bookmarkStart w:id="1412" w:name="_Toc588"/>
      <w:bookmarkEnd w:id="1411"/>
      <w:r>
        <w:rPr>
          <w:rtl w:val="true"/>
        </w:rPr>
        <w:t>اشارة</w:t>
      </w:r>
      <w:bookmarkEnd w:id="1412"/>
    </w:p>
    <w:p>
      <w:pPr>
        <w:pStyle w:val="BookText"/>
        <w:rPr/>
      </w:pPr>
      <w:r>
        <w:rPr>
          <w:rFonts w:ascii="IRNazanin" w:hAnsi="IRNazanin" w:eastAsia="IRNazanin"/>
          <w:color w:val="111111"/>
          <w:sz w:val="28"/>
          <w:sz w:val="28"/>
          <w:szCs w:val="28"/>
          <w:rtl w:val="true"/>
          <w:lang w:bidi="fa-IR"/>
        </w:rPr>
        <w:t>اختلفت الآراء حول مقدار زکاة النقدین و التفصیل بما یلی</w:t>
      </w:r>
      <w:r>
        <w:rPr>
          <w:rFonts w:eastAsia="IRNazanin" w:cs="IRNazanin"/>
          <w:color w:val="111111"/>
          <w:sz w:val="28"/>
          <w:szCs w:val="28"/>
          <w:rtl w:val="true"/>
          <w:lang w:bidi="fa-IR"/>
        </w:rPr>
        <w:t>:</w:t>
      </w:r>
    </w:p>
    <w:p>
      <w:pPr>
        <w:pStyle w:val="Heading4"/>
        <w:numPr>
          <w:ilvl w:val="3"/>
          <w:numId w:val="1"/>
        </w:numPr>
        <w:rPr/>
      </w:pPr>
      <w:bookmarkStart w:id="1413" w:name="__RefHeading___Toc363470_581953129"/>
      <w:bookmarkStart w:id="1414" w:name="_Toc589"/>
      <w:bookmarkEnd w:id="1413"/>
      <w:r>
        <w:rPr>
          <w:rtl w:val="true"/>
        </w:rPr>
        <w:t>المذهب الجعفری</w:t>
      </w:r>
      <w:bookmarkEnd w:id="141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وجوب الزکاة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w:t>
      </w:r>
      <w:bookmarkStart w:id="1415" w:name="pg5240_59424"/>
    </w:p>
    <w:p>
      <w:pPr>
        <w:pStyle w:val="BookText"/>
        <w:rPr/>
      </w:pPr>
      <w:bookmarkEnd w:id="1415"/>
      <w:r>
        <w:rPr>
          <w:rFonts w:ascii="IRNazanin" w:hAnsi="IRNazanin" w:eastAsia="IRNazanin"/>
          <w:color w:val="111111"/>
          <w:sz w:val="28"/>
          <w:sz w:val="28"/>
          <w:szCs w:val="28"/>
          <w:rtl w:val="true"/>
          <w:lang w:bidi="fa-IR"/>
        </w:rPr>
        <w:t>مسکوکین بسکّة معاملة</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ذلک؛لما روی علی‌بن یقطین عن الإمام موسی‌بن جعفر علیه السلام بسند صحیح أنّه قال جواباً عن السؤال من متعلّق الزکاة فی النقود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سبائک الذهب ونقار الفضّة زکاة</w:t>
      </w:r>
      <w:r>
        <w:rPr>
          <w:rFonts w:eastAsia="IRNazanin" w:cs="IRNazanin"/>
          <w:color w:val="111111"/>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والدلالة تامّة</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363472_581953129"/>
      <w:bookmarkStart w:id="1417" w:name="_Toc590"/>
      <w:bookmarkEnd w:id="1416"/>
      <w:r>
        <w:rPr>
          <w:rtl w:val="true"/>
        </w:rPr>
        <w:t>المذاهب الاربعة</w:t>
      </w:r>
      <w:bookmarkEnd w:id="1417"/>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الزکاة‌فی الذهب و الفضّة،ولافرق بین أن یکون الذهب و الفضّة مضروبین أو غیر مضروبین و هذا فی غیر الحُلی،أمّا الحُلی ففی زکاته تفصیل المذاهب</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ذلک عملاً بإطلاق النصوص منها ما روی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صاحب ذهب ولا فضّة لایؤدّی منها حقّها إلاّ إذا کان یوم القیامة صفحت له صفائح من نار فأحمی علیها فی نار جهنّم</w:t>
      </w:r>
      <w:r>
        <w:rPr>
          <w:rFonts w:eastAsia="IRNazanin" w:cs="IRNazanin"/>
          <w:color w:val="111111"/>
          <w:sz w:val="28"/>
          <w:szCs w:val="28"/>
          <w:rtl w:val="true"/>
          <w:lang w:bidi="fa-IR"/>
        </w:rPr>
        <w:t xml:space="preserve">». </w:t>
      </w:r>
      <w:r>
        <w:rPr>
          <w:rStyle w:val="FootnoteAnchor"/>
          <w:rtl w:val="true"/>
        </w:rPr>
        <w:footnoteReference w:id="671"/>
      </w:r>
      <w:r>
        <w:rPr>
          <w:rFonts w:ascii="Amiri" w:hAnsi="Amiri" w:eastAsia="Amiri" w:cs="Amiri"/>
          <w:color w:val="111111"/>
          <w:sz w:val="28"/>
          <w:sz w:val="28"/>
          <w:szCs w:val="28"/>
          <w:rtl w:val="true"/>
          <w:lang w:bidi="ar-SA"/>
        </w:rPr>
        <w:t>قال ذکریا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الزکاة زکاة النقدین ولو غیر مضروب و الأصل فیها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بذلک</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أنّه لامجال للتمسّک بالإطلاق بعد ورود تحدید صریح بسند صحیح عن طریق آل‌البیت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فالمتیقّن ممّا یستفاد من الادلّة هو وجوب الزکاة علی النقدین المسکوکین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یسهّل الخطب أنّه لاجدوی فی التاریخ المعاصر لهذا البحث؛لعدم وجود أثر عملی فی الواقع</w:t>
      </w:r>
      <w:r>
        <w:rPr>
          <w:rFonts w:eastAsia="IRNazanin" w:cs="IRNazanin"/>
          <w:color w:val="111111"/>
          <w:sz w:val="28"/>
          <w:szCs w:val="28"/>
          <w:rtl w:val="true"/>
          <w:lang w:bidi="fa-IR"/>
        </w:rPr>
        <w:t>.</w:t>
      </w:r>
      <w:bookmarkStart w:id="1418" w:name="pg5240_59425"/>
    </w:p>
    <w:p>
      <w:pPr>
        <w:pStyle w:val="Heading3"/>
        <w:numPr>
          <w:ilvl w:val="2"/>
          <w:numId w:val="1"/>
        </w:numPr>
        <w:rPr/>
      </w:pPr>
      <w:bookmarkStart w:id="1419" w:name="__RefHeading___Toc363474_581953129"/>
      <w:bookmarkStart w:id="1420" w:name="_Toc591"/>
      <w:bookmarkEnd w:id="1418"/>
      <w:bookmarkEnd w:id="1419"/>
      <w:r>
        <w:rPr>
          <w:rtl w:val="true"/>
        </w:rPr>
        <w:t>نصاب زکاة الغلاة</w:t>
      </w:r>
      <w:bookmarkEnd w:id="1420"/>
    </w:p>
    <w:p>
      <w:pPr>
        <w:pStyle w:val="BookText"/>
        <w:rPr/>
      </w:pPr>
      <w:r>
        <w:rPr>
          <w:rFonts w:ascii="IRNazanin" w:hAnsi="IRNazanin" w:eastAsia="IRNazanin"/>
          <w:color w:val="111111"/>
          <w:sz w:val="28"/>
          <w:sz w:val="28"/>
          <w:szCs w:val="28"/>
          <w:rtl w:val="true"/>
          <w:lang w:bidi="fa-IR"/>
        </w:rPr>
        <w:t>وردت النصوص عن الطریقین الدالّة علی أنّ نصاب الزکاة فی الغلات خمسة أوسق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صحیح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أنبتت الأرض من الحنطة و الشعیر و التمر و الزبیب ما بلغ خمسة أوسق ففیه العشر</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والحکم مفتی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دون خمسة أوسق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ولا خلاف فی الحکم بین المذاهب إلاّ عن الحنفی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الزکاة فی قلیل ذلک وکثیره؛لعموم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سقت السماء العشر</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الدالّ علی تعیین النصاب خاصّ،یجب تقدیمه،وتخصیص عموم ما رووه به </w:t>
      </w:r>
      <w:r>
        <w:rPr>
          <w:rStyle w:val="FootnoteAnchor"/>
          <w:rtl w:val="true"/>
        </w:rPr>
        <w:footnoteReference w:id="676"/>
      </w:r>
      <w:r>
        <w:rPr>
          <w:rFonts w:ascii="IRNazanin" w:hAnsi="IRNazanin" w:eastAsia="IRNazanin"/>
          <w:color w:val="111111"/>
          <w:sz w:val="28"/>
          <w:sz w:val="28"/>
          <w:szCs w:val="28"/>
          <w:rtl w:val="true"/>
          <w:lang w:bidi="fa-IR"/>
        </w:rPr>
        <w:t>فمنشأ الخلاف هو فتوی الحنفی</w:t>
      </w:r>
      <w:r>
        <w:rPr>
          <w:rFonts w:eastAsia="IRNazanin" w:cs="IRNazanin"/>
          <w:color w:val="111111"/>
          <w:sz w:val="28"/>
          <w:szCs w:val="28"/>
          <w:rtl w:val="true"/>
          <w:lang w:bidi="fa-IR"/>
        </w:rPr>
        <w:t>.</w:t>
      </w:r>
    </w:p>
    <w:p>
      <w:pPr>
        <w:pStyle w:val="Heading3"/>
        <w:numPr>
          <w:ilvl w:val="2"/>
          <w:numId w:val="1"/>
        </w:numPr>
        <w:rPr/>
      </w:pPr>
      <w:bookmarkStart w:id="1421" w:name="__RefHeading___Toc363476_581953129"/>
      <w:bookmarkStart w:id="1422" w:name="_Toc592"/>
      <w:bookmarkEnd w:id="1421"/>
      <w:r>
        <w:rPr>
          <w:rtl w:val="true"/>
        </w:rPr>
        <w:t>فیما یتعلّق به الزکاة،من الغلاّت</w:t>
      </w:r>
      <w:bookmarkEnd w:id="1422"/>
    </w:p>
    <w:p>
      <w:pPr>
        <w:pStyle w:val="Heading4"/>
        <w:numPr>
          <w:ilvl w:val="3"/>
          <w:numId w:val="1"/>
        </w:numPr>
        <w:rPr/>
      </w:pPr>
      <w:bookmarkStart w:id="1423" w:name="__RefHeading___Toc363478_581953129"/>
      <w:bookmarkStart w:id="1424" w:name="_Toc593"/>
      <w:bookmarkEnd w:id="1423"/>
      <w:r>
        <w:rPr>
          <w:rtl w:val="true"/>
        </w:rPr>
        <w:t>اشارة</w:t>
      </w:r>
      <w:bookmarkEnd w:id="1424"/>
    </w:p>
    <w:p>
      <w:pPr>
        <w:pStyle w:val="BookText"/>
        <w:rPr/>
      </w:pPr>
      <w:r>
        <w:rPr>
          <w:rFonts w:ascii="IRNazanin" w:hAnsi="IRNazanin" w:eastAsia="IRNazanin"/>
          <w:color w:val="111111"/>
          <w:sz w:val="28"/>
          <w:sz w:val="28"/>
          <w:szCs w:val="28"/>
          <w:rtl w:val="true"/>
          <w:lang w:bidi="fa-IR"/>
        </w:rPr>
        <w:t>اختلف الآراء بالنسبة إلی متعلّق زکاة الغلات و التفصیل بما یلی</w:t>
      </w:r>
      <w:r>
        <w:rPr>
          <w:rFonts w:eastAsia="IRNazanin" w:cs="IRNazanin"/>
          <w:color w:val="111111"/>
          <w:sz w:val="28"/>
          <w:szCs w:val="28"/>
          <w:rtl w:val="true"/>
          <w:lang w:bidi="fa-IR"/>
        </w:rPr>
        <w:t>:</w:t>
      </w:r>
    </w:p>
    <w:p>
      <w:pPr>
        <w:pStyle w:val="Heading4"/>
        <w:numPr>
          <w:ilvl w:val="3"/>
          <w:numId w:val="1"/>
        </w:numPr>
        <w:rPr/>
      </w:pPr>
      <w:bookmarkStart w:id="1425" w:name="__RefHeading___Toc363480_581953129"/>
      <w:bookmarkStart w:id="1426" w:name="_Toc594"/>
      <w:bookmarkEnd w:id="1425"/>
      <w:r>
        <w:rPr>
          <w:rtl w:val="true"/>
        </w:rPr>
        <w:t>المذاهب الاربعة</w:t>
      </w:r>
      <w:bookmarkEnd w:id="142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أخرج الله عزّوجلّ من الأرض ممّایبس ویبقی ممّا یکال ویبلغ خمسة أوسق ففیه العشر</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 قول الخرقی أنّ 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سقت السماء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صلی الله علیه و آله لمعاذ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الحبّ من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وجوب الزکاة</w:t>
      </w:r>
      <w:bookmarkStart w:id="1427" w:name="pg5240_59426"/>
    </w:p>
    <w:p>
      <w:pPr>
        <w:pStyle w:val="BookText"/>
        <w:rPr/>
      </w:pPr>
      <w:bookmarkEnd w:id="1427"/>
      <w:r>
        <w:rPr>
          <w:rFonts w:ascii="IRNazanin" w:hAnsi="IRNazanin" w:eastAsia="IRNazanin"/>
          <w:color w:val="111111"/>
          <w:sz w:val="28"/>
          <w:sz w:val="28"/>
          <w:szCs w:val="28"/>
          <w:rtl w:val="true"/>
          <w:lang w:bidi="fa-IR"/>
        </w:rPr>
        <w:t>فی جمیع ما تناوله</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و هو نفس الرأی علی المذاهب الأربعة ولاخلاف بینهم فی هذا الحکم إلاّ بشکل یسیر جدّاً،حیث نستطیع أن نقول أنّ کلّ ماینبت من الأرض ویدّخر للمؤونة ففیه الزکاة علی المذاهب الأربعة</w:t>
      </w:r>
      <w:r>
        <w:rPr>
          <w:rFonts w:eastAsia="IRNazanin" w:cs="IRNazanin"/>
          <w:color w:val="111111"/>
          <w:sz w:val="28"/>
          <w:szCs w:val="28"/>
          <w:rtl w:val="true"/>
          <w:lang w:bidi="fa-IR"/>
        </w:rPr>
        <w:t>.</w:t>
      </w:r>
    </w:p>
    <w:p>
      <w:pPr>
        <w:pStyle w:val="Heading4"/>
        <w:numPr>
          <w:ilvl w:val="3"/>
          <w:numId w:val="1"/>
        </w:numPr>
        <w:rPr/>
      </w:pPr>
      <w:bookmarkStart w:id="1428" w:name="__RefHeading___Toc363482_581953129"/>
      <w:bookmarkStart w:id="1429" w:name="_Toc595"/>
      <w:bookmarkEnd w:id="1428"/>
      <w:r>
        <w:rPr>
          <w:rtl w:val="true"/>
        </w:rPr>
        <w:t>المذهب الجعفری</w:t>
      </w:r>
      <w:bookmarkEnd w:id="142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الزکاة فی الغلات الأربعة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الحنطة و الشعیر و التمر و الزبیب </w:t>
      </w:r>
      <w:r>
        <w:rPr>
          <w:rStyle w:val="FootnoteAnchor"/>
          <w:rtl w:val="true"/>
        </w:rPr>
        <w:footnoteReference w:id="679"/>
      </w:r>
      <w:r>
        <w:rPr>
          <w:rFonts w:ascii="IRNazanin" w:hAnsi="IRNazanin" w:eastAsia="IRNazanin"/>
          <w:color w:val="111111"/>
          <w:sz w:val="28"/>
          <w:sz w:val="28"/>
          <w:szCs w:val="28"/>
          <w:rtl w:val="true"/>
          <w:lang w:bidi="fa-IR"/>
        </w:rPr>
        <w:t>ذلک؛للنصوص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الباقر علیه السلام الأنیف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أنبتت الأرض من الحنطة و الشعیر و التمر و الزبیب ففیه العشر</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ومن حسن الحظّ أنّ هذا التحدید فی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الغلات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 طریق الصحابة فی روایات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ابن‌قدامة قال عبدالله‌بن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سنّ رسول الله صلی الله علیه و آله الزکاة فی الحنطة و الشعیر و التمر و الزبیب وفی روایة أخری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والعشر فی التمر و الزبیب و الحنطة و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موسی‌بن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فی هذه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 الشعیر و التمر و الزبیب،وعن أبی‌بردة عن أبی‌موسی ومعاذ أنّ رسول الله صلی الله علیه و آله بعثهما إلی الیمن یعلّمان الناس أمر دینهم فأمرهم أن لا یأخذوا الصدقة إلاّ من هذه الأربعة الحنطة و الشعیر و التمر و الزبیب،ولأنّ غیر هذه الأربعة لانصّ فیها ولا إجماع،ولا هو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نفعها ووجودها،فلم یصحّ قیاسه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Style w:val="FootnoteAnchor"/>
          <w:rtl w:val="true"/>
        </w:rPr>
        <w:footnoteReference w:id="681"/>
      </w:r>
      <w:bookmarkStart w:id="1430" w:name="pg5240_59427"/>
    </w:p>
    <w:p>
      <w:pPr>
        <w:pStyle w:val="Heading4"/>
        <w:numPr>
          <w:ilvl w:val="3"/>
          <w:numId w:val="1"/>
        </w:numPr>
        <w:rPr/>
      </w:pPr>
      <w:bookmarkStart w:id="1431" w:name="__RefHeading___Toc363484_581953129"/>
      <w:bookmarkStart w:id="1432" w:name="_Toc596"/>
      <w:bookmarkEnd w:id="1430"/>
      <w:bookmarkEnd w:id="1431"/>
      <w:r>
        <w:rPr>
          <w:rtl w:val="true"/>
        </w:rPr>
        <w:t>منشأ الاختلاف</w:t>
      </w:r>
      <w:bookmarkEnd w:id="1432"/>
    </w:p>
    <w:p>
      <w:pPr>
        <w:pStyle w:val="BookText"/>
        <w:rPr/>
      </w:pPr>
      <w:r>
        <w:rPr>
          <w:rFonts w:ascii="IRNazanin" w:hAnsi="IRNazanin" w:eastAsia="IRNazanin"/>
          <w:color w:val="111111"/>
          <w:sz w:val="28"/>
          <w:sz w:val="28"/>
          <w:szCs w:val="28"/>
          <w:rtl w:val="true"/>
          <w:lang w:bidi="fa-IR"/>
        </w:rPr>
        <w:t>إنّ الحکم بوجوب زکاة الأزید من الغلات الأربع ناشئ عن الاجتهاد؛إذ اتّضح أنّ المتیقّن ممّا یستفاد من الروایات الواردة عن الطریقین،هو تحدید المتعلّق هناک فی الغلات الأربعة وعلیه فلا دلیل علی الحکم بوجوب الزکاة علی الأزید من الأربعة نصّاً وإجماعاً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باستحباب الزکاة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لابأس به عملاً بالعمومات وقاعدتی التسامح والاحتیاط،و هو الفتوی علی المذهب الجعفری</w:t>
      </w:r>
      <w:r>
        <w:rPr>
          <w:rFonts w:eastAsia="IRNazanin" w:cs="IRNazanin"/>
          <w:color w:val="111111"/>
          <w:sz w:val="28"/>
          <w:szCs w:val="28"/>
          <w:rtl w:val="true"/>
          <w:lang w:bidi="fa-IR"/>
        </w:rPr>
        <w:t>.</w:t>
      </w:r>
    </w:p>
    <w:p>
      <w:pPr>
        <w:pStyle w:val="Heading3"/>
        <w:numPr>
          <w:ilvl w:val="2"/>
          <w:numId w:val="1"/>
        </w:numPr>
        <w:rPr/>
      </w:pPr>
      <w:bookmarkStart w:id="1433" w:name="__RefHeading___Toc363486_581953129"/>
      <w:bookmarkStart w:id="1434" w:name="_Toc597"/>
      <w:bookmarkEnd w:id="1433"/>
      <w:r>
        <w:rPr>
          <w:rtl w:val="true"/>
        </w:rPr>
        <w:t>زکاة مال التجارة</w:t>
      </w:r>
      <w:bookmarkEnd w:id="1434"/>
    </w:p>
    <w:p>
      <w:pPr>
        <w:pStyle w:val="Heading4"/>
        <w:numPr>
          <w:ilvl w:val="3"/>
          <w:numId w:val="1"/>
        </w:numPr>
        <w:rPr/>
      </w:pPr>
      <w:bookmarkStart w:id="1435" w:name="__RefHeading___Toc363488_581953129"/>
      <w:bookmarkStart w:id="1436" w:name="_Toc598"/>
      <w:bookmarkEnd w:id="1435"/>
      <w:r>
        <w:rPr>
          <w:rtl w:val="true"/>
        </w:rPr>
        <w:t>اشارة</w:t>
      </w:r>
      <w:bookmarkEnd w:id="1436"/>
    </w:p>
    <w:p>
      <w:pPr>
        <w:pStyle w:val="BookText"/>
        <w:rPr/>
      </w:pPr>
      <w:r>
        <w:rPr>
          <w:rFonts w:ascii="IRNazanin" w:hAnsi="IRNazanin" w:eastAsia="IRNazanin"/>
          <w:color w:val="111111"/>
          <w:sz w:val="28"/>
          <w:sz w:val="28"/>
          <w:szCs w:val="28"/>
          <w:rtl w:val="true"/>
          <w:lang w:bidi="fa-IR"/>
        </w:rPr>
        <w:t>اختلف الآراء فی نوعیة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 واستحباباً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زکاة مال التجارة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437" w:name="__RefHeading___Toc363490_581953129"/>
      <w:bookmarkStart w:id="1438" w:name="_Toc599"/>
      <w:bookmarkEnd w:id="1437"/>
      <w:r>
        <w:rPr>
          <w:rtl w:val="true"/>
        </w:rPr>
        <w:t>المذاهب الاربعة</w:t>
      </w:r>
      <w:bookmarkEnd w:id="1438"/>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الزکاة فی قیمة عروض التجارة فی قول أکثر أهل العلم،قال ابن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أهل العلم علی أنّ فی العروض الّتی یراد بها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وحکی عن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لازکاة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لکم عن صدقة الخیل و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أبوداود بإسناده عن الصحابة قال‌کان رسول الله صلی الله علیه و آله یأمرنا أن نخرج الزکاة ممّا نعدّه للبیع </w:t>
      </w:r>
      <w:r>
        <w:rPr>
          <w:rStyle w:val="FootnoteAnchor"/>
          <w:rtl w:val="true"/>
        </w:rPr>
        <w:footnoteReference w:id="682"/>
      </w:r>
      <w:r>
        <w:rPr>
          <w:rFonts w:ascii="IRNazanin" w:hAnsi="IRNazanin" w:eastAsia="IRNazanin"/>
          <w:color w:val="111111"/>
          <w:sz w:val="28"/>
          <w:sz w:val="28"/>
          <w:szCs w:val="28"/>
          <w:rtl w:val="true"/>
          <w:lang w:bidi="fa-IR"/>
        </w:rPr>
        <w:t>والحکم بوجوب الزکاة فی مال التجارة مفتی به عندهم أجمع</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لاتجب الزکاة فی أموال التجارة مادامت أعیاناً فإذا نضت وصارت دراهم ودنانیر تجب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Style w:val="FootnoteAnchor"/>
          <w:rtl w:val="true"/>
        </w:rPr>
        <w:footnoteReference w:id="684"/>
      </w:r>
      <w:bookmarkStart w:id="1439" w:name="pg5240_59428"/>
    </w:p>
    <w:p>
      <w:pPr>
        <w:pStyle w:val="Heading4"/>
        <w:numPr>
          <w:ilvl w:val="3"/>
          <w:numId w:val="1"/>
        </w:numPr>
        <w:rPr/>
      </w:pPr>
      <w:bookmarkStart w:id="1440" w:name="__RefHeading___Toc363492_581953129"/>
      <w:bookmarkStart w:id="1441" w:name="_Toc600"/>
      <w:bookmarkEnd w:id="1439"/>
      <w:bookmarkEnd w:id="1440"/>
      <w:r>
        <w:rPr>
          <w:rtl w:val="true"/>
        </w:rPr>
        <w:t>المذهب الجعفری</w:t>
      </w:r>
      <w:bookmarkEnd w:id="1441"/>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یستحبّ فیه الزکاة،مال التجارة و هو الّذی تملّکه الشخص وأعدّه للتجارة والاکتساب به</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ذلک؛لعدم الدلیل علی الوجوب من جانب؛ولقاعدة التسامح فی أدلّة السنن من جانب آخر ومنشأ الاختلاف واضح</w:t>
      </w:r>
      <w:r>
        <w:rPr>
          <w:rFonts w:eastAsia="IRNazanin" w:cs="IRNazanin"/>
          <w:color w:val="111111"/>
          <w:sz w:val="28"/>
          <w:szCs w:val="28"/>
          <w:rtl w:val="true"/>
          <w:lang w:bidi="fa-IR"/>
        </w:rPr>
        <w:t>.</w:t>
      </w:r>
    </w:p>
    <w:p>
      <w:pPr>
        <w:pStyle w:val="Heading3"/>
        <w:numPr>
          <w:ilvl w:val="2"/>
          <w:numId w:val="1"/>
        </w:numPr>
        <w:rPr/>
      </w:pPr>
      <w:bookmarkStart w:id="1442" w:name="__RefHeading___Toc363494_581953129"/>
      <w:bookmarkStart w:id="1443" w:name="_Toc601"/>
      <w:bookmarkEnd w:id="1442"/>
      <w:r>
        <w:rPr>
          <w:rtl w:val="true"/>
        </w:rPr>
        <w:t>نصاب المال المشترک</w:t>
      </w:r>
      <w:bookmarkEnd w:id="1443"/>
    </w:p>
    <w:p>
      <w:pPr>
        <w:pStyle w:val="Heading4"/>
        <w:numPr>
          <w:ilvl w:val="3"/>
          <w:numId w:val="1"/>
        </w:numPr>
        <w:rPr/>
      </w:pPr>
      <w:bookmarkStart w:id="1444" w:name="__RefHeading___Toc363496_581953129"/>
      <w:bookmarkStart w:id="1445" w:name="_Toc602"/>
      <w:bookmarkEnd w:id="1444"/>
      <w:r>
        <w:rPr>
          <w:rtl w:val="true"/>
        </w:rPr>
        <w:t>اشارة</w:t>
      </w:r>
      <w:bookmarkEnd w:id="1445"/>
    </w:p>
    <w:p>
      <w:pPr>
        <w:pStyle w:val="BookText"/>
        <w:rPr/>
      </w:pPr>
      <w:r>
        <w:rPr>
          <w:rFonts w:ascii="IRNazanin" w:hAnsi="IRNazanin" w:eastAsia="IRNazanin"/>
          <w:color w:val="111111"/>
          <w:sz w:val="28"/>
          <w:sz w:val="28"/>
          <w:szCs w:val="28"/>
          <w:rtl w:val="true"/>
          <w:lang w:bidi="fa-IR"/>
        </w:rPr>
        <w:t>اختلفت الآراء بالنسبة إلی وجوب الزکاة فی المال المشترک بین اثنین مثلاً إذا بلغ السهمان حدّ النصاب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446" w:name="__RefHeading___Toc363498_581953129"/>
      <w:bookmarkStart w:id="1447" w:name="_Toc603"/>
      <w:bookmarkEnd w:id="1446"/>
      <w:r>
        <w:rPr>
          <w:rtl w:val="true"/>
        </w:rPr>
        <w:t>المذهب الجعفری</w:t>
      </w:r>
      <w:bookmarkEnd w:id="1447"/>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الأعیان الزکویة مشترکة بین اثنین أو أزید یعتبر بلوغ النصاب فی حصّة کلّ واحد فلا تجب فی النصاب الواحد إذا کان مشترکاً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ذلک؛لعدم تحقّق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البالغ حدّ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 أنّه قال جواباً عن السؤال من وجوب الزکاة فی مائتی درهم مشترک بین عدّة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علیهم شیء حتّی یتمّ لکلّ إنسان منهم مائتا درهم</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والدلالة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نفس الرأی علی المذهب الحنفی و المالکی و الحکم علی القاعدة</w:t>
      </w:r>
      <w:r>
        <w:rPr>
          <w:rFonts w:eastAsia="IRNazanin" w:cs="IRNazanin"/>
          <w:color w:val="111111"/>
          <w:sz w:val="28"/>
          <w:szCs w:val="28"/>
          <w:rtl w:val="true"/>
          <w:lang w:bidi="fa-IR"/>
        </w:rPr>
        <w:t>.</w:t>
      </w:r>
    </w:p>
    <w:p>
      <w:pPr>
        <w:pStyle w:val="Heading4"/>
        <w:numPr>
          <w:ilvl w:val="3"/>
          <w:numId w:val="1"/>
        </w:numPr>
        <w:rPr/>
      </w:pPr>
      <w:bookmarkStart w:id="1448" w:name="__RefHeading___Toc363500_581953129"/>
      <w:bookmarkStart w:id="1449" w:name="_Toc604"/>
      <w:bookmarkEnd w:id="1448"/>
      <w:r>
        <w:rPr>
          <w:rtl w:val="true"/>
        </w:rPr>
        <w:t>المذهب الشافعی</w:t>
      </w:r>
      <w:bookmarkEnd w:id="144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 الزکاة فی المال المشترک إذا بلغ النصاب و إن نقص کلّ سهم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 الرأی علی المذهب الحنبلی</w:t>
      </w:r>
      <w:r>
        <w:rPr>
          <w:rFonts w:eastAsia="IRNazanin" w:cs="IRNazanin"/>
          <w:color w:val="111111"/>
          <w:sz w:val="28"/>
          <w:szCs w:val="28"/>
          <w:rtl w:val="true"/>
          <w:lang w:bidi="fa-IR"/>
        </w:rPr>
        <w:t xml:space="preserve">. </w:t>
      </w:r>
      <w:r>
        <w:rPr>
          <w:rStyle w:val="FootnoteAnchor"/>
          <w:rtl w:val="true"/>
        </w:rPr>
        <w:footnoteReference w:id="688"/>
      </w:r>
      <w:bookmarkStart w:id="1450" w:name="pg5240_59429"/>
    </w:p>
    <w:p>
      <w:pPr>
        <w:pStyle w:val="Heading4"/>
        <w:numPr>
          <w:ilvl w:val="3"/>
          <w:numId w:val="1"/>
        </w:numPr>
        <w:rPr/>
      </w:pPr>
      <w:bookmarkStart w:id="1451" w:name="__RefHeading___Toc363502_581953129"/>
      <w:bookmarkStart w:id="1452" w:name="_Toc605"/>
      <w:bookmarkEnd w:id="1450"/>
      <w:bookmarkEnd w:id="1451"/>
      <w:r>
        <w:rPr>
          <w:rtl w:val="true"/>
        </w:rPr>
        <w:t>منشأ الاختلاف</w:t>
      </w:r>
      <w:bookmarkEnd w:id="1452"/>
    </w:p>
    <w:p>
      <w:pPr>
        <w:pStyle w:val="BookText"/>
        <w:rPr/>
      </w:pPr>
      <w:r>
        <w:rPr>
          <w:rFonts w:ascii="IRNazanin" w:hAnsi="IRNazanin" w:eastAsia="IRNazanin"/>
          <w:color w:val="111111"/>
          <w:sz w:val="28"/>
          <w:sz w:val="28"/>
          <w:szCs w:val="28"/>
          <w:rtl w:val="true"/>
          <w:lang w:bidi="fa-IR"/>
        </w:rPr>
        <w:t>إنّ تخلّف الشافعی ناشئ عن الاجتهاد الخاصّ ولم نعثر فیه علی نصّ أو إجماع</w:t>
      </w:r>
      <w:r>
        <w:rPr>
          <w:rFonts w:eastAsia="IRNazanin" w:cs="IRNazanin"/>
          <w:color w:val="111111"/>
          <w:sz w:val="28"/>
          <w:szCs w:val="28"/>
          <w:rtl w:val="true"/>
          <w:lang w:bidi="fa-IR"/>
        </w:rPr>
        <w:t>.</w:t>
      </w:r>
    </w:p>
    <w:p>
      <w:pPr>
        <w:pStyle w:val="Heading3"/>
        <w:numPr>
          <w:ilvl w:val="2"/>
          <w:numId w:val="1"/>
        </w:numPr>
        <w:rPr/>
      </w:pPr>
      <w:bookmarkStart w:id="1453" w:name="__RefHeading___Toc363504_581953129"/>
      <w:bookmarkStart w:id="1454" w:name="_Toc606"/>
      <w:bookmarkEnd w:id="1453"/>
      <w:r>
        <w:rPr>
          <w:rtl w:val="true"/>
        </w:rPr>
        <w:t>مانعیة الدین عن الزکاة</w:t>
      </w:r>
      <w:bookmarkEnd w:id="1454"/>
    </w:p>
    <w:p>
      <w:pPr>
        <w:pStyle w:val="Heading4"/>
        <w:numPr>
          <w:ilvl w:val="3"/>
          <w:numId w:val="1"/>
        </w:numPr>
        <w:rPr/>
      </w:pPr>
      <w:bookmarkStart w:id="1455" w:name="__RefHeading___Toc363506_581953129"/>
      <w:bookmarkStart w:id="1456" w:name="_Toc607"/>
      <w:bookmarkEnd w:id="1455"/>
      <w:r>
        <w:rPr>
          <w:rtl w:val="true"/>
        </w:rPr>
        <w:t>اشارة</w:t>
      </w:r>
      <w:bookmarkEnd w:id="1456"/>
    </w:p>
    <w:p>
      <w:pPr>
        <w:pStyle w:val="BookText"/>
        <w:rPr/>
      </w:pPr>
      <w:r>
        <w:rPr>
          <w:rFonts w:ascii="IRNazanin" w:hAnsi="IRNazanin" w:eastAsia="IRNazanin"/>
          <w:color w:val="111111"/>
          <w:sz w:val="28"/>
          <w:sz w:val="28"/>
          <w:szCs w:val="28"/>
          <w:rtl w:val="true"/>
          <w:lang w:bidi="fa-IR"/>
        </w:rPr>
        <w:t>اختلفت الآراء بالنسبة إلی انکسار الدین عن المال الزکوی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وإثباتاً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457" w:name="__RefHeading___Toc363508_581953129"/>
      <w:bookmarkStart w:id="1458" w:name="_Toc608"/>
      <w:bookmarkEnd w:id="1457"/>
      <w:r>
        <w:rPr>
          <w:rtl w:val="true"/>
        </w:rPr>
        <w:t>المذهب الجعفری</w:t>
      </w:r>
      <w:bookmarkEnd w:id="1458"/>
    </w:p>
    <w:p>
      <w:pPr>
        <w:pStyle w:val="BookText"/>
        <w:rPr/>
      </w:pPr>
      <w:r>
        <w:rPr>
          <w:rFonts w:ascii="IRNazanin" w:hAnsi="IRNazanin" w:eastAsia="IRNazanin"/>
          <w:color w:val="111111"/>
          <w:sz w:val="28"/>
          <w:sz w:val="28"/>
          <w:szCs w:val="28"/>
          <w:rtl w:val="true"/>
          <w:lang w:bidi="fa-IR"/>
        </w:rPr>
        <w:t>الدین لایمنع من الزکاة وبه أفتی السید الطباطبائی الیزدی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زکاة القرض علی المقترض بعد قبضه، </w:t>
      </w:r>
      <w:r>
        <w:rPr>
          <w:rStyle w:val="FootnoteAnchor"/>
          <w:rtl w:val="true"/>
        </w:rPr>
        <w:footnoteReference w:id="689"/>
      </w:r>
      <w:r>
        <w:rPr>
          <w:rFonts w:ascii="IRNazanin" w:hAnsi="IRNazanin" w:eastAsia="IRNazanin"/>
          <w:color w:val="111111"/>
          <w:sz w:val="28"/>
          <w:sz w:val="28"/>
          <w:szCs w:val="28"/>
          <w:rtl w:val="true"/>
          <w:lang w:bidi="fa-IR"/>
        </w:rPr>
        <w:t>ذلک لتحقّق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البالغ حدّ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النصوص المستفیضة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یعقوب‌بن شعیب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عن السؤال من أنّ زکاة القرض علی المقرض أو علی المستقرض؟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المستقرض لأنّ له نفعه وعلیه زکاته</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والدلالة تامّة،و هو نفس الرأی علی المذهب الشافعی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اشتراط فراغ المال من الدین فمن کان علیه دین وجبت علیه الزکاة ولو کان ذلک الدین یستغرق النصاب</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والحکم علی القاعدة</w:t>
      </w:r>
      <w:r>
        <w:rPr>
          <w:rFonts w:eastAsia="IRNazanin" w:cs="IRNazanin"/>
          <w:color w:val="111111"/>
          <w:sz w:val="28"/>
          <w:szCs w:val="28"/>
          <w:rtl w:val="true"/>
          <w:lang w:bidi="fa-IR"/>
        </w:rPr>
        <w:t>.</w:t>
      </w:r>
    </w:p>
    <w:p>
      <w:pPr>
        <w:pStyle w:val="Heading4"/>
        <w:numPr>
          <w:ilvl w:val="3"/>
          <w:numId w:val="1"/>
        </w:numPr>
        <w:rPr/>
      </w:pPr>
      <w:bookmarkStart w:id="1459" w:name="__RefHeading___Toc363510_581953129"/>
      <w:bookmarkStart w:id="1460" w:name="_Toc609"/>
      <w:bookmarkEnd w:id="1459"/>
      <w:r>
        <w:rPr>
          <w:rtl w:val="true"/>
        </w:rPr>
        <w:t>المذاهب الثلاثة الأخری</w:t>
      </w:r>
      <w:bookmarkEnd w:id="146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فراغ المال من الدین فمن کان علیه دین یستغرق النصاب أو ینقصه</w:t>
      </w:r>
      <w:bookmarkStart w:id="1461" w:name="pg5240_59430"/>
    </w:p>
    <w:p>
      <w:pPr>
        <w:pStyle w:val="BookText"/>
        <w:rPr/>
      </w:pPr>
      <w:bookmarkEnd w:id="1461"/>
      <w:r>
        <w:rPr>
          <w:rFonts w:ascii="IRNazanin" w:hAnsi="IRNazanin" w:eastAsia="IRNazanin"/>
          <w:color w:val="111111"/>
          <w:sz w:val="28"/>
          <w:sz w:val="28"/>
          <w:szCs w:val="28"/>
          <w:rtl w:val="true"/>
          <w:lang w:bidi="fa-IR"/>
        </w:rPr>
        <w:t>فلا تجب علیه الزکاة</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یمنع وجوب الزکاة فی 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ذلک؛لروایة مقبولة عند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علیه دین فلیقض دینه ولیزکّ بقیة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لایمنع الزکاة؛لأنّه حرّ مسلم ملک نصاباً حولاً فوجبت علیه الزکاة کمن لا دین له</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الدین لایمنع الزکاة،وبأنّه لایمنع نفقة الزوجة و القریب فلا یمنع إیجاب الفطرة</w:t>
      </w:r>
      <w:r>
        <w:rPr>
          <w:rFonts w:eastAsia="IRNazanin" w:cs="IRNazanin"/>
          <w:color w:val="111111"/>
          <w:sz w:val="28"/>
          <w:szCs w:val="28"/>
          <w:rtl w:val="true"/>
          <w:lang w:bidi="fa-IR"/>
        </w:rPr>
        <w:t xml:space="preserve">. </w:t>
      </w:r>
      <w:r>
        <w:rPr>
          <w:rStyle w:val="FootnoteAnchor"/>
          <w:rtl w:val="true"/>
        </w:rPr>
        <w:footnoteReference w:id="694"/>
      </w:r>
    </w:p>
    <w:p>
      <w:pPr>
        <w:pStyle w:val="Heading4"/>
        <w:numPr>
          <w:ilvl w:val="3"/>
          <w:numId w:val="1"/>
        </w:numPr>
        <w:rPr/>
      </w:pPr>
      <w:bookmarkStart w:id="1462" w:name="__RefHeading___Toc363512_581953129"/>
      <w:bookmarkStart w:id="1463" w:name="_Toc610"/>
      <w:bookmarkEnd w:id="1462"/>
      <w:r>
        <w:rPr>
          <w:rtl w:val="true"/>
        </w:rPr>
        <w:t>منشأ الاختلاف</w:t>
      </w:r>
      <w:bookmarkEnd w:id="146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ممّا تقدّم أنّ الاختلاف ناشئ عن‌الاختلاف فی النصوص الواردة عن الطریقین،والأوفق بالقواعد و الأحوط فی الدین هو عدم اشتراط الزکاة بعدم الدین و القرض</w:t>
      </w:r>
      <w:r>
        <w:rPr>
          <w:rFonts w:eastAsia="IRNazanin" w:cs="IRNazanin"/>
          <w:color w:val="111111"/>
          <w:sz w:val="28"/>
          <w:szCs w:val="28"/>
          <w:rtl w:val="true"/>
          <w:lang w:bidi="fa-IR"/>
        </w:rPr>
        <w:t>.</w:t>
      </w:r>
      <w:bookmarkStart w:id="1464" w:name="pg5240_59431"/>
    </w:p>
    <w:p>
      <w:pPr>
        <w:pStyle w:val="Heading3"/>
        <w:numPr>
          <w:ilvl w:val="2"/>
          <w:numId w:val="1"/>
        </w:numPr>
        <w:rPr/>
      </w:pPr>
      <w:bookmarkStart w:id="1465" w:name="__RefHeading___Toc363514_581953129"/>
      <w:bookmarkStart w:id="1466" w:name="_Toc611"/>
      <w:bookmarkEnd w:id="1464"/>
      <w:bookmarkEnd w:id="1465"/>
      <w:r>
        <w:rPr>
          <w:rtl w:val="true"/>
        </w:rPr>
        <w:t>الخلاصة</w:t>
      </w:r>
      <w:bookmarkEnd w:id="1466"/>
    </w:p>
    <w:p>
      <w:pPr>
        <w:pStyle w:val="BookText"/>
        <w:rPr/>
      </w:pPr>
      <w:r>
        <w:rPr>
          <w:rFonts w:ascii="IRNazanin" w:hAnsi="IRNazanin" w:eastAsia="IRNazanin"/>
          <w:color w:val="111111"/>
          <w:sz w:val="28"/>
          <w:sz w:val="28"/>
          <w:szCs w:val="28"/>
          <w:rtl w:val="true"/>
          <w:lang w:bidi="fa-IR"/>
        </w:rPr>
        <w:t>یشترط فی وجوب الزکاة،العقل و البلوغ علی المذهب الجعفری و الحنفی ولا یشترطان علی المذاهب الثلاثة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المذهب الجعفری مع المذاهب الأربعة بالنسبة إلی نصاب الإبل فی مورد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بلغت خمساً وعشرین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وبالنسبة إلی نصاب الغنم فی مورد واحد و هو ما إذا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السوم فی زکاة الأنعام علی المذاهب الإسلامیة إلاّ علی المذهب المالکی،یشترط فی زکاة النقدین کونهما مسکوکین ولایشترط علی المذاهب الأربعة،یشترط النصاب فی زکاة الغلات علی المذاهب الإسلامیة إلاّ 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الزکاة علی الغلات الأربعة المنصوصة علی المذهب الجعفری وتجب علی کلّ ماتنبت الأرض وتدّخر للمؤونة،علی المذاهب الأربعة یستحبّ زکاة مال التجارة علی المذهب الجعفری وتجب علی المذاهب الأربعة،یکفی فی وجوب الزکاة تحقّق النصاب الواحد فی المال الزکوی المشترک بین الشرکاء علی المذهب الشافعی و الحنبلی ولایکفی ذلک علی المذاهب الثلاثة الاُخری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لایمنع من الزکاة علی المذهب الجعفری و الشافعی ویمنع علی المذاهب الثلاثة الاُخری</w:t>
      </w:r>
      <w:r>
        <w:rPr>
          <w:rFonts w:eastAsia="IRNazanin" w:cs="IRNazanin"/>
          <w:color w:val="111111"/>
          <w:sz w:val="28"/>
          <w:szCs w:val="28"/>
          <w:rtl w:val="true"/>
          <w:lang w:bidi="fa-IR"/>
        </w:rPr>
        <w:t>.</w:t>
      </w:r>
      <w:bookmarkStart w:id="1467" w:name="pg5240_59432"/>
    </w:p>
    <w:p>
      <w:pPr>
        <w:pStyle w:val="Heading3"/>
        <w:numPr>
          <w:ilvl w:val="2"/>
          <w:numId w:val="1"/>
        </w:numPr>
        <w:rPr/>
      </w:pPr>
      <w:bookmarkStart w:id="1468" w:name="__RefHeading___Toc363516_581953129"/>
      <w:bookmarkStart w:id="1469" w:name="_Toc612"/>
      <w:bookmarkEnd w:id="1467"/>
      <w:bookmarkEnd w:id="1468"/>
      <w:r>
        <w:rPr>
          <w:rtl w:val="true"/>
        </w:rPr>
        <w:t>الأسئلة</w:t>
      </w:r>
      <w:bookmarkEnd w:id="1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اشتراط العقل و البلوغ بالنسبة إلی وجوب الزکاة؟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منشأ الاختلاف بالنسبة إلی زکاة الغلات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الاختلاف بالنسبة إلی نصاب المال المشترک؟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یمنع من الزکاة؟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الزکاة المستحبّة؟</w:t>
      </w:r>
      <w:bookmarkStart w:id="1470" w:name="pg5240_59433"/>
    </w:p>
    <w:p>
      <w:pPr>
        <w:pStyle w:val="Heading2"/>
        <w:numPr>
          <w:ilvl w:val="1"/>
          <w:numId w:val="1"/>
        </w:numPr>
        <w:rPr/>
      </w:pPr>
      <w:bookmarkStart w:id="1471" w:name="__RefHeading___Toc363518_581953129"/>
      <w:bookmarkStart w:id="1472" w:name="_Toc613"/>
      <w:bookmarkEnd w:id="1470"/>
      <w:bookmarkEnd w:id="1471"/>
      <w:r>
        <w:rPr/>
        <w:t>22</w:t>
      </w:r>
      <w:r>
        <w:rPr>
          <w:rtl w:val="true"/>
        </w:rPr>
        <w:t xml:space="preserve">- </w:t>
      </w:r>
      <w:r>
        <w:rPr>
          <w:rtl w:val="true"/>
        </w:rPr>
        <w:t>أصناف المستحقین</w:t>
      </w:r>
      <w:bookmarkEnd w:id="1472"/>
    </w:p>
    <w:p>
      <w:pPr>
        <w:pStyle w:val="Heading3"/>
        <w:numPr>
          <w:ilvl w:val="2"/>
          <w:numId w:val="1"/>
        </w:numPr>
        <w:rPr/>
      </w:pPr>
      <w:bookmarkStart w:id="1473" w:name="__RefHeading___Toc363520_581953129"/>
      <w:bookmarkStart w:id="1474" w:name="_Toc614"/>
      <w:bookmarkEnd w:id="1473"/>
      <w:r>
        <w:rPr>
          <w:rtl w:val="true"/>
        </w:rPr>
        <w:t>اشارة</w:t>
      </w:r>
      <w:bookmarkEnd w:id="1474"/>
    </w:p>
    <w:p>
      <w:pPr>
        <w:pStyle w:val="BookText"/>
        <w:rPr/>
      </w:pPr>
      <w:r>
        <w:rPr>
          <w:rFonts w:ascii="IRNazanin" w:hAnsi="IRNazanin" w:eastAsia="IRNazanin"/>
          <w:color w:val="111111"/>
          <w:sz w:val="28"/>
          <w:sz w:val="28"/>
          <w:szCs w:val="28"/>
          <w:rtl w:val="true"/>
          <w:lang w:bidi="fa-IR"/>
        </w:rPr>
        <w:t>اختلفت الآراء بالنسبة إلی سمات المستحقّین،بعد الاتّفاق علی کمّیتها وتفصیل الاختلاف بما یلی</w:t>
      </w:r>
      <w:r>
        <w:rPr>
          <w:rFonts w:eastAsia="IRNazanin" w:cs="IRNazanin"/>
          <w:color w:val="111111"/>
          <w:sz w:val="28"/>
          <w:szCs w:val="28"/>
          <w:rtl w:val="true"/>
          <w:lang w:bidi="fa-IR"/>
        </w:rPr>
        <w:t>:</w:t>
      </w:r>
    </w:p>
    <w:p>
      <w:pPr>
        <w:pStyle w:val="Heading3"/>
        <w:numPr>
          <w:ilvl w:val="2"/>
          <w:numId w:val="1"/>
        </w:numPr>
        <w:rPr/>
      </w:pPr>
      <w:bookmarkStart w:id="1475" w:name="__RefHeading___Toc363522_581953129"/>
      <w:bookmarkStart w:id="1476" w:name="_Toc615"/>
      <w:bookmarkEnd w:id="1475"/>
      <w:r>
        <w:rPr>
          <w:rtl w:val="true"/>
        </w:rPr>
        <w:t>مصداق الفقیر</w:t>
      </w:r>
      <w:bookmarkEnd w:id="1476"/>
    </w:p>
    <w:p>
      <w:pPr>
        <w:pStyle w:val="Heading4"/>
        <w:numPr>
          <w:ilvl w:val="3"/>
          <w:numId w:val="1"/>
        </w:numPr>
        <w:rPr/>
      </w:pPr>
      <w:bookmarkStart w:id="1477" w:name="__RefHeading___Toc363524_581953129"/>
      <w:bookmarkStart w:id="1478" w:name="_Toc616"/>
      <w:bookmarkEnd w:id="1477"/>
      <w:r>
        <w:rPr>
          <w:rtl w:val="true"/>
        </w:rPr>
        <w:t>المذهب الجعفری</w:t>
      </w:r>
      <w:bookmarkEnd w:id="1478"/>
    </w:p>
    <w:p>
      <w:pPr>
        <w:pStyle w:val="BookText"/>
        <w:rPr/>
      </w:pPr>
      <w:r>
        <w:rPr>
          <w:rFonts w:ascii="IRNazanin" w:hAnsi="IRNazanin" w:eastAsia="IRNazanin"/>
          <w:color w:val="111111"/>
          <w:sz w:val="28"/>
          <w:sz w:val="28"/>
          <w:szCs w:val="28"/>
          <w:rtl w:val="true"/>
          <w:lang w:bidi="fa-IR"/>
        </w:rPr>
        <w:t>الفقیر الشرعی من لا یملک مؤنة السنة له ولعیاله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صنعة أو کسب،یحصل منهما مقدار مؤنته </w:t>
      </w:r>
      <w:r>
        <w:rPr>
          <w:rStyle w:val="FootnoteAnchor"/>
          <w:rtl w:val="true"/>
        </w:rPr>
        <w:footnoteReference w:id="695"/>
      </w:r>
      <w:r>
        <w:rPr>
          <w:rFonts w:ascii="IRNazanin" w:hAnsi="IRNazanin" w:eastAsia="IRNazanin"/>
          <w:color w:val="111111"/>
          <w:sz w:val="28"/>
          <w:sz w:val="28"/>
          <w:szCs w:val="28"/>
          <w:rtl w:val="true"/>
          <w:lang w:bidi="fa-IR"/>
        </w:rPr>
        <w:t>وها هو الرأی علی المذهب الشافعی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من لا مال له ولا کسب من حلال</w:t>
      </w:r>
      <w:r>
        <w:rPr>
          <w:rFonts w:eastAsia="IRNazanin" w:cs="IRNazanin"/>
          <w:color w:val="111111"/>
          <w:sz w:val="28"/>
          <w:szCs w:val="28"/>
          <w:rtl w:val="true"/>
          <w:lang w:bidi="fa-IR"/>
        </w:rPr>
        <w:t xml:space="preserve">. </w:t>
      </w:r>
      <w:r>
        <w:rPr>
          <w:rStyle w:val="FootnoteAnchor"/>
          <w:rtl w:val="true"/>
        </w:rPr>
        <w:footnoteReference w:id="696"/>
      </w:r>
    </w:p>
    <w:p>
      <w:pPr>
        <w:pStyle w:val="Heading4"/>
        <w:numPr>
          <w:ilvl w:val="3"/>
          <w:numId w:val="1"/>
        </w:numPr>
        <w:rPr/>
      </w:pPr>
      <w:bookmarkStart w:id="1479" w:name="__RefHeading___Toc363526_581953129"/>
      <w:bookmarkStart w:id="1480" w:name="_Toc617"/>
      <w:bookmarkEnd w:id="1479"/>
      <w:r>
        <w:rPr>
          <w:rtl w:val="true"/>
        </w:rPr>
        <w:t>المذهب الحنبلی</w:t>
      </w:r>
      <w:r>
        <w:rPr>
          <w:rtl w:val="true"/>
        </w:rPr>
        <w:t>:</w:t>
      </w:r>
      <w:bookmarkEnd w:id="148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الفقیر من لم یجد شیئاً أو لم یجد نصف کفایته</w:t>
      </w:r>
      <w:r>
        <w:rPr>
          <w:rFonts w:eastAsia="IRNazanin" w:cs="IRNazanin"/>
          <w:color w:val="111111"/>
          <w:sz w:val="28"/>
          <w:szCs w:val="28"/>
          <w:rtl w:val="true"/>
          <w:lang w:bidi="fa-IR"/>
        </w:rPr>
        <w:t xml:space="preserve">. </w:t>
      </w:r>
      <w:r>
        <w:rPr>
          <w:rStyle w:val="FootnoteAnchor"/>
          <w:rtl w:val="true"/>
        </w:rPr>
        <w:footnoteReference w:id="697"/>
      </w:r>
      <w:bookmarkStart w:id="1481" w:name="pg5240_59434"/>
    </w:p>
    <w:p>
      <w:pPr>
        <w:pStyle w:val="Heading4"/>
        <w:numPr>
          <w:ilvl w:val="3"/>
          <w:numId w:val="1"/>
        </w:numPr>
        <w:rPr/>
      </w:pPr>
      <w:bookmarkStart w:id="1482" w:name="__RefHeading___Toc363528_581953129"/>
      <w:bookmarkStart w:id="1483" w:name="_Toc618"/>
      <w:bookmarkEnd w:id="1481"/>
      <w:bookmarkEnd w:id="1482"/>
      <w:r>
        <w:rPr>
          <w:rtl w:val="true"/>
        </w:rPr>
        <w:t>المذهب الحنفی</w:t>
      </w:r>
      <w:r>
        <w:rPr>
          <w:rtl w:val="true"/>
        </w:rPr>
        <w:t>:</w:t>
      </w:r>
      <w:bookmarkEnd w:id="1483"/>
    </w:p>
    <w:p>
      <w:pPr>
        <w:pStyle w:val="BookText"/>
        <w:rPr/>
      </w:pPr>
      <w:r>
        <w:rPr>
          <w:rFonts w:ascii="IRNazanin" w:hAnsi="IRNazanin" w:eastAsia="IRNazanin"/>
          <w:color w:val="111111"/>
          <w:sz w:val="28"/>
          <w:sz w:val="28"/>
          <w:szCs w:val="28"/>
          <w:rtl w:val="true"/>
          <w:lang w:bidi="fa-IR"/>
        </w:rPr>
        <w:t>الفقیر من لایملک حدّ النصاب،أو یملک نصاب غیرتام یستغرق حاجته</w:t>
      </w:r>
      <w:r>
        <w:rPr>
          <w:rFonts w:eastAsia="IRNazanin" w:cs="IRNazanin"/>
          <w:color w:val="111111"/>
          <w:sz w:val="28"/>
          <w:szCs w:val="28"/>
          <w:rtl w:val="true"/>
          <w:lang w:bidi="fa-IR"/>
        </w:rPr>
        <w:t xml:space="preserve">. </w:t>
      </w:r>
      <w:r>
        <w:rPr>
          <w:rStyle w:val="FootnoteAnchor"/>
          <w:rtl w:val="true"/>
        </w:rPr>
        <w:footnoteReference w:id="698"/>
      </w:r>
    </w:p>
    <w:p>
      <w:pPr>
        <w:pStyle w:val="Heading4"/>
        <w:numPr>
          <w:ilvl w:val="3"/>
          <w:numId w:val="1"/>
        </w:numPr>
        <w:rPr/>
      </w:pPr>
      <w:bookmarkStart w:id="1484" w:name="__RefHeading___Toc363530_581953129"/>
      <w:bookmarkStart w:id="1485" w:name="_Toc619"/>
      <w:bookmarkEnd w:id="1484"/>
      <w:r>
        <w:rPr>
          <w:rtl w:val="true"/>
        </w:rPr>
        <w:t>المذهب المالکی</w:t>
      </w:r>
      <w:r>
        <w:rPr>
          <w:rtl w:val="true"/>
        </w:rPr>
        <w:t>:</w:t>
      </w:r>
      <w:bookmarkEnd w:id="1485"/>
    </w:p>
    <w:p>
      <w:pPr>
        <w:pStyle w:val="BookText"/>
        <w:rPr/>
      </w:pPr>
      <w:r>
        <w:rPr>
          <w:rFonts w:ascii="IRNazanin" w:hAnsi="IRNazanin" w:eastAsia="IRNazanin"/>
          <w:color w:val="111111"/>
          <w:sz w:val="28"/>
          <w:sz w:val="28"/>
          <w:szCs w:val="28"/>
          <w:rtl w:val="true"/>
          <w:lang w:bidi="fa-IR"/>
        </w:rPr>
        <w:t>الفقیر من یملک أقل من کفایة العام ولو یملک نصاباً</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الفقر علی الأغلب یطلق علی تملک شیء قلیل من المال؛لأنّ المقصود من الفقر هوالفقر المالی وعلیه لا یصدق الفقیر علی المالک للنصاب بکلّ وضوح و الّذی یسهّل الخطب أنّه لاخلاف جوهریاً بالنسبة إلی أنّ الزکاة شرّعت لسدّ الحاجة مسکناً وملبساً ومأکلاً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ومصرفها فقیر و الّذی لایملک قوت عامه،ومسکین و هو لایملک شیئاً بالکلّیة،بشرط تحرر وعدم کفایة بقلیل أو انفاق أو صنعة وعدا بنوة‌لهاشم</w:t>
      </w:r>
      <w:r>
        <w:rPr>
          <w:rFonts w:eastAsia="IRNazanin" w:cs="IRNazanin"/>
          <w:color w:val="111111"/>
          <w:sz w:val="28"/>
          <w:szCs w:val="28"/>
          <w:rtl w:val="true"/>
          <w:lang w:bidi="fa-IR"/>
        </w:rPr>
        <w:t xml:space="preserve">. </w:t>
      </w:r>
      <w:r>
        <w:rPr>
          <w:rStyle w:val="FootnoteAnchor"/>
          <w:rtl w:val="true"/>
        </w:rPr>
        <w:footnoteReference w:id="700"/>
      </w:r>
    </w:p>
    <w:p>
      <w:pPr>
        <w:pStyle w:val="Heading3"/>
        <w:numPr>
          <w:ilvl w:val="2"/>
          <w:numId w:val="1"/>
        </w:numPr>
        <w:rPr/>
      </w:pPr>
      <w:bookmarkStart w:id="1486" w:name="__RefHeading___Toc363532_581953129"/>
      <w:bookmarkStart w:id="1487" w:name="_Toc620"/>
      <w:bookmarkEnd w:id="1486"/>
      <w:r>
        <w:rPr>
          <w:rtl w:val="true"/>
        </w:rPr>
        <w:t>الأقرب یمنع الأبعد</w:t>
      </w:r>
      <w:bookmarkEnd w:id="1487"/>
    </w:p>
    <w:p>
      <w:pPr>
        <w:pStyle w:val="BookText"/>
        <w:rPr/>
      </w:pPr>
      <w:r>
        <w:rPr>
          <w:rFonts w:ascii="IRNazanin" w:hAnsi="IRNazanin" w:eastAsia="IRNazanin"/>
          <w:color w:val="111111"/>
          <w:sz w:val="28"/>
          <w:sz w:val="28"/>
          <w:szCs w:val="28"/>
          <w:rtl w:val="true"/>
          <w:lang w:bidi="fa-IR"/>
        </w:rPr>
        <w:t>اختلفت الآراء بالنسبة إلی جواز نقل الزکاة من بلد إلی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أنّه لاخلاف مبدئیاً عند الجمیع بالنسبة إلی أنّ أهل البلد أولی وأفضل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الأقرب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غیره ذلک کلّه علی أساس قاعدة أنّ الأقرب یمنع الأبعد</w:t>
      </w:r>
      <w:r>
        <w:rPr>
          <w:rFonts w:eastAsia="IRNazanin" w:cs="IRNazanin"/>
          <w:color w:val="111111"/>
          <w:sz w:val="28"/>
          <w:szCs w:val="28"/>
          <w:rtl w:val="true"/>
          <w:lang w:bidi="fa-IR"/>
        </w:rPr>
        <w:t xml:space="preserve">. </w:t>
      </w:r>
      <w:r>
        <w:rPr>
          <w:rStyle w:val="FootnoteAnchor"/>
          <w:rtl w:val="true"/>
        </w:rPr>
        <w:footnoteReference w:id="701"/>
      </w:r>
      <w:bookmarkStart w:id="1488" w:name="pg5240_59435"/>
    </w:p>
    <w:p>
      <w:pPr>
        <w:pStyle w:val="Heading3"/>
        <w:numPr>
          <w:ilvl w:val="2"/>
          <w:numId w:val="1"/>
        </w:numPr>
        <w:rPr/>
      </w:pPr>
      <w:bookmarkStart w:id="1489" w:name="__RefHeading___Toc363534_581953129"/>
      <w:bookmarkStart w:id="1490" w:name="_Toc621"/>
      <w:bookmarkEnd w:id="1488"/>
      <w:bookmarkEnd w:id="1489"/>
      <w:r>
        <w:rPr>
          <w:rtl w:val="true"/>
        </w:rPr>
        <w:t>معنی فی سبیل الله</w:t>
      </w:r>
      <w:bookmarkEnd w:id="1490"/>
    </w:p>
    <w:p>
      <w:pPr>
        <w:pStyle w:val="Heading4"/>
        <w:numPr>
          <w:ilvl w:val="3"/>
          <w:numId w:val="1"/>
        </w:numPr>
        <w:rPr/>
      </w:pPr>
      <w:bookmarkStart w:id="1491" w:name="__RefHeading___Toc363536_581953129"/>
      <w:bookmarkStart w:id="1492" w:name="_Toc622"/>
      <w:bookmarkEnd w:id="1491"/>
      <w:r>
        <w:rPr>
          <w:rtl w:val="true"/>
        </w:rPr>
        <w:t>اشارة</w:t>
      </w:r>
      <w:bookmarkEnd w:id="1492"/>
    </w:p>
    <w:p>
      <w:pPr>
        <w:pStyle w:val="BookText"/>
        <w:rPr/>
      </w:pPr>
      <w:r>
        <w:rPr>
          <w:rFonts w:ascii="IRNazanin" w:hAnsi="IRNazanin" w:eastAsia="IRNazanin"/>
          <w:color w:val="111111"/>
          <w:sz w:val="28"/>
          <w:sz w:val="28"/>
          <w:szCs w:val="28"/>
          <w:rtl w:val="true"/>
          <w:lang w:bidi="fa-IR"/>
        </w:rPr>
        <w:t>ثمّة اختلاف بین المذهب الجعفری و المذاهب الأربعة بالنسبة إلی معنی فی سبیل الله وتفصیل الاختلاف علی ما یلی</w:t>
      </w:r>
      <w:r>
        <w:rPr>
          <w:rFonts w:eastAsia="IRNazanin" w:cs="IRNazanin"/>
          <w:color w:val="111111"/>
          <w:sz w:val="28"/>
          <w:szCs w:val="28"/>
          <w:rtl w:val="true"/>
          <w:lang w:bidi="fa-IR"/>
        </w:rPr>
        <w:t>:</w:t>
      </w:r>
    </w:p>
    <w:p>
      <w:pPr>
        <w:pStyle w:val="Heading4"/>
        <w:numPr>
          <w:ilvl w:val="3"/>
          <w:numId w:val="1"/>
        </w:numPr>
        <w:rPr/>
      </w:pPr>
      <w:bookmarkStart w:id="1493" w:name="__RefHeading___Toc363538_581953129"/>
      <w:bookmarkStart w:id="1494" w:name="_Toc623"/>
      <w:bookmarkEnd w:id="1493"/>
      <w:r>
        <w:rPr>
          <w:rtl w:val="true"/>
        </w:rPr>
        <w:t>المذاهب الاربعة</w:t>
      </w:r>
      <w:bookmarkEnd w:id="1494"/>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 له ما یحتاج إلیه من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یفی بعودته</w:t>
      </w:r>
      <w:r>
        <w:rPr>
          <w:rFonts w:eastAsia="IRNazanin" w:cs="IRNazanin"/>
          <w:color w:val="111111"/>
          <w:sz w:val="28"/>
          <w:szCs w:val="28"/>
          <w:rtl w:val="true"/>
          <w:lang w:bidi="fa-IR"/>
        </w:rPr>
        <w:t xml:space="preserve">. </w:t>
      </w:r>
      <w:r>
        <w:rPr>
          <w:rStyle w:val="FootnoteAnchor"/>
          <w:rtl w:val="true"/>
        </w:rPr>
        <w:footnoteReference w:id="702"/>
      </w:r>
    </w:p>
    <w:p>
      <w:pPr>
        <w:pStyle w:val="Heading4"/>
        <w:numPr>
          <w:ilvl w:val="3"/>
          <w:numId w:val="1"/>
        </w:numPr>
        <w:rPr/>
      </w:pPr>
      <w:bookmarkStart w:id="1495" w:name="__RefHeading___Toc363540_581953129"/>
      <w:bookmarkStart w:id="1496" w:name="_Toc624"/>
      <w:bookmarkEnd w:id="1495"/>
      <w:r>
        <w:rPr>
          <w:rtl w:val="true"/>
        </w:rPr>
        <w:t>المذهب الجعفری</w:t>
      </w:r>
      <w:bookmarkEnd w:id="1496"/>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الله هو جمیع سبل الخیر کبناءالقناطر و المدارس و المساجد وتعمیر وتخلیص المؤمنین من ید الظالمین ونحو ذلک من المصالح </w:t>
      </w:r>
      <w:r>
        <w:rPr>
          <w:rStyle w:val="FootnoteAnchor"/>
          <w:rtl w:val="true"/>
        </w:rPr>
        <w:footnoteReference w:id="703"/>
      </w:r>
      <w:r>
        <w:rPr>
          <w:rFonts w:ascii="IRNazanin" w:hAnsi="IRNazanin" w:eastAsia="IRNazanin"/>
          <w:color w:val="111111"/>
          <w:sz w:val="28"/>
          <w:sz w:val="28"/>
          <w:szCs w:val="28"/>
          <w:rtl w:val="true"/>
          <w:lang w:bidi="fa-IR"/>
        </w:rPr>
        <w:t>ذلک؛لصدق المعنی بالنسبة إلی الموارد المذکورة جمیعاً</w:t>
      </w:r>
      <w:r>
        <w:rPr>
          <w:rFonts w:eastAsia="IRNazanin" w:cs="IRNazanin"/>
          <w:color w:val="111111"/>
          <w:sz w:val="28"/>
          <w:szCs w:val="28"/>
          <w:rtl w:val="true"/>
          <w:lang w:bidi="fa-IR"/>
        </w:rPr>
        <w:t>.</w:t>
      </w:r>
    </w:p>
    <w:p>
      <w:pPr>
        <w:pStyle w:val="Heading3"/>
        <w:numPr>
          <w:ilvl w:val="2"/>
          <w:numId w:val="1"/>
        </w:numPr>
        <w:rPr/>
      </w:pPr>
      <w:bookmarkStart w:id="1497" w:name="__RefHeading___Toc363542_581953129"/>
      <w:bookmarkStart w:id="1498" w:name="_Toc625"/>
      <w:bookmarkEnd w:id="1497"/>
      <w:r>
        <w:rPr>
          <w:rtl w:val="true"/>
        </w:rPr>
        <w:t>حول إعطاء الزکاة لمستحقّ واحد</w:t>
      </w:r>
      <w:bookmarkEnd w:id="1498"/>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تعمیم الأصناف الثمانیة إن وجدوا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ووجب إعطاء ثلاثة أشخاص من کلّ صنف،و إن فقد بعض الأصناف اعطیت للموجود واختار جماعة جواز دفع الزکاة لواحد</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رأی المذهب الشافعی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المذاهب الأخری فقد اتّفقت علی جواز دفع الزکاة لمستحقّ واحد،أخذاً بإطلاق الأدلّة،ومهما یکن فلا خلاف جوهریاً بین</w:t>
      </w:r>
      <w:bookmarkStart w:id="1499" w:name="pg5240_59436"/>
    </w:p>
    <w:p>
      <w:pPr>
        <w:pStyle w:val="BookText"/>
        <w:rPr/>
      </w:pPr>
      <w:bookmarkEnd w:id="1499"/>
      <w:r>
        <w:rPr>
          <w:rFonts w:ascii="IRNazanin" w:hAnsi="IRNazanin" w:eastAsia="IRNazanin"/>
          <w:color w:val="111111"/>
          <w:sz w:val="28"/>
          <w:sz w:val="28"/>
          <w:szCs w:val="28"/>
          <w:rtl w:val="true"/>
          <w:lang w:bidi="fa-IR"/>
        </w:rPr>
        <w:t>المذاهب کلّها فی أنّ التوزیع لجمیع الأصناف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وأفضل کما 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البسط علی الأصناف مع سعتها ووجودهم بل یستحبّ مراعاة الجماعة الّتی أقلّها ثلاثة من کلّ صنف </w:t>
      </w:r>
      <w:r>
        <w:rPr>
          <w:rStyle w:val="FootnoteAnchor"/>
          <w:rtl w:val="true"/>
        </w:rPr>
        <w:footnoteReference w:id="705"/>
      </w:r>
      <w:r>
        <w:rPr>
          <w:rFonts w:ascii="Amiri" w:hAnsi="Amiri" w:eastAsia="Amiri" w:cs="Amiri"/>
          <w:color w:val="111111"/>
          <w:sz w:val="28"/>
          <w:sz w:val="28"/>
          <w:szCs w:val="28"/>
          <w:rtl w:val="true"/>
          <w:lang w:bidi="ar-SA"/>
        </w:rPr>
        <w:t>و هذا هو المتیقّن من مدلول الآیة الّتی بینت أصناف المستحقّین وهی‌قوله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w:t>
      </w:r>
      <w:r>
        <w:rPr>
          <w:rFonts w:eastAsia="Amiri" w:cs="Amiri" w:ascii="Amiri" w:hAnsi="Amiri"/>
          <w:color w:val="111111"/>
          <w:sz w:val="28"/>
          <w:szCs w:val="28"/>
          <w:rtl w:val="true"/>
          <w:lang w:bidi="ar-SA"/>
        </w:rPr>
        <w:t xml:space="preserve">... . </w:t>
      </w:r>
      <w:r>
        <w:rPr>
          <w:rStyle w:val="FootnoteAnchor"/>
          <w:rtl w:val="true"/>
        </w:rPr>
        <w:footnoteReference w:id="706"/>
      </w:r>
    </w:p>
    <w:p>
      <w:pPr>
        <w:pStyle w:val="Heading3"/>
        <w:numPr>
          <w:ilvl w:val="2"/>
          <w:numId w:val="1"/>
        </w:numPr>
        <w:rPr/>
      </w:pPr>
      <w:bookmarkStart w:id="1500" w:name="__RefHeading___Toc363544_581953129"/>
      <w:bookmarkStart w:id="1501" w:name="_Toc626"/>
      <w:bookmarkEnd w:id="1500"/>
      <w:r>
        <w:rPr>
          <w:rtl w:val="true"/>
        </w:rPr>
        <w:t>شروط زکاة الفطرة</w:t>
      </w:r>
      <w:bookmarkEnd w:id="1501"/>
    </w:p>
    <w:p>
      <w:pPr>
        <w:pStyle w:val="Heading4"/>
        <w:numPr>
          <w:ilvl w:val="3"/>
          <w:numId w:val="1"/>
        </w:numPr>
        <w:rPr/>
      </w:pPr>
      <w:bookmarkStart w:id="1502" w:name="__RefHeading___Toc363546_581953129"/>
      <w:bookmarkStart w:id="1503" w:name="_Toc627"/>
      <w:bookmarkEnd w:id="1502"/>
      <w:r>
        <w:rPr>
          <w:rtl w:val="true"/>
        </w:rPr>
        <w:t>اشارة</w:t>
      </w:r>
      <w:bookmarkEnd w:id="1503"/>
    </w:p>
    <w:p>
      <w:pPr>
        <w:pStyle w:val="BookText"/>
        <w:rPr/>
      </w:pPr>
      <w:r>
        <w:rPr>
          <w:rFonts w:ascii="IRNazanin" w:hAnsi="IRNazanin" w:eastAsia="IRNazanin"/>
          <w:color w:val="111111"/>
          <w:sz w:val="28"/>
          <w:sz w:val="28"/>
          <w:szCs w:val="28"/>
          <w:rtl w:val="true"/>
          <w:lang w:bidi="fa-IR"/>
        </w:rPr>
        <w:t>انفرد المذهب الجعفری عن المذاهب الأربعة بالنسبة إلی اشتراط البلوغ و العقل فی وجوب زکاة الفطرة،وإلیک رأی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الفطر واجبة علی کلّ حرّ مسلم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المذاهب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أخرج عبدالرزّاق بسند صحیح عن عبدبن ثعلبة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رسول الله صلی الله علیه و آله قبل یوم الفطر بیوم أو یومین،فقال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صاعاً من برّ أو قمح،أو صاعاً من تمر أو شعیر عن کلّ حرّ أو عبد صغیر أو کبیر</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واستفادوا من هذه الروایة عدم الإشتراط بالبلوغ و العقل فأفتوا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الولی إخراج الزکاة من مال الطفل و المجنون ودفعها للفقراء</w:t>
      </w:r>
      <w:r>
        <w:rPr>
          <w:rFonts w:eastAsia="IRNazanin" w:cs="IRNazanin"/>
          <w:color w:val="111111"/>
          <w:sz w:val="28"/>
          <w:szCs w:val="28"/>
          <w:rtl w:val="true"/>
          <w:lang w:bidi="fa-IR"/>
        </w:rPr>
        <w:t>.</w:t>
      </w:r>
    </w:p>
    <w:p>
      <w:pPr>
        <w:pStyle w:val="Heading4"/>
        <w:numPr>
          <w:ilvl w:val="3"/>
          <w:numId w:val="1"/>
        </w:numPr>
        <w:rPr/>
      </w:pPr>
      <w:bookmarkStart w:id="1504" w:name="__RefHeading___Toc363548_581953129"/>
      <w:bookmarkStart w:id="1505" w:name="_Toc628"/>
      <w:bookmarkEnd w:id="1504"/>
      <w:r>
        <w:rPr>
          <w:rtl w:val="true"/>
        </w:rPr>
        <w:t>المذهب الجعفری</w:t>
      </w:r>
      <w:bookmarkEnd w:id="150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الأوّل التکلیف فلا تجب علی الصبی و المجنون ولا علی ولیهما أن یؤدّی عنهما من مالهما</w:t>
      </w:r>
      <w:r>
        <w:rPr>
          <w:rFonts w:eastAsia="IRNazanin" w:cs="IRNazanin"/>
          <w:color w:val="111111"/>
          <w:sz w:val="28"/>
          <w:szCs w:val="28"/>
          <w:rtl w:val="true"/>
          <w:lang w:bidi="fa-IR"/>
        </w:rPr>
        <w:t xml:space="preserve">. </w:t>
      </w:r>
      <w:r>
        <w:rPr>
          <w:rStyle w:val="FootnoteAnchor"/>
          <w:rtl w:val="true"/>
        </w:rPr>
        <w:footnoteReference w:id="708"/>
      </w:r>
      <w:r>
        <w:rPr>
          <w:rFonts w:ascii="Amiri" w:hAnsi="Amiri" w:eastAsia="Amiri" w:cs="Amiri"/>
          <w:color w:val="111111"/>
          <w:sz w:val="28"/>
          <w:sz w:val="28"/>
          <w:szCs w:val="28"/>
          <w:rtl w:val="true"/>
          <w:lang w:bidi="ar-SA"/>
        </w:rPr>
        <w:t>ذلک؛للنصّ</w:t>
      </w:r>
      <w:bookmarkStart w:id="1506" w:name="pg5240_59437"/>
    </w:p>
    <w:p>
      <w:pPr>
        <w:pStyle w:val="BookText"/>
        <w:rPr/>
      </w:pPr>
      <w:bookmarkEnd w:id="1506"/>
      <w:r>
        <w:rPr>
          <w:rFonts w:ascii="IRNazanin" w:hAnsi="IRNazanin" w:eastAsia="IRNazanin"/>
          <w:color w:val="111111"/>
          <w:sz w:val="28"/>
          <w:sz w:val="28"/>
          <w:szCs w:val="28"/>
          <w:rtl w:val="true"/>
          <w:lang w:bidi="fa-IR"/>
        </w:rPr>
        <w:t>الوارد عن الطریقین المسمّی بحدیث الرفع و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حتّی یحتلم وعن المجنون حتّی یفیق وعن النائم حتّی یستیقظ</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دلّت علی رفع المسؤولیة عن الطفل و المجنون</w:t>
      </w:r>
      <w:r>
        <w:rPr>
          <w:rFonts w:eastAsia="IRNazanin" w:cs="IRNazanin"/>
          <w:color w:val="111111"/>
          <w:sz w:val="28"/>
          <w:szCs w:val="28"/>
          <w:rtl w:val="true"/>
          <w:lang w:bidi="fa-IR"/>
        </w:rPr>
        <w:t>.</w:t>
      </w:r>
    </w:p>
    <w:p>
      <w:pPr>
        <w:pStyle w:val="Heading4"/>
        <w:numPr>
          <w:ilvl w:val="3"/>
          <w:numId w:val="1"/>
        </w:numPr>
        <w:rPr/>
      </w:pPr>
      <w:bookmarkStart w:id="1507" w:name="__RefHeading___Toc363550_581953129"/>
      <w:bookmarkStart w:id="1508" w:name="_Toc629"/>
      <w:bookmarkEnd w:id="1507"/>
      <w:r>
        <w:rPr>
          <w:rtl w:val="true"/>
        </w:rPr>
        <w:t>منشأ الاختلاف</w:t>
      </w:r>
      <w:bookmarkEnd w:id="1508"/>
    </w:p>
    <w:p>
      <w:pPr>
        <w:pStyle w:val="BookText"/>
        <w:rPr/>
      </w:pPr>
      <w:r>
        <w:rPr>
          <w:rFonts w:ascii="IRNazanin" w:hAnsi="IRNazanin" w:eastAsia="IRNazanin"/>
          <w:color w:val="111111"/>
          <w:sz w:val="28"/>
          <w:sz w:val="28"/>
          <w:szCs w:val="28"/>
          <w:rtl w:val="true"/>
          <w:lang w:bidi="fa-IR"/>
        </w:rPr>
        <w:t>واضح أنّ الاختلاف ناشئ عن الاختلاف فی النصوص وبما أنّ حدیث الرفع متّفق علیه عند الفریقین فالعمل بمقتضاه أوثق</w:t>
      </w:r>
      <w:r>
        <w:rPr>
          <w:rFonts w:eastAsia="IRNazanin" w:cs="IRNazanin"/>
          <w:color w:val="111111"/>
          <w:sz w:val="28"/>
          <w:szCs w:val="28"/>
          <w:rtl w:val="true"/>
          <w:lang w:bidi="fa-IR"/>
        </w:rPr>
        <w:t>.</w:t>
      </w:r>
    </w:p>
    <w:p>
      <w:pPr>
        <w:pStyle w:val="Heading3"/>
        <w:numPr>
          <w:ilvl w:val="2"/>
          <w:numId w:val="1"/>
        </w:numPr>
        <w:rPr/>
      </w:pPr>
      <w:bookmarkStart w:id="1509" w:name="__RefHeading___Toc363552_581953129"/>
      <w:bookmarkStart w:id="1510" w:name="_Toc630"/>
      <w:bookmarkEnd w:id="1509"/>
      <w:r>
        <w:rPr>
          <w:rtl w:val="true"/>
        </w:rPr>
        <w:t>نطاق وجوب الفطرة</w:t>
      </w:r>
      <w:bookmarkEnd w:id="1510"/>
    </w:p>
    <w:p>
      <w:pPr>
        <w:pStyle w:val="Heading4"/>
        <w:numPr>
          <w:ilvl w:val="3"/>
          <w:numId w:val="1"/>
        </w:numPr>
        <w:rPr/>
      </w:pPr>
      <w:bookmarkStart w:id="1511" w:name="__RefHeading___Toc363554_581953129"/>
      <w:bookmarkStart w:id="1512" w:name="_Toc631"/>
      <w:bookmarkEnd w:id="1511"/>
      <w:r>
        <w:rPr>
          <w:rtl w:val="true"/>
        </w:rPr>
        <w:t>اشارة</w:t>
      </w:r>
      <w:bookmarkEnd w:id="1512"/>
    </w:p>
    <w:p>
      <w:pPr>
        <w:pStyle w:val="BookText"/>
        <w:rPr/>
      </w:pPr>
      <w:r>
        <w:rPr>
          <w:rFonts w:ascii="IRNazanin" w:hAnsi="IRNazanin" w:eastAsia="IRNazanin"/>
          <w:color w:val="111111"/>
          <w:sz w:val="28"/>
          <w:sz w:val="28"/>
          <w:szCs w:val="28"/>
          <w:rtl w:val="true"/>
          <w:lang w:bidi="fa-IR"/>
        </w:rPr>
        <w:t>اختلفت الآراء بالنسبة إلی نطاق العائلة الّتی تجب فطرتها علی من یعولها،وتفصیل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513" w:name="__RefHeading___Toc363556_581953129"/>
      <w:bookmarkStart w:id="1514" w:name="_Toc632"/>
      <w:bookmarkEnd w:id="1513"/>
      <w:r>
        <w:rPr>
          <w:rtl w:val="true"/>
        </w:rPr>
        <w:t>المذهب الجعفری</w:t>
      </w:r>
      <w:bookmarkEnd w:id="1514"/>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إخراجها عن نفسه وعن کلّ من یعوله حین دخول لیلة الفطر من غیر فرق بین واجب النفقة وغیره و الصغیر و الکبیر و الأرحام وغیرهم وعن الضیف بشرط صدق کونه عیالاً له</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ذلک؛لما روی عن الإمام الصادق علیه السلام أنّه قال لو 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فاعط من عیالنا الفطرة أجمعهم ولا تدع منهم أحداً</w:t>
      </w:r>
      <w:r>
        <w:rPr>
          <w:rFonts w:eastAsia="IRNazanin" w:cs="IRNazanin"/>
          <w:color w:val="111111"/>
          <w:sz w:val="28"/>
          <w:szCs w:val="28"/>
          <w:rtl w:val="true"/>
          <w:lang w:bidi="fa-IR"/>
        </w:rPr>
        <w:t xml:space="preserve">». </w:t>
      </w:r>
      <w:r>
        <w:rPr>
          <w:rStyle w:val="FootnoteAnchor"/>
          <w:rtl w:val="true"/>
        </w:rPr>
        <w:footnoteReference w:id="711"/>
      </w:r>
    </w:p>
    <w:p>
      <w:pPr>
        <w:pStyle w:val="Heading4"/>
        <w:numPr>
          <w:ilvl w:val="3"/>
          <w:numId w:val="1"/>
        </w:numPr>
        <w:rPr/>
      </w:pPr>
      <w:bookmarkStart w:id="1515" w:name="__RefHeading___Toc363558_581953129"/>
      <w:bookmarkStart w:id="1516" w:name="_Toc633"/>
      <w:bookmarkEnd w:id="1515"/>
      <w:r>
        <w:rPr>
          <w:rtl w:val="true"/>
        </w:rPr>
        <w:t>المذاهب الاربعة</w:t>
      </w:r>
      <w:bookmarkEnd w:id="151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وعمّن تلزمه نفقته</w:t>
      </w:r>
      <w:r>
        <w:rPr>
          <w:rFonts w:eastAsia="IRNazanin" w:cs="IRNazanin"/>
          <w:color w:val="111111"/>
          <w:sz w:val="28"/>
          <w:szCs w:val="28"/>
          <w:rtl w:val="true"/>
          <w:lang w:bidi="fa-IR"/>
        </w:rPr>
        <w:t xml:space="preserve">. </w:t>
      </w:r>
      <w:r>
        <w:rPr>
          <w:rStyle w:val="FootnoteAnchor"/>
          <w:rtl w:val="true"/>
        </w:rPr>
        <w:footnoteReference w:id="712"/>
      </w:r>
      <w:bookmarkStart w:id="1517" w:name="pg5240_59438"/>
    </w:p>
    <w:p>
      <w:pPr>
        <w:pStyle w:val="BookText"/>
        <w:rPr/>
      </w:pPr>
      <w:bookmarkEnd w:id="1517"/>
      <w:r>
        <w:rPr>
          <w:rFonts w:ascii="IRNazanin" w:hAnsi="IRNazanin" w:eastAsia="IRNazanin"/>
          <w:color w:val="111111"/>
          <w:sz w:val="28"/>
          <w:sz w:val="28"/>
          <w:szCs w:val="28"/>
          <w:rtl w:val="true"/>
          <w:lang w:bidi="fa-IR"/>
        </w:rPr>
        <w:t>و هو نفس الرأی علی المذاهب الأربعة کلّها مع اختلاف یسیر بالنسبة إلی تطابق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واجب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الأولاد الکبار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وضیقاً والاختلاف هنا بسبب الاختلاف فی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فمحط الزکاة علی الفقه الشیعی،العائلة وعلی الفقه السنّی واجب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یسهّل الخطب أنّ مفهوم واجب النفقة و العائلة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دلیله الشرعی ومصداقه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لا خفاء فیه إلاّ فی موارد قلیلة جدّاً</w:t>
      </w:r>
      <w:r>
        <w:rPr>
          <w:rFonts w:eastAsia="IRNazanin" w:cs="IRNazanin"/>
          <w:color w:val="111111"/>
          <w:sz w:val="28"/>
          <w:szCs w:val="28"/>
          <w:rtl w:val="true"/>
          <w:lang w:bidi="fa-IR"/>
        </w:rPr>
        <w:t>.</w:t>
      </w:r>
    </w:p>
    <w:p>
      <w:pPr>
        <w:pStyle w:val="Heading4"/>
        <w:numPr>
          <w:ilvl w:val="3"/>
          <w:numId w:val="1"/>
        </w:numPr>
        <w:rPr/>
      </w:pPr>
      <w:bookmarkStart w:id="1518" w:name="__RefHeading___Toc363560_581953129"/>
      <w:bookmarkStart w:id="1519" w:name="_Toc634"/>
      <w:bookmarkEnd w:id="1518"/>
      <w:r>
        <w:rPr>
          <w:rtl w:val="true"/>
        </w:rPr>
        <w:t>منشأ الاختلاف</w:t>
      </w:r>
      <w:bookmarkEnd w:id="1519"/>
    </w:p>
    <w:p>
      <w:pPr>
        <w:pStyle w:val="BookText"/>
        <w:rPr/>
      </w:pPr>
      <w:r>
        <w:rPr>
          <w:rFonts w:ascii="IRNazanin" w:hAnsi="IRNazanin" w:eastAsia="IRNazanin"/>
          <w:color w:val="111111"/>
          <w:sz w:val="28"/>
          <w:sz w:val="28"/>
          <w:szCs w:val="28"/>
          <w:rtl w:val="true"/>
          <w:lang w:bidi="fa-IR"/>
        </w:rPr>
        <w:t>إنّ الاختلاف ناشئ عن الاختلاف فی النص والاجتهاد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ومهمایکن‌لاخلاف جوهریاً یلعب دوراً سلبیاً بین المذاهب ومن المعلوم أنّ الأوسع نطاقاً هو الأوثق عماداً،عملاً بالنص الصریح عن طریقة آل‌البیت علیهم السلام و هو الأحوط من ناحیة عملیة</w:t>
      </w:r>
      <w:r>
        <w:rPr>
          <w:rFonts w:eastAsia="IRNazanin" w:cs="IRNazanin"/>
          <w:color w:val="111111"/>
          <w:sz w:val="28"/>
          <w:szCs w:val="28"/>
          <w:rtl w:val="true"/>
          <w:lang w:bidi="fa-IR"/>
        </w:rPr>
        <w:t>.</w:t>
      </w:r>
    </w:p>
    <w:p>
      <w:pPr>
        <w:pStyle w:val="Heading3"/>
        <w:numPr>
          <w:ilvl w:val="2"/>
          <w:numId w:val="1"/>
        </w:numPr>
        <w:rPr/>
      </w:pPr>
      <w:bookmarkStart w:id="1520" w:name="__RefHeading___Toc363562_581953129"/>
      <w:bookmarkStart w:id="1521" w:name="_Toc635"/>
      <w:bookmarkEnd w:id="1520"/>
      <w:r>
        <w:rPr>
          <w:rtl w:val="true"/>
        </w:rPr>
        <w:t>وقت الوجوب</w:t>
      </w:r>
      <w:bookmarkEnd w:id="1521"/>
    </w:p>
    <w:p>
      <w:pPr>
        <w:pStyle w:val="Heading4"/>
        <w:numPr>
          <w:ilvl w:val="3"/>
          <w:numId w:val="1"/>
        </w:numPr>
        <w:rPr/>
      </w:pPr>
      <w:bookmarkStart w:id="1522" w:name="__RefHeading___Toc363564_581953129"/>
      <w:bookmarkStart w:id="1523" w:name="_Toc636"/>
      <w:bookmarkEnd w:id="1522"/>
      <w:r>
        <w:rPr>
          <w:rtl w:val="true"/>
        </w:rPr>
        <w:t>اشارة</w:t>
      </w:r>
      <w:bookmarkEnd w:id="1523"/>
    </w:p>
    <w:p>
      <w:pPr>
        <w:pStyle w:val="BookText"/>
        <w:rPr/>
      </w:pPr>
      <w:r>
        <w:rPr>
          <w:rFonts w:ascii="IRNazanin" w:hAnsi="IRNazanin" w:eastAsia="IRNazanin"/>
          <w:color w:val="111111"/>
          <w:sz w:val="28"/>
          <w:sz w:val="28"/>
          <w:szCs w:val="28"/>
          <w:rtl w:val="true"/>
          <w:lang w:bidi="fa-IR"/>
        </w:rPr>
        <w:t>اختلفت الآراء بالنسبة إلی زمان وجوب الفطرة وتحقّقها،وتفصیل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524" w:name="__RefHeading___Toc363566_581953129"/>
      <w:bookmarkStart w:id="1525" w:name="_Toc637"/>
      <w:bookmarkEnd w:id="1524"/>
      <w:r>
        <w:rPr>
          <w:rtl w:val="true"/>
        </w:rPr>
        <w:t>المذهب الجعفری</w:t>
      </w:r>
      <w:bookmarkEnd w:id="1525"/>
    </w:p>
    <w:p>
      <w:pPr>
        <w:pStyle w:val="BookText"/>
        <w:rPr/>
      </w:pPr>
      <w:r>
        <w:rPr>
          <w:rFonts w:ascii="IRNazanin" w:hAnsi="IRNazanin" w:eastAsia="IRNazanin"/>
          <w:color w:val="111111"/>
          <w:sz w:val="28"/>
          <w:sz w:val="28"/>
          <w:szCs w:val="28"/>
          <w:rtl w:val="true"/>
          <w:lang w:bidi="fa-IR"/>
        </w:rPr>
        <w:t>یتحقّق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دخول لیلة الفطر </w:t>
      </w:r>
      <w:r>
        <w:rPr>
          <w:rStyle w:val="FootnoteAnchor"/>
          <w:rtl w:val="true"/>
        </w:rPr>
        <w:footnoteReference w:id="713"/>
      </w:r>
      <w:r>
        <w:rPr>
          <w:rFonts w:ascii="IRNazanin" w:hAnsi="IRNazanin" w:eastAsia="IRNazanin"/>
          <w:color w:val="111111"/>
          <w:sz w:val="28"/>
          <w:sz w:val="28"/>
          <w:szCs w:val="28"/>
          <w:rtl w:val="true"/>
          <w:lang w:bidi="fa-IR"/>
        </w:rPr>
        <w:t>هو نفس الرأی علی‌المذهب الحنبلی و الشافعی و المالکی مع اختلاف فی التعبیر</w:t>
      </w:r>
      <w:r>
        <w:rPr>
          <w:rFonts w:eastAsia="IRNazanin" w:cs="IRNazanin"/>
          <w:color w:val="111111"/>
          <w:sz w:val="28"/>
          <w:szCs w:val="28"/>
          <w:rtl w:val="true"/>
          <w:lang w:bidi="fa-IR"/>
        </w:rPr>
        <w:t>.</w:t>
      </w:r>
    </w:p>
    <w:p>
      <w:pPr>
        <w:pStyle w:val="Heading4"/>
        <w:numPr>
          <w:ilvl w:val="3"/>
          <w:numId w:val="1"/>
        </w:numPr>
        <w:rPr/>
      </w:pPr>
      <w:bookmarkStart w:id="1526" w:name="__RefHeading___Toc363568_581953129"/>
      <w:bookmarkStart w:id="1527" w:name="_Toc638"/>
      <w:bookmarkEnd w:id="1526"/>
      <w:r>
        <w:rPr>
          <w:rtl w:val="true"/>
        </w:rPr>
        <w:t>المذهب الحنفی</w:t>
      </w:r>
      <w:bookmarkEnd w:id="152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 من طلوع فجر عید الفطر،ویصحّ أداؤها مقدّماً ومؤخّراً،کسائر الواجبات الموسّعة،إلاّ أنّها تستحبّ قبل الخروج إلی</w:t>
      </w:r>
      <w:bookmarkStart w:id="1528" w:name="pg5240_59439"/>
    </w:p>
    <w:p>
      <w:pPr>
        <w:pStyle w:val="BookText"/>
        <w:rPr/>
      </w:pPr>
      <w:bookmarkEnd w:id="1528"/>
      <w:r>
        <w:rPr>
          <w:rFonts w:ascii="Amiri" w:hAnsi="Amiri" w:eastAsia="Amiri" w:cs="Amiri"/>
          <w:color w:val="111111"/>
          <w:sz w:val="28"/>
          <w:sz w:val="28"/>
          <w:szCs w:val="28"/>
          <w:rtl w:val="true"/>
          <w:lang w:bidi="ar-SA"/>
        </w:rPr>
        <w:t>المصلّی</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فلا خلاف بین المذاهب کلّها بالنسبة إلی وقت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عن الحنفی و هو الرأی المنبثق من الاجتهاد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زکاة الفطرة بأوّل لیلة العید فی الأظهر؛لأنّها مضافة إلی الفطر من رمضان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بطلوع الفجر یوم العید؛لأنّها قربة متعلقة بالعید فلا یتقدّم وقتها علیه کالأضحیة</w:t>
      </w:r>
      <w:r>
        <w:rPr>
          <w:rFonts w:eastAsia="IRNazanin" w:cs="IRNazanin"/>
          <w:color w:val="111111"/>
          <w:sz w:val="28"/>
          <w:szCs w:val="28"/>
          <w:rtl w:val="true"/>
          <w:lang w:bidi="fa-IR"/>
        </w:rPr>
        <w:t xml:space="preserve">. </w:t>
      </w:r>
      <w:r>
        <w:rPr>
          <w:rStyle w:val="FootnoteAnchor"/>
          <w:rtl w:val="true"/>
        </w:rPr>
        <w:footnoteReference w:id="715"/>
      </w:r>
    </w:p>
    <w:p>
      <w:pPr>
        <w:pStyle w:val="Heading3"/>
        <w:numPr>
          <w:ilvl w:val="2"/>
          <w:numId w:val="1"/>
        </w:numPr>
        <w:rPr/>
      </w:pPr>
      <w:bookmarkStart w:id="1529" w:name="__RefHeading___Toc363570_581953129"/>
      <w:bookmarkStart w:id="1530" w:name="_Toc639"/>
      <w:bookmarkEnd w:id="1529"/>
      <w:r>
        <w:rPr>
          <w:rtl w:val="true"/>
        </w:rPr>
        <w:t>وقت الأداء</w:t>
      </w:r>
      <w:bookmarkEnd w:id="1530"/>
    </w:p>
    <w:p>
      <w:pPr>
        <w:pStyle w:val="Heading4"/>
        <w:numPr>
          <w:ilvl w:val="3"/>
          <w:numId w:val="1"/>
        </w:numPr>
        <w:rPr/>
      </w:pPr>
      <w:bookmarkStart w:id="1531" w:name="__RefHeading___Toc363572_581953129"/>
      <w:bookmarkStart w:id="1532" w:name="_Toc640"/>
      <w:bookmarkEnd w:id="1531"/>
      <w:r>
        <w:rPr>
          <w:rtl w:val="true"/>
        </w:rPr>
        <w:t>اشارة</w:t>
      </w:r>
      <w:bookmarkEnd w:id="1532"/>
    </w:p>
    <w:p>
      <w:pPr>
        <w:pStyle w:val="BookText"/>
        <w:rPr/>
      </w:pPr>
      <w:r>
        <w:rPr>
          <w:rFonts w:ascii="IRNazanin" w:hAnsi="IRNazanin" w:eastAsia="IRNazanin"/>
          <w:color w:val="111111"/>
          <w:sz w:val="28"/>
          <w:sz w:val="28"/>
          <w:szCs w:val="28"/>
          <w:rtl w:val="true"/>
          <w:lang w:bidi="fa-IR"/>
        </w:rPr>
        <w:t>اختلفت الآراء بالنسبة إلی وقت الأداء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533" w:name="__RefHeading___Toc363574_581953129"/>
      <w:bookmarkStart w:id="1534" w:name="_Toc641"/>
      <w:bookmarkEnd w:id="1533"/>
      <w:r>
        <w:rPr>
          <w:rtl w:val="true"/>
        </w:rPr>
        <w:t>المذهب الجعفری</w:t>
      </w:r>
      <w:bookmarkEnd w:id="1534"/>
    </w:p>
    <w:p>
      <w:pPr>
        <w:pStyle w:val="BookText"/>
        <w:rPr/>
      </w:pPr>
      <w:r>
        <w:rPr>
          <w:rFonts w:ascii="IRNazanin" w:hAnsi="IRNazanin" w:eastAsia="IRNazanin"/>
          <w:color w:val="111111"/>
          <w:sz w:val="28"/>
          <w:sz w:val="28"/>
          <w:szCs w:val="28"/>
          <w:rtl w:val="true"/>
          <w:lang w:bidi="fa-IR"/>
        </w:rPr>
        <w:t>قال السید 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لیلة العید ویستمرّ إلی الزوال لمن لم یصلّ صلاة العید و الأحوط عدم تأخیرها عن الصلاة إذا صلّاها فیقدّمها علیها،و إن صلّی فی أوَّل وقتها،و إن خرج وقتها ولم یخرجها،فإن کان قد عزلها دفعها إلی المستحقّ بعنوان الزکاة،و إن لم یعزلها فالأحوط الأقوی عدم سقوطها بل یؤدّیها بقصد القربة من غیر تعرّض للأداء و القضاء</w:t>
      </w:r>
      <w:r>
        <w:rPr>
          <w:rFonts w:eastAsia="IRNazanin" w:cs="IRNazanin"/>
          <w:color w:val="111111"/>
          <w:sz w:val="28"/>
          <w:szCs w:val="28"/>
          <w:rtl w:val="true"/>
          <w:lang w:bidi="fa-IR"/>
        </w:rPr>
        <w:t xml:space="preserve">. </w:t>
      </w:r>
      <w:r>
        <w:rPr>
          <w:rStyle w:val="FootnoteAnchor"/>
          <w:rtl w:val="true"/>
        </w:rPr>
        <w:footnoteReference w:id="716"/>
      </w:r>
    </w:p>
    <w:p>
      <w:pPr>
        <w:pStyle w:val="Heading4"/>
        <w:numPr>
          <w:ilvl w:val="3"/>
          <w:numId w:val="1"/>
        </w:numPr>
        <w:rPr/>
      </w:pPr>
      <w:bookmarkStart w:id="1535" w:name="__RefHeading___Toc363576_581953129"/>
      <w:bookmarkStart w:id="1536" w:name="_Toc642"/>
      <w:bookmarkEnd w:id="1535"/>
      <w:r>
        <w:rPr>
          <w:rtl w:val="true"/>
        </w:rPr>
        <w:t>المذهب الحنبلی</w:t>
      </w:r>
      <w:bookmarkEnd w:id="153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الأفضل إخراجها فی یوم العید قبل الصلاة ویکره إخراجها بعدها،ویحرم تأخیرها عن یوم العید إذا کان قادراً،ویجب قضاؤها،وتجزئ قبل العید بیومین ولا تجزئ قبلهما</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ذلک؛لما مرّ بنا أنّ النبی صلی الله علیه و آله أعلن وجوب الفطرة قبل یومین من العید</w:t>
      </w:r>
      <w:r>
        <w:rPr>
          <w:rFonts w:eastAsia="IRNazanin" w:cs="IRNazanin"/>
          <w:color w:val="111111"/>
          <w:sz w:val="28"/>
          <w:szCs w:val="28"/>
          <w:rtl w:val="true"/>
          <w:lang w:bidi="fa-IR"/>
        </w:rPr>
        <w:t>.</w:t>
      </w:r>
      <w:bookmarkStart w:id="1537" w:name="pg5240_59440"/>
    </w:p>
    <w:p>
      <w:pPr>
        <w:pStyle w:val="Heading4"/>
        <w:numPr>
          <w:ilvl w:val="3"/>
          <w:numId w:val="1"/>
        </w:numPr>
        <w:rPr/>
      </w:pPr>
      <w:bookmarkStart w:id="1538" w:name="__RefHeading___Toc363578_581953129"/>
      <w:bookmarkStart w:id="1539" w:name="_Toc643"/>
      <w:bookmarkEnd w:id="1537"/>
      <w:bookmarkEnd w:id="1538"/>
      <w:r>
        <w:rPr>
          <w:rtl w:val="true"/>
        </w:rPr>
        <w:t>المذهب الحنفی</w:t>
      </w:r>
      <w:bookmarkEnd w:id="1539"/>
    </w:p>
    <w:p>
      <w:pPr>
        <w:pStyle w:val="BookText"/>
        <w:rPr/>
      </w:pPr>
      <w:r>
        <w:rPr>
          <w:rFonts w:ascii="IRNazanin" w:hAnsi="IRNazanin" w:eastAsia="IRNazanin"/>
          <w:color w:val="111111"/>
          <w:sz w:val="28"/>
          <w:sz w:val="28"/>
          <w:szCs w:val="28"/>
          <w:rtl w:val="true"/>
          <w:lang w:bidi="fa-IR"/>
        </w:rPr>
        <w:t>لو أخرجها فی أی وقت شاء کان مؤدّیاً لا قاضیاً</w:t>
      </w:r>
      <w:r>
        <w:rPr>
          <w:rFonts w:eastAsia="IRNazanin" w:cs="IRNazanin"/>
          <w:color w:val="111111"/>
          <w:sz w:val="28"/>
          <w:szCs w:val="28"/>
          <w:rtl w:val="true"/>
          <w:lang w:bidi="fa-IR"/>
        </w:rPr>
        <w:t xml:space="preserve">. </w:t>
      </w:r>
      <w:r>
        <w:rPr>
          <w:rStyle w:val="FootnoteAnchor"/>
          <w:rtl w:val="true"/>
        </w:rPr>
        <w:footnoteReference w:id="718"/>
      </w:r>
    </w:p>
    <w:p>
      <w:pPr>
        <w:pStyle w:val="Heading4"/>
        <w:numPr>
          <w:ilvl w:val="3"/>
          <w:numId w:val="1"/>
        </w:numPr>
        <w:rPr/>
      </w:pPr>
      <w:bookmarkStart w:id="1540" w:name="__RefHeading___Toc363580_581953129"/>
      <w:bookmarkStart w:id="1541" w:name="_Toc644"/>
      <w:bookmarkEnd w:id="1540"/>
      <w:r>
        <w:rPr>
          <w:rtl w:val="true"/>
        </w:rPr>
        <w:t>المذهب الشافعی</w:t>
      </w:r>
      <w:bookmarkEnd w:id="1541"/>
    </w:p>
    <w:p>
      <w:pPr>
        <w:pStyle w:val="BookText"/>
        <w:rPr/>
      </w:pPr>
      <w:r>
        <w:rPr>
          <w:rFonts w:ascii="IRNazanin" w:hAnsi="IRNazanin" w:eastAsia="IRNazanin"/>
          <w:color w:val="111111"/>
          <w:sz w:val="28"/>
          <w:sz w:val="28"/>
          <w:szCs w:val="28"/>
          <w:rtl w:val="true"/>
          <w:lang w:bidi="fa-IR"/>
        </w:rPr>
        <w:t>یسنّ إخراجها أوّل یوم من أیام عید الفطر بعد صلاة الفجر وقبل صلاة العید،ویکره إخراجها بعد صلاة العید ویجب إخراجها بعد غروب الیوم الأوّل إلاّ لعذر ویجوز إخراجها من أوّل شهر رمضان فی أی یوم شاء</w:t>
      </w:r>
      <w:r>
        <w:rPr>
          <w:rFonts w:eastAsia="IRNazanin" w:cs="IRNazanin"/>
          <w:color w:val="111111"/>
          <w:sz w:val="28"/>
          <w:szCs w:val="28"/>
          <w:rtl w:val="true"/>
          <w:lang w:bidi="fa-IR"/>
        </w:rPr>
        <w:t xml:space="preserve">. </w:t>
      </w:r>
      <w:r>
        <w:rPr>
          <w:rStyle w:val="FootnoteAnchor"/>
          <w:rtl w:val="true"/>
        </w:rPr>
        <w:footnoteReference w:id="719"/>
      </w:r>
    </w:p>
    <w:p>
      <w:pPr>
        <w:pStyle w:val="Heading4"/>
        <w:numPr>
          <w:ilvl w:val="3"/>
          <w:numId w:val="1"/>
        </w:numPr>
        <w:rPr/>
      </w:pPr>
      <w:bookmarkStart w:id="1542" w:name="__RefHeading___Toc363582_581953129"/>
      <w:bookmarkStart w:id="1543" w:name="_Toc645"/>
      <w:bookmarkEnd w:id="1542"/>
      <w:r>
        <w:rPr>
          <w:rtl w:val="true"/>
        </w:rPr>
        <w:t>المذهب المالکی</w:t>
      </w:r>
      <w:bookmarkEnd w:id="1543"/>
    </w:p>
    <w:p>
      <w:pPr>
        <w:pStyle w:val="BookText"/>
        <w:rPr/>
      </w:pPr>
      <w:r>
        <w:rPr>
          <w:rFonts w:ascii="IRNazanin" w:hAnsi="IRNazanin" w:eastAsia="IRNazanin"/>
          <w:color w:val="111111"/>
          <w:sz w:val="28"/>
          <w:sz w:val="28"/>
          <w:szCs w:val="28"/>
          <w:rtl w:val="true"/>
          <w:lang w:bidi="fa-IR"/>
        </w:rPr>
        <w:t>یندب إخراجها بعد فجر یوم العید وقبل الذهاب لصلاة العید،ویجوز إخراجها قبل یوم العید بیوم أو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أکثر من یومین</w:t>
      </w:r>
      <w:r>
        <w:rPr>
          <w:rFonts w:eastAsia="IRNazanin" w:cs="IRNazanin"/>
          <w:color w:val="111111"/>
          <w:sz w:val="28"/>
          <w:szCs w:val="28"/>
          <w:rtl w:val="true"/>
          <w:lang w:bidi="fa-IR"/>
        </w:rPr>
        <w:t xml:space="preserve">. </w:t>
      </w:r>
      <w:r>
        <w:rPr>
          <w:rStyle w:val="FootnoteAnchor"/>
          <w:rtl w:val="true"/>
        </w:rPr>
        <w:footnoteReference w:id="720"/>
      </w:r>
    </w:p>
    <w:p>
      <w:pPr>
        <w:pStyle w:val="Heading4"/>
        <w:numPr>
          <w:ilvl w:val="3"/>
          <w:numId w:val="1"/>
        </w:numPr>
        <w:rPr/>
      </w:pPr>
      <w:bookmarkStart w:id="1544" w:name="__RefHeading___Toc363584_581953129"/>
      <w:bookmarkStart w:id="1545" w:name="_Toc646"/>
      <w:bookmarkEnd w:id="1544"/>
      <w:r>
        <w:rPr>
          <w:rtl w:val="true"/>
        </w:rPr>
        <w:t>منشأ الاختلاف</w:t>
      </w:r>
      <w:bookmarkEnd w:id="154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ممّا تقدّم أنّ الاختلاف یسیر جدّاً وناشئ عن الاجتهاد الفقهی و الّذی یسهّل الخطب أنّ الأولی عند الجمیع هو دفع الزکاة قبل صلاة العید و هو الأوثق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والأوفق بالقواعد الفقهیة،والأصحّ المتسالم علیه عند المذاهب أجمع،وبالأخذ بهذا الرأی یتحقّق التسالم بین المذاهب</w:t>
      </w:r>
      <w:r>
        <w:rPr>
          <w:rFonts w:eastAsia="IRNazanin" w:cs="IRNazanin"/>
          <w:color w:val="111111"/>
          <w:sz w:val="28"/>
          <w:szCs w:val="28"/>
          <w:rtl w:val="true"/>
          <w:lang w:bidi="fa-IR"/>
        </w:rPr>
        <w:t>.</w:t>
      </w:r>
      <w:bookmarkStart w:id="1546" w:name="pg5240_59441"/>
    </w:p>
    <w:p>
      <w:pPr>
        <w:pStyle w:val="Heading3"/>
        <w:numPr>
          <w:ilvl w:val="2"/>
          <w:numId w:val="1"/>
        </w:numPr>
        <w:rPr/>
      </w:pPr>
      <w:bookmarkStart w:id="1547" w:name="__RefHeading___Toc363586_581953129"/>
      <w:bookmarkStart w:id="1548" w:name="_Toc647"/>
      <w:bookmarkEnd w:id="1546"/>
      <w:bookmarkEnd w:id="1547"/>
      <w:r>
        <w:rPr>
          <w:rtl w:val="true"/>
        </w:rPr>
        <w:t>الخلاصة</w:t>
      </w:r>
      <w:bookmarkEnd w:id="1548"/>
    </w:p>
    <w:p>
      <w:pPr>
        <w:pStyle w:val="BookText"/>
        <w:rPr/>
      </w:pPr>
      <w:r>
        <w:rPr>
          <w:rFonts w:ascii="IRNazanin" w:hAnsi="IRNazanin" w:eastAsia="IRNazanin"/>
          <w:color w:val="111111"/>
          <w:sz w:val="28"/>
          <w:sz w:val="28"/>
          <w:szCs w:val="28"/>
          <w:rtl w:val="true"/>
          <w:lang w:bidi="fa-IR"/>
        </w:rPr>
        <w:t>لاخلاف فی عدد المستحقّین الثمانیة و إنّما الاختلاف فی سمات المستحقّین کالاختلاف فی مصداق الفقیر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سبیل الله هو الغازی فحسب علی المذاهب الأربعة و أمّا علی المذهب الجعفری،فیصدق سبیل الله علی جمیع سبل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البلوغ فی وجوب زکاة الفطرة،علی المذاهب الأربعة،ویشترط ذلک علی 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إعطاء زکاة الفطرة علی المکلّف عن نفسه وعن ما یجب علیه نفقته و إنّما الاختلاف فی المصداق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عند جمیع المذاهب إعطاء الزکاة قبل صلاة العید</w:t>
      </w:r>
      <w:r>
        <w:rPr>
          <w:rFonts w:eastAsia="IRNazanin" w:cs="IRNazanin"/>
          <w:color w:val="111111"/>
          <w:sz w:val="28"/>
          <w:szCs w:val="28"/>
          <w:rtl w:val="true"/>
          <w:lang w:bidi="fa-IR"/>
        </w:rPr>
        <w:t>.</w:t>
      </w:r>
      <w:bookmarkStart w:id="1549" w:name="pg5240_59442"/>
    </w:p>
    <w:p>
      <w:pPr>
        <w:pStyle w:val="Heading3"/>
        <w:numPr>
          <w:ilvl w:val="2"/>
          <w:numId w:val="1"/>
        </w:numPr>
        <w:rPr/>
      </w:pPr>
      <w:bookmarkStart w:id="1550" w:name="__RefHeading___Toc363588_581953129"/>
      <w:bookmarkStart w:id="1551" w:name="_Toc648"/>
      <w:bookmarkEnd w:id="1549"/>
      <w:bookmarkEnd w:id="1550"/>
      <w:r>
        <w:rPr>
          <w:rtl w:val="true"/>
        </w:rPr>
        <w:t>الأسئلة</w:t>
      </w:r>
      <w:bookmarkEnd w:id="1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معنی الفقر والاستطاعة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مورد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الأبعد،فی الزکاة؟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إعطاء الزکاة لمستحقّ 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اشتراط البلوغ فی وجوب الفطرة؟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وقت وجوب الفطرة علی المذاهب کافّة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تأخیر إعطاء الفطرة عن الوقت المقرّر؟</w:t>
      </w:r>
      <w:bookmarkStart w:id="1552" w:name="pg5240_59443"/>
    </w:p>
    <w:p>
      <w:pPr>
        <w:pStyle w:val="Heading2"/>
        <w:numPr>
          <w:ilvl w:val="1"/>
          <w:numId w:val="1"/>
        </w:numPr>
        <w:rPr/>
      </w:pPr>
      <w:bookmarkStart w:id="1553" w:name="__RefHeading___Toc363590_581953129"/>
      <w:bookmarkStart w:id="1554" w:name="_Toc649"/>
      <w:bookmarkEnd w:id="1552"/>
      <w:bookmarkEnd w:id="1553"/>
      <w:r>
        <w:rPr/>
        <w:t>23</w:t>
      </w:r>
      <w:r>
        <w:rPr>
          <w:rtl w:val="true"/>
        </w:rPr>
        <w:t xml:space="preserve">- </w:t>
      </w:r>
      <w:r>
        <w:rPr>
          <w:rtl w:val="true"/>
        </w:rPr>
        <w:t>الخمس</w:t>
      </w:r>
      <w:bookmarkEnd w:id="1554"/>
    </w:p>
    <w:p>
      <w:pPr>
        <w:pStyle w:val="Heading3"/>
        <w:numPr>
          <w:ilvl w:val="2"/>
          <w:numId w:val="1"/>
        </w:numPr>
        <w:rPr/>
      </w:pPr>
      <w:bookmarkStart w:id="1555" w:name="__RefHeading___Toc363592_581953129"/>
      <w:bookmarkStart w:id="1556" w:name="_Toc650"/>
      <w:bookmarkEnd w:id="1555"/>
      <w:r>
        <w:rPr>
          <w:rtl w:val="true"/>
        </w:rPr>
        <w:t>اشارة</w:t>
      </w:r>
      <w:bookmarkEnd w:id="1556"/>
    </w:p>
    <w:p>
      <w:pPr>
        <w:pStyle w:val="BookText"/>
        <w:rPr/>
      </w:pPr>
      <w:r>
        <w:rPr>
          <w:rFonts w:ascii="IRNazanin" w:hAnsi="IRNazanin" w:eastAsia="IRNazanin"/>
          <w:color w:val="111111"/>
          <w:sz w:val="28"/>
          <w:sz w:val="28"/>
          <w:szCs w:val="28"/>
          <w:rtl w:val="true"/>
          <w:lang w:bidi="fa-IR"/>
        </w:rPr>
        <w:t>لاخلاف بین المذاهب الإسلامیة أجمع فی أنّ الخمس من الواجبات المالیة الّتی شرّعت کتاباً وسنّة و إنّما الخلاف فی نطاقه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وضیقاً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وتفصیل الاختلاف بما یلی</w:t>
      </w:r>
      <w:r>
        <w:rPr>
          <w:rFonts w:eastAsia="IRNazanin" w:cs="IRNazanin"/>
          <w:color w:val="111111"/>
          <w:sz w:val="28"/>
          <w:szCs w:val="28"/>
          <w:rtl w:val="true"/>
          <w:lang w:bidi="fa-IR"/>
        </w:rPr>
        <w:t>:</w:t>
      </w:r>
    </w:p>
    <w:p>
      <w:pPr>
        <w:pStyle w:val="Heading3"/>
        <w:numPr>
          <w:ilvl w:val="2"/>
          <w:numId w:val="1"/>
        </w:numPr>
        <w:rPr/>
      </w:pPr>
      <w:bookmarkStart w:id="1557" w:name="__RefHeading___Toc363594_581953129"/>
      <w:bookmarkStart w:id="1558" w:name="_Toc651"/>
      <w:bookmarkEnd w:id="1557"/>
      <w:r>
        <w:rPr>
          <w:rtl w:val="true"/>
        </w:rPr>
        <w:t>خمس مال التجارة</w:t>
      </w:r>
      <w:bookmarkEnd w:id="1558"/>
    </w:p>
    <w:p>
      <w:pPr>
        <w:pStyle w:val="Heading4"/>
        <w:numPr>
          <w:ilvl w:val="3"/>
          <w:numId w:val="1"/>
        </w:numPr>
        <w:rPr/>
      </w:pPr>
      <w:bookmarkStart w:id="1559" w:name="__RefHeading___Toc363596_581953129"/>
      <w:bookmarkStart w:id="1560" w:name="_Toc652"/>
      <w:bookmarkEnd w:id="1559"/>
      <w:r>
        <w:rPr>
          <w:rtl w:val="true"/>
        </w:rPr>
        <w:t>المذهب الجعفری</w:t>
      </w:r>
      <w:bookmarkEnd w:id="156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ما ینفضل عن مؤونة سنته ومؤونة عیاله من أرباح التجارات ومن سائر التکسّبات بل الأحوط ثبوته فی مطلق الفائدة</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ذلک عملاً بإطلاق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 xml:space="preserve">... . </w:t>
      </w:r>
      <w:r>
        <w:rPr>
          <w:rStyle w:val="FootnoteAnchor"/>
          <w:rtl w:val="true"/>
        </w:rPr>
        <w:footnoteReference w:id="722"/>
      </w:r>
      <w:r>
        <w:rPr>
          <w:rFonts w:ascii="Amiri" w:hAnsi="Amiri" w:eastAsia="Amiri" w:cs="Amiri"/>
          <w:color w:val="111111"/>
          <w:sz w:val="28"/>
          <w:sz w:val="28"/>
          <w:szCs w:val="28"/>
          <w:rtl w:val="true"/>
          <w:lang w:bidi="ar-SA"/>
        </w:rPr>
        <w:t>ویؤکّده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Style w:val="FootnoteAnchor"/>
          <w:rtl w:val="true"/>
        </w:rPr>
        <w:footnoteReference w:id="723"/>
      </w:r>
      <w:r>
        <w:rPr>
          <w:rFonts w:ascii="IRNazanin" w:hAnsi="IRNazanin" w:eastAsia="IRNazanin"/>
          <w:color w:val="111111"/>
          <w:sz w:val="28"/>
          <w:sz w:val="28"/>
          <w:szCs w:val="28"/>
          <w:rtl w:val="true"/>
          <w:lang w:bidi="fa-IR"/>
        </w:rPr>
        <w:t>مضافاً إلی النصوص الواردة من طریق آل‌البیت علیهم السلام،منها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w:t>
      </w:r>
      <w:bookmarkStart w:id="1561" w:name="pg5240_59444"/>
    </w:p>
    <w:p>
      <w:pPr>
        <w:pStyle w:val="BookText"/>
        <w:rPr/>
      </w:pPr>
      <w:bookmarkEnd w:id="1561"/>
      <w:r>
        <w:rPr>
          <w:rFonts w:ascii="IRNazanin" w:hAnsi="IRNazanin" w:eastAsia="IRNazanin"/>
          <w:color w:val="111111"/>
          <w:sz w:val="28"/>
          <w:sz w:val="28"/>
          <w:szCs w:val="28"/>
          <w:rtl w:val="true"/>
          <w:lang w:bidi="fa-IR"/>
        </w:rPr>
        <w:t>إله إلاّ هو حیث حرّم علینا الصدقة أنزل لنا الخمس فالصدقة علینا حرام و الخمس لنا فریضة و الکرامة لنا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ما 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لأحد أن یشتری من الخمس شیئاً حتّی یصل الینا حقّنا</w:t>
      </w:r>
      <w:r>
        <w:rPr>
          <w:rFonts w:eastAsia="IRNazanin" w:cs="IRNazanin"/>
          <w:color w:val="111111"/>
          <w:sz w:val="28"/>
          <w:szCs w:val="28"/>
          <w:rtl w:val="true"/>
          <w:lang w:bidi="fa-IR"/>
        </w:rPr>
        <w:t xml:space="preserve">». </w:t>
      </w:r>
      <w:r>
        <w:rPr>
          <w:rStyle w:val="FootnoteAnchor"/>
          <w:rtl w:val="true"/>
        </w:rPr>
        <w:footnoteReference w:id="724"/>
      </w:r>
    </w:p>
    <w:p>
      <w:pPr>
        <w:pStyle w:val="Heading4"/>
        <w:numPr>
          <w:ilvl w:val="3"/>
          <w:numId w:val="1"/>
        </w:numPr>
        <w:rPr/>
      </w:pPr>
      <w:bookmarkStart w:id="1562" w:name="__RefHeading___Toc363598_581953129"/>
      <w:bookmarkStart w:id="1563" w:name="_Toc653"/>
      <w:bookmarkEnd w:id="1562"/>
      <w:r>
        <w:rPr>
          <w:rtl w:val="true"/>
        </w:rPr>
        <w:t>المذاهب الاربعة</w:t>
      </w:r>
      <w:bookmarkEnd w:id="1563"/>
    </w:p>
    <w:p>
      <w:pPr>
        <w:pStyle w:val="BookText"/>
        <w:rPr/>
      </w:pPr>
      <w:r>
        <w:rPr>
          <w:rFonts w:ascii="IRNazanin" w:hAnsi="IRNazanin" w:eastAsia="IRNazanin"/>
          <w:color w:val="111111"/>
          <w:sz w:val="28"/>
          <w:sz w:val="28"/>
          <w:szCs w:val="28"/>
          <w:rtl w:val="true"/>
          <w:lang w:bidi="fa-IR"/>
        </w:rPr>
        <w:t>یجب فی أرباح التجارة ربع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 ونصف بالمائة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بالمائة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للنصوص الواردة من طریق الصحابة منها ما روی سمرة‌بن جندب عن النبی صلی الله علیه و آله أنّه کان یأمرنا أن نخرج الزکاة ممّا نعدّه للبیع،وفی خبر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زکاة مالک</w:t>
      </w:r>
      <w:r>
        <w:rPr>
          <w:rFonts w:eastAsia="IRNazanin" w:cs="IRNazanin"/>
          <w:color w:val="111111"/>
          <w:sz w:val="28"/>
          <w:szCs w:val="28"/>
          <w:rtl w:val="true"/>
          <w:lang w:bidi="fa-IR"/>
        </w:rPr>
        <w:t xml:space="preserve">». </w:t>
      </w:r>
      <w:r>
        <w:rPr>
          <w:rStyle w:val="FootnoteAnchor"/>
          <w:rtl w:val="true"/>
        </w:rPr>
        <w:footnoteReference w:id="725"/>
      </w:r>
      <w:r>
        <w:rPr>
          <w:rFonts w:ascii="Amiri" w:hAnsi="Amiri" w:eastAsia="Amiri" w:cs="Amiri"/>
          <w:color w:val="111111"/>
          <w:sz w:val="28"/>
          <w:sz w:val="28"/>
          <w:szCs w:val="28"/>
          <w:rtl w:val="true"/>
          <w:lang w:bidi="ar-SA"/>
        </w:rPr>
        <w:t>ویشمله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وجوب الزکاة هو المال النامی الفاضل عن الحاجة</w:t>
      </w:r>
      <w:r>
        <w:rPr>
          <w:rFonts w:eastAsia="IRNazanin" w:cs="IRNazanin"/>
          <w:color w:val="111111"/>
          <w:sz w:val="28"/>
          <w:szCs w:val="28"/>
          <w:rtl w:val="true"/>
          <w:lang w:bidi="fa-IR"/>
        </w:rPr>
        <w:t xml:space="preserve">. </w:t>
      </w:r>
      <w:r>
        <w:rPr>
          <w:rStyle w:val="FootnoteAnchor"/>
          <w:rtl w:val="true"/>
        </w:rPr>
        <w:footnoteReference w:id="726"/>
      </w:r>
    </w:p>
    <w:p>
      <w:pPr>
        <w:pStyle w:val="Heading3"/>
        <w:numPr>
          <w:ilvl w:val="2"/>
          <w:numId w:val="1"/>
        </w:numPr>
        <w:rPr/>
      </w:pPr>
      <w:bookmarkStart w:id="1564" w:name="__RefHeading___Toc363600_581953129"/>
      <w:bookmarkStart w:id="1565" w:name="_Toc654"/>
      <w:bookmarkEnd w:id="1564"/>
      <w:r>
        <w:rPr>
          <w:rtl w:val="true"/>
        </w:rPr>
        <w:t>خمس المعادن و الرکاز</w:t>
      </w:r>
      <w:bookmarkEnd w:id="1565"/>
    </w:p>
    <w:p>
      <w:pPr>
        <w:pStyle w:val="Heading4"/>
        <w:numPr>
          <w:ilvl w:val="3"/>
          <w:numId w:val="1"/>
        </w:numPr>
        <w:rPr/>
      </w:pPr>
      <w:bookmarkStart w:id="1566" w:name="__RefHeading___Toc363602_581953129"/>
      <w:bookmarkStart w:id="1567" w:name="_Toc655"/>
      <w:bookmarkEnd w:id="1566"/>
      <w:r>
        <w:rPr>
          <w:rtl w:val="true"/>
        </w:rPr>
        <w:t>المذاهب الاربعة</w:t>
      </w:r>
      <w:bookmarkEnd w:id="1567"/>
    </w:p>
    <w:p>
      <w:pPr>
        <w:pStyle w:val="BookText"/>
        <w:rPr/>
      </w:pPr>
      <w:r>
        <w:rPr>
          <w:rFonts w:ascii="IRNazanin" w:hAnsi="IRNazanin" w:eastAsia="IRNazanin"/>
          <w:color w:val="111111"/>
          <w:sz w:val="28"/>
          <w:sz w:val="28"/>
          <w:szCs w:val="28"/>
          <w:rtl w:val="true"/>
          <w:lang w:bidi="fa-IR"/>
        </w:rPr>
        <w:t>یجب الخمس فی الرکاز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المدفون تحت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یعتبر فیه النصاب،فقلیله وکثیره سواء فی وجوب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الرکاز،قلّ أو کثر ففیه الخمس</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فی صدقة الرکاز ما روی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الرکاز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مجمع علیه،قال ابن‌المنذر لانعلم أحداً خالف هذا الحدیث</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و هو نفس الحکم بالنسبة إلی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الخمس بدون الإشتراط بالنصاب</w:t>
      </w:r>
      <w:bookmarkStart w:id="1568" w:name="pg5240_59445"/>
    </w:p>
    <w:p>
      <w:pPr>
        <w:pStyle w:val="BookText"/>
        <w:rPr/>
      </w:pPr>
      <w:bookmarkEnd w:id="15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الحنفی؛لأنّ المعدن کالرکاز،لعموم الأحادیث،وعدم اعتبار الحول</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قال الکاشانی‌کإرسال المسلّم بأنّه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الغنائم و المعادن و الرکاز</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أمّا المعادن علی المذاهب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فیعتبرفیها النصاب و هوما یبلغ من‌الذهب عشرین مثقالاً ومن الفضّة مائتی درهم أو قیمة ذلک من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 النصاب فی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الزکاة ربع العشر؛ذلک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تسعین ومائة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علیکم‌فی الذهب شیء حتّی یبلغ عشرین 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أنّ المعدن لیس برکاز فأشبه الزرع و الثمار</w:t>
      </w:r>
      <w:r>
        <w:rPr>
          <w:rFonts w:eastAsia="IRNazanin" w:cs="IRNazanin"/>
          <w:color w:val="111111"/>
          <w:sz w:val="28"/>
          <w:szCs w:val="28"/>
          <w:rtl w:val="true"/>
          <w:lang w:bidi="fa-IR"/>
        </w:rPr>
        <w:t xml:space="preserve">. </w:t>
      </w:r>
      <w:r>
        <w:rPr>
          <w:rStyle w:val="FootnoteAnchor"/>
          <w:rtl w:val="true"/>
        </w:rPr>
        <w:footnoteReference w:id="730"/>
      </w:r>
    </w:p>
    <w:p>
      <w:pPr>
        <w:pStyle w:val="Heading4"/>
        <w:numPr>
          <w:ilvl w:val="3"/>
          <w:numId w:val="1"/>
        </w:numPr>
        <w:rPr/>
      </w:pPr>
      <w:bookmarkStart w:id="1569" w:name="__RefHeading___Toc363604_581953129"/>
      <w:bookmarkStart w:id="1570" w:name="_Toc656"/>
      <w:bookmarkEnd w:id="1569"/>
      <w:r>
        <w:rPr>
          <w:rtl w:val="true"/>
        </w:rPr>
        <w:t>المذهب الجعفری</w:t>
      </w:r>
      <w:bookmarkEnd w:id="1570"/>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وجوب الخمس فی المعدن بلوغ ما استخرجه عشرین دیناراً بعد استثناء مؤونة الإخراج و التصفیة</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وقال المحقّق المیرزا النائینی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والأحوط رعایة کلّ من نصابی الذهب و الفضّة فی المُخرج من المعدن ورعایة الأقلّ قیمةً فیما أخرج من سائر المعادن</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جمعاً بین الأدلّة والاُصول وقال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المال المذخور فی الأرض سواء کان من الذهب و الفضّة أو غیرهما من الجواهر،وسواء کان فی بلاد الکفر أوفی بلاد الإسلام وسواء کان فی الأرض الموات أو فی غیرها سواء کان علیه أثر الإسلام أم لا ففی جمیع هذه الصور کان ملکاً لواجده وعلیه</w:t>
      </w:r>
      <w:bookmarkStart w:id="1571" w:name="pg5240_59446"/>
    </w:p>
    <w:p>
      <w:pPr>
        <w:pStyle w:val="BookText"/>
        <w:rPr/>
      </w:pPr>
      <w:bookmarkEnd w:id="1571"/>
      <w:r>
        <w:rPr>
          <w:rFonts w:ascii="IRNazanin" w:hAnsi="IRNazanin" w:eastAsia="IRNazanin"/>
          <w:color w:val="111111"/>
          <w:sz w:val="28"/>
          <w:sz w:val="28"/>
          <w:szCs w:val="28"/>
          <w:rtl w:val="true"/>
          <w:lang w:bidi="fa-IR"/>
        </w:rPr>
        <w:t>الخمس ویشترط فی وجوب الخمس فیه،النصاب و هو عشرون دیناراً</w:t>
      </w:r>
      <w:r>
        <w:rPr>
          <w:rFonts w:eastAsia="IRNazanin" w:cs="IRNazanin"/>
          <w:color w:val="111111"/>
          <w:sz w:val="28"/>
          <w:szCs w:val="28"/>
          <w:rtl w:val="true"/>
          <w:lang w:bidi="fa-IR"/>
        </w:rPr>
        <w:t xml:space="preserve">. </w:t>
      </w:r>
      <w:r>
        <w:rPr>
          <w:rStyle w:val="FootnoteAnchor"/>
          <w:rtl w:val="true"/>
        </w:rPr>
        <w:footnoteReference w:id="733"/>
      </w:r>
      <w:r>
        <w:rPr>
          <w:rFonts w:ascii="Amiri" w:hAnsi="Amiri" w:eastAsia="Amiri" w:cs="Amiri"/>
          <w:color w:val="111111"/>
          <w:sz w:val="28"/>
          <w:sz w:val="28"/>
          <w:szCs w:val="28"/>
          <w:rtl w:val="true"/>
          <w:lang w:bidi="ar-SA"/>
        </w:rPr>
        <w:t>ذلک؛لأنّ المعدن و الکنز من الغنیمة عرفاً ولغة وعلیه یجب الخمس فیهما بنصّ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ویؤکّده النصوص الواردة من الطریقین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روی عن طریق الصحابة أنّه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یکن فی طریق مأتی،ولا فی قریة عامرة ففیه وفی الرکاز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 قال أبوحنیفة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طریق آل‌البیت علیهم السلام بسند صحیح عن الإمام الرضا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حتّی یبلغ ما یکون فی مثله الزکاة عشرین دیناراً</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دلّت علی اعتبار النصاب فی وجوب الخمس علی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البزنطی عن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عمّا یجب فیه الخمس من الکنز؟فقال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الزکاة فی مثله ففیه الخمس</w:t>
      </w:r>
      <w:r>
        <w:rPr>
          <w:rFonts w:eastAsia="IRNazanin" w:cs="IRNazanin"/>
          <w:color w:val="111111"/>
          <w:sz w:val="28"/>
          <w:szCs w:val="28"/>
          <w:rtl w:val="true"/>
          <w:lang w:bidi="fa-IR"/>
        </w:rPr>
        <w:t xml:space="preserve">». </w:t>
      </w:r>
      <w:r>
        <w:rPr>
          <w:rStyle w:val="FootnoteAnchor"/>
          <w:rtl w:val="true"/>
        </w:rPr>
        <w:footnoteReference w:id="736"/>
      </w:r>
    </w:p>
    <w:p>
      <w:pPr>
        <w:pStyle w:val="Heading3"/>
        <w:numPr>
          <w:ilvl w:val="2"/>
          <w:numId w:val="1"/>
        </w:numPr>
        <w:rPr/>
      </w:pPr>
      <w:bookmarkStart w:id="1572" w:name="__RefHeading___Toc363606_581953129"/>
      <w:bookmarkStart w:id="1573" w:name="_Toc657"/>
      <w:bookmarkEnd w:id="1572"/>
      <w:r>
        <w:rPr>
          <w:rtl w:val="true"/>
        </w:rPr>
        <w:t>الجواهر المعدنیة</w:t>
      </w:r>
      <w:bookmarkEnd w:id="157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تتعلّق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بالذهب و الفضّة 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یقوم بالذهب و الفضّة مستفاد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الطین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أَخْرَجْنا لَکُمْ مِنَ الْأَرْضِ</w:t>
      </w:r>
      <w:r>
        <w:rPr>
          <w:rFonts w:eastAsia="IRNazanin" w:cs="IRNazanin"/>
          <w:color w:val="111111"/>
          <w:sz w:val="28"/>
          <w:szCs w:val="28"/>
          <w:rtl w:val="true"/>
          <w:lang w:bidi="fa-IR"/>
        </w:rPr>
        <w:t xml:space="preserve">... . </w:t>
      </w:r>
      <w:r>
        <w:rPr>
          <w:rStyle w:val="FootnoteAnchor"/>
          <w:rtl w:val="true"/>
        </w:rPr>
        <w:footnoteReference w:id="737"/>
      </w:r>
      <w:r>
        <w:rPr>
          <w:rFonts w:ascii="IRNazanin" w:hAnsi="IRNazanin" w:eastAsia="IRNazanin"/>
          <w:color w:val="111111"/>
          <w:sz w:val="28"/>
          <w:sz w:val="28"/>
          <w:szCs w:val="28"/>
          <w:rtl w:val="true"/>
          <w:lang w:bidi="fa-IR"/>
        </w:rPr>
        <w:t>ولأنّه معدن فتعلّقت الزکاة بالخارج منه کالأثمار،ولأنّه</w:t>
      </w:r>
      <w:bookmarkStart w:id="1574" w:name="pg5240_59447"/>
    </w:p>
    <w:p>
      <w:pPr>
        <w:pStyle w:val="BookText"/>
        <w:rPr/>
      </w:pPr>
      <w:bookmarkEnd w:id="1574"/>
      <w:r>
        <w:rPr>
          <w:rFonts w:ascii="IRNazanin" w:hAnsi="IRNazanin" w:eastAsia="IRNazanin"/>
          <w:color w:val="111111"/>
          <w:sz w:val="28"/>
          <w:sz w:val="28"/>
          <w:szCs w:val="28"/>
          <w:rtl w:val="true"/>
          <w:lang w:bidi="fa-IR"/>
        </w:rPr>
        <w:t>مال لو غنمه وجب علیه خمسه،فإذا أخرج من معدن وجبت فیه الزکاة کالذهب،و أمّا الطین فلیس بمعدن؛لأنّه تراب،والمعدن ما کان فی الأرض من غیر جنسها</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هذا هو التعریف الصحیح للمعدن علی المذهب الجعفری کما مرّ بنا بیانه</w:t>
      </w:r>
      <w:r>
        <w:rPr>
          <w:rFonts w:eastAsia="IRNazanin" w:cs="IRNazanin"/>
          <w:color w:val="111111"/>
          <w:sz w:val="28"/>
          <w:szCs w:val="28"/>
          <w:rtl w:val="true"/>
          <w:lang w:bidi="fa-IR"/>
        </w:rPr>
        <w:t>.</w:t>
      </w:r>
    </w:p>
    <w:p>
      <w:pPr>
        <w:pStyle w:val="Heading3"/>
        <w:numPr>
          <w:ilvl w:val="2"/>
          <w:numId w:val="1"/>
        </w:numPr>
        <w:rPr/>
      </w:pPr>
      <w:bookmarkStart w:id="1575" w:name="__RefHeading___Toc363608_581953129"/>
      <w:bookmarkStart w:id="1576" w:name="_Toc658"/>
      <w:bookmarkEnd w:id="1575"/>
      <w:r>
        <w:rPr>
          <w:rtl w:val="true"/>
        </w:rPr>
        <w:t>خمس ما یخرج من البحر</w:t>
      </w:r>
      <w:bookmarkEnd w:id="1576"/>
    </w:p>
    <w:p>
      <w:pPr>
        <w:pStyle w:val="Heading4"/>
        <w:numPr>
          <w:ilvl w:val="3"/>
          <w:numId w:val="1"/>
        </w:numPr>
        <w:rPr/>
      </w:pPr>
      <w:bookmarkStart w:id="1577" w:name="__RefHeading___Toc363610_581953129"/>
      <w:bookmarkStart w:id="1578" w:name="_Toc659"/>
      <w:bookmarkEnd w:id="1577"/>
      <w:r>
        <w:rPr>
          <w:rtl w:val="true"/>
        </w:rPr>
        <w:t>اشارة</w:t>
      </w:r>
      <w:bookmarkEnd w:id="1578"/>
    </w:p>
    <w:p>
      <w:pPr>
        <w:pStyle w:val="BookText"/>
        <w:rPr/>
      </w:pPr>
      <w:r>
        <w:rPr>
          <w:rFonts w:ascii="IRNazanin" w:hAnsi="IRNazanin" w:eastAsia="IRNazanin"/>
          <w:color w:val="111111"/>
          <w:sz w:val="28"/>
          <w:sz w:val="28"/>
          <w:szCs w:val="28"/>
          <w:rtl w:val="true"/>
          <w:lang w:bidi="fa-IR"/>
        </w:rPr>
        <w:t>اختلفت الآراء بالنسبة إلی وجوب الخمس فی المال المستخرج بالغوص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579" w:name="__RefHeading___Toc363612_581953129"/>
      <w:bookmarkStart w:id="1580" w:name="_Toc660"/>
      <w:bookmarkEnd w:id="1579"/>
      <w:r>
        <w:rPr>
          <w:rtl w:val="true"/>
        </w:rPr>
        <w:t>المذهب الجعفری</w:t>
      </w:r>
      <w:bookmarkEnd w:id="1580"/>
    </w:p>
    <w:p>
      <w:pPr>
        <w:pStyle w:val="BookText"/>
        <w:rPr/>
      </w:pPr>
      <w:r>
        <w:rPr>
          <w:rFonts w:ascii="IRNazanin" w:hAnsi="IRNazanin" w:eastAsia="IRNazanin"/>
          <w:color w:val="111111"/>
          <w:sz w:val="28"/>
          <w:sz w:val="28"/>
          <w:szCs w:val="28"/>
          <w:rtl w:val="true"/>
          <w:lang w:bidi="fa-IR"/>
        </w:rPr>
        <w:t>قال السیدالطباطبائی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الأموال الّتی یجب فیها الخمس،الجواهر المستخرجة من البحر مثل اللؤلؤ و المرجان وغیرهما معدنیاً کان أو نباتیاً لامثل المسک ونحوه من الحیوانات،فیجب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بشرط أن یبلغ قیمته دیناراً فصاعداً فلا خمس فیما ینقص من ذلک</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عموم الآیة و الروایات الواردة فی باب الغنائم و المعادن و الرکاز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البزنطی عن أبی‌الحسن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عمّا یخرج من البحر من اللّؤلؤ و الیاقوت و الزبرجد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فیها الزکاة؟فقال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قیمته دیناراً ففیه الخمس</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دلّت هذه الروایة علی اشتراط النصاب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اعتبار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دیناراً،وعن الشیخ المفید</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تحدیده بما بلغت قیمته عشرین دیناراً،ولم یعلم له مستند ولا قائل له</w:t>
      </w:r>
      <w:r>
        <w:rPr>
          <w:rFonts w:eastAsia="IRNazanin" w:cs="IRNazanin"/>
          <w:color w:val="111111"/>
          <w:sz w:val="28"/>
          <w:szCs w:val="28"/>
          <w:rtl w:val="true"/>
          <w:lang w:bidi="fa-IR"/>
        </w:rPr>
        <w:t xml:space="preserve">. </w:t>
      </w:r>
      <w:r>
        <w:rPr>
          <w:rStyle w:val="FootnoteAnchor"/>
          <w:rtl w:val="true"/>
        </w:rPr>
        <w:footnoteReference w:id="741"/>
      </w:r>
      <w:bookmarkStart w:id="1581" w:name="pg5240_59448"/>
    </w:p>
    <w:p>
      <w:pPr>
        <w:pStyle w:val="BookText"/>
        <w:rPr/>
      </w:pPr>
      <w:bookmarkEnd w:id="1581"/>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مستند الحکم یمکن أن یکون إطلاق النصوص الواردة فی المعادن و الرکاز</w:t>
      </w:r>
      <w:r>
        <w:rPr>
          <w:rFonts w:eastAsia="IRNazanin" w:cs="IRNazanin"/>
          <w:color w:val="111111"/>
          <w:sz w:val="28"/>
          <w:szCs w:val="28"/>
          <w:rtl w:val="true"/>
          <w:lang w:bidi="fa-IR"/>
        </w:rPr>
        <w:t>.</w:t>
      </w:r>
    </w:p>
    <w:p>
      <w:pPr>
        <w:pStyle w:val="Heading4"/>
        <w:numPr>
          <w:ilvl w:val="3"/>
          <w:numId w:val="1"/>
        </w:numPr>
        <w:rPr/>
      </w:pPr>
      <w:bookmarkStart w:id="1582" w:name="__RefHeading___Toc363614_581953129"/>
      <w:bookmarkStart w:id="1583" w:name="_Toc661"/>
      <w:bookmarkEnd w:id="1582"/>
      <w:r>
        <w:rPr>
          <w:rtl w:val="true"/>
        </w:rPr>
        <w:t>المذاهب الاربعة</w:t>
      </w:r>
      <w:bookmarkEnd w:id="1583"/>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المستخرج من البحر کاللؤلؤ و المرجان و العنبر ونحوه،علی ظاهر قول الخرقی وبه قال مالک و الشافعی وأبوحنیفة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وعدّة من الفقهاء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أحمد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یخرج من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الزکاة؛لأنّه خارج من معدن فأشبه معدن البرّ ویحکی عن عمربن عبدالعزیز أنّه أخذ من العنبر الخمس</w:t>
      </w:r>
      <w:r>
        <w:rPr>
          <w:rFonts w:eastAsia="IRNazanin" w:cs="IRNazanin"/>
          <w:color w:val="111111"/>
          <w:sz w:val="28"/>
          <w:szCs w:val="28"/>
          <w:rtl w:val="true"/>
          <w:lang w:bidi="fa-IR"/>
        </w:rPr>
        <w:t xml:space="preserve">. </w:t>
      </w:r>
      <w:r>
        <w:rPr>
          <w:rStyle w:val="FootnoteAnchor"/>
          <w:rtl w:val="true"/>
        </w:rPr>
        <w:footnoteReference w:id="742"/>
      </w:r>
    </w:p>
    <w:p>
      <w:pPr>
        <w:pStyle w:val="Heading4"/>
        <w:numPr>
          <w:ilvl w:val="3"/>
          <w:numId w:val="1"/>
        </w:numPr>
        <w:rPr/>
      </w:pPr>
      <w:bookmarkStart w:id="1584" w:name="__RefHeading___Toc363616_581953129"/>
      <w:bookmarkStart w:id="1585" w:name="_Toc662"/>
      <w:bookmarkEnd w:id="1584"/>
      <w:r>
        <w:rPr>
          <w:rtl w:val="true"/>
        </w:rPr>
        <w:t>منشأ الاختلاف</w:t>
      </w:r>
      <w:bookmarkEnd w:id="1585"/>
    </w:p>
    <w:p>
      <w:pPr>
        <w:pStyle w:val="Heading5"/>
        <w:numPr>
          <w:ilvl w:val="4"/>
          <w:numId w:val="1"/>
        </w:numPr>
        <w:rPr/>
      </w:pPr>
      <w:bookmarkStart w:id="1586" w:name="__RefHeading___Toc363618_581953129"/>
      <w:bookmarkStart w:id="1587" w:name="_Toc663"/>
      <w:bookmarkEnd w:id="1586"/>
      <w:r>
        <w:rPr>
          <w:rtl w:val="true"/>
        </w:rPr>
        <w:t>اشارة</w:t>
      </w:r>
      <w:bookmarkEnd w:id="1587"/>
    </w:p>
    <w:p>
      <w:pPr>
        <w:pStyle w:val="BookText"/>
        <w:rPr/>
      </w:pPr>
      <w:r>
        <w:rPr>
          <w:rFonts w:ascii="Amiri" w:hAnsi="Amiri" w:eastAsia="Amiri" w:cs="Amiri"/>
          <w:color w:val="111111"/>
          <w:sz w:val="28"/>
          <w:sz w:val="28"/>
          <w:szCs w:val="28"/>
          <w:rtl w:val="true"/>
          <w:lang w:bidi="ar-SA"/>
        </w:rPr>
        <w:t>اتّضح ممّا تقدّم أنّ هناک،اختلافاً مهمّاً بین المذهب الجعفری و المذاهب الأربعة بالنسبة إلی نطاق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وضیقاً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 الرئیسی فی ذلک الاختلاف هو فهم المعنی من الآیة الّتی تدلّ علی وجوب الخمس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 xml:space="preserve">... . </w:t>
      </w:r>
      <w:r>
        <w:rPr>
          <w:rStyle w:val="FootnoteAnchor"/>
          <w:rtl w:val="true"/>
        </w:rPr>
        <w:footnoteReference w:id="743"/>
      </w:r>
    </w:p>
    <w:p>
      <w:pPr>
        <w:pStyle w:val="Heading5"/>
        <w:numPr>
          <w:ilvl w:val="4"/>
          <w:numId w:val="1"/>
        </w:numPr>
        <w:rPr/>
      </w:pPr>
      <w:bookmarkStart w:id="1588" w:name="__RefHeading___Toc363620_581953129"/>
      <w:bookmarkStart w:id="1589" w:name="_Toc664"/>
      <w:bookmarkEnd w:id="1588"/>
      <w:r>
        <w:rPr>
          <w:rtl w:val="true"/>
        </w:rPr>
        <w:t>و تفصیل الاختلاف فی الفهم بما یلی</w:t>
      </w:r>
      <w:r>
        <w:rPr>
          <w:rtl w:val="true"/>
        </w:rPr>
        <w:t>:</w:t>
      </w:r>
      <w:bookmarkEnd w:id="1589"/>
    </w:p>
    <w:p>
      <w:pPr>
        <w:pStyle w:val="Heading6"/>
        <w:numPr>
          <w:ilvl w:val="5"/>
          <w:numId w:val="1"/>
        </w:numPr>
        <w:rPr/>
      </w:pPr>
      <w:bookmarkStart w:id="1590" w:name="__RefHeading___Toc363622_581953129"/>
      <w:bookmarkStart w:id="1591" w:name="_Toc665"/>
      <w:bookmarkEnd w:id="1590"/>
      <w:r>
        <w:rPr>
          <w:rtl w:val="true"/>
        </w:rPr>
        <w:t>المذاهب الاربعة</w:t>
      </w:r>
      <w:bookmarkEnd w:id="159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لتلک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خاصّ فی إطار مخصوص،ذلک؛لأنّها قد نزلت فی مورد الحرب فلاصلة لها بغیرها من الموارد وها هو المعنی الّذی أجمع علیه الفقهاء؛أضف إلی ذلک أنّ معنی الغنیمة بحسب اللغة عبارة عن الفائدة المالیة تتحقّق نتیجة للحرب مع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 مانیل من أهل الشرک عنوة و الحرب</w:t>
      </w:r>
      <w:bookmarkStart w:id="1592" w:name="pg5240_59449"/>
    </w:p>
    <w:p>
      <w:pPr>
        <w:pStyle w:val="BookText"/>
        <w:rPr/>
      </w:pPr>
      <w:bookmarkEnd w:id="1592"/>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والفیء مانیل منهم بعد أن تضع الحرب أوزارها</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المعنی هو المعنی المصطلح فی الحروب لاالمعنی اللغوی،ذلک؛لما ورد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موجبات رحمتک وعزائم مغفرتک و الغنیمة من کلّ برّ و السلامة من کلّ إثمّ</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فلا تختصّ الغنیمة بما یؤخذ من 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المکسب عموماً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 بادة أی طیبة</w:t>
      </w:r>
      <w:r>
        <w:rPr>
          <w:rFonts w:eastAsia="IRNazanin" w:cs="IRNazanin"/>
          <w:color w:val="111111"/>
          <w:sz w:val="28"/>
          <w:szCs w:val="28"/>
          <w:rtl w:val="true"/>
          <w:lang w:bidi="fa-IR"/>
        </w:rPr>
        <w:t xml:space="preserve">. </w:t>
      </w:r>
      <w:r>
        <w:rPr>
          <w:rStyle w:val="FootnoteAnchor"/>
          <w:rtl w:val="true"/>
        </w:rPr>
        <w:footnoteReference w:id="746"/>
      </w:r>
    </w:p>
    <w:p>
      <w:pPr>
        <w:pStyle w:val="Heading6"/>
        <w:numPr>
          <w:ilvl w:val="5"/>
          <w:numId w:val="1"/>
        </w:numPr>
        <w:rPr/>
      </w:pPr>
      <w:bookmarkStart w:id="1593" w:name="__RefHeading___Toc363624_581953129"/>
      <w:bookmarkStart w:id="1594" w:name="_Toc666"/>
      <w:bookmarkEnd w:id="1593"/>
      <w:r>
        <w:rPr>
          <w:rtl w:val="true"/>
        </w:rPr>
        <w:t>المذهب الجعفری</w:t>
      </w:r>
      <w:bookmarkEnd w:id="1594"/>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یدلّنا 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الخمس فی أرباح المکاسب وکلّ مایفضل عن مؤونة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الإجماع و السیرة العملیة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المتّصلة بزمن أئمّة آل‌البیت علیهم السلام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العزیز،قال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 وَ لِلرَّسُولِ وَ لِذِی الْقُرْبی وَ الْیَتامی وَ الْمَساکِینِ</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فإنّ الغنیمة،بهذه الهیئة،و إن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باختصاصها بغنائم دار الحرب إمّا لغة أو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یظهر له أی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بالصیغة الواردة فی الآیة المبارکة ترادف ربح واستفادة وما شاکل ذلک فتعمّ مطلق الفائدة،ولم یتوهّم أحد اختصاصها بدار الحرب،ولعلّ فی التعبیر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فیه من السعة و الشمول 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إشعاراً إلی هذا التعمیم،و أنّ الخمس ثابت فی مطلق ما صدق علیه الشیء من الربح و إن کان یسیراً جدّاً کالدرهم غیر المناسب لغنائم دار الحرب کما لایخفی ویعضده إطلاق الخطاب فی بعض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xml:space="preserve">... . </w:t>
      </w:r>
      <w:r>
        <w:rPr>
          <w:rStyle w:val="FootnoteAnchor"/>
          <w:rtl w:val="true"/>
        </w:rPr>
        <w:footnoteReference w:id="749"/>
      </w:r>
      <w:r>
        <w:rPr>
          <w:rFonts w:ascii="IRNazanin" w:hAnsi="IRNazanin" w:eastAsia="IRNazanin"/>
          <w:color w:val="111111"/>
          <w:sz w:val="28"/>
          <w:sz w:val="28"/>
          <w:szCs w:val="28"/>
          <w:rtl w:val="true"/>
          <w:lang w:bidi="fa-IR"/>
        </w:rPr>
        <w:t>فإنّه عامّ لجمیع المؤمنین لالخصوص المقاتلین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ینافیه ذکر القتال فی الآیات السابقة علیها و اللاحقة لها،لما هو المعلوم من عدم کون المورد مخصّصاً للحکم الوارد علیه ومن ثمّ اعترف القرطبی فی تفسیره،وکذا غیره بشمول لفظ الآیة؛لعموم الفائدة و الأرباح غیر أنّه خصّصها بغنائم دار الحرب من أجل الإجماع الّذی ادّعی قیامه علی ذلک فإذا کانت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فلا جرم کانت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کذلک،إذ لا دلالة فی هیئة فعلیة علی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وکیفما کان فلا ینبغی التأمّل فی إطلاق الآیة المبارکة فی حدّ ذاتها،وشمولها لعامّة الأرباح و الغنائم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وتشهد لذلک أخبار کثیرة دلّت علی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الإفادة یوماً فیوماً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والأخبار بهذا الشأن بلغت حدّ التواتر،فالحکم ممّا لاینبغی الإشکال فیه نعم هاهنا إشکال معروف قد تداول علی الألسن ولاسیما فی الأونة الأخیرة وحاصله أنّ الآیة لو کانت مطلقة وکان هذا النوع من الخمس ثابتاً فی الشریعة المقدّسة فلماذا لم یعهد أخذه من صاحب الشرع حیث لم ینقل لا فی کتب الحدیث ولا التاریخ أنّ النبی الأعظم صلی الله علیه و آله أو أحداً من المتصدّین بعده حتّی وصیه المعظّم فی زمن خلافته الظاهریة تصدّی لأخذ الأخماس من الأرباح و التجارات کما کانوا یبعثون العمّال لجبایة الزکاة بل قد جعل سهم خاصّ للعاملین علیها فإنّه لو کان ذلک متداولاً کالزکاة لنقل الینا بطبیعة الحال و إن تعجب فعجب أنّه لم یوجد لهذا القسم من</w:t>
      </w:r>
    </w:p>
    <w:p>
      <w:pPr>
        <w:pStyle w:val="BookText"/>
        <w:rPr/>
      </w:pPr>
      <w:r>
        <w:rPr>
          <w:rFonts w:ascii="IRNazanin" w:hAnsi="IRNazanin" w:eastAsia="IRNazanin"/>
          <w:color w:val="111111"/>
          <w:sz w:val="28"/>
          <w:sz w:val="28"/>
          <w:szCs w:val="28"/>
          <w:rtl w:val="true"/>
          <w:lang w:bidi="fa-IR"/>
        </w:rPr>
        <w:t>الخمس عین ولا أثر فی صدر الإسلام إلی عهد الصادقین حیث أنّ الروایات القلیلة الواردة فی المقام کلّها برزت وصدرت منذ هذا العصر،أمّا قبله فلم یکن منه اسم ولا رسم بتاتاً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أمّا بناءً علی ما سلکناه من تدریجیة الأحکام وجواز تأخیر التبلیغ عن عصر التشریع بإیداع بیانه من النبی صلی الله علیه و آله إلی الإمام علیه السلام لیظهره فی ظرفه المناسب له حسب المصالح الوقتیة الباعثة علی ذلک،بل قد یظهر من بعض النصوص أنّ جملة من الأحکام لم تنشر لحدّ الآن وأنّها مودعة عند ولی العصر عجّل الله تعالی فرجه و هو المأمور بتبلیغها متی ما ظهر وملأ الأرض قسطاً وعدلاً فالأمر علی هذا المبنی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الحاسم لمادّة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لاسترة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مع الغض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فیردّ الإشکال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بإبداء الفرق بین الزکاة و الخمس نظراً إلی أنّ الأوّل ملک للفقراء وحقّ یصرف فی مصالح المسلمین و هو صلی الله علیه و آله مأمور بالأخذ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 </w:t>
      </w:r>
      <w:r>
        <w:rPr>
          <w:rStyle w:val="FootnoteAnchor"/>
          <w:rtl w:val="true"/>
        </w:rPr>
        <w:footnoteReference w:id="750"/>
      </w:r>
      <w:r>
        <w:rPr>
          <w:rFonts w:ascii="IRNazanin" w:hAnsi="IRNazanin" w:eastAsia="IRNazanin"/>
          <w:color w:val="111111"/>
          <w:sz w:val="28"/>
          <w:sz w:val="28"/>
          <w:szCs w:val="28"/>
          <w:rtl w:val="true"/>
          <w:lang w:bidi="fa-IR"/>
        </w:rPr>
        <w:t>فمقدّمة للأخذ الواجب علیه لا محیص له صلی الله علیه و آله من بعث العمّال لجبایة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فعلی تقدیر تسلیم عدم بعث العمّال لأخذ الأخماس 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لایکشف عن عدم الوجوب بوجه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کیف؟ووجوب الخمس فی الرکاز ممّا أطبقت علیه أبناء السنّة ورووا فیه روایات کثیرة </w:t>
      </w:r>
      <w:r>
        <w:rPr>
          <w:rStyle w:val="FootnoteAnchor"/>
          <w:rtl w:val="true"/>
        </w:rPr>
        <w:footnoteReference w:id="751"/>
      </w:r>
      <w:r>
        <w:rPr>
          <w:rFonts w:ascii="IRNazanin" w:hAnsi="IRNazanin" w:eastAsia="IRNazanin"/>
          <w:color w:val="111111"/>
          <w:sz w:val="28"/>
          <w:sz w:val="28"/>
          <w:szCs w:val="28"/>
          <w:rtl w:val="true"/>
          <w:lang w:bidi="fa-IR"/>
        </w:rPr>
        <w:t>ومع ذلک لم ینقل ولو فی مورد واحد أنّ النبی صلی الله علیه و آله أو من بعده بعث أحداً لجبایته فعدم البعث و الحثّ للأخذ لازم أعمّ لعدم الوجوب فلا یکشف عنه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رووا هذا الخمس عن النبی صلی الله علیه و آله فقد ورد فی صحیح البخاری و الترمذی أنّ رجلاً من بنی‌عبد قیس جاء إلی النبی صلی الله علیه و آله فلمّا أراد الانصراف أمره صلی الله علیه و آله بالصلاة و الصیام و الزکاة وإعطاء الخمس ممّا غنم،فإنّ من الواضح عدم إرادة الخمس من غنائم دار الحرب؛لعدم فرض قتال أو غزو،بل المراد خمس الأرباح و المتاجر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ویؤیده ما مرّ بنا أنّ عمربن عبدالعزیز أخذ من العنبر الخمس</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والانصاف أنّه لم یتّضح لدینا بعدُ ماذا کانت الحالة علیه فی عصره صلی الله علیه و آله بالإضافة إلی أخذ هذا النوع من الخمس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یثبت عدم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العهد بعید و الفصل طویل و قد تخللّ بیننا عصر الاُمویین الّذین بدّلوا الحکومة الإسلامیة حکومة جاهلیة،ومحقوا أحکام الدین حتّی أنّ کثیراً من الناس لم یعرفوا وجوب الزکاة الثابت بنص القرآن کما یحکیه لنا التاریخ و الحدیث بل فی صحیح أبی‌داوود وسنن النسائی أنّ أکثر أهل الشام لم یکونوا یعرفون أعداد الفرائض،وعن ابن‌سعد فی الطبقات أنّ کثیراً من الناس لم یعرفوا من مناسک حجّهم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ابن‌حزم عن ابن‌عبّاس أنّه خطب فی خطب فی البصرة وذکر زکاة الفطرة وصدقة الصیام فلم یعرفوها حتّی أمر من معه أن یعلّم الناس فإذا کان الحال هذه بالإضافة إلی مثل هذه الأحکام الّتی من ضروریات الإسلام ومتعلّقة بجمیع الأنام فما ظنّک بمثل الخمس الّذی هو حقّ خاص له ولقرابته ولم یکن من الحقوق العامّة کما فی الزکاة بل لخصوص بنی‌هاشم زادهم الله عزّاً وشرفاً فلا غرابة إذاً،فی جهلنا بما کان علیه أمر الخمس فی عصره صلی الله علیه و آله أخذاً وصرفاً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کلّه لایکشف عن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الوصول لا یلازم عدم التشریع بعد أن نطق به الکتاب العزیز و السنّة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یؤکّد ذلک أنّه لا خلاف</w:t>
      </w:r>
    </w:p>
    <w:p>
      <w:pPr>
        <w:pStyle w:val="BookText"/>
        <w:rPr/>
      </w:pPr>
      <w:r>
        <w:rPr>
          <w:rFonts w:ascii="IRNazanin" w:hAnsi="IRNazanin" w:eastAsia="IRNazanin"/>
          <w:color w:val="111111"/>
          <w:sz w:val="28"/>
          <w:sz w:val="28"/>
          <w:szCs w:val="28"/>
          <w:rtl w:val="true"/>
          <w:lang w:bidi="fa-IR"/>
        </w:rPr>
        <w:t>بیننا وبین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جواز دفع الزکاة لبنی‌هاشم،و أنّ الصدقة علیهم حرام حتّی أنّه لایجوز استعمالهم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والدفع من سهم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خلافاً فی أنّ بنی‌هاشم لاتحلّ لهم الصدقة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الصدقة لا تبتغی لآل‌محمّد صلی الله علیه و آله إنّما هی أوساخ الناس أخرجه مسلم</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و قد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روایات متواترة کما وردت من طرقنا أیضاً حسبما تقدّم فی کتاب الزکاة،وفی بعضها أنّ الله تعالی قد عوّض عنها الخمس إکراماً لهم وتنزیهاً عن أوساخ ما فی أیدی الناس،وفی صحیح مسلم وغیره أنّ الفضل‌بن العبّاس وشخصاً آخر من بنی‌هاشم کانا محتاجین إلی الزواج ولم یکن لدیهما مهر فاشتکیا ذلک إلی رسول الله صلی الله علیه و آله،وطلبا منه أن یستعملهما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یستخدمهما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الزکاة لیحصلا علی المهر من سهم العاملین فلم یرتض صلی الله علیه و آله بذلک بل أمر شخصین أن یزوّجاهما ابنتیهما منهما وجعل مهرهما من الخمس بدلاً عن الزکاة،والروایات بذلک متظافرة بل متواترة من الطرفین کما عرفت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الضروری أنّ الحرب لیست قائمة بین المسلمین و الکفّار مدی الدهر،لیتحقّق بذلک موضوع الخمس من غنائم دار الحرب فتدفع إلیهم وعلیه فلو کان الخمس مقصوراً علی غنائم دارالحرب ولم‌یکن متعلّقاً بما له دوام واستمرار من الأرباح و التجارات فکیف یعیش الفقراء من بنی‌هاشم فی عصر الهدنة الّذی هو عصر طویل الأمد،بعید الأجل،والمفروض تسالم الفریقین علی منعهم عن الزکاة أیضاً کما مرّ،إذاً فما هو الخمس المجعول عوضاً عنها فی هذه الظروف؟فلا مناص من الالتزام بتعلّقه کالزکاة بما له دوام واستمرار فی جمیع الأعصار؛لتستقیم البدلیة الأبدیة،ولا</w:t>
      </w:r>
      <w:bookmarkStart w:id="1595" w:name="pg5240_59454"/>
    </w:p>
    <w:p>
      <w:pPr>
        <w:pStyle w:val="BookText"/>
        <w:rPr/>
      </w:pPr>
      <w:bookmarkEnd w:id="1595"/>
      <w:r>
        <w:rPr>
          <w:rFonts w:ascii="IRNazanin" w:hAnsi="IRNazanin" w:eastAsia="IRNazanin"/>
          <w:color w:val="111111"/>
          <w:sz w:val="28"/>
          <w:sz w:val="28"/>
          <w:szCs w:val="28"/>
          <w:rtl w:val="true"/>
          <w:lang w:bidi="fa-IR"/>
        </w:rPr>
        <w:t>یکون الهاشمی أقلّ نصیباً من غیره ولیس ما هو کذلک إلاّ عامّة الأرباح و المکاسب حسبما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الاستشکال فی وجوب الخمس فی هذا القسم ساقط بتاتاً،ویدلّنا علی الحکم ثانیاً جملة وافرة من النصوص الّتی عرفت أنّها بالغة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موثّقة سماعة قال سألت أباالحسن علیه السلام عن الخمس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علی‌بن مهزیار سأل عن الخمس فیما أوجب علی أصحاب الضیاع فکتب وقرأه علی‌بن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 بعد مؤونته ومؤونة عیاله</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فإنّها صریحة فی المطلوب</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وفی ضوء هذا البیان الشامل نصل إلی هذه النتجة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الخمس لایختصّ بغنائم دار الحرب بل له نطاق واسع بحسب ما ینطق الکتاب به و السنّة</w:t>
      </w:r>
      <w:r>
        <w:rPr>
          <w:rFonts w:eastAsia="IRNazanin" w:cs="IRNazanin"/>
          <w:color w:val="111111"/>
          <w:sz w:val="28"/>
          <w:szCs w:val="28"/>
          <w:rtl w:val="true"/>
          <w:lang w:bidi="fa-IR"/>
        </w:rPr>
        <w:t>.</w:t>
      </w:r>
    </w:p>
    <w:p>
      <w:pPr>
        <w:pStyle w:val="Heading3"/>
        <w:numPr>
          <w:ilvl w:val="2"/>
          <w:numId w:val="1"/>
        </w:numPr>
        <w:rPr/>
      </w:pPr>
      <w:bookmarkStart w:id="1596" w:name="__RefHeading___Toc363626_581953129"/>
      <w:bookmarkStart w:id="1597" w:name="_Toc667"/>
      <w:bookmarkEnd w:id="1596"/>
      <w:r>
        <w:rPr>
          <w:rtl w:val="true"/>
        </w:rPr>
        <w:t>مصرف الخمس</w:t>
      </w:r>
      <w:bookmarkEnd w:id="1597"/>
    </w:p>
    <w:p>
      <w:pPr>
        <w:pStyle w:val="Heading4"/>
        <w:numPr>
          <w:ilvl w:val="3"/>
          <w:numId w:val="1"/>
        </w:numPr>
        <w:rPr/>
      </w:pPr>
      <w:bookmarkStart w:id="1598" w:name="__RefHeading___Toc363628_581953129"/>
      <w:bookmarkStart w:id="1599" w:name="_Toc668"/>
      <w:bookmarkEnd w:id="1598"/>
      <w:r>
        <w:rPr>
          <w:rtl w:val="true"/>
        </w:rPr>
        <w:t>اشارة</w:t>
      </w:r>
      <w:bookmarkEnd w:id="1599"/>
    </w:p>
    <w:p>
      <w:pPr>
        <w:pStyle w:val="BookText"/>
        <w:rPr/>
      </w:pPr>
      <w:r>
        <w:rPr>
          <w:rFonts w:ascii="IRNazanin" w:hAnsi="IRNazanin" w:eastAsia="IRNazanin"/>
          <w:color w:val="111111"/>
          <w:sz w:val="28"/>
          <w:sz w:val="28"/>
          <w:szCs w:val="28"/>
          <w:rtl w:val="true"/>
          <w:lang w:bidi="fa-IR"/>
        </w:rPr>
        <w:t>اختلفت الآراء حول مصرف الخمس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600" w:name="__RefHeading___Toc363630_581953129"/>
      <w:bookmarkStart w:id="1601" w:name="_Toc669"/>
      <w:bookmarkEnd w:id="1600"/>
      <w:r>
        <w:rPr>
          <w:rtl w:val="true"/>
        </w:rPr>
        <w:t>المذهب الجعفری</w:t>
      </w:r>
      <w:bookmarkEnd w:id="160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الخمس ستّة أسهم علی الأصحّ،سهم لله سبحانه وسهم للنبی صلی الله علیه و آله وسهم للإمام علیه السلام و هذه الثلاثة فی عصرنا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عجّل الله فرجه وثلاثة أخری للأیتام و المساکین وأبناء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ومستحقّ الخمس من انتسب إلی هاشم بالاُبوّة وینبغی تقدیم الأتمّ علقة بالنبی صلی الله علیه و آله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کالفاطمیین</w:t>
      </w:r>
      <w:r>
        <w:rPr>
          <w:rFonts w:eastAsia="IRNazanin" w:cs="IRNazanin"/>
          <w:color w:val="111111"/>
          <w:sz w:val="28"/>
          <w:szCs w:val="28"/>
          <w:rtl w:val="true"/>
          <w:lang w:bidi="fa-IR"/>
        </w:rPr>
        <w:t xml:space="preserve">. </w:t>
      </w:r>
      <w:r>
        <w:rPr>
          <w:rStyle w:val="FootnoteAnchor"/>
          <w:rtl w:val="true"/>
        </w:rPr>
        <w:footnoteReference w:id="757"/>
      </w:r>
      <w:bookmarkStart w:id="1602" w:name="pg5240_59455"/>
    </w:p>
    <w:p>
      <w:pPr>
        <w:pStyle w:val="BookText"/>
        <w:rPr/>
      </w:pPr>
      <w:bookmarkEnd w:id="1602"/>
      <w:r>
        <w:rPr>
          <w:rFonts w:ascii="Amiri" w:hAnsi="Amiri" w:eastAsia="Amiri" w:cs="Amiri"/>
          <w:color w:val="111111"/>
          <w:sz w:val="28"/>
          <w:sz w:val="28"/>
          <w:szCs w:val="28"/>
          <w:rtl w:val="true"/>
          <w:lang w:bidi="ar-SA"/>
        </w:rPr>
        <w:t>وقال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وتدلّ علیه طائفة من الروایات قد ادّعی أنّها متواترة إجمالاً فإن تمّت الدعوی فهی وإلاّ تکفینا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المصرّحة بالأسهم ستّة</w:t>
      </w:r>
      <w:r>
        <w:rPr>
          <w:rFonts w:eastAsia="Amiri" w:cs="Amiri" w:ascii="Amiri" w:hAnsi="Amiri"/>
          <w:color w:val="111111"/>
          <w:sz w:val="28"/>
          <w:szCs w:val="28"/>
          <w:rtl w:val="true"/>
          <w:lang w:bidi="ar-SA"/>
        </w:rPr>
        <w:t xml:space="preserve">. </w:t>
      </w:r>
      <w:r>
        <w:rPr>
          <w:rStyle w:val="FootnoteAnchor"/>
          <w:rtl w:val="true"/>
        </w:rPr>
        <w:footnoteReference w:id="758"/>
      </w:r>
    </w:p>
    <w:p>
      <w:pPr>
        <w:pStyle w:val="Heading4"/>
        <w:numPr>
          <w:ilvl w:val="3"/>
          <w:numId w:val="1"/>
        </w:numPr>
        <w:rPr/>
      </w:pPr>
      <w:bookmarkStart w:id="1603" w:name="__RefHeading___Toc363632_581953129"/>
      <w:bookmarkStart w:id="1604" w:name="_Toc670"/>
      <w:bookmarkEnd w:id="1603"/>
      <w:r>
        <w:rPr>
          <w:rtl w:val="true"/>
        </w:rPr>
        <w:t>المذهب الحنبلی</w:t>
      </w:r>
      <w:bookmarkEnd w:id="1604"/>
    </w:p>
    <w:p>
      <w:p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الصدقات،و هذا قول الشافعی،لأنّ علی‌بن أبی‌طالب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صاحب الکنز أن یتصدّق به علی المساکین</w:t>
      </w:r>
      <w:r>
        <w:rPr>
          <w:rFonts w:eastAsia="IRNazanin" w:cs="IRNazanin"/>
          <w:color w:val="111111"/>
          <w:sz w:val="28"/>
          <w:szCs w:val="28"/>
          <w:rtl w:val="true"/>
          <w:lang w:bidi="fa-IR"/>
        </w:rPr>
        <w:t xml:space="preserve">. </w:t>
      </w:r>
      <w:r>
        <w:rPr>
          <w:rStyle w:val="FootnoteAnchor"/>
          <w:rtl w:val="true"/>
        </w:rPr>
        <w:footnoteReference w:id="759"/>
      </w:r>
    </w:p>
    <w:p>
      <w:pPr>
        <w:pStyle w:val="Heading4"/>
        <w:numPr>
          <w:ilvl w:val="3"/>
          <w:numId w:val="1"/>
        </w:numPr>
        <w:rPr/>
      </w:pPr>
      <w:bookmarkStart w:id="1605" w:name="__RefHeading___Toc363634_581953129"/>
      <w:bookmarkStart w:id="1606" w:name="_Toc671"/>
      <w:bookmarkEnd w:id="1605"/>
      <w:r>
        <w:rPr>
          <w:rtl w:val="true"/>
        </w:rPr>
        <w:t>المذهب الحنفی</w:t>
      </w:r>
      <w:bookmarkEnd w:id="1606"/>
    </w:p>
    <w:p>
      <w:pPr>
        <w:pStyle w:val="BookText"/>
        <w:rPr/>
      </w:pPr>
      <w:r>
        <w:rPr>
          <w:rFonts w:ascii="IRNazanin" w:hAnsi="IRNazanin" w:eastAsia="IRNazanin"/>
          <w:color w:val="111111"/>
          <w:sz w:val="28"/>
          <w:sz w:val="28"/>
          <w:szCs w:val="28"/>
          <w:rtl w:val="true"/>
          <w:lang w:bidi="fa-IR"/>
        </w:rPr>
        <w:t>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الفیء لما أنّ عمربن الخطاب قسّم الخمس بین من حضره من المسلمین</w:t>
      </w:r>
      <w:r>
        <w:rPr>
          <w:rFonts w:eastAsia="IRNazanin" w:cs="IRNazanin"/>
          <w:color w:val="111111"/>
          <w:sz w:val="28"/>
          <w:szCs w:val="28"/>
          <w:rtl w:val="true"/>
          <w:lang w:bidi="fa-IR"/>
        </w:rPr>
        <w:t xml:space="preserve">. </w:t>
      </w:r>
      <w:r>
        <w:rPr>
          <w:rStyle w:val="FootnoteAnchor"/>
          <w:rtl w:val="true"/>
        </w:rPr>
        <w:footnoteReference w:id="760"/>
      </w:r>
    </w:p>
    <w:p>
      <w:pPr>
        <w:pStyle w:val="Heading4"/>
        <w:numPr>
          <w:ilvl w:val="3"/>
          <w:numId w:val="1"/>
        </w:numPr>
        <w:rPr/>
      </w:pPr>
      <w:bookmarkStart w:id="1607" w:name="__RefHeading___Toc363636_581953129"/>
      <w:bookmarkStart w:id="1608" w:name="_Toc672"/>
      <w:bookmarkEnd w:id="1607"/>
      <w:r>
        <w:rPr>
          <w:rtl w:val="true"/>
        </w:rPr>
        <w:t>المذهب المالکی</w:t>
      </w:r>
      <w:bookmarkEnd w:id="1608"/>
    </w:p>
    <w:p>
      <w:pPr>
        <w:pStyle w:val="BookText"/>
        <w:rPr/>
      </w:pPr>
      <w:r>
        <w:rPr>
          <w:rFonts w:ascii="IRNazanin" w:hAnsi="IRNazanin" w:eastAsia="IRNazanin"/>
          <w:color w:val="111111"/>
          <w:sz w:val="28"/>
          <w:sz w:val="28"/>
          <w:szCs w:val="28"/>
          <w:rtl w:val="true"/>
          <w:lang w:bidi="fa-IR"/>
        </w:rPr>
        <w:t>ویکون الخمس کالغنائم یصرف فی المصالح العامّة</w:t>
      </w:r>
      <w:r>
        <w:rPr>
          <w:rFonts w:eastAsia="IRNazanin" w:cs="IRNazanin"/>
          <w:color w:val="111111"/>
          <w:sz w:val="28"/>
          <w:szCs w:val="28"/>
          <w:rtl w:val="true"/>
          <w:lang w:bidi="fa-IR"/>
        </w:rPr>
        <w:t xml:space="preserve">. </w:t>
      </w:r>
      <w:r>
        <w:rPr>
          <w:rStyle w:val="FootnoteAnchor"/>
          <w:rtl w:val="true"/>
        </w:rPr>
        <w:footnoteReference w:id="761"/>
      </w:r>
    </w:p>
    <w:p>
      <w:pPr>
        <w:pStyle w:val="Heading4"/>
        <w:numPr>
          <w:ilvl w:val="3"/>
          <w:numId w:val="1"/>
        </w:numPr>
        <w:rPr/>
      </w:pPr>
      <w:bookmarkStart w:id="1609" w:name="__RefHeading___Toc363638_581953129"/>
      <w:bookmarkStart w:id="1610" w:name="_Toc673"/>
      <w:bookmarkEnd w:id="1609"/>
      <w:r>
        <w:rPr>
          <w:rtl w:val="true"/>
        </w:rPr>
        <w:t>منشأ الاختلاف</w:t>
      </w:r>
      <w:bookmarkEnd w:id="1610"/>
    </w:p>
    <w:p>
      <w:pPr>
        <w:pStyle w:val="BookText"/>
        <w:rPr/>
      </w:pPr>
      <w:r>
        <w:rPr>
          <w:rFonts w:ascii="IRNazanin" w:hAnsi="IRNazanin" w:eastAsia="IRNazanin"/>
          <w:color w:val="111111"/>
          <w:sz w:val="28"/>
          <w:sz w:val="28"/>
          <w:szCs w:val="28"/>
          <w:rtl w:val="true"/>
          <w:lang w:bidi="fa-IR"/>
        </w:rPr>
        <w:t>الخلاف ناشئ عن فهم المعنی من‌الآیة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الاختلاف فی النصوص الواردة عن الطریقین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فإنّ الأوفق بظاهر الکتاب و الأحوط فی الدین هو اختصاص الأسهم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الثلاثة الأولی للإمام علیه السلام حیث یأخذه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الجامع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یضعها فی مصالح الإسلام و الأسهم الثلاثة الأخری تعطی لفقراء بنی‌هاشم هذا ما ینسجم مع منهجیة التقسیم فی شتّی المذاهب؛ذلک لما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إضافیة إلی النبی صلی الله علیه و آله فیکون تکریمهم بحسب الحقیقة إکراماً للنبی صلی الله علیه و آله وعلیه تکون مساعدة بنی‌هاشم من المصالح العامّة للمسلمین کافّة</w:t>
      </w:r>
      <w:r>
        <w:rPr>
          <w:rFonts w:eastAsia="IRNazanin" w:cs="IRNazanin"/>
          <w:color w:val="111111"/>
          <w:sz w:val="28"/>
          <w:szCs w:val="28"/>
          <w:rtl w:val="true"/>
          <w:lang w:bidi="fa-IR"/>
        </w:rPr>
        <w:t>.</w:t>
      </w:r>
      <w:bookmarkStart w:id="1611" w:name="pg5240_59457"/>
    </w:p>
    <w:p>
      <w:pPr>
        <w:pStyle w:val="Heading3"/>
        <w:numPr>
          <w:ilvl w:val="2"/>
          <w:numId w:val="1"/>
        </w:numPr>
        <w:rPr/>
      </w:pPr>
      <w:bookmarkStart w:id="1612" w:name="__RefHeading___Toc363640_581953129"/>
      <w:bookmarkStart w:id="1613" w:name="_Toc674"/>
      <w:bookmarkEnd w:id="1611"/>
      <w:bookmarkEnd w:id="1612"/>
      <w:r>
        <w:rPr>
          <w:rtl w:val="true"/>
        </w:rPr>
        <w:t>الخلاصة</w:t>
      </w:r>
      <w:bookmarkEnd w:id="1613"/>
    </w:p>
    <w:p>
      <w:pPr>
        <w:pStyle w:val="BookText"/>
        <w:rPr/>
      </w:pPr>
      <w:r>
        <w:rPr>
          <w:rFonts w:ascii="IRNazanin" w:hAnsi="IRNazanin" w:eastAsia="IRNazanin"/>
          <w:color w:val="111111"/>
          <w:sz w:val="28"/>
          <w:sz w:val="28"/>
          <w:szCs w:val="28"/>
          <w:rtl w:val="true"/>
          <w:lang w:bidi="fa-IR"/>
        </w:rPr>
        <w:t>لاشکّ فی وجوب الخمس کتاباً وسنّة وإجماعاً ولا خلاف إلاّ فی بعض ما یتعلّق به الخمس کأرباح التجارة وما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یختصّ الخمس علی غنائم دار الحرب علی المذاهب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الرئیسی للاختلاف فی متعلّق الخمس سعةً وضیقاً هو الاختلاف فی فهم المعنی من آیة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فقهاء الإسلام فی حرمة الزکاة لبنی‌هاشم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الخمس نصف للإمام أو نائبه ونصف لفقراء بنی‌هاشم أوفق بالقواعد وأحوط للدین</w:t>
      </w:r>
      <w:r>
        <w:rPr>
          <w:rFonts w:eastAsia="IRNazanin" w:cs="IRNazanin"/>
          <w:color w:val="111111"/>
          <w:sz w:val="28"/>
          <w:szCs w:val="28"/>
          <w:rtl w:val="true"/>
          <w:lang w:bidi="fa-IR"/>
        </w:rPr>
        <w:t>.</w:t>
      </w:r>
      <w:bookmarkStart w:id="1614" w:name="pg5240_59458"/>
    </w:p>
    <w:p>
      <w:pPr>
        <w:pStyle w:val="Heading3"/>
        <w:numPr>
          <w:ilvl w:val="2"/>
          <w:numId w:val="1"/>
        </w:numPr>
        <w:rPr/>
      </w:pPr>
      <w:bookmarkStart w:id="1615" w:name="__RefHeading___Toc363642_581953129"/>
      <w:bookmarkStart w:id="1616" w:name="_Toc675"/>
      <w:bookmarkEnd w:id="1614"/>
      <w:bookmarkEnd w:id="1615"/>
      <w:r>
        <w:rPr>
          <w:rtl w:val="true"/>
        </w:rPr>
        <w:t>الأسئلة</w:t>
      </w:r>
      <w:bookmarkEnd w:id="1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وجوب الخمس من الکتاب و السنّة؟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أنّ آیة الخمس تختصّ بغنائم دار الحرب؟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الزکاة و الخمس جبایة وتبلیغاً؟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الجهل بالنسبة إلی شؤون الخمس یکشف عن عدم وجوبه؟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عامل الاختلاف فی مصرف الخمس؟</w:t>
      </w:r>
      <w:bookmarkStart w:id="1617" w:name="pg5240_59459"/>
    </w:p>
    <w:p>
      <w:pPr>
        <w:pStyle w:val="Heading2"/>
        <w:numPr>
          <w:ilvl w:val="1"/>
          <w:numId w:val="1"/>
        </w:numPr>
        <w:rPr/>
      </w:pPr>
      <w:bookmarkStart w:id="1618" w:name="__RefHeading___Toc363644_581953129"/>
      <w:bookmarkStart w:id="1619" w:name="_Toc676"/>
      <w:bookmarkEnd w:id="1617"/>
      <w:bookmarkEnd w:id="1618"/>
      <w:r>
        <w:rPr/>
        <w:t>24</w:t>
      </w:r>
      <w:r>
        <w:rPr>
          <w:rtl w:val="true"/>
        </w:rPr>
        <w:t xml:space="preserve">- </w:t>
      </w:r>
      <w:r>
        <w:rPr>
          <w:rtl w:val="true"/>
        </w:rPr>
        <w:t>الحجّ</w:t>
      </w:r>
      <w:bookmarkEnd w:id="1619"/>
    </w:p>
    <w:p>
      <w:pPr>
        <w:pStyle w:val="Heading3"/>
        <w:numPr>
          <w:ilvl w:val="2"/>
          <w:numId w:val="1"/>
        </w:numPr>
        <w:rPr/>
      </w:pPr>
      <w:bookmarkStart w:id="1620" w:name="__RefHeading___Toc363646_581953129"/>
      <w:bookmarkStart w:id="1621" w:name="_Toc677"/>
      <w:bookmarkEnd w:id="1620"/>
      <w:r>
        <w:rPr>
          <w:rtl w:val="true"/>
        </w:rPr>
        <w:t>فوریة وجوب الحجّ</w:t>
      </w:r>
      <w:bookmarkEnd w:id="1621"/>
    </w:p>
    <w:p>
      <w:pPr>
        <w:pStyle w:val="Heading4"/>
        <w:numPr>
          <w:ilvl w:val="3"/>
          <w:numId w:val="1"/>
        </w:numPr>
        <w:rPr/>
      </w:pPr>
      <w:bookmarkStart w:id="1622" w:name="__RefHeading___Toc363648_581953129"/>
      <w:bookmarkStart w:id="1623" w:name="_Toc678"/>
      <w:bookmarkEnd w:id="1622"/>
      <w:r>
        <w:rPr>
          <w:rtl w:val="true"/>
        </w:rPr>
        <w:t>اشارة</w:t>
      </w:r>
      <w:bookmarkEnd w:id="1623"/>
    </w:p>
    <w:p>
      <w:pPr>
        <w:pStyle w:val="BookText"/>
        <w:rPr/>
      </w:pPr>
      <w:r>
        <w:rPr>
          <w:rFonts w:ascii="IRNazanin" w:hAnsi="IRNazanin" w:eastAsia="IRNazanin"/>
          <w:color w:val="111111"/>
          <w:sz w:val="28"/>
          <w:sz w:val="28"/>
          <w:szCs w:val="28"/>
          <w:rtl w:val="true"/>
          <w:lang w:bidi="fa-IR"/>
        </w:rPr>
        <w:t>ثمّة اختلاف یسیر بین المذاهب بالنسبة إلی فوریة وجوب الحج،تمکن ملاحظته وفق التفصیل التالی</w:t>
      </w:r>
      <w:r>
        <w:rPr>
          <w:rFonts w:eastAsia="IRNazanin" w:cs="IRNazanin"/>
          <w:color w:val="111111"/>
          <w:sz w:val="28"/>
          <w:szCs w:val="28"/>
          <w:rtl w:val="true"/>
          <w:lang w:bidi="fa-IR"/>
        </w:rPr>
        <w:t>:</w:t>
      </w:r>
    </w:p>
    <w:p>
      <w:pPr>
        <w:pStyle w:val="Heading4"/>
        <w:numPr>
          <w:ilvl w:val="3"/>
          <w:numId w:val="1"/>
        </w:numPr>
        <w:rPr/>
      </w:pPr>
      <w:bookmarkStart w:id="1624" w:name="__RefHeading___Toc363650_581953129"/>
      <w:bookmarkStart w:id="1625" w:name="_Toc679"/>
      <w:bookmarkEnd w:id="1624"/>
      <w:r>
        <w:rPr>
          <w:rtl w:val="true"/>
        </w:rPr>
        <w:t>المذاهب الاربعة</w:t>
      </w:r>
      <w:bookmarkEnd w:id="1625"/>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فرض علی الفور فکلّ من توفرّت فیه شروط وجوبه ثمّ أخّره عن أوّل عام استطاع فیه‌یکون آثما بالتأخیر عند ثلاثة من الأئمّة،وخالف الشافعی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هوفرض علی‌التراخی فإن أخّره عن‌أوّل عام قدرفیه إلی عام آخر لایکون عاصیاً بالتأخیر </w:t>
      </w:r>
      <w:r>
        <w:rPr>
          <w:rStyle w:val="FootnoteAnchor"/>
          <w:rtl w:val="true"/>
        </w:rPr>
        <w:footnoteReference w:id="762"/>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للتأخیر أنّه لا دلالة للأمر علی الفوریة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میلباری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یجب الحج مرّة بتراخ</w:t>
      </w:r>
      <w:r>
        <w:rPr>
          <w:rFonts w:eastAsia="IRNazanin" w:cs="IRNazanin"/>
          <w:color w:val="111111"/>
          <w:sz w:val="28"/>
          <w:szCs w:val="28"/>
          <w:rtl w:val="true"/>
          <w:lang w:bidi="fa-IR"/>
        </w:rPr>
        <w:t xml:space="preserve">. </w:t>
      </w:r>
      <w:r>
        <w:rPr>
          <w:rStyle w:val="FootnoteAnchor"/>
          <w:rtl w:val="true"/>
        </w:rPr>
        <w:footnoteReference w:id="763"/>
      </w:r>
      <w:bookmarkStart w:id="1626" w:name="pg5240_59460"/>
    </w:p>
    <w:p>
      <w:pPr>
        <w:pStyle w:val="BookText"/>
        <w:rPr/>
      </w:pPr>
      <w:bookmarkEnd w:id="1626"/>
      <w:r>
        <w:rPr>
          <w:rFonts w:ascii="IRNazanin" w:hAnsi="IRNazanin" w:eastAsia="IRNazanin"/>
          <w:color w:val="111111"/>
          <w:sz w:val="28"/>
          <w:sz w:val="28"/>
          <w:szCs w:val="28"/>
          <w:rtl w:val="true"/>
          <w:lang w:bidi="fa-IR"/>
        </w:rPr>
        <w:t>قالالشافعی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فوقت‌الحج مابین أن‌یجب علیه إلی‌أن‌یموت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ذلک؛لأنّ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یحج بعد فرض الحج إلاّ حجة الإسلام وهی حجة الوداع</w:t>
      </w:r>
      <w:r>
        <w:rPr>
          <w:rFonts w:eastAsia="IRNazanin" w:cs="IRNazanin"/>
          <w:color w:val="111111"/>
          <w:sz w:val="28"/>
          <w:szCs w:val="28"/>
          <w:rtl w:val="true"/>
          <w:lang w:bidi="fa-IR"/>
        </w:rPr>
        <w:t xml:space="preserve">. </w:t>
      </w:r>
      <w:r>
        <w:rPr>
          <w:rStyle w:val="FootnoteAnchor"/>
          <w:rtl w:val="true"/>
        </w:rPr>
        <w:footnoteReference w:id="764"/>
      </w:r>
    </w:p>
    <w:p>
      <w:pPr>
        <w:pStyle w:val="Heading4"/>
        <w:numPr>
          <w:ilvl w:val="3"/>
          <w:numId w:val="1"/>
        </w:numPr>
        <w:rPr/>
      </w:pPr>
      <w:bookmarkStart w:id="1627" w:name="__RefHeading___Toc363652_581953129"/>
      <w:bookmarkStart w:id="1628" w:name="_Toc680"/>
      <w:bookmarkEnd w:id="1627"/>
      <w:r>
        <w:rPr>
          <w:rtl w:val="true"/>
        </w:rPr>
        <w:t>المذهب الجعفری</w:t>
      </w:r>
      <w:bookmarkEnd w:id="1628"/>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أنّ وجوب الحجّ بعد تحقّق الشرائط فوری،بمعنی أنّه تجب المبادرة إلیه فی العام الأوّل من الاستطاعة فلا یجوز تأخیره عنه،فلو خالف وأخّر بلاعذر یکون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کما قال السید الخوئی؛لأنّ المکلّف إذا کان واجداً للشرائط وتنجّز التکلیف علیه فلابدّ له من تفریغ ذمّته فوراً ولا عذر له فی التأخیر مع احتمال الفوت،وبالجملة یکفینا حکم العقل بوجوب المبادرة وبعدم جواز تأخیره عن عام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دلالة النصوص علی الفوریة ولزوم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أبی‌بصیر،قال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صحیح موسر لم یحج فهو ممّن قال الله عزّوجلّ ونحشره یوم القیامة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أعمی؟قال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الله عزّوجلّ أعماه عن طریق الحقّ</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وهی واضحة الدلالة علی وجوب المبادرة وعدم جواز التأخیر ولو کان التأخیر جائزاً لم یکن وجه لعذابه وعقابه</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فی الدین</w:t>
      </w:r>
      <w:r>
        <w:rPr>
          <w:rFonts w:eastAsia="IRNazanin" w:cs="IRNazanin"/>
          <w:color w:val="111111"/>
          <w:sz w:val="28"/>
          <w:szCs w:val="28"/>
          <w:rtl w:val="true"/>
          <w:lang w:bidi="fa-IR"/>
        </w:rPr>
        <w:t>.</w:t>
      </w:r>
    </w:p>
    <w:p>
      <w:pPr>
        <w:pStyle w:val="Heading3"/>
        <w:numPr>
          <w:ilvl w:val="2"/>
          <w:numId w:val="1"/>
        </w:numPr>
        <w:rPr/>
      </w:pPr>
      <w:bookmarkStart w:id="1629" w:name="__RefHeading___Toc363654_581953129"/>
      <w:bookmarkStart w:id="1630" w:name="_Toc681"/>
      <w:bookmarkEnd w:id="1629"/>
      <w:r>
        <w:rPr>
          <w:rtl w:val="true"/>
        </w:rPr>
        <w:t>شرائط وجوب الحجّ</w:t>
      </w:r>
      <w:bookmarkEnd w:id="1630"/>
    </w:p>
    <w:p>
      <w:pPr>
        <w:pStyle w:val="Heading4"/>
        <w:numPr>
          <w:ilvl w:val="3"/>
          <w:numId w:val="1"/>
        </w:numPr>
        <w:rPr/>
      </w:pPr>
      <w:bookmarkStart w:id="1631" w:name="__RefHeading___Toc363656_581953129"/>
      <w:bookmarkStart w:id="1632" w:name="_Toc682"/>
      <w:bookmarkEnd w:id="1631"/>
      <w:r>
        <w:rPr>
          <w:rtl w:val="true"/>
        </w:rPr>
        <w:t>اشارة</w:t>
      </w:r>
      <w:bookmarkEnd w:id="163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وجوب حجّة‌الإسلام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الکمال بالبلوغ و العقل،فلا یجب علی الصبی و إن کان مراهقاً ولا علی المجنون و إن کان أدواریاً إذا لم یف دور إفاقته بإتیان تمام الأعمال،ولو حجّ الصبی لم یجز عن حجّة الإسلام و إن</w:t>
      </w:r>
      <w:bookmarkStart w:id="1633" w:name="pg5240_59461"/>
    </w:p>
    <w:p>
      <w:pPr>
        <w:pStyle w:val="BookText"/>
        <w:rPr/>
      </w:pPr>
      <w:bookmarkEnd w:id="1633"/>
      <w:r>
        <w:rPr>
          <w:rFonts w:ascii="IRNazanin" w:hAnsi="IRNazanin" w:eastAsia="IRNazanin"/>
          <w:color w:val="111111"/>
          <w:sz w:val="28"/>
          <w:sz w:val="28"/>
          <w:szCs w:val="28"/>
          <w:rtl w:val="true"/>
          <w:lang w:bidi="fa-IR"/>
        </w:rPr>
        <w:t>قلنا بصحّة عباداته وشرعیتها،کما هو الأقوی،ففی خبر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غلاماً حجّ عشر حجج ثمّ احتلم کان علیه فریضة الإسلام</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هو نفس الرأی علی المذاهب الأربعة مع اختلاف فی التعبیر</w:t>
      </w:r>
      <w:r>
        <w:rPr>
          <w:rFonts w:eastAsia="IRNazanin" w:cs="IRNazanin"/>
          <w:color w:val="111111"/>
          <w:sz w:val="28"/>
          <w:szCs w:val="28"/>
          <w:rtl w:val="true"/>
          <w:lang w:bidi="fa-IR"/>
        </w:rPr>
        <w:t>.</w:t>
      </w:r>
    </w:p>
    <w:p>
      <w:pPr>
        <w:pStyle w:val="Heading4"/>
        <w:numPr>
          <w:ilvl w:val="3"/>
          <w:numId w:val="1"/>
        </w:numPr>
        <w:rPr/>
      </w:pPr>
      <w:bookmarkStart w:id="1634" w:name="__RefHeading___Toc363658_581953129"/>
      <w:bookmarkStart w:id="1635" w:name="_Toc683"/>
      <w:bookmarkEnd w:id="1634"/>
      <w:r>
        <w:rPr>
          <w:rtl w:val="true"/>
        </w:rPr>
        <w:t>الاستطاعة</w:t>
      </w:r>
      <w:bookmarkEnd w:id="1635"/>
    </w:p>
    <w:p>
      <w:pPr>
        <w:pStyle w:val="Heading5"/>
        <w:numPr>
          <w:ilvl w:val="4"/>
          <w:numId w:val="1"/>
        </w:numPr>
        <w:rPr/>
      </w:pPr>
      <w:bookmarkStart w:id="1636" w:name="__RefHeading___Toc363660_581953129"/>
      <w:bookmarkStart w:id="1637" w:name="_Toc684"/>
      <w:bookmarkEnd w:id="1636"/>
      <w:r>
        <w:rPr>
          <w:rtl w:val="true"/>
        </w:rPr>
        <w:t>اشارة</w:t>
      </w:r>
      <w:bookmarkEnd w:id="1637"/>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الشرعیة وهی کما فی جملة من الأخبار الزاد و الراحلة فمع عدمهما لایجب و إن کان قادراً علیه عقلاً</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ولا خلاف فیه و إنّما الخلاف فی إجزاء الحجّ من غیر المستطیع و هو بما یلی</w:t>
      </w:r>
      <w:r>
        <w:rPr>
          <w:rFonts w:eastAsia="IRNazanin" w:cs="IRNazanin"/>
          <w:color w:val="111111"/>
          <w:sz w:val="28"/>
          <w:szCs w:val="28"/>
          <w:rtl w:val="true"/>
          <w:lang w:bidi="fa-IR"/>
        </w:rPr>
        <w:t>:</w:t>
      </w:r>
    </w:p>
    <w:p>
      <w:pPr>
        <w:pStyle w:val="Heading5"/>
        <w:numPr>
          <w:ilvl w:val="4"/>
          <w:numId w:val="1"/>
        </w:numPr>
        <w:rPr/>
      </w:pPr>
      <w:bookmarkStart w:id="1638" w:name="__RefHeading___Toc363662_581953129"/>
      <w:bookmarkStart w:id="1639" w:name="_Toc685"/>
      <w:bookmarkEnd w:id="1638"/>
      <w:r>
        <w:rPr>
          <w:rtl w:val="true"/>
        </w:rPr>
        <w:t>المذهب الجعفری</w:t>
      </w:r>
      <w:bookmarkEnd w:id="1639"/>
    </w:p>
    <w:p>
      <w:pPr>
        <w:pStyle w:val="BookText"/>
        <w:rPr/>
      </w:pPr>
      <w:r>
        <w:rPr>
          <w:rFonts w:ascii="IRNazanin" w:hAnsi="IRNazanin" w:eastAsia="IRNazanin"/>
          <w:color w:val="111111"/>
          <w:sz w:val="28"/>
          <w:sz w:val="28"/>
          <w:szCs w:val="28"/>
          <w:rtl w:val="true"/>
          <w:lang w:bidi="fa-IR"/>
        </w:rPr>
        <w:t>قال السیدالطباطبائی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حجّ مع عدم الاستطاعة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تجشّماً أو تسکّعاً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فالظاهر،التسالم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الإجزاء ولا دلیل علیه إلاّ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ذلک؛لأنّ إطلاق مادلّ علی وجوب الحجّ علی تقدیر حصول الاستطاعة یقتضی وجوبه متی حصلت الاستطاعة سواء حجّ قبل ذلک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فی عام الاستطاعة غیر الأمر الندبی المتقدّم علی عام الاستطاعة</w:t>
      </w:r>
      <w:r>
        <w:rPr>
          <w:rFonts w:eastAsia="IRNazanin" w:cs="IRNazanin"/>
          <w:color w:val="111111"/>
          <w:sz w:val="28"/>
          <w:szCs w:val="28"/>
          <w:rtl w:val="true"/>
          <w:lang w:bidi="fa-IR"/>
        </w:rPr>
        <w:t xml:space="preserve">. </w:t>
      </w:r>
      <w:r>
        <w:rPr>
          <w:rStyle w:val="FootnoteAnchor"/>
          <w:rtl w:val="true"/>
        </w:rPr>
        <w:footnoteReference w:id="769"/>
      </w:r>
    </w:p>
    <w:p>
      <w:pPr>
        <w:pStyle w:val="Heading5"/>
        <w:numPr>
          <w:ilvl w:val="4"/>
          <w:numId w:val="1"/>
        </w:numPr>
        <w:rPr/>
      </w:pPr>
      <w:bookmarkStart w:id="1640" w:name="__RefHeading___Toc363664_581953129"/>
      <w:bookmarkStart w:id="1641" w:name="_Toc686"/>
      <w:bookmarkEnd w:id="1640"/>
      <w:r>
        <w:rPr>
          <w:rtl w:val="true"/>
        </w:rPr>
        <w:t>المذهب الحنفی</w:t>
      </w:r>
      <w:bookmarkEnd w:id="164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بادرغیر المستطیع إلی الحجّ بالمشقّة تجشّماً یجزئ عن الواجب،وعلیه إذا حصل الاستطاعة بعد إتمام الحجّ بذاک المنهج لایجب علیه الحجّ مرّة أخری</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و هو نفس الرأی علی المذهب الشافعی</w:t>
      </w:r>
      <w:r>
        <w:rPr>
          <w:rFonts w:eastAsia="IRNazanin" w:cs="IRNazanin"/>
          <w:color w:val="111111"/>
          <w:sz w:val="28"/>
          <w:szCs w:val="28"/>
          <w:rtl w:val="true"/>
          <w:lang w:bidi="fa-IR"/>
        </w:rPr>
        <w:t xml:space="preserve">. </w:t>
      </w:r>
      <w:r>
        <w:rPr>
          <w:rStyle w:val="FootnoteAnchor"/>
          <w:rtl w:val="true"/>
        </w:rPr>
        <w:footnoteReference w:id="771"/>
      </w:r>
      <w:bookmarkStart w:id="1642" w:name="pg5240_59462"/>
    </w:p>
    <w:p>
      <w:pPr>
        <w:pStyle w:val="Heading5"/>
        <w:numPr>
          <w:ilvl w:val="4"/>
          <w:numId w:val="1"/>
        </w:numPr>
        <w:rPr/>
      </w:pPr>
      <w:bookmarkStart w:id="1643" w:name="__RefHeading___Toc363666_581953129"/>
      <w:bookmarkStart w:id="1644" w:name="_Toc687"/>
      <w:bookmarkEnd w:id="1642"/>
      <w:bookmarkEnd w:id="1643"/>
      <w:r>
        <w:rPr>
          <w:rtl w:val="true"/>
        </w:rPr>
        <w:t>المذهب المالکی</w:t>
      </w:r>
      <w:bookmarkEnd w:id="1644"/>
    </w:p>
    <w:p>
      <w:pPr>
        <w:pStyle w:val="BookText"/>
        <w:rPr/>
      </w:pPr>
      <w:r>
        <w:rPr>
          <w:rFonts w:ascii="IRNazanin" w:hAnsi="IRNazanin" w:eastAsia="IRNazanin"/>
          <w:color w:val="111111"/>
          <w:sz w:val="28"/>
          <w:sz w:val="28"/>
          <w:szCs w:val="28"/>
          <w:rtl w:val="true"/>
          <w:lang w:bidi="fa-IR"/>
        </w:rPr>
        <w:t>من قدر علی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المشقّة الفادحة،فلا یکون مستطیعاً،ولا یجب علیه الحجّ ولکن لو تکلّفه،وتجشّم المشقّة أجزأه ووقع فرضاً</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وقال المواق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ووجب بإستطاعة،ولو بلازاد وراحلة لذی صنعة تقوم به و قدر علی المشی أو عطیة أو سؤال مطلق</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یمکنه المشی وعادته سؤال الناس لزمه الحجّ؛لأنّ هذه،الاستطاعة فی حقّه،فهو کواجد الزاد و الراحلة</w:t>
      </w:r>
      <w:r>
        <w:rPr>
          <w:rFonts w:eastAsia="IRNazanin" w:cs="IRNazanin"/>
          <w:color w:val="111111"/>
          <w:sz w:val="28"/>
          <w:szCs w:val="28"/>
          <w:rtl w:val="true"/>
          <w:lang w:bidi="fa-IR"/>
        </w:rPr>
        <w:t xml:space="preserve">. </w:t>
      </w:r>
      <w:r>
        <w:rPr>
          <w:rStyle w:val="FootnoteAnchor"/>
          <w:rtl w:val="true"/>
        </w:rPr>
        <w:footnoteReference w:id="774"/>
      </w:r>
    </w:p>
    <w:p>
      <w:pPr>
        <w:pStyle w:val="Heading5"/>
        <w:numPr>
          <w:ilvl w:val="4"/>
          <w:numId w:val="1"/>
        </w:numPr>
        <w:rPr/>
      </w:pPr>
      <w:bookmarkStart w:id="1645" w:name="__RefHeading___Toc363668_581953129"/>
      <w:bookmarkStart w:id="1646" w:name="_Toc688"/>
      <w:bookmarkEnd w:id="1645"/>
      <w:r>
        <w:rPr>
          <w:rtl w:val="true"/>
        </w:rPr>
        <w:t>المذهب الحنبلی</w:t>
      </w:r>
      <w:bookmarkEnd w:id="1646"/>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شرط الوجوب فقط و هو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تجشّم غیر المستطیع المشقّة وسار بغیر زاد وراحلة فحجّ کان حجّه صحیحاً مجزئاً کما لو تکلّف فی الصلاة و الصیام من یسقط عنه أجزأه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تکلّف الحجّ ممّن لایلزمه فإن أمکنه ذلک من غیر ضرر یلحق بغیره مثل أن یمشی ویکسب،ولایسأل‌الناس استحبّ له‌الحجّ؛لقوله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یَأْتُوکَ رِجالاً وَ عَلی کُلِّ ضامِرٍ</w:t>
      </w:r>
      <w:r>
        <w:rPr>
          <w:rFonts w:eastAsia="Amiri" w:cs="Amiri" w:ascii="Amiri" w:hAnsi="Amiri"/>
          <w:color w:val="111111"/>
          <w:sz w:val="28"/>
          <w:szCs w:val="28"/>
          <w:rtl w:val="true"/>
          <w:lang w:bidi="ar-SA"/>
        </w:rPr>
        <w:t xml:space="preserve">... . </w:t>
      </w:r>
      <w:r>
        <w:rPr>
          <w:rStyle w:val="FootnoteAnchor"/>
          <w:rtl w:val="true"/>
        </w:rPr>
        <w:footnoteReference w:id="775"/>
      </w:r>
      <w:r>
        <w:rPr>
          <w:rFonts w:ascii="IRNazanin" w:hAnsi="IRNazanin" w:eastAsia="IRNazanin"/>
          <w:color w:val="111111"/>
          <w:sz w:val="28"/>
          <w:sz w:val="28"/>
          <w:szCs w:val="28"/>
          <w:rtl w:val="true"/>
          <w:lang w:bidi="fa-IR"/>
        </w:rPr>
        <w:t>فقدّم ذکر الرجال ولأنّ فی ذلک مبالغة فی طاعة الله عزّوجلّ وخروجاً من الخلاف و إن کان یسأل الناس‌کره له الحجّ؛لأنّه یضیق علی الناس ویحصل‌کلاًّعلیهم فی التزام ما لایلزمه،وسئل أحمد عمّن یدخل البادیة بلا زاد ولا راحلة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له ذلک هذا یتوکّل علی أزواد الناس</w:t>
      </w:r>
      <w:r>
        <w:rPr>
          <w:rFonts w:eastAsia="IRNazanin" w:cs="IRNazanin"/>
          <w:color w:val="111111"/>
          <w:sz w:val="28"/>
          <w:szCs w:val="28"/>
          <w:rtl w:val="true"/>
          <w:lang w:bidi="fa-IR"/>
        </w:rPr>
        <w:t xml:space="preserve">. </w:t>
      </w:r>
      <w:r>
        <w:rPr>
          <w:rStyle w:val="FootnoteAnchor"/>
          <w:rtl w:val="true"/>
        </w:rPr>
        <w:footnoteReference w:id="776"/>
      </w:r>
      <w:bookmarkStart w:id="1647" w:name="pg5240_59463"/>
    </w:p>
    <w:p>
      <w:pPr>
        <w:pStyle w:val="Heading4"/>
        <w:numPr>
          <w:ilvl w:val="3"/>
          <w:numId w:val="1"/>
        </w:numPr>
        <w:rPr/>
      </w:pPr>
      <w:bookmarkStart w:id="1648" w:name="__RefHeading___Toc363670_581953129"/>
      <w:bookmarkStart w:id="1649" w:name="_Toc689"/>
      <w:bookmarkEnd w:id="1647"/>
      <w:bookmarkEnd w:id="1648"/>
      <w:r>
        <w:rPr>
          <w:rtl w:val="true"/>
        </w:rPr>
        <w:t>ما له صلة بالاستطاعة</w:t>
      </w:r>
      <w:bookmarkEnd w:id="1649"/>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عنده مقدار ما یکفیه للحجّ وکان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کونه مانعاً إلاّ مع التأجیل و الوثوق بالتمکّن من أداء الدین إذا صرف ما عنده فی الحجّ؛وذلک لعدم صدق الاستطاعة فی غیر هذه الصورة،وهی المناط فی الوجوب لامجرّد کونه مالکاً للمال وجواز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عنده مقدار مایکفیه للحجّ ونازعته نفسه إلی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لجماعة،عدم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ترک التزویج حرجاً علیه أو موجباً لحدوث مرض أو للوقوع فی الزنا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؛لقاعدتی الحرج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وفاقاً لأکثر القدماء اعتبار الرجوع إلی کفایة من تجارة أو صناعة أو منفعة ملک له ونحو ذلک بحیث لایحتاج إلی التکلّف ولا یقع فی الشدّة و الحرج</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ذلک کلّه؛لقاعدة نفی الحرج</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أن یکون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 عمّا یحتاج إلیه لنفقة عیاله الّذین تلزمه مؤونتهم فی مضیه ورجوعه؛لأنّ النفقة متعلّقة بحقوق الآدمیین وهم أحوج وحقّهم آکد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عبدالله‌بن عمرو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إثماً أن یضیع من یفوت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فاضلاً عمّا یحتاج هو وأهله إلیه من مسکن وما لابدّ منه،وأن یکون فاضلاً عن قضاء دینه؛لأنّ قضاء الدین من حوائجه الأصلیة و إن احتاج إلی النکاح وخاف علی نفسه العنت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التزویج؛لأنّه واجب علیه،ولا غنی به عنه فهو کنفقته،و إن لم یخف قدّم الحجّ؛لأنّ النکاح تطوّع فلا یقدّم علی الحجّ </w:t>
      </w:r>
      <w:r>
        <w:rPr>
          <w:rStyle w:val="FootnoteAnchor"/>
          <w:rtl w:val="true"/>
        </w:rPr>
        <w:footnoteReference w:id="778"/>
      </w:r>
      <w:r>
        <w:rPr>
          <w:rFonts w:ascii="IRNazanin" w:hAnsi="IRNazanin" w:eastAsia="IRNazanin"/>
          <w:color w:val="111111"/>
          <w:sz w:val="28"/>
          <w:sz w:val="28"/>
          <w:szCs w:val="28"/>
          <w:rtl w:val="true"/>
          <w:lang w:bidi="fa-IR"/>
        </w:rPr>
        <w:t xml:space="preserve">وها هو الرأی علی المذهب الشافعی </w:t>
      </w:r>
      <w:r>
        <w:rPr>
          <w:rStyle w:val="FootnoteAnchor"/>
          <w:rtl w:val="true"/>
        </w:rPr>
        <w:footnoteReference w:id="779"/>
      </w: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یقدّم التزویج</w:t>
      </w:r>
      <w:r>
        <w:rPr>
          <w:rFonts w:eastAsia="IRNazanin" w:cs="IRNazanin"/>
          <w:color w:val="111111"/>
          <w:sz w:val="28"/>
          <w:szCs w:val="28"/>
          <w:rtl w:val="true"/>
          <w:lang w:bidi="fa-IR"/>
        </w:rPr>
        <w:t xml:space="preserve">. </w:t>
      </w:r>
      <w:r>
        <w:rPr>
          <w:rStyle w:val="FootnoteAnchor"/>
          <w:rtl w:val="true"/>
        </w:rPr>
        <w:footnoteReference w:id="780"/>
      </w:r>
      <w:bookmarkStart w:id="1650" w:name="pg5240_59464"/>
    </w:p>
    <w:p>
      <w:pPr>
        <w:pStyle w:val="Heading4"/>
        <w:numPr>
          <w:ilvl w:val="3"/>
          <w:numId w:val="1"/>
        </w:numPr>
        <w:rPr/>
      </w:pPr>
      <w:bookmarkStart w:id="1651" w:name="__RefHeading___Toc363672_581953129"/>
      <w:bookmarkStart w:id="1652" w:name="_Toc690"/>
      <w:bookmarkEnd w:id="1650"/>
      <w:bookmarkEnd w:id="1651"/>
      <w:r>
        <w:rPr>
          <w:rtl w:val="true"/>
        </w:rPr>
        <w:t>تحقّق الاستطاعة بالبذل</w:t>
      </w:r>
      <w:bookmarkEnd w:id="1652"/>
    </w:p>
    <w:p>
      <w:pPr>
        <w:pStyle w:val="Heading5"/>
        <w:numPr>
          <w:ilvl w:val="4"/>
          <w:numId w:val="1"/>
        </w:numPr>
        <w:rPr/>
      </w:pPr>
      <w:bookmarkStart w:id="1653" w:name="__RefHeading___Toc363674_581953129"/>
      <w:bookmarkStart w:id="1654" w:name="_Toc691"/>
      <w:bookmarkEnd w:id="1653"/>
      <w:r>
        <w:rPr>
          <w:rtl w:val="true"/>
        </w:rPr>
        <w:t>اشارة</w:t>
      </w:r>
      <w:bookmarkEnd w:id="1654"/>
    </w:p>
    <w:p>
      <w:pPr>
        <w:pStyle w:val="BookText"/>
        <w:rPr/>
      </w:pPr>
      <w:r>
        <w:rPr>
          <w:rFonts w:ascii="IRNazanin" w:hAnsi="IRNazanin" w:eastAsia="IRNazanin"/>
          <w:color w:val="111111"/>
          <w:sz w:val="28"/>
          <w:sz w:val="28"/>
          <w:szCs w:val="28"/>
          <w:rtl w:val="true"/>
          <w:lang w:bidi="fa-IR"/>
        </w:rPr>
        <w:t>اختلفت الآراءحول تحقّق الاستطاعة بواسطة الهبة وعدم تحقّقها،وتفصیل الاختلاف بما یلی</w:t>
      </w:r>
      <w:r>
        <w:rPr>
          <w:rFonts w:eastAsia="IRNazanin" w:cs="IRNazanin"/>
          <w:color w:val="111111"/>
          <w:sz w:val="28"/>
          <w:szCs w:val="28"/>
          <w:rtl w:val="true"/>
          <w:lang w:bidi="fa-IR"/>
        </w:rPr>
        <w:t>:</w:t>
      </w:r>
    </w:p>
    <w:p>
      <w:pPr>
        <w:pStyle w:val="Heading5"/>
        <w:numPr>
          <w:ilvl w:val="4"/>
          <w:numId w:val="1"/>
        </w:numPr>
        <w:rPr/>
      </w:pPr>
      <w:bookmarkStart w:id="1655" w:name="__RefHeading___Toc363676_581953129"/>
      <w:bookmarkStart w:id="1656" w:name="_Toc692"/>
      <w:bookmarkEnd w:id="1655"/>
      <w:r>
        <w:rPr>
          <w:rtl w:val="true"/>
        </w:rPr>
        <w:t>المذهب الجعفری</w:t>
      </w:r>
      <w:bookmarkEnd w:id="1656"/>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وهبه مایکفیه للحجّ لأن یحج وجب علیه القبول علی الأقوی،بل وکذا لو وهبه وخیره بین أن یحج به أو لا،و أمّا لو وهبه ولم یذکر الحجّ لا تعییناً ولا تخییراً فالظاهر عدم وجوب القبول کما عن المشهور</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ذلک؛لتحقّق الاستطاعة فی صورة ذکر الحجّ غرضاً للبذل،وعدم الدلیل علی وجوب القبول تجاه الهبة</w:t>
      </w:r>
      <w:r>
        <w:rPr>
          <w:rFonts w:eastAsia="IRNazanin" w:cs="IRNazanin"/>
          <w:color w:val="111111"/>
          <w:sz w:val="28"/>
          <w:szCs w:val="28"/>
          <w:rtl w:val="true"/>
          <w:lang w:bidi="fa-IR"/>
        </w:rPr>
        <w:t>.</w:t>
      </w:r>
    </w:p>
    <w:p>
      <w:pPr>
        <w:pStyle w:val="Heading5"/>
        <w:numPr>
          <w:ilvl w:val="4"/>
          <w:numId w:val="1"/>
        </w:numPr>
        <w:rPr/>
      </w:pPr>
      <w:bookmarkStart w:id="1657" w:name="__RefHeading___Toc363678_581953129"/>
      <w:bookmarkStart w:id="1658" w:name="_Toc693"/>
      <w:bookmarkEnd w:id="1657"/>
      <w:r>
        <w:rPr>
          <w:rtl w:val="true"/>
        </w:rPr>
        <w:t>المذاهب الاربعة</w:t>
      </w:r>
      <w:bookmarkEnd w:id="1658"/>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یلزمه الحجّ ببذل غیره له ولا یصیر مستطیعاً بذلک،سواء کان الباذل قریباً أو أجنبیاً؛لأنّه لیس بمالک فلم یلزمه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بذل له ولده ما یتمکّن به الحجّ لزمه؛لأنّه أمکنه الحجّ من غیر منّة تلزمه وضرر یلحقه فلزمه الحجّ</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وقال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یجب الحجّ بإستطاعة مالیة أو عطیة</w:t>
      </w:r>
      <w:r>
        <w:rPr>
          <w:rFonts w:eastAsia="IRNazanin" w:cs="IRNazanin"/>
          <w:color w:val="111111"/>
          <w:sz w:val="28"/>
          <w:szCs w:val="28"/>
          <w:rtl w:val="true"/>
          <w:lang w:bidi="fa-IR"/>
        </w:rPr>
        <w:t xml:space="preserve">. </w:t>
      </w:r>
      <w:r>
        <w:rPr>
          <w:rStyle w:val="FootnoteAnchor"/>
          <w:rtl w:val="true"/>
        </w:rPr>
        <w:footnoteReference w:id="783"/>
      </w:r>
    </w:p>
    <w:p>
      <w:pPr>
        <w:pStyle w:val="Heading4"/>
        <w:numPr>
          <w:ilvl w:val="3"/>
          <w:numId w:val="1"/>
        </w:numPr>
        <w:rPr/>
      </w:pPr>
      <w:bookmarkStart w:id="1659" w:name="__RefHeading___Toc363680_581953129"/>
      <w:bookmarkStart w:id="1660" w:name="_Toc694"/>
      <w:bookmarkEnd w:id="1659"/>
      <w:r>
        <w:rPr>
          <w:rtl w:val="true"/>
        </w:rPr>
        <w:t>ملکیة الزاد</w:t>
      </w:r>
      <w:bookmarkEnd w:id="1660"/>
    </w:p>
    <w:p>
      <w:pPr>
        <w:pStyle w:val="Heading5"/>
        <w:numPr>
          <w:ilvl w:val="4"/>
          <w:numId w:val="1"/>
        </w:numPr>
        <w:rPr/>
      </w:pPr>
      <w:bookmarkStart w:id="1661" w:name="__RefHeading___Toc363682_581953129"/>
      <w:bookmarkStart w:id="1662" w:name="_Toc695"/>
      <w:bookmarkEnd w:id="1661"/>
      <w:r>
        <w:rPr>
          <w:rtl w:val="true"/>
        </w:rPr>
        <w:t>اشارة</w:t>
      </w:r>
      <w:bookmarkEnd w:id="166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عامّة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فلا یجب الحجّ بإباحة الزاد</w:t>
      </w:r>
    </w:p>
    <w:p>
      <w:pPr>
        <w:pStyle w:val="BookText"/>
        <w:rPr/>
      </w:pPr>
      <w:r>
        <w:rPr>
          <w:rFonts w:ascii="IRNazanin" w:hAnsi="IRNazanin" w:eastAsia="IRNazanin"/>
          <w:color w:val="111111"/>
          <w:sz w:val="28"/>
          <w:sz w:val="28"/>
          <w:szCs w:val="28"/>
          <w:rtl w:val="true"/>
          <w:lang w:bidi="fa-IR"/>
        </w:rPr>
        <w:t xml:space="preserve">والراحلة مطلقاً،ولو وهبه إنسان مالاً یحج به‌لایجب علی المو هوب له القبول عندنا </w:t>
      </w:r>
      <w:r>
        <w:rPr>
          <w:rStyle w:val="FootnoteAnchor"/>
          <w:rtl w:val="true"/>
        </w:rPr>
        <w:footnoteReference w:id="784"/>
      </w:r>
      <w:r>
        <w:rPr>
          <w:rFonts w:ascii="IRNazanin" w:hAnsi="IRNazanin" w:eastAsia="IRNazanin"/>
          <w:color w:val="111111"/>
          <w:sz w:val="28"/>
          <w:sz w:val="28"/>
          <w:szCs w:val="28"/>
          <w:rtl w:val="true"/>
          <w:lang w:bidi="fa-IR"/>
        </w:rPr>
        <w:t>لإشتراط ملکیة الزاد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عادته السؤال أو المشی،مذهبنا أنه لایلزمه الحجّ وبه قال أبوحنیفة وأحمد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ملکیة الزاد الّتی هو شرط الوجوب ومعنی الإستطاعة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الحجّ،وبه قال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الإستطاعة</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حصلت الإستطاعة بالإباحة اللازمة وجب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لووهبه ما یکفیه للحجّ وجب علیه القبول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لتحقّق الإستطاعة المشروعة بلا إشکال</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 بمال حرام أو راکباً دابّة مغصوبة أثم وصحّ حجّه وأجزأه عندنا وبه قال أبوحنیفة ومالک وبه قال أکثر الفقهاء وقال أحمد لایجزئه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لسرایة النهی هناک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ودلیلنا أنّ الحجّ أفعال مخصوصة و التحریم لمعنی خارج عنها</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وقال الإمام الخمینی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فلو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متسکعاً أو من مال غیره ولو غصباً صحّ وأجزأه نعم الأحوط عدم صحّة صلاة الطواف مع غصبیة ثوبه</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ذلک لتعدد المطلوب وعدم إجتماع الأمر و النهی فی متعلق واحد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صحّة الصلاة فهو علی أساس إشتراط لباس المصلی بالطهارة و الإباحة</w:t>
      </w:r>
      <w:r>
        <w:rPr>
          <w:rFonts w:eastAsia="IRNazanin" w:cs="IRNazanin"/>
          <w:color w:val="111111"/>
          <w:sz w:val="28"/>
          <w:szCs w:val="28"/>
          <w:rtl w:val="true"/>
          <w:lang w:bidi="fa-IR"/>
        </w:rPr>
        <w:t>.</w:t>
      </w:r>
      <w:bookmarkStart w:id="1663" w:name="pg5240_59466"/>
    </w:p>
    <w:p>
      <w:pPr>
        <w:pStyle w:val="Heading5"/>
        <w:numPr>
          <w:ilvl w:val="4"/>
          <w:numId w:val="1"/>
        </w:numPr>
        <w:rPr/>
      </w:pPr>
      <w:bookmarkStart w:id="1664" w:name="__RefHeading___Toc363684_581953129"/>
      <w:bookmarkStart w:id="1665" w:name="_Toc696"/>
      <w:bookmarkEnd w:id="1663"/>
      <w:bookmarkEnd w:id="1664"/>
      <w:r>
        <w:rPr>
          <w:rtl w:val="true"/>
        </w:rPr>
        <w:t>منشأ الاختلاف</w:t>
      </w:r>
      <w:bookmarkEnd w:id="1665"/>
    </w:p>
    <w:p>
      <w:pPr>
        <w:pStyle w:val="BookText"/>
        <w:rPr/>
      </w:pPr>
      <w:r>
        <w:rPr>
          <w:rFonts w:ascii="IRNazanin" w:hAnsi="IRNazanin" w:eastAsia="IRNazanin"/>
          <w:color w:val="111111"/>
          <w:sz w:val="28"/>
          <w:sz w:val="28"/>
          <w:szCs w:val="28"/>
          <w:rtl w:val="true"/>
          <w:lang w:bidi="fa-IR"/>
        </w:rPr>
        <w:t>قد تبین لنا أنّ الاختلاف حول الاستطاعة وما له صلة بها،ناشئ عن الاختلاف فی الاجتهاد عند الفقهاء و الأمر سهل</w:t>
      </w:r>
      <w:r>
        <w:rPr>
          <w:rFonts w:eastAsia="IRNazanin" w:cs="IRNazanin"/>
          <w:color w:val="111111"/>
          <w:sz w:val="28"/>
          <w:szCs w:val="28"/>
          <w:rtl w:val="true"/>
          <w:lang w:bidi="fa-IR"/>
        </w:rPr>
        <w:t>.</w:t>
      </w:r>
    </w:p>
    <w:p>
      <w:pPr>
        <w:pStyle w:val="Heading3"/>
        <w:numPr>
          <w:ilvl w:val="2"/>
          <w:numId w:val="1"/>
        </w:numPr>
        <w:rPr/>
      </w:pPr>
      <w:bookmarkStart w:id="1666" w:name="__RefHeading___Toc363686_581953129"/>
      <w:bookmarkStart w:id="1667" w:name="_Toc697"/>
      <w:bookmarkEnd w:id="1666"/>
      <w:r>
        <w:rPr>
          <w:rtl w:val="true"/>
        </w:rPr>
        <w:t>الاستنابة عن العاجز فی الحجّ</w:t>
      </w:r>
      <w:bookmarkEnd w:id="1667"/>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الخرقی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مریضاً لایرجی برؤه أو شیخاً لایتمسّک،أقام من یحج عنه ویعتمر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أجزأه عنه و إن عوفی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وبهذه قال أبوحنیفة و الشافعی،وقال مالک لاحجّ علیه إلاّ أن یستطیع بنفسه؛لقوله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و هذا غیر 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مالک فی کتاب الموطأ،ما یخالفه فذکر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الحج عمّن یحج عنه،وذیله بروایة ابن‌عبّاس التالیة الّتی تدل علی صحّة الحجّ عن العاجز</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حدیث ابن‌عبّاس أنّ امرأة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إنّ فریضة الله علی عباده فی الحجّ أدرکت أبی شیخاً کبیراً لا یستطیع أن یثبت علی الراحلة أفأحجّ عنه؟قال نعم،وذلک فی حجّة الوداع متّفق علیه</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و هو نفس الحکم علی المذهب الجعفری کما 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اتّفق ارتفاع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عن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ظاهر الأخبار أنّ حجّ النائب هو الّذی کان واجباً علی المنوب عنه،فإذا أتی به فقد حصل ما کان واجباً علیه،ولا دلیل علی وجوبه مرّة أخری</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فتبین لنا أنّه لا خلاف هناک إلاّ عن المالکی و هو الخلاف الیسیر الّذی نشأ من الاجتهاد الخاص</w:t>
      </w:r>
      <w:r>
        <w:rPr>
          <w:rFonts w:eastAsia="IRNazanin" w:cs="IRNazanin"/>
          <w:color w:val="111111"/>
          <w:sz w:val="28"/>
          <w:szCs w:val="28"/>
          <w:rtl w:val="true"/>
          <w:lang w:bidi="fa-IR"/>
        </w:rPr>
        <w:t>.</w:t>
      </w:r>
      <w:bookmarkStart w:id="1668" w:name="pg5240_59467"/>
    </w:p>
    <w:p>
      <w:pPr>
        <w:pStyle w:val="Heading3"/>
        <w:numPr>
          <w:ilvl w:val="2"/>
          <w:numId w:val="1"/>
        </w:numPr>
        <w:rPr/>
      </w:pPr>
      <w:bookmarkStart w:id="1669" w:name="__RefHeading___Toc363688_581953129"/>
      <w:bookmarkStart w:id="1670" w:name="_Toc698"/>
      <w:bookmarkEnd w:id="1668"/>
      <w:bookmarkEnd w:id="1669"/>
      <w:r>
        <w:rPr>
          <w:rtl w:val="true"/>
        </w:rPr>
        <w:t>مکان الاستنابة عن المیت المستطیع</w:t>
      </w:r>
      <w:bookmarkEnd w:id="1670"/>
    </w:p>
    <w:p>
      <w:pPr>
        <w:pStyle w:val="Heading4"/>
        <w:numPr>
          <w:ilvl w:val="3"/>
          <w:numId w:val="1"/>
        </w:numPr>
        <w:rPr/>
      </w:pPr>
      <w:bookmarkStart w:id="1671" w:name="__RefHeading___Toc363690_581953129"/>
      <w:bookmarkStart w:id="1672" w:name="_Toc699"/>
      <w:bookmarkEnd w:id="1671"/>
      <w:r>
        <w:rPr>
          <w:rtl w:val="true"/>
        </w:rPr>
        <w:t>اشارة</w:t>
      </w:r>
      <w:bookmarkEnd w:id="1672"/>
    </w:p>
    <w:p>
      <w:pPr>
        <w:pStyle w:val="BookText"/>
        <w:rPr/>
      </w:pPr>
      <w:r>
        <w:rPr>
          <w:rFonts w:ascii="IRNazanin" w:hAnsi="IRNazanin" w:eastAsia="IRNazanin"/>
          <w:color w:val="111111"/>
          <w:sz w:val="28"/>
          <w:sz w:val="28"/>
          <w:szCs w:val="28"/>
          <w:rtl w:val="true"/>
          <w:lang w:bidi="fa-IR"/>
        </w:rPr>
        <w:t>اختلفت الآراءحول مبدأ الحجّ مکاناً فی الاستنابة،بأنّه من بلد المیت أو من المیقات،وتفصیل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673" w:name="__RefHeading___Toc363692_581953129"/>
      <w:bookmarkStart w:id="1674" w:name="_Toc700"/>
      <w:bookmarkEnd w:id="1673"/>
      <w:r>
        <w:rPr>
          <w:rtl w:val="true"/>
        </w:rPr>
        <w:t>المذهب الجعفری</w:t>
      </w:r>
      <w:bookmarkEnd w:id="1674"/>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الواجب الاستیجار عن المیت من المیقات أو البلد؟المشهور وجوبه من أقرب المواقیت،وذهب جماعة إلی وجوبه من البلد مع سعة المال،والأقوی هو القول الأوّل؛لعدم الدلیل علی الوجوب أزید من ذلک،ولأصالة البرائة عن التکلیف المشکوک و إن کان الأحوط القول الثانی</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و هو نفس الرأی علی المذهب الشافعی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یستأجر من یحج عنه من المیقات؛لأنّ الإحرام لایجب من دونه</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أن یستأجر الرجل من یحج عنه إلاّ بأن یقول یحرم عنه من موضع کذا وکذا</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وقال الشربینی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المیقات فی الاستنابة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عند الإطلاق علی المیقات الشرعی</w:t>
      </w:r>
      <w:r>
        <w:rPr>
          <w:rFonts w:eastAsia="IRNazanin" w:cs="IRNazanin"/>
          <w:color w:val="111111"/>
          <w:sz w:val="28"/>
          <w:szCs w:val="28"/>
          <w:rtl w:val="true"/>
          <w:lang w:bidi="fa-IR"/>
        </w:rPr>
        <w:t xml:space="preserve">. </w:t>
      </w:r>
      <w:r>
        <w:rPr>
          <w:rStyle w:val="FootnoteAnchor"/>
          <w:rtl w:val="true"/>
        </w:rPr>
        <w:footnoteReference w:id="79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تعیین المیقات الّذی یحرم منه الأجیر؟نص الشافعی فی الام ومختصر المزنی انّه یشترط ونص فی الاملاء انّه لا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الإشتراط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یختلف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 عدم الإشتراط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له میقات معقود شرعاً</w:t>
      </w:r>
      <w:r>
        <w:rPr>
          <w:rFonts w:eastAsia="IRNazanin" w:cs="IRNazanin"/>
          <w:color w:val="111111"/>
          <w:sz w:val="28"/>
          <w:szCs w:val="28"/>
          <w:rtl w:val="true"/>
          <w:lang w:bidi="fa-IR"/>
        </w:rPr>
        <w:t xml:space="preserve">. </w:t>
      </w:r>
      <w:r>
        <w:rPr>
          <w:rStyle w:val="FootnoteAnchor"/>
          <w:rtl w:val="true"/>
        </w:rPr>
        <w:footnoteReference w:id="797"/>
      </w:r>
      <w:bookmarkStart w:id="1675" w:name="pg5240_59468"/>
    </w:p>
    <w:p>
      <w:pPr>
        <w:pStyle w:val="Heading4"/>
        <w:numPr>
          <w:ilvl w:val="3"/>
          <w:numId w:val="1"/>
        </w:numPr>
        <w:rPr/>
      </w:pPr>
      <w:bookmarkStart w:id="1676" w:name="__RefHeading___Toc363694_581953129"/>
      <w:bookmarkStart w:id="1677" w:name="_Toc701"/>
      <w:bookmarkEnd w:id="1675"/>
      <w:bookmarkEnd w:id="1676"/>
      <w:r>
        <w:rPr>
          <w:rtl w:val="true"/>
        </w:rPr>
        <w:t>المذهب الحنبلی</w:t>
      </w:r>
      <w:bookmarkEnd w:id="1677"/>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أنّ الحجّ واجب من بلده فوجب أن ینوب عنه منه؛لأنّ القضاء یکون علی وفق الأداء کقضاء الصلاة و الصیام</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و هو نفس الرأی علی المذهب الحنفی و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إلاّ یسیراً</w:t>
      </w:r>
      <w:r>
        <w:rPr>
          <w:rFonts w:eastAsia="IRNazanin" w:cs="IRNazanin"/>
          <w:color w:val="111111"/>
          <w:sz w:val="28"/>
          <w:szCs w:val="28"/>
          <w:rtl w:val="true"/>
          <w:lang w:bidi="fa-IR"/>
        </w:rPr>
        <w:t>.</w:t>
      </w:r>
    </w:p>
    <w:p>
      <w:pPr>
        <w:pStyle w:val="Heading3"/>
        <w:numPr>
          <w:ilvl w:val="2"/>
          <w:numId w:val="1"/>
        </w:numPr>
        <w:rPr/>
      </w:pPr>
      <w:bookmarkStart w:id="1678" w:name="__RefHeading___Toc363696_581953129"/>
      <w:bookmarkStart w:id="1679" w:name="_Toc702"/>
      <w:bookmarkEnd w:id="1678"/>
      <w:r>
        <w:rPr>
          <w:rtl w:val="true"/>
        </w:rPr>
        <w:t>حکم فی العمرة المفردة</w:t>
      </w:r>
      <w:bookmarkEnd w:id="1679"/>
    </w:p>
    <w:p>
      <w:pPr>
        <w:pStyle w:val="Heading4"/>
        <w:numPr>
          <w:ilvl w:val="3"/>
          <w:numId w:val="1"/>
        </w:numPr>
        <w:rPr/>
      </w:pPr>
      <w:bookmarkStart w:id="1680" w:name="__RefHeading___Toc363698_581953129"/>
      <w:bookmarkStart w:id="1681" w:name="_Toc703"/>
      <w:bookmarkEnd w:id="1680"/>
      <w:r>
        <w:rPr>
          <w:rtl w:val="true"/>
        </w:rPr>
        <w:t>اشارة</w:t>
      </w:r>
      <w:bookmarkEnd w:id="1681"/>
    </w:p>
    <w:p>
      <w:pPr>
        <w:pStyle w:val="BookText"/>
        <w:rPr/>
      </w:pPr>
      <w:r>
        <w:rPr>
          <w:rFonts w:ascii="IRNazanin" w:hAnsi="IRNazanin" w:eastAsia="IRNazanin"/>
          <w:color w:val="111111"/>
          <w:sz w:val="28"/>
          <w:sz w:val="28"/>
          <w:szCs w:val="28"/>
          <w:rtl w:val="true"/>
          <w:lang w:bidi="fa-IR"/>
        </w:rPr>
        <w:t>اختلف الآراء بالنسبة إلی حکم العمرة المفردة وجوباً وندباً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682" w:name="__RefHeading___Toc363700_581953129"/>
      <w:bookmarkStart w:id="1683" w:name="_Toc704"/>
      <w:bookmarkEnd w:id="1682"/>
      <w:r>
        <w:rPr>
          <w:rtl w:val="true"/>
        </w:rPr>
        <w:t>المذهب الجعفری</w:t>
      </w:r>
      <w:bookmarkEnd w:id="168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الطباطبائی الیزدی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بأصل الشرع علی‌کلّ‌مکلّف بالشرائط المعتبرة فی الحجّ فی العمر مرّةً بالکتاب و السنّة و الإجماع ففی صحیحة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واجبة علی الخلق بمنزلة الحجّ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 </w:t>
      </w:r>
      <w:r>
        <w:rPr>
          <w:rStyle w:val="FootnoteAnchor"/>
          <w:rtl w:val="true"/>
        </w:rPr>
        <w:footnoteReference w:id="799"/>
      </w:r>
      <w:r>
        <w:rPr>
          <w:rFonts w:ascii="Amiri" w:hAnsi="Amiri" w:eastAsia="Amiri" w:cs="Amiri"/>
          <w:color w:val="111111"/>
          <w:sz w:val="28"/>
          <w:sz w:val="28"/>
          <w:szCs w:val="28"/>
          <w:rtl w:val="true"/>
          <w:lang w:bidi="ar-SA"/>
        </w:rPr>
        <w:t>وفی صحیحة فضیل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همامفروضان،ووجوبها بعد تحقّق الشرائط فوری کالحجّ،ولا یشترط فی وجوبها استطاعة الحجّ،بل یکفی استطاعتها فی وجوبها،و إن لم تتحقّق استطاعة الحجّ</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و هو نفس الرأی علی المذهب الحنبلی قال ابن‌قدامة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،ومقتضی الأمر الوجوب،ثمّ عطفها علی الحجّ و الأصل التساوی بین المعطوف و المعطوف علیه،قال ابن‌عبّاس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لقرینة الحجّ فی کتاب الله</w:t>
      </w:r>
      <w:r>
        <w:rPr>
          <w:rFonts w:eastAsia="Amiri" w:cs="Amiri" w:ascii="Amiri" w:hAnsi="Amiri"/>
          <w:color w:val="111111"/>
          <w:sz w:val="28"/>
          <w:szCs w:val="28"/>
          <w:rtl w:val="true"/>
          <w:lang w:bidi="ar-SA"/>
        </w:rPr>
        <w:t xml:space="preserve">. </w:t>
      </w:r>
      <w:r>
        <w:rPr>
          <w:rStyle w:val="FootnoteAnchor"/>
          <w:rtl w:val="true"/>
        </w:rPr>
        <w:footnoteReference w:id="801"/>
      </w:r>
      <w:bookmarkStart w:id="1684" w:name="pg5240_59469"/>
    </w:p>
    <w:p>
      <w:pPr>
        <w:pStyle w:val="Heading4"/>
        <w:numPr>
          <w:ilvl w:val="3"/>
          <w:numId w:val="1"/>
        </w:numPr>
        <w:rPr/>
      </w:pPr>
      <w:bookmarkStart w:id="1685" w:name="__RefHeading___Toc363702_581953129"/>
      <w:bookmarkStart w:id="1686" w:name="_Toc705"/>
      <w:bookmarkEnd w:id="1684"/>
      <w:bookmarkEnd w:id="1685"/>
      <w:r>
        <w:rPr>
          <w:rtl w:val="true"/>
        </w:rPr>
        <w:t>المذهب الحنفی و المالکی</w:t>
      </w:r>
      <w:bookmarkEnd w:id="1686"/>
    </w:p>
    <w:p>
      <w:pPr>
        <w:pStyle w:val="BookText"/>
        <w:rPr/>
      </w:pPr>
      <w:r>
        <w:rPr>
          <w:rFonts w:ascii="IRNazanin" w:hAnsi="IRNazanin" w:eastAsia="IRNazanin"/>
          <w:color w:val="111111"/>
          <w:sz w:val="28"/>
          <w:sz w:val="28"/>
          <w:szCs w:val="28"/>
          <w:rtl w:val="true"/>
          <w:lang w:bidi="fa-IR"/>
        </w:rPr>
        <w:t xml:space="preserve">العمرة سنّة مؤکّدة فی العمر مرّة لا فرض </w:t>
      </w:r>
      <w:r>
        <w:rPr>
          <w:rStyle w:val="FootnoteAnchor"/>
          <w:rtl w:val="true"/>
        </w:rPr>
        <w:footnoteReference w:id="802"/>
      </w:r>
      <w:r>
        <w:rPr>
          <w:rFonts w:ascii="IRNazanin" w:hAnsi="IRNazanin" w:eastAsia="IRNazanin"/>
          <w:color w:val="111111"/>
          <w:sz w:val="28"/>
          <w:sz w:val="28"/>
          <w:szCs w:val="28"/>
          <w:rtl w:val="true"/>
          <w:lang w:bidi="fa-IR"/>
        </w:rPr>
        <w:t>وقال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الحجّ وسنّت العمرة مرّة</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ذلک؛لما روی جابر أنّ النبی صلی الله علیه و آله سئل عن العمرة أواجبة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تعتمروا فهو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الترمذی وقال‌هذإحدیث حسن صحیح</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قال‌السمرقندی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العمرة فعندنا لیست بفریضة</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سنة ولیس فیها شیء ثابت بأنّهاواجبة</w:t>
      </w:r>
      <w:r>
        <w:rPr>
          <w:rFonts w:eastAsia="IRNazanin" w:cs="IRNazanin"/>
          <w:color w:val="111111"/>
          <w:sz w:val="28"/>
          <w:szCs w:val="28"/>
          <w:rtl w:val="true"/>
          <w:lang w:bidi="fa-IR"/>
        </w:rPr>
        <w:t xml:space="preserve">. </w:t>
      </w:r>
      <w:r>
        <w:rPr>
          <w:rStyle w:val="FootnoteAnchor"/>
          <w:rtl w:val="true"/>
        </w:rPr>
        <w:footnoteReference w:id="806"/>
      </w:r>
    </w:p>
    <w:p>
      <w:pPr>
        <w:pStyle w:val="Heading4"/>
        <w:numPr>
          <w:ilvl w:val="3"/>
          <w:numId w:val="1"/>
        </w:numPr>
        <w:rPr/>
      </w:pPr>
      <w:bookmarkStart w:id="1687" w:name="__RefHeading___Toc363704_581953129"/>
      <w:bookmarkStart w:id="1688" w:name="_Toc706"/>
      <w:bookmarkEnd w:id="1687"/>
      <w:r>
        <w:rPr>
          <w:rtl w:val="true"/>
        </w:rPr>
        <w:t>منشأ الاختلاف</w:t>
      </w:r>
      <w:bookmarkEnd w:id="1688"/>
    </w:p>
    <w:p>
      <w:pPr>
        <w:pStyle w:val="BookText"/>
        <w:rPr/>
      </w:pPr>
      <w:r>
        <w:rPr>
          <w:rFonts w:ascii="IRNazanin" w:hAnsi="IRNazanin" w:eastAsia="IRNazanin"/>
          <w:color w:val="111111"/>
          <w:sz w:val="28"/>
          <w:sz w:val="28"/>
          <w:szCs w:val="28"/>
          <w:rtl w:val="true"/>
          <w:lang w:bidi="fa-IR"/>
        </w:rPr>
        <w:t>إنّ الاختلاف فی حکم العمرة ناشئ عن الاختلاف فی النصوص،وبما أنّ هناک نصّاًمن‌الکتاب،یصبح هو المدرک الوحید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أی‌الوجوب بعد تعارض النصوص و تساقطها</w:t>
      </w:r>
      <w:r>
        <w:rPr>
          <w:rFonts w:eastAsia="IRNazanin" w:cs="IRNazanin"/>
          <w:color w:val="111111"/>
          <w:sz w:val="28"/>
          <w:szCs w:val="28"/>
          <w:rtl w:val="true"/>
          <w:lang w:bidi="fa-IR"/>
        </w:rPr>
        <w:t>.</w:t>
      </w:r>
    </w:p>
    <w:p>
      <w:pPr>
        <w:pStyle w:val="Heading3"/>
        <w:numPr>
          <w:ilvl w:val="2"/>
          <w:numId w:val="1"/>
        </w:numPr>
        <w:rPr/>
      </w:pPr>
      <w:bookmarkStart w:id="1689" w:name="__RefHeading___Toc363706_581953129"/>
      <w:bookmarkStart w:id="1690" w:name="_Toc707"/>
      <w:bookmarkEnd w:id="1689"/>
      <w:r>
        <w:rPr>
          <w:rtl w:val="true"/>
        </w:rPr>
        <w:t>استحباب العمرة زماناً</w:t>
      </w:r>
      <w:bookmarkEnd w:id="1690"/>
    </w:p>
    <w:p>
      <w:pPr>
        <w:pStyle w:val="Heading4"/>
        <w:numPr>
          <w:ilvl w:val="3"/>
          <w:numId w:val="1"/>
        </w:numPr>
        <w:rPr/>
      </w:pPr>
      <w:bookmarkStart w:id="1691" w:name="__RefHeading___Toc363708_581953129"/>
      <w:bookmarkStart w:id="1692" w:name="_Toc708"/>
      <w:bookmarkEnd w:id="1691"/>
      <w:r>
        <w:rPr>
          <w:rtl w:val="true"/>
        </w:rPr>
        <w:t>اشارة</w:t>
      </w:r>
      <w:bookmarkEnd w:id="1692"/>
    </w:p>
    <w:p>
      <w:pPr>
        <w:pStyle w:val="BookText"/>
        <w:rPr/>
      </w:pPr>
      <w:r>
        <w:rPr>
          <w:rFonts w:ascii="IRNazanin" w:hAnsi="IRNazanin" w:eastAsia="IRNazanin"/>
          <w:color w:val="111111"/>
          <w:sz w:val="28"/>
          <w:sz w:val="28"/>
          <w:szCs w:val="28"/>
          <w:rtl w:val="true"/>
          <w:lang w:bidi="fa-IR"/>
        </w:rPr>
        <w:t>اختلفت الآراء حول تکرار العمرة استحباباً و التفصیل بما یلی</w:t>
      </w:r>
      <w:r>
        <w:rPr>
          <w:rFonts w:eastAsia="IRNazanin" w:cs="IRNazanin"/>
          <w:color w:val="111111"/>
          <w:sz w:val="28"/>
          <w:szCs w:val="28"/>
          <w:rtl w:val="true"/>
          <w:lang w:bidi="fa-IR"/>
        </w:rPr>
        <w:t>:</w:t>
      </w:r>
    </w:p>
    <w:p>
      <w:pPr>
        <w:pStyle w:val="Heading4"/>
        <w:numPr>
          <w:ilvl w:val="3"/>
          <w:numId w:val="1"/>
        </w:numPr>
        <w:rPr/>
      </w:pPr>
      <w:bookmarkStart w:id="1693" w:name="__RefHeading___Toc363710_581953129"/>
      <w:bookmarkStart w:id="1694" w:name="_Toc709"/>
      <w:bookmarkEnd w:id="1693"/>
      <w:r>
        <w:rPr>
          <w:rtl w:val="true"/>
        </w:rPr>
        <w:t>المذاهب الاربعة</w:t>
      </w:r>
      <w:bookmarkEnd w:id="169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ویندب الإکثار من العمرة وتتأکّد فی شهر رمضان؛لما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فی رمضان تعدل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إلاّ عن المالکی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تکرار</w:t>
      </w:r>
      <w:bookmarkStart w:id="1695" w:name="pg5240_59470"/>
    </w:p>
    <w:p>
      <w:pPr>
        <w:pStyle w:val="BookText"/>
        <w:rPr/>
      </w:pPr>
      <w:bookmarkEnd w:id="1695"/>
      <w:r>
        <w:rPr>
          <w:rFonts w:ascii="IRNazanin" w:hAnsi="IRNazanin" w:eastAsia="IRNazanin"/>
          <w:color w:val="111111"/>
          <w:sz w:val="28"/>
          <w:sz w:val="28"/>
          <w:szCs w:val="28"/>
          <w:rtl w:val="true"/>
          <w:lang w:bidi="fa-IR"/>
        </w:rPr>
        <w:t>العمرة فی السنة مرّتین إلاّ لمن کان داخلاً مکّة قبل أشهر الحرم؛لأنّها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کفایة کلّ عام بالنسبة لعموم الناس،ولا تتأکّد فی رمضان المبارک</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قال 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 عند الجمهور تکرار العمرة فی السنة،فلا بأس أن یعتمر فی السنة مراراً</w:t>
      </w:r>
      <w:r>
        <w:rPr>
          <w:rFonts w:eastAsia="IRNazanin" w:cs="IRNazanin"/>
          <w:color w:val="111111"/>
          <w:sz w:val="28"/>
          <w:szCs w:val="28"/>
          <w:rtl w:val="true"/>
          <w:lang w:bidi="fa-IR"/>
        </w:rPr>
        <w:t xml:space="preserve">. </w:t>
      </w:r>
      <w:r>
        <w:rPr>
          <w:rStyle w:val="FootnoteAnchor"/>
          <w:rtl w:val="true"/>
        </w:rPr>
        <w:footnoteReference w:id="808"/>
      </w:r>
    </w:p>
    <w:p>
      <w:pPr>
        <w:pStyle w:val="Heading4"/>
        <w:numPr>
          <w:ilvl w:val="3"/>
          <w:numId w:val="1"/>
        </w:numPr>
        <w:rPr/>
      </w:pPr>
      <w:bookmarkStart w:id="1696" w:name="__RefHeading___Toc363712_581953129"/>
      <w:bookmarkStart w:id="1697" w:name="_Toc710"/>
      <w:bookmarkEnd w:id="1696"/>
      <w:r>
        <w:rPr>
          <w:rtl w:val="true"/>
        </w:rPr>
        <w:t>المذهب الجعفری</w:t>
      </w:r>
      <w:bookmarkEnd w:id="1697"/>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تکرارها کالحجّ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 أوقاتها شهر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واختلفوا فی مقدار الفصل بین العمرتین،والأقوی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الفصل فیجوز إتیانها کلّ یوم</w:t>
      </w:r>
      <w:r>
        <w:rPr>
          <w:rFonts w:eastAsia="IRNazanin" w:cs="IRNazanin"/>
          <w:color w:val="111111"/>
          <w:sz w:val="28"/>
          <w:szCs w:val="28"/>
          <w:rtl w:val="true"/>
          <w:lang w:bidi="fa-IR"/>
        </w:rPr>
        <w:t xml:space="preserve">. </w:t>
      </w:r>
      <w:r>
        <w:rPr>
          <w:rStyle w:val="FootnoteAnchor"/>
          <w:rtl w:val="true"/>
        </w:rPr>
        <w:footnoteReference w:id="809"/>
      </w:r>
    </w:p>
    <w:p>
      <w:pPr>
        <w:pStyle w:val="Heading4"/>
        <w:numPr>
          <w:ilvl w:val="3"/>
          <w:numId w:val="1"/>
        </w:numPr>
        <w:rPr/>
      </w:pPr>
      <w:bookmarkStart w:id="1698" w:name="__RefHeading___Toc363714_581953129"/>
      <w:bookmarkStart w:id="1699" w:name="_Toc711"/>
      <w:bookmarkEnd w:id="1698"/>
      <w:r>
        <w:rPr>
          <w:rtl w:val="true"/>
        </w:rPr>
        <w:t>منشأ الاختلاف</w:t>
      </w:r>
      <w:bookmarkEnd w:id="169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ناشئ عن الاختلاف فی النصوص والاختلاف فی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یسهّل الخطب أنّ الحکم استحبابی فلا إلزام تجاه الحکم من الأساس</w:t>
      </w:r>
      <w:r>
        <w:rPr>
          <w:rFonts w:eastAsia="IRNazanin" w:cs="IRNazanin"/>
          <w:color w:val="111111"/>
          <w:sz w:val="28"/>
          <w:szCs w:val="28"/>
          <w:rtl w:val="true"/>
          <w:lang w:bidi="fa-IR"/>
        </w:rPr>
        <w:t>.</w:t>
      </w:r>
      <w:bookmarkStart w:id="1700" w:name="pg5240_59471"/>
    </w:p>
    <w:p>
      <w:pPr>
        <w:pStyle w:val="Heading3"/>
        <w:numPr>
          <w:ilvl w:val="2"/>
          <w:numId w:val="1"/>
        </w:numPr>
        <w:rPr/>
      </w:pPr>
      <w:bookmarkStart w:id="1701" w:name="__RefHeading___Toc363716_581953129"/>
      <w:bookmarkStart w:id="1702" w:name="_Toc712"/>
      <w:bookmarkEnd w:id="1700"/>
      <w:bookmarkEnd w:id="1701"/>
      <w:r>
        <w:rPr>
          <w:rtl w:val="true"/>
        </w:rPr>
        <w:t>الخلاصة</w:t>
      </w:r>
      <w:bookmarkEnd w:id="1702"/>
    </w:p>
    <w:p>
      <w:pPr>
        <w:pStyle w:val="BookText"/>
        <w:rPr/>
      </w:pPr>
      <w:r>
        <w:rPr>
          <w:rFonts w:ascii="IRNazanin" w:hAnsi="IRNazanin" w:eastAsia="IRNazanin"/>
          <w:color w:val="111111"/>
          <w:sz w:val="28"/>
          <w:sz w:val="28"/>
          <w:szCs w:val="28"/>
          <w:rtl w:val="true"/>
          <w:lang w:bidi="fa-IR"/>
        </w:rPr>
        <w:t>لا خلاف فی فوریة وجوب الحجّ بعد تحقّق الشرائط إلاّ عن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حجّ بدون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التجشّم بشتّی 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یجزئ‌عن الحجّ الواجب،إلاّ علی المذهب الحنبلی و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وهب شخص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آخر یجب علی المتّهب الحجّ علی المذهب الجعفری؛لتحقّق الاستطاعة،ولا یجب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النائب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الاستنابة عن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یبادر إلی الحجّ من المیقات علی المذهب الجعفری و الشافعی ویجب من البلد علی المذاهب الاُخری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العمرة المفردة واجبة علی المذهب الجعفری و الحنبلی وسنّة مؤکّدة علی‌المذهب الحنفی و المالکی و الشافعی</w:t>
      </w:r>
      <w:r>
        <w:rPr>
          <w:rFonts w:eastAsia="IRNazanin" w:cs="IRNazanin"/>
          <w:color w:val="111111"/>
          <w:sz w:val="28"/>
          <w:szCs w:val="28"/>
          <w:rtl w:val="true"/>
          <w:lang w:bidi="fa-IR"/>
        </w:rPr>
        <w:t>.</w:t>
      </w:r>
      <w:bookmarkStart w:id="1703" w:name="pg5240_59472"/>
    </w:p>
    <w:p>
      <w:pPr>
        <w:pStyle w:val="Heading3"/>
        <w:numPr>
          <w:ilvl w:val="2"/>
          <w:numId w:val="1"/>
        </w:numPr>
        <w:rPr/>
      </w:pPr>
      <w:bookmarkStart w:id="1704" w:name="__RefHeading___Toc363718_581953129"/>
      <w:bookmarkStart w:id="1705" w:name="_Toc713"/>
      <w:bookmarkEnd w:id="1703"/>
      <w:bookmarkEnd w:id="1704"/>
      <w:r>
        <w:rPr>
          <w:rtl w:val="true"/>
        </w:rPr>
        <w:t>الأسئلة</w:t>
      </w:r>
      <w:bookmarkEnd w:id="17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فوریة وجوب الحجّ؟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یجزئ حجّ الصبی عن حجّة الإسلام؟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الاستطاعة؟بحسب التعبیر الروائی؟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الرجوع إلی الکفایة؟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یقدّم النکاح علی الحجّ؟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الاستنابة عن المریض الّذی لا یرجی برؤه؟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أفضل الأوقات بالنسبة إلی العمرة المفردة</w:t>
      </w:r>
      <w:r>
        <w:rPr>
          <w:rFonts w:eastAsia="IRNazanin" w:cs="IRNazanin"/>
          <w:color w:val="111111"/>
          <w:sz w:val="28"/>
          <w:szCs w:val="28"/>
          <w:rtl w:val="true"/>
          <w:lang w:bidi="fa-IR"/>
        </w:rPr>
        <w:t>.</w:t>
      </w:r>
      <w:bookmarkStart w:id="1706" w:name="pg5240_59473"/>
    </w:p>
    <w:p>
      <w:pPr>
        <w:pStyle w:val="Heading2"/>
        <w:numPr>
          <w:ilvl w:val="1"/>
          <w:numId w:val="1"/>
        </w:numPr>
        <w:rPr/>
      </w:pPr>
      <w:bookmarkStart w:id="1707" w:name="__RefHeading___Toc363720_581953129"/>
      <w:bookmarkStart w:id="1708" w:name="_Toc714"/>
      <w:bookmarkEnd w:id="1706"/>
      <w:bookmarkEnd w:id="1707"/>
      <w:r>
        <w:rPr/>
        <w:t>25</w:t>
      </w:r>
      <w:r>
        <w:rPr>
          <w:rtl w:val="true"/>
        </w:rPr>
        <w:t xml:space="preserve">- </w:t>
      </w:r>
      <w:r>
        <w:rPr>
          <w:rtl w:val="true"/>
        </w:rPr>
        <w:t>أقسام الحجّ</w:t>
      </w:r>
      <w:bookmarkEnd w:id="1708"/>
    </w:p>
    <w:p>
      <w:pPr>
        <w:pStyle w:val="Heading3"/>
        <w:numPr>
          <w:ilvl w:val="2"/>
          <w:numId w:val="1"/>
        </w:numPr>
        <w:rPr/>
      </w:pPr>
      <w:bookmarkStart w:id="1709" w:name="__RefHeading___Toc363722_581953129"/>
      <w:bookmarkStart w:id="1710" w:name="_Toc715"/>
      <w:bookmarkEnd w:id="1709"/>
      <w:r>
        <w:rPr>
          <w:rtl w:val="true"/>
        </w:rPr>
        <w:t>اشارة</w:t>
      </w:r>
      <w:bookmarkEnd w:id="1710"/>
    </w:p>
    <w:p>
      <w:pPr>
        <w:pStyle w:val="BookText"/>
        <w:rPr/>
      </w:pPr>
      <w:r>
        <w:rPr>
          <w:rFonts w:ascii="IRNazanin" w:hAnsi="IRNazanin" w:eastAsia="IRNazanin"/>
          <w:color w:val="111111"/>
          <w:sz w:val="28"/>
          <w:sz w:val="28"/>
          <w:szCs w:val="28"/>
          <w:rtl w:val="true"/>
          <w:lang w:bidi="fa-IR"/>
        </w:rPr>
        <w:t>لاخلاف بین المذاهب أجمع بالنسبة إلی أقسام الحجّ الثلاثة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التمتّع،والإفراد،والقِران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 کیفیة القران وتفصیله بما یلی</w:t>
      </w:r>
      <w:r>
        <w:rPr>
          <w:rFonts w:eastAsia="IRNazanin" w:cs="IRNazanin"/>
          <w:color w:val="111111"/>
          <w:sz w:val="28"/>
          <w:szCs w:val="28"/>
          <w:rtl w:val="true"/>
          <w:lang w:bidi="fa-IR"/>
        </w:rPr>
        <w:t>:</w:t>
      </w:r>
    </w:p>
    <w:p>
      <w:pPr>
        <w:pStyle w:val="Heading3"/>
        <w:numPr>
          <w:ilvl w:val="2"/>
          <w:numId w:val="1"/>
        </w:numPr>
        <w:rPr/>
      </w:pPr>
      <w:bookmarkStart w:id="1711" w:name="__RefHeading___Toc363724_581953129"/>
      <w:bookmarkStart w:id="1712" w:name="_Toc716"/>
      <w:bookmarkEnd w:id="1711"/>
      <w:r>
        <w:rPr>
          <w:rtl w:val="true"/>
        </w:rPr>
        <w:t>المذاهب الاربعة</w:t>
      </w:r>
      <w:bookmarkEnd w:id="1712"/>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 هو الجمع بین الحجّ و العمرة فی إحرام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والقارن یلزمه عمل‌واحد فقط و هوعمل الحجّ،فیکفیه طواف واحد وسعی واحد للحجّ و العمرة؛لقوله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أحرم بالحجّ و العمرة أجزأه طواف واحد وسعی واحد عنهما حتّی یحلّ منهما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الترمذی</w:t>
      </w:r>
      <w:r>
        <w:rPr>
          <w:rFonts w:eastAsia="IRNazanin" w:cs="IRNazanin"/>
          <w:color w:val="111111"/>
          <w:sz w:val="28"/>
          <w:szCs w:val="28"/>
          <w:rtl w:val="true"/>
          <w:lang w:bidi="fa-IR"/>
        </w:rPr>
        <w:t xml:space="preserve">. </w:t>
      </w:r>
      <w:r>
        <w:rPr>
          <w:rStyle w:val="FootnoteAnchor"/>
          <w:rtl w:val="true"/>
        </w:rPr>
        <w:footnoteReference w:id="810"/>
      </w:r>
    </w:p>
    <w:p>
      <w:pPr>
        <w:pStyle w:val="Heading3"/>
        <w:numPr>
          <w:ilvl w:val="2"/>
          <w:numId w:val="1"/>
        </w:numPr>
        <w:rPr/>
      </w:pPr>
      <w:bookmarkStart w:id="1713" w:name="__RefHeading___Toc363726_581953129"/>
      <w:bookmarkStart w:id="1714" w:name="_Toc717"/>
      <w:bookmarkEnd w:id="1713"/>
      <w:r>
        <w:rPr>
          <w:rtl w:val="true"/>
        </w:rPr>
        <w:t>المذهب الجعفری</w:t>
      </w:r>
      <w:bookmarkEnd w:id="171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وأفعال القارن وشروطه کالمفرد غیرأنّه یتمیز عنه بسیاق الهدی عند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الحکم کان وفاقاً للمشهور،وفی</w:t>
      </w:r>
      <w:bookmarkStart w:id="1715" w:name="pg5240_59474"/>
    </w:p>
    <w:p>
      <w:pPr>
        <w:pStyle w:val="BookText"/>
        <w:rPr/>
      </w:pPr>
      <w:bookmarkEnd w:id="1715"/>
      <w:r>
        <w:rPr>
          <w:rFonts w:ascii="IRNazanin" w:hAnsi="IRNazanin" w:eastAsia="IRNazanin"/>
          <w:color w:val="111111"/>
          <w:sz w:val="28"/>
          <w:sz w:val="28"/>
          <w:szCs w:val="28"/>
          <w:rtl w:val="true"/>
          <w:lang w:bidi="fa-IR"/>
        </w:rPr>
        <w:t>صحیح الحلبی</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نسک الّذی یقرن مثل نسک المفرد ولیس بأفضل منه إلاّ بسیاق الهدی</w:t>
      </w:r>
      <w:r>
        <w:rPr>
          <w:rFonts w:eastAsia="IRNazanin" w:cs="IRNazanin"/>
          <w:color w:val="111111"/>
          <w:sz w:val="28"/>
          <w:szCs w:val="28"/>
          <w:rtl w:val="true"/>
          <w:lang w:bidi="fa-IR"/>
        </w:rPr>
        <w:t xml:space="preserve">». </w:t>
      </w:r>
      <w:r>
        <w:rPr>
          <w:rStyle w:val="FootnoteAnchor"/>
          <w:rtl w:val="true"/>
        </w:rPr>
        <w:footnoteReference w:id="812"/>
      </w:r>
    </w:p>
    <w:p>
      <w:pPr>
        <w:pStyle w:val="Heading3"/>
        <w:numPr>
          <w:ilvl w:val="2"/>
          <w:numId w:val="1"/>
        </w:numPr>
        <w:rPr/>
      </w:pPr>
      <w:bookmarkStart w:id="1716" w:name="__RefHeading___Toc363728_581953129"/>
      <w:bookmarkStart w:id="1717" w:name="_Toc718"/>
      <w:bookmarkEnd w:id="1716"/>
      <w:r>
        <w:rPr>
          <w:rtl w:val="true"/>
        </w:rPr>
        <w:t>ترتیب الأقسام</w:t>
      </w:r>
      <w:bookmarkEnd w:id="1717"/>
    </w:p>
    <w:p>
      <w:pPr>
        <w:pStyle w:val="Heading4"/>
        <w:numPr>
          <w:ilvl w:val="3"/>
          <w:numId w:val="1"/>
        </w:numPr>
        <w:rPr/>
      </w:pPr>
      <w:bookmarkStart w:id="1718" w:name="__RefHeading___Toc363730_581953129"/>
      <w:bookmarkStart w:id="1719" w:name="_Toc719"/>
      <w:bookmarkEnd w:id="1718"/>
      <w:r>
        <w:rPr>
          <w:rtl w:val="true"/>
        </w:rPr>
        <w:t>اشارة</w:t>
      </w:r>
      <w:bookmarkEnd w:id="1719"/>
    </w:p>
    <w:p>
      <w:pPr>
        <w:pStyle w:val="BookText"/>
        <w:rPr/>
      </w:pPr>
      <w:r>
        <w:rPr>
          <w:rFonts w:ascii="IRNazanin" w:hAnsi="IRNazanin" w:eastAsia="IRNazanin"/>
          <w:color w:val="111111"/>
          <w:sz w:val="28"/>
          <w:sz w:val="28"/>
          <w:szCs w:val="28"/>
          <w:rtl w:val="true"/>
          <w:lang w:bidi="fa-IR"/>
        </w:rPr>
        <w:t>اختلفت الآراء بالنسبة إلی ترتیب أقسام الحجّ وترجیح بعضها علی بعض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720" w:name="__RefHeading___Toc363732_581953129"/>
      <w:bookmarkStart w:id="1721" w:name="_Toc720"/>
      <w:bookmarkEnd w:id="1720"/>
      <w:r>
        <w:rPr>
          <w:rtl w:val="true"/>
        </w:rPr>
        <w:t>المذهب الجعفری</w:t>
      </w:r>
      <w:bookmarkEnd w:id="1721"/>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الحجّ ثلاثة بالإجماع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وقران وإفراد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فرض من کان بعیداً عن مکّة و الآخران فرض من کان حاضراً أی غیر بعید،وحدّ البعد الموجب للتمتّع ثمانیة وأربعون میلاً من کلّ جانب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الأقوی؛لصحیحة زراة عن الإمام الباقر علیه السلام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عزّوجلّ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أهل مکّة لیس علیهم متعة،کلّ من کان أهله دون ثمانیة وأربعون میلاً ذات عرق،وعسقان کما یدور حول مکّة،فهو ممّن دخل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من کان أهله وراء ذلک فعلیه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آخر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البعید ثمانیة وأربعون میلاً من جمیع نواحی مکّة ولا یجزئ للبعید إلاّ التمتّع ولا للحاضر إلاّ الإفراد و القران</w:t>
      </w:r>
      <w:r>
        <w:rPr>
          <w:rFonts w:eastAsia="IRNazanin" w:cs="IRNazanin"/>
          <w:color w:val="111111"/>
          <w:sz w:val="28"/>
          <w:szCs w:val="28"/>
          <w:rtl w:val="true"/>
          <w:lang w:bidi="fa-IR"/>
        </w:rPr>
        <w:t xml:space="preserve">». </w:t>
      </w:r>
      <w:r>
        <w:rPr>
          <w:rStyle w:val="FootnoteAnchor"/>
          <w:rtl w:val="true"/>
        </w:rPr>
        <w:footnoteReference w:id="81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لمن وظیفته التمتّع أن یعدل إلی غیره من</w:t>
      </w:r>
      <w:bookmarkStart w:id="1722" w:name="pg5240_59475"/>
    </w:p>
    <w:p>
      <w:pPr>
        <w:pStyle w:val="BookText"/>
        <w:rPr/>
      </w:pPr>
      <w:bookmarkEnd w:id="1722"/>
      <w:r>
        <w:rPr>
          <w:rFonts w:ascii="IRNazanin" w:hAnsi="IRNazanin" w:eastAsia="IRNazanin"/>
          <w:color w:val="111111"/>
          <w:sz w:val="28"/>
          <w:sz w:val="28"/>
          <w:szCs w:val="28"/>
          <w:rtl w:val="true"/>
          <w:lang w:bidi="fa-IR"/>
        </w:rPr>
        <w:t>القسمین الآخرین اختیاراً،نعم إن ضاق وقته عن إتمام العمرة وأدرک الحجّ جاز له نقل النیة إلی الإفراد وأن یأتی بالعمرة بعد الحجّ بلا خلاف</w:t>
      </w:r>
      <w:r>
        <w:rPr>
          <w:rFonts w:eastAsia="IRNazanin" w:cs="IRNazanin"/>
          <w:color w:val="111111"/>
          <w:sz w:val="28"/>
          <w:szCs w:val="28"/>
          <w:rtl w:val="true"/>
          <w:lang w:bidi="fa-IR"/>
        </w:rPr>
        <w:t xml:space="preserve">. </w:t>
      </w:r>
      <w:r>
        <w:rPr>
          <w:rStyle w:val="FootnoteAnchor"/>
          <w:rtl w:val="true"/>
        </w:rPr>
        <w:footnoteReference w:id="814"/>
      </w:r>
    </w:p>
    <w:p>
      <w:pPr>
        <w:pStyle w:val="Heading4"/>
        <w:numPr>
          <w:ilvl w:val="3"/>
          <w:numId w:val="1"/>
        </w:numPr>
        <w:rPr/>
      </w:pPr>
      <w:bookmarkStart w:id="1723" w:name="__RefHeading___Toc363734_581953129"/>
      <w:bookmarkStart w:id="1724" w:name="_Toc721"/>
      <w:bookmarkEnd w:id="1723"/>
      <w:r>
        <w:rPr>
          <w:rtl w:val="true"/>
        </w:rPr>
        <w:t>المذاهب الاربعة</w:t>
      </w:r>
      <w:bookmarkEnd w:id="1724"/>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الحجّ و العمرة جاز له فی الإحرام ثلاث کیفیات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الإفراد،و هو أن یحرم بالحجّ وحده فإذا فرغ من‌أعماله أحرم بالعمرة وطاف وسعی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القران،و هو الجمع بین الحجّ و العمرة فی إحرام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التمتّع،و هو أن یعتمر أوّلاً ثمّ یحجّ من عامه</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فالحکم هو التخییر بین الأقسام الثلاثة بلاخلاف بین المذاهب الأربعة و إنّما الخلاف فی أفضلیة بعضها من حیث الاستحباب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ضرورة لصرف الوقت حول أفضلیة الاستحباب حیث لا ملزم لها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المحقّقین علی فتوی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کائن مکّیاً أو غیر مکّی أن یختار أی نوع شاء من أنواع الحجّ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 و القران و الإفراد،دون کراهة إلاّ أنّ أباحنیفة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للمکّی حجّ التمتّع و القران</w:t>
      </w:r>
      <w:r>
        <w:rPr>
          <w:rFonts w:eastAsia="IRNazanin" w:cs="IRNazanin"/>
          <w:color w:val="111111"/>
          <w:sz w:val="28"/>
          <w:szCs w:val="28"/>
          <w:rtl w:val="true"/>
          <w:lang w:bidi="fa-IR"/>
        </w:rPr>
        <w:t xml:space="preserve">. </w:t>
      </w:r>
      <w:r>
        <w:rPr>
          <w:rStyle w:val="FootnoteAnchor"/>
          <w:rtl w:val="true"/>
        </w:rPr>
        <w:footnoteReference w:id="816"/>
      </w:r>
    </w:p>
    <w:p>
      <w:pPr>
        <w:pStyle w:val="Heading4"/>
        <w:numPr>
          <w:ilvl w:val="3"/>
          <w:numId w:val="1"/>
        </w:numPr>
        <w:rPr/>
      </w:pPr>
      <w:bookmarkStart w:id="1725" w:name="__RefHeading___Toc363736_581953129"/>
      <w:bookmarkStart w:id="1726" w:name="_Toc722"/>
      <w:bookmarkEnd w:id="1725"/>
      <w:r>
        <w:rPr>
          <w:rtl w:val="true"/>
        </w:rPr>
        <w:t>منشأ الاختلاف</w:t>
      </w:r>
      <w:bookmarkEnd w:id="1726"/>
    </w:p>
    <w:p>
      <w:pPr>
        <w:pStyle w:val="Heading5"/>
        <w:numPr>
          <w:ilvl w:val="4"/>
          <w:numId w:val="1"/>
        </w:numPr>
        <w:rPr/>
      </w:pPr>
      <w:bookmarkStart w:id="1727" w:name="__RefHeading___Toc363738_581953129"/>
      <w:bookmarkStart w:id="1728" w:name="_Toc723"/>
      <w:bookmarkEnd w:id="1727"/>
      <w:r>
        <w:rPr>
          <w:rtl w:val="true"/>
        </w:rPr>
        <w:t>اشارة</w:t>
      </w:r>
      <w:bookmarkEnd w:id="172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العامل الرئیسی الّذی أوجب الاختلاف بین المذهب الجعفری و المذاهب الأربعة هو الاختلاف فی فهم المعنی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w:t>
      </w:r>
      <w:bookmarkStart w:id="1729" w:name="pg5240_59476"/>
    </w:p>
    <w:p>
      <w:pPr>
        <w:pStyle w:val="BookText"/>
        <w:rPr/>
      </w:pPr>
      <w:bookmarkEnd w:id="1729"/>
      <w:r>
        <w:rPr>
          <w:rFonts w:ascii="Amiri" w:hAnsi="Amiri" w:eastAsia="Amiri" w:cs="Amiri"/>
          <w:color w:val="111111"/>
          <w:sz w:val="28"/>
          <w:sz w:val="28"/>
          <w:szCs w:val="28"/>
          <w:rtl w:val="true"/>
          <w:lang w:bidi="ar-SA"/>
        </w:rPr>
        <w:t>فَمَا اسْتَیْسَرَ مِنَ الْهَدْیِ فَمَنْ لَمْ یَجِدْ فَصِیامُ ثَلاثَةِ أَیّامٍ فِی الْحَجِّ وَ سَبْعَةٍ إِذا رَجَعْتُمْ تِلْکَ عَشَرَةٌ کامِلَةٌ ذلِکَ لِمَنْ لَمْ یَکُنْ أَهْلُهُ حاضِرِی الْمَسْجِدِ الْحَرامِ</w:t>
      </w:r>
      <w:r>
        <w:rPr>
          <w:rFonts w:eastAsia="Amiri" w:cs="Amiri" w:ascii="Amiri" w:hAnsi="Amiri"/>
          <w:color w:val="111111"/>
          <w:sz w:val="28"/>
          <w:szCs w:val="28"/>
          <w:rtl w:val="true"/>
          <w:lang w:bidi="ar-SA"/>
        </w:rPr>
        <w:t xml:space="preserve">... . </w:t>
      </w:r>
      <w:r>
        <w:rPr>
          <w:rStyle w:val="FootnoteAnchor"/>
          <w:rtl w:val="true"/>
        </w:rPr>
        <w:footnoteReference w:id="817"/>
      </w:r>
    </w:p>
    <w:p>
      <w:pPr>
        <w:pStyle w:val="Heading5"/>
        <w:numPr>
          <w:ilvl w:val="4"/>
          <w:numId w:val="1"/>
        </w:numPr>
        <w:rPr/>
      </w:pPr>
      <w:bookmarkStart w:id="1730" w:name="__RefHeading___Toc363740_581953129"/>
      <w:bookmarkStart w:id="1731" w:name="_Toc724"/>
      <w:bookmarkEnd w:id="1730"/>
      <w:r>
        <w:rPr>
          <w:rtl w:val="true"/>
        </w:rPr>
        <w:t>و الاختلاف‌فی الفهم بما یلی</w:t>
      </w:r>
      <w:r>
        <w:rPr>
          <w:rtl w:val="true"/>
        </w:rPr>
        <w:t>:</w:t>
      </w:r>
      <w:bookmarkEnd w:id="1731"/>
    </w:p>
    <w:p>
      <w:pPr>
        <w:pStyle w:val="Heading6"/>
        <w:numPr>
          <w:ilvl w:val="5"/>
          <w:numId w:val="1"/>
        </w:numPr>
        <w:rPr/>
      </w:pPr>
      <w:bookmarkStart w:id="1732" w:name="__RefHeading___Toc363742_581953129"/>
      <w:bookmarkStart w:id="1733" w:name="_Toc725"/>
      <w:bookmarkEnd w:id="1732"/>
      <w:r>
        <w:rPr>
          <w:rtl w:val="true"/>
        </w:rPr>
        <w:t>المذهب الجعفری</w:t>
      </w:r>
      <w:bookmarkEnd w:id="1733"/>
    </w:p>
    <w:p>
      <w:pPr>
        <w:pStyle w:val="BookText"/>
        <w:rPr/>
      </w:pPr>
      <w:r>
        <w:rPr>
          <w:rFonts w:ascii="Amiri" w:hAnsi="Amiri" w:eastAsia="Amiri" w:cs="Amiri"/>
          <w:color w:val="111111"/>
          <w:sz w:val="28"/>
          <w:sz w:val="28"/>
          <w:szCs w:val="28"/>
          <w:rtl w:val="true"/>
          <w:lang w:bidi="ar-SA"/>
        </w:rPr>
        <w:t>إنّ المقصود بالإشارة من‌کلمة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ذلک،فی قوله‌تعالی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التمتّع الّذی هو المقصود الأصلی للبیان،وعلیه فیصبح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ذلک التمتّع مع ماله صلة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فرض النائی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لم یکن أهلاً لبلد مکّة المکرّمة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وطبعاً کان فرض الحاضر الّذی یکون أهلاً للبلد،هو غیر التمتّع،من الإفراد و القران،و هو نفس المعنی الّذی ورد فی النصّ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الآنف بالذکر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علیه السلام وبه یتمّ المطلوب</w:t>
      </w:r>
      <w:r>
        <w:rPr>
          <w:rFonts w:eastAsia="Amiri" w:cs="Amiri" w:ascii="Amiri" w:hAnsi="Amiri"/>
          <w:color w:val="111111"/>
          <w:sz w:val="28"/>
          <w:szCs w:val="28"/>
          <w:rtl w:val="true"/>
          <w:lang w:bidi="ar-SA"/>
        </w:rPr>
        <w:t>.</w:t>
      </w:r>
    </w:p>
    <w:p>
      <w:pPr>
        <w:pStyle w:val="Heading6"/>
        <w:numPr>
          <w:ilvl w:val="5"/>
          <w:numId w:val="1"/>
        </w:numPr>
        <w:rPr/>
      </w:pPr>
      <w:bookmarkStart w:id="1734" w:name="__RefHeading___Toc363744_581953129"/>
      <w:bookmarkStart w:id="1735" w:name="_Toc726"/>
      <w:bookmarkEnd w:id="1734"/>
      <w:r>
        <w:rPr>
          <w:rtl w:val="true"/>
        </w:rPr>
        <w:t>المذاهب الاربعة</w:t>
      </w:r>
      <w:bookmarkEnd w:id="1735"/>
    </w:p>
    <w:p>
      <w:pPr>
        <w:pStyle w:val="BookText"/>
        <w:rPr/>
      </w:pPr>
      <w:r>
        <w:rPr>
          <w:rFonts w:ascii="IRNazanin" w:hAnsi="IRNazanin" w:eastAsia="IRNazanin"/>
          <w:color w:val="111111"/>
          <w:sz w:val="28"/>
          <w:sz w:val="28"/>
          <w:szCs w:val="28"/>
          <w:rtl w:val="true"/>
          <w:lang w:bidi="fa-IR"/>
        </w:rPr>
        <w:t>إنّ المقصود من کلمة ذلک فی الآیة هو الهدی،وعلیه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الهدی یکون فرض النائی البعید عن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الهدی علی من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البلدأعمّ من أن یکون الحجّ حجّ التمتّع،أو الإفراد أو القران فعلیه یجوز أن یکون حجّ الحاضر حجّ التمتّع فیبتدئ من أدنی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التنعیم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ویستمرّ علی ما هو المنهج فی التمتّع إلی التحلیل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یسدّ الاختلاف هو وحدة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الواقع العملی،ذلک؛لأنّ الحجّاج الواردین فی مکّة المکّرمة لابدّ لهم من المرور عن أحد المواقیت المقرّرة للنائی ولا یجوز المرور من المیقات بدون الإحرام و هذا هو</w:t>
      </w:r>
      <w:bookmarkStart w:id="1736" w:name="pg5240_59477"/>
    </w:p>
    <w:p>
      <w:pPr>
        <w:pStyle w:val="BookText"/>
        <w:rPr/>
      </w:pPr>
      <w:bookmarkEnd w:id="17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النسک فی التمتّع،وعلیه یمکننا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التمتّع بحسب الواقع هو فرض البعید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ماذهب إلیه الرأی الجعفری هو الّذی یتطابق مع الواقع الموضوعی</w:t>
      </w:r>
      <w:r>
        <w:rPr>
          <w:rFonts w:eastAsia="IRNazanin" w:cs="IRNazanin"/>
          <w:color w:val="111111"/>
          <w:sz w:val="28"/>
          <w:szCs w:val="28"/>
          <w:rtl w:val="true"/>
          <w:lang w:bidi="fa-IR"/>
        </w:rPr>
        <w:t>.</w:t>
      </w:r>
    </w:p>
    <w:p>
      <w:pPr>
        <w:pStyle w:val="Heading3"/>
        <w:numPr>
          <w:ilvl w:val="2"/>
          <w:numId w:val="1"/>
        </w:numPr>
        <w:rPr/>
      </w:pPr>
      <w:bookmarkStart w:id="1737" w:name="__RefHeading___Toc363746_581953129"/>
      <w:bookmarkStart w:id="1738" w:name="_Toc727"/>
      <w:bookmarkEnd w:id="1737"/>
      <w:r>
        <w:rPr>
          <w:rtl w:val="true"/>
        </w:rPr>
        <w:t>الإحرام من المواقیت</w:t>
      </w:r>
      <w:bookmarkEnd w:id="1738"/>
    </w:p>
    <w:p>
      <w:pPr>
        <w:pStyle w:val="Heading4"/>
        <w:numPr>
          <w:ilvl w:val="3"/>
          <w:numId w:val="1"/>
        </w:numPr>
        <w:rPr/>
      </w:pPr>
      <w:bookmarkStart w:id="1739" w:name="__RefHeading___Toc363748_581953129"/>
      <w:bookmarkStart w:id="1740" w:name="_Toc728"/>
      <w:bookmarkEnd w:id="1739"/>
      <w:r>
        <w:rPr>
          <w:rtl w:val="true"/>
        </w:rPr>
        <w:t>اشارة</w:t>
      </w:r>
      <w:bookmarkEnd w:id="1740"/>
    </w:p>
    <w:p>
      <w:pPr>
        <w:pStyle w:val="BookText"/>
        <w:rPr/>
      </w:pPr>
      <w:r>
        <w:rPr>
          <w:rFonts w:ascii="IRNazanin" w:hAnsi="IRNazanin" w:eastAsia="IRNazanin"/>
          <w:color w:val="111111"/>
          <w:sz w:val="28"/>
          <w:sz w:val="28"/>
          <w:szCs w:val="28"/>
          <w:rtl w:val="true"/>
          <w:lang w:bidi="fa-IR"/>
        </w:rPr>
        <w:t>اختلفت الآراء بالنسبة إلی جواز الإحرام قبل المیقات وعدم الجواز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741" w:name="__RefHeading___Toc363750_581953129"/>
      <w:bookmarkStart w:id="1742" w:name="_Toc729"/>
      <w:bookmarkEnd w:id="1741"/>
      <w:r>
        <w:rPr>
          <w:rtl w:val="true"/>
        </w:rPr>
        <w:t>المذاهب الاربعة</w:t>
      </w:r>
      <w:bookmarkEnd w:id="1742"/>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فی أنّ من أحرم قبل المیقات یصیر محرماً،ولکنّ الأفضل،الإحرام من المیقات ویکره قبله وبه قال مالک و الشافعی 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الإحرام من بلده 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وأصحابه أحرموا من المیقات ولایفعلون إلاّ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سنّة النبی صلی الله علیه و آله الإحرام من المیقات،بین ذلک بفعله وقوله</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قال الکاشانی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قدّم الإحرام علی المواقیت هو أفضل وروی عن أبی‌حنیفة أن ذلک أفضل إذا کان یملک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المحظورات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الإحرام من المیقات أفضل وقال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وتقدیم الإحرام علی المیقات جائز بالإجماع إذا کان فی أشهر الحرم</w:t>
      </w:r>
      <w:r>
        <w:rPr>
          <w:rFonts w:eastAsia="IRNazanin" w:cs="IRNazanin"/>
          <w:color w:val="111111"/>
          <w:sz w:val="28"/>
          <w:szCs w:val="28"/>
          <w:rtl w:val="true"/>
          <w:lang w:bidi="fa-IR"/>
        </w:rPr>
        <w:t xml:space="preserve">. </w:t>
      </w:r>
      <w:r>
        <w:rPr>
          <w:rStyle w:val="FootnoteAnchor"/>
          <w:rtl w:val="true"/>
        </w:rPr>
        <w:footnoteReference w:id="819"/>
      </w:r>
    </w:p>
    <w:p>
      <w:pPr>
        <w:pStyle w:val="Heading4"/>
        <w:numPr>
          <w:ilvl w:val="3"/>
          <w:numId w:val="1"/>
        </w:numPr>
        <w:rPr/>
      </w:pPr>
      <w:bookmarkStart w:id="1743" w:name="__RefHeading___Toc363752_581953129"/>
      <w:bookmarkStart w:id="1744" w:name="_Toc730"/>
      <w:bookmarkEnd w:id="1743"/>
      <w:r>
        <w:rPr>
          <w:rtl w:val="true"/>
        </w:rPr>
        <w:t>المذهب الجعفری</w:t>
      </w:r>
      <w:bookmarkEnd w:id="174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الإحرام قبل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ذلک؛عملاً بمقتضی التوقیت وللنصوص الواردة فی الباب،منها صحیحة معاویة‌بن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bookmarkStart w:id="1745" w:name="pg5240_59478"/>
    </w:p>
    <w:p>
      <w:pPr>
        <w:pStyle w:val="BookText"/>
        <w:rPr/>
      </w:pPr>
      <w:bookmarkEnd w:id="1745"/>
      <w:r>
        <w:rPr>
          <w:rFonts w:ascii="IRNazanin" w:hAnsi="IRNazanin" w:eastAsia="IRNazanin"/>
          <w:color w:val="111111"/>
          <w:sz w:val="28"/>
          <w:sz w:val="28"/>
          <w:szCs w:val="28"/>
          <w:rtl w:val="true"/>
          <w:lang w:bidi="fa-IR"/>
        </w:rPr>
        <w:t>أباعبدالله الإمام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أن یحرم دون الوقت الّذی وقّت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ویستثنی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قبل المیقات فإنّه یجوز ویصحّ للنصوص،منها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أبی‌بصیر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أنعم تعالی علیه نعمة وابتلاه ببلیة فعافاه من تلک البلیة فجعل علی نفسه أن یحرم من خراسان کان علیه أن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صحّة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عمرة رجب وخشی تقفیه إن أخّر الإحرام إلی المیقات فإنّه یجوز له الإحرام قبل المیقات وتجب له عمرة،و إن أتی ببقیة‌الأعمال فی شعبان؛لصحیحة‌إسحق‌بن عمّار عن الإمام‌الصادق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یجیئ معتمراً ینوی عمرة رجب فیدخل علیه الهلال قبل أن یبلغ العقیق،أیحرم قبل الوقت ویجعلها لرجب؟أو یؤخّر الإحرام إلی العقیق ویجعلها لشعبان؟قال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قبل الوقت لرجب فإنّ لرجب فضلاً</w:t>
      </w:r>
      <w:r>
        <w:rPr>
          <w:rFonts w:eastAsia="IRNazanin" w:cs="IRNazanin"/>
          <w:color w:val="111111"/>
          <w:sz w:val="28"/>
          <w:szCs w:val="28"/>
          <w:rtl w:val="true"/>
          <w:lang w:bidi="fa-IR"/>
        </w:rPr>
        <w:t xml:space="preserve">». </w:t>
      </w:r>
      <w:r>
        <w:rPr>
          <w:rStyle w:val="FootnoteAnchor"/>
          <w:rtl w:val="true"/>
        </w:rPr>
        <w:footnoteReference w:id="820"/>
      </w:r>
    </w:p>
    <w:p>
      <w:pPr>
        <w:pStyle w:val="Heading4"/>
        <w:numPr>
          <w:ilvl w:val="3"/>
          <w:numId w:val="1"/>
        </w:numPr>
        <w:rPr/>
      </w:pPr>
      <w:bookmarkStart w:id="1746" w:name="__RefHeading___Toc363754_581953129"/>
      <w:bookmarkStart w:id="1747" w:name="_Toc731"/>
      <w:bookmarkEnd w:id="1746"/>
      <w:r>
        <w:rPr>
          <w:rtl w:val="true"/>
        </w:rPr>
        <w:t>منشأ الاختلاف</w:t>
      </w:r>
      <w:bookmarkEnd w:id="1747"/>
    </w:p>
    <w:p>
      <w:pPr>
        <w:pStyle w:val="BookText"/>
        <w:rPr/>
      </w:pPr>
      <w:r>
        <w:rPr>
          <w:rFonts w:ascii="IRNazanin" w:hAnsi="IRNazanin" w:eastAsia="IRNazanin"/>
          <w:color w:val="111111"/>
          <w:sz w:val="28"/>
          <w:sz w:val="28"/>
          <w:szCs w:val="28"/>
          <w:rtl w:val="true"/>
          <w:lang w:bidi="fa-IR"/>
        </w:rPr>
        <w:t>تبین لنا بکلّ وضوح أنّ الدلیل علی جواز الإحرام قبل المیقات علی المذاهب الأربعة،هو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الّذی ذکره ابن‌قدامة،و أمّا النصوص الواردة عن الطریقین دلّت علی لزوم الإحرام من المیقات کما هو مقتضی أدلّة المواقیت،وإلاّ فلا معنی للتوقیت کما 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المیقات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موضع الإحرام للحاجّ و هوموافق للمعنی الشرعی فللإحرام میقات مکانی</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الأحوط فی الدین هو الإحرام من المیقات عملاً بمقتضی الأدلّة و النصوص و الفتاوی،ولا خلاف هناک من ناحیة عملیة إلاّ عن الحنفی فإنّ أبناء</w:t>
      </w:r>
      <w:bookmarkStart w:id="1748" w:name="pg5240_59479"/>
    </w:p>
    <w:p>
      <w:pPr>
        <w:pStyle w:val="BookText"/>
        <w:rPr/>
      </w:pPr>
      <w:bookmarkEnd w:id="1748"/>
      <w:r>
        <w:rPr>
          <w:rFonts w:ascii="IRNazanin" w:hAnsi="IRNazanin" w:eastAsia="IRNazanin"/>
          <w:color w:val="111111"/>
          <w:sz w:val="28"/>
          <w:sz w:val="28"/>
          <w:szCs w:val="28"/>
          <w:rtl w:val="true"/>
          <w:lang w:bidi="fa-IR"/>
        </w:rPr>
        <w:t>الحنفی یحرمون من بلدهم علی أساس أنّ الأفضل هو الإحرام من البلد علی الرأی الحنفی،و هذا الحکم ناشئ من الاجتهاد الخاص</w:t>
      </w:r>
      <w:r>
        <w:rPr>
          <w:rFonts w:eastAsia="IRNazanin" w:cs="IRNazanin"/>
          <w:color w:val="111111"/>
          <w:sz w:val="28"/>
          <w:szCs w:val="28"/>
          <w:rtl w:val="true"/>
          <w:lang w:bidi="fa-IR"/>
        </w:rPr>
        <w:t>.</w:t>
      </w:r>
    </w:p>
    <w:p>
      <w:pPr>
        <w:pStyle w:val="Heading3"/>
        <w:numPr>
          <w:ilvl w:val="2"/>
          <w:numId w:val="1"/>
        </w:numPr>
        <w:rPr/>
      </w:pPr>
      <w:bookmarkStart w:id="1749" w:name="__RefHeading___Toc363756_581953129"/>
      <w:bookmarkStart w:id="1750" w:name="_Toc732"/>
      <w:bookmarkEnd w:id="1749"/>
      <w:r>
        <w:rPr>
          <w:rtl w:val="true"/>
        </w:rPr>
        <w:t>حکم المرور عن المیقات بدون الإحرام</w:t>
      </w:r>
      <w:bookmarkEnd w:id="1750"/>
    </w:p>
    <w:p>
      <w:pPr>
        <w:pStyle w:val="Heading4"/>
        <w:numPr>
          <w:ilvl w:val="3"/>
          <w:numId w:val="1"/>
        </w:numPr>
        <w:rPr/>
      </w:pPr>
      <w:bookmarkStart w:id="1751" w:name="__RefHeading___Toc363758_581953129"/>
      <w:bookmarkStart w:id="1752" w:name="_Toc733"/>
      <w:bookmarkEnd w:id="1751"/>
      <w:r>
        <w:rPr>
          <w:rtl w:val="true"/>
        </w:rPr>
        <w:t>اشارة</w:t>
      </w:r>
      <w:bookmarkEnd w:id="1752"/>
    </w:p>
    <w:p>
      <w:pPr>
        <w:pStyle w:val="BookText"/>
        <w:rPr/>
      </w:pPr>
      <w:r>
        <w:rPr>
          <w:rFonts w:ascii="IRNazanin" w:hAnsi="IRNazanin" w:eastAsia="IRNazanin"/>
          <w:color w:val="111111"/>
          <w:sz w:val="28"/>
          <w:sz w:val="28"/>
          <w:szCs w:val="28"/>
          <w:rtl w:val="true"/>
          <w:lang w:bidi="fa-IR"/>
        </w:rPr>
        <w:t>اختلفت الآراء بالنسبة إلی حکم من جاوز المیقات بدون أن یحرم،وتفصیل‌الاختلاف بما یلی</w:t>
      </w:r>
      <w:r>
        <w:rPr>
          <w:rFonts w:eastAsia="IRNazanin" w:cs="IRNazanin"/>
          <w:color w:val="111111"/>
          <w:sz w:val="28"/>
          <w:szCs w:val="28"/>
          <w:rtl w:val="true"/>
          <w:lang w:bidi="fa-IR"/>
        </w:rPr>
        <w:t>:</w:t>
      </w:r>
    </w:p>
    <w:p>
      <w:pPr>
        <w:pStyle w:val="Heading4"/>
        <w:numPr>
          <w:ilvl w:val="3"/>
          <w:numId w:val="1"/>
        </w:numPr>
        <w:rPr/>
      </w:pPr>
      <w:bookmarkStart w:id="1753" w:name="__RefHeading___Toc363760_581953129"/>
      <w:bookmarkStart w:id="1754" w:name="_Toc734"/>
      <w:bookmarkEnd w:id="1753"/>
      <w:r>
        <w:rPr>
          <w:rtl w:val="true"/>
        </w:rPr>
        <w:t>المذهب الجعفری</w:t>
      </w:r>
      <w:bookmarkEnd w:id="1754"/>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أخّر الإحرام من المیقات عالماً عامداً،ولم یتمکّن من العود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لضیق الوقت أو لعذر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أمامه میقات آخر،بطل إحرامه وحجّه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ذلک؛لأنّه مقتضی إطلاق دلیل التوقیت،الموجب لبطلان الإحرام من غیر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وببطلانه یبطل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،لفوات الکلّ بانتفاء جزئه أو المشروط بانتفاء شرطه</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و هو نفس الرأی علی مسلک بعض من أبناء العامّة کما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سعیدبن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 لمن ترک المیقات</w:t>
      </w:r>
      <w:r>
        <w:rPr>
          <w:rFonts w:eastAsia="IRNazanin" w:cs="IRNazanin"/>
          <w:color w:val="111111"/>
          <w:sz w:val="28"/>
          <w:szCs w:val="28"/>
          <w:rtl w:val="true"/>
          <w:lang w:bidi="fa-IR"/>
        </w:rPr>
        <w:t xml:space="preserve">. </w:t>
      </w:r>
      <w:r>
        <w:rPr>
          <w:rStyle w:val="FootnoteAnchor"/>
          <w:rtl w:val="true"/>
        </w:rPr>
        <w:footnoteReference w:id="823"/>
      </w:r>
    </w:p>
    <w:p>
      <w:pPr>
        <w:pStyle w:val="Heading4"/>
        <w:numPr>
          <w:ilvl w:val="3"/>
          <w:numId w:val="1"/>
        </w:numPr>
        <w:rPr/>
      </w:pPr>
      <w:bookmarkStart w:id="1755" w:name="__RefHeading___Toc363762_581953129"/>
      <w:bookmarkStart w:id="1756" w:name="_Toc735"/>
      <w:bookmarkEnd w:id="1755"/>
      <w:r>
        <w:rPr>
          <w:rtl w:val="true"/>
        </w:rPr>
        <w:t>المذاهب الاربعة</w:t>
      </w:r>
      <w:bookmarkEnd w:id="175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أراد الإحرام فجاوز المیقات غیر محرم رجع فأحرم من المیقات فإن أحرم من مکانه فعلیه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المذاهب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لما روی ابن عبّاس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نسکاً فعلیه الدم</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وقال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جاوز المیقات بغیر إحرام ثمّ أحرم یلزمه دم</w:t>
      </w:r>
      <w:r>
        <w:rPr>
          <w:rFonts w:eastAsia="IRNazanin" w:cs="IRNazanin"/>
          <w:color w:val="111111"/>
          <w:sz w:val="28"/>
          <w:szCs w:val="28"/>
          <w:rtl w:val="true"/>
          <w:lang w:bidi="fa-IR"/>
        </w:rPr>
        <w:t xml:space="preserve">. </w:t>
      </w:r>
      <w:r>
        <w:rPr>
          <w:rStyle w:val="FootnoteAnchor"/>
          <w:rtl w:val="true"/>
        </w:rPr>
        <w:footnoteReference w:id="825"/>
      </w:r>
      <w:bookmarkStart w:id="1757" w:name="pg5240_59480"/>
    </w:p>
    <w:p>
      <w:pPr>
        <w:pStyle w:val="Heading4"/>
        <w:numPr>
          <w:ilvl w:val="3"/>
          <w:numId w:val="1"/>
        </w:numPr>
        <w:rPr/>
      </w:pPr>
      <w:bookmarkStart w:id="1758" w:name="__RefHeading___Toc363764_581953129"/>
      <w:bookmarkStart w:id="1759" w:name="_Toc736"/>
      <w:bookmarkEnd w:id="1757"/>
      <w:bookmarkEnd w:id="1758"/>
      <w:r>
        <w:rPr>
          <w:rtl w:val="true"/>
        </w:rPr>
        <w:t>منشأ الاختلاف</w:t>
      </w:r>
      <w:bookmarkEnd w:id="1759"/>
    </w:p>
    <w:p>
      <w:pPr>
        <w:pStyle w:val="BookText"/>
        <w:rPr/>
      </w:pPr>
      <w:r>
        <w:rPr>
          <w:rFonts w:ascii="IRNazanin" w:hAnsi="IRNazanin" w:eastAsia="IRNazanin"/>
          <w:color w:val="111111"/>
          <w:sz w:val="28"/>
          <w:sz w:val="28"/>
          <w:szCs w:val="28"/>
          <w:rtl w:val="true"/>
          <w:lang w:bidi="fa-IR"/>
        </w:rPr>
        <w:t>إنّ الاختلاف فی الحکم ناشئ عن الاختلاف فی الاجتهاد</w:t>
      </w:r>
      <w:r>
        <w:rPr>
          <w:rFonts w:eastAsia="IRNazanin" w:cs="IRNazanin"/>
          <w:color w:val="111111"/>
          <w:sz w:val="28"/>
          <w:szCs w:val="28"/>
          <w:rtl w:val="true"/>
          <w:lang w:bidi="fa-IR"/>
        </w:rPr>
        <w:t>.</w:t>
      </w:r>
    </w:p>
    <w:p>
      <w:pPr>
        <w:pStyle w:val="Heading3"/>
        <w:numPr>
          <w:ilvl w:val="2"/>
          <w:numId w:val="1"/>
        </w:numPr>
        <w:rPr/>
      </w:pPr>
      <w:bookmarkStart w:id="1760" w:name="__RefHeading___Toc363766_581953129"/>
      <w:bookmarkStart w:id="1761" w:name="_Toc737"/>
      <w:bookmarkEnd w:id="1760"/>
      <w:r>
        <w:rPr>
          <w:rtl w:val="true"/>
        </w:rPr>
        <w:t>صحّة الإحرام قبل أشهر الحجّ</w:t>
      </w:r>
      <w:bookmarkEnd w:id="1761"/>
    </w:p>
    <w:p>
      <w:pPr>
        <w:pStyle w:val="BookText"/>
        <w:rPr/>
      </w:pPr>
      <w:r>
        <w:rPr>
          <w:rFonts w:ascii="IRNazanin" w:hAnsi="IRNazanin" w:eastAsia="IRNazanin"/>
          <w:color w:val="111111"/>
          <w:sz w:val="28"/>
          <w:sz w:val="28"/>
          <w:szCs w:val="28"/>
          <w:rtl w:val="true"/>
          <w:lang w:bidi="fa-IR"/>
        </w:rPr>
        <w:t>اختلفت الآراء حول صحّة الإحرام للحجّ،قبل أشهر الحجّ وعدم صحّته،وتفصیل الاختلاف بما یلی</w:t>
      </w:r>
      <w:r>
        <w:rPr>
          <w:rFonts w:eastAsia="IRNazanin" w:cs="IRNazanin"/>
          <w:color w:val="111111"/>
          <w:sz w:val="28"/>
          <w:szCs w:val="28"/>
          <w:rtl w:val="true"/>
          <w:lang w:bidi="fa-IR"/>
        </w:rPr>
        <w:t>:</w:t>
      </w:r>
    </w:p>
    <w:p>
      <w:pPr>
        <w:pStyle w:val="Heading3"/>
        <w:numPr>
          <w:ilvl w:val="2"/>
          <w:numId w:val="1"/>
        </w:numPr>
        <w:rPr/>
      </w:pPr>
      <w:bookmarkStart w:id="1762" w:name="__RefHeading___Toc363768_581953129"/>
      <w:bookmarkStart w:id="1763" w:name="_Toc738"/>
      <w:bookmarkEnd w:id="1762"/>
      <w:r>
        <w:rPr>
          <w:rtl w:val="true"/>
        </w:rPr>
        <w:t>أشهر الحجّ</w:t>
      </w:r>
      <w:bookmarkEnd w:id="1763"/>
    </w:p>
    <w:p>
      <w:pPr>
        <w:pStyle w:val="Heading4"/>
        <w:numPr>
          <w:ilvl w:val="3"/>
          <w:numId w:val="1"/>
        </w:numPr>
        <w:rPr/>
      </w:pPr>
      <w:bookmarkStart w:id="1764" w:name="__RefHeading___Toc363770_581953129"/>
      <w:bookmarkStart w:id="1765" w:name="_Toc739"/>
      <w:bookmarkEnd w:id="1764"/>
      <w:r>
        <w:rPr>
          <w:rtl w:val="true"/>
        </w:rPr>
        <w:t>اشارة</w:t>
      </w:r>
      <w:bookmarkEnd w:id="176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یشترط أن یکون مجموع العمرة و الحجّ فی أشهرالحجّ فلو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بعمرته أو بعضها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له أن‌یتمتّع بها،وأشهر الحجّ شوّال وذوالقعدة وذوالحجّة بتمامه علی الأصحّ،لظاهرالآیة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وجملة من الأخبارکصحیحة معاویة‌بن عمّار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عن‌الإمام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فِیهِنَّ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وذوالقعدة وذوالحجّة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قال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اعتمر 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 إلی الحجّ‌فهی متعة،ومن رجع إلی بلاده ولم یقم إلی الحجّ فهی عمرة،و إن اعتمر فی شهر رمضان أو قبله وأقام إلی الحجّ فلیس بمتمتّع</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و هو نفس الرأی علی المذهب الشافعی</w:t>
      </w:r>
      <w:r>
        <w:rPr>
          <w:rFonts w:eastAsia="IRNazanin" w:cs="IRNazanin"/>
          <w:color w:val="111111"/>
          <w:sz w:val="28"/>
          <w:szCs w:val="28"/>
          <w:rtl w:val="true"/>
          <w:lang w:bidi="fa-IR"/>
        </w:rPr>
        <w:t xml:space="preserve">. </w:t>
      </w:r>
      <w:r>
        <w:rPr>
          <w:rStyle w:val="FootnoteAnchor"/>
          <w:rtl w:val="true"/>
        </w:rPr>
        <w:footnoteReference w:id="829"/>
      </w:r>
      <w:bookmarkStart w:id="1766" w:name="pg5240_59481"/>
    </w:p>
    <w:p>
      <w:pPr>
        <w:pStyle w:val="Heading4"/>
        <w:numPr>
          <w:ilvl w:val="3"/>
          <w:numId w:val="1"/>
        </w:numPr>
        <w:rPr/>
      </w:pPr>
      <w:bookmarkStart w:id="1767" w:name="__RefHeading___Toc363772_581953129"/>
      <w:bookmarkStart w:id="1768" w:name="_Toc740"/>
      <w:bookmarkEnd w:id="1766"/>
      <w:bookmarkEnd w:id="1767"/>
      <w:r>
        <w:rPr>
          <w:rtl w:val="true"/>
        </w:rPr>
        <w:t>المذهب الحنبلی</w:t>
      </w:r>
      <w:bookmarkEnd w:id="1768"/>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أن یحرم بالحجّ قبل أشهره و هذا هو الأولی،فإنّ الإحرام بالحجّ قبل أشهره مکروه؛لکونه إحراماً به قبل وقته فأشبه الإحرام به قبل میقاته؛ولأنّ فی صحّته اختلافاً فإن أحرم به قبل أشهره صحّ مع کراهة و هو قول مالک وأبی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الشافعی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یجعله عمرة؛لقول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ومتی ثبت أنّه وقته لم یجز تقدیم إحرامه علیه کأوقات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الْأَهِلَّةِ قُلْ هِیَ مَواقِیتُ لِلنّاسِ</w:t>
      </w:r>
      <w:r>
        <w:rPr>
          <w:rFonts w:eastAsia="Amiri" w:cs="Amiri" w:ascii="Amiri" w:hAnsi="Amiri"/>
          <w:color w:val="111111"/>
          <w:sz w:val="28"/>
          <w:szCs w:val="28"/>
          <w:rtl w:val="true"/>
          <w:lang w:bidi="ar-SA"/>
        </w:rPr>
        <w:t xml:space="preserve">... . </w:t>
      </w:r>
      <w:r>
        <w:rPr>
          <w:rStyle w:val="FootnoteAnchor"/>
          <w:rtl w:val="true"/>
        </w:rPr>
        <w:footnoteReference w:id="830"/>
      </w:r>
      <w:r>
        <w:rPr>
          <w:rFonts w:ascii="Amiri" w:hAnsi="Amiri" w:eastAsia="Amiri" w:cs="Amiri"/>
          <w:color w:val="111111"/>
          <w:sz w:val="28"/>
          <w:sz w:val="28"/>
          <w:szCs w:val="28"/>
          <w:rtl w:val="true"/>
          <w:lang w:bidi="ar-SA"/>
        </w:rPr>
        <w:t>فدلّ علی أنّ جمیع‌الأشهر میقات،والآیة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محمولة علی أنّ الإحرام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یستحبّ فیها</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وقال المحشّی تعلیقاً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ضعیف جدّاً ولو صحّ لجاز صیام رمضان فی شهر آخر 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یختلف عن تعیین شهر رمضان باسمه،فإنّ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کتسمیتها سواء</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 ما الفرق بین میقات‌الزمان و المکان حیث جازتقدیم الإحرام علی میقات المکان دون الزمان،فالجواب ما أجاب به الجرجانی فی المعایات أن میقات المکان یختلف باختلاف البلاد بخلاف میقات الزمان</w:t>
      </w:r>
      <w:r>
        <w:rPr>
          <w:rFonts w:eastAsia="IRNazanin" w:cs="IRNazanin"/>
          <w:color w:val="111111"/>
          <w:sz w:val="28"/>
          <w:szCs w:val="28"/>
          <w:rtl w:val="true"/>
          <w:lang w:bidi="fa-IR"/>
        </w:rPr>
        <w:t xml:space="preserve">. </w:t>
      </w:r>
      <w:r>
        <w:rPr>
          <w:rStyle w:val="FootnoteAnchor"/>
          <w:rtl w:val="true"/>
        </w:rPr>
        <w:footnoteReference w:id="833"/>
      </w:r>
    </w:p>
    <w:p>
      <w:pPr>
        <w:pStyle w:val="Heading4"/>
        <w:numPr>
          <w:ilvl w:val="3"/>
          <w:numId w:val="1"/>
        </w:numPr>
        <w:rPr/>
      </w:pPr>
      <w:bookmarkStart w:id="1769" w:name="__RefHeading___Toc363774_581953129"/>
      <w:bookmarkStart w:id="1770" w:name="_Toc741"/>
      <w:bookmarkEnd w:id="1769"/>
      <w:r>
        <w:rPr>
          <w:rtl w:val="true"/>
        </w:rPr>
        <w:t>منشأ الاختلاف</w:t>
      </w:r>
      <w:bookmarkEnd w:id="177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فی الحکم هنا ناشئ عن الاختلاف فی فهم المعنی من الآیة الّتی دلّت علی توقیت الحجّ بزمن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یسهّل الخطب أنّ الأوفق بالقواعد و الأحوط فی الدین هو الإحرام بالحجّ فی أشهره و هوالأفضل علی المذاهب أجمع،ویمکننا أن نقول أنّه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بحسب الواقع العملی</w:t>
      </w:r>
      <w:r>
        <w:rPr>
          <w:rFonts w:eastAsia="IRNazanin" w:cs="IRNazanin"/>
          <w:color w:val="111111"/>
          <w:sz w:val="28"/>
          <w:szCs w:val="28"/>
          <w:rtl w:val="true"/>
          <w:lang w:bidi="fa-IR"/>
        </w:rPr>
        <w:t>.</w:t>
      </w:r>
      <w:bookmarkStart w:id="1771" w:name="pg5240_59482"/>
    </w:p>
    <w:p>
      <w:pPr>
        <w:pStyle w:val="Heading3"/>
        <w:numPr>
          <w:ilvl w:val="2"/>
          <w:numId w:val="1"/>
        </w:numPr>
        <w:rPr/>
      </w:pPr>
      <w:bookmarkStart w:id="1772" w:name="__RefHeading___Toc363776_581953129"/>
      <w:bookmarkStart w:id="1773" w:name="_Toc742"/>
      <w:bookmarkEnd w:id="1771"/>
      <w:bookmarkEnd w:id="1772"/>
      <w:r>
        <w:rPr>
          <w:rtl w:val="true"/>
        </w:rPr>
        <w:t>الخلاصة</w:t>
      </w:r>
      <w:bookmarkEnd w:id="1773"/>
    </w:p>
    <w:p>
      <w:pPr>
        <w:pStyle w:val="BookText"/>
        <w:rPr/>
      </w:pPr>
      <w:r>
        <w:rPr>
          <w:rFonts w:ascii="IRNazanin" w:hAnsi="IRNazanin" w:eastAsia="IRNazanin"/>
          <w:color w:val="111111"/>
          <w:sz w:val="28"/>
          <w:sz w:val="28"/>
          <w:szCs w:val="28"/>
          <w:rtl w:val="true"/>
          <w:lang w:bidi="fa-IR"/>
        </w:rPr>
        <w:t>لاخلاف فی أقسام الحجّ بین المذاهب و إنّما الخلاف بینهم فی أفضلیة بعضها علی بعض و هو سهل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وثمّة خلاف بین المذهب الجعفری و المذاهب الأربعة بالنسبة إلی کیفیة حجّ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التمتّع یختصّ للنائی،والإفراد و القران لأهل البلد علی المذهب الجعفری ولم یکن الحکم کذلک علی المذاهب الأربعة بل یجوز لأهل البلد التمتّع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لایجوز الإحرام قبل المیقات إلاّ علی 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المرور من المیقات بدون الإحرام مبطل للحجّ علی المذهب الجعفری ولا یبطل بل یوجب الهدی علی المذاهب الأربعة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لایصحّ الإحرام بالحجّ قبل أشهر الحرم علی المذهب الجعفری و الشافعی ویجوز ذلک مع کراهة علی المذاهب الثلاثة الاُخری</w:t>
      </w:r>
      <w:r>
        <w:rPr>
          <w:rFonts w:eastAsia="IRNazanin" w:cs="IRNazanin"/>
          <w:color w:val="111111"/>
          <w:sz w:val="28"/>
          <w:szCs w:val="28"/>
          <w:rtl w:val="true"/>
          <w:lang w:bidi="fa-IR"/>
        </w:rPr>
        <w:t>.</w:t>
      </w:r>
      <w:bookmarkStart w:id="1774" w:name="pg5240_59483"/>
    </w:p>
    <w:p>
      <w:pPr>
        <w:pStyle w:val="Heading3"/>
        <w:numPr>
          <w:ilvl w:val="2"/>
          <w:numId w:val="1"/>
        </w:numPr>
        <w:rPr/>
      </w:pPr>
      <w:bookmarkStart w:id="1775" w:name="__RefHeading___Toc363778_581953129"/>
      <w:bookmarkStart w:id="1776" w:name="_Toc743"/>
      <w:bookmarkEnd w:id="1774"/>
      <w:bookmarkEnd w:id="1775"/>
      <w:r>
        <w:rPr>
          <w:rtl w:val="true"/>
        </w:rPr>
        <w:t>الأسئلة</w:t>
      </w:r>
      <w:bookmarkEnd w:id="1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کیفیة حجّ القران علی المذاهب الأربعة وعلی المذهب الجعفری؟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دلالة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اختصاص حجّ التمتّع للنائی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جواز الإحرام قبل المیقات؟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المرور عن المیقات بدون الإحرام مبطل للحجّ؟</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صحّة الإحرام بالحجّ قبل أشهر الحجّ؟</w:t>
      </w:r>
      <w:bookmarkStart w:id="1777" w:name="pg5240_59485"/>
    </w:p>
    <w:p>
      <w:pPr>
        <w:pStyle w:val="Heading2"/>
        <w:numPr>
          <w:ilvl w:val="1"/>
          <w:numId w:val="1"/>
        </w:numPr>
        <w:rPr/>
      </w:pPr>
      <w:bookmarkStart w:id="1778" w:name="__RefHeading___Toc363780_581953129"/>
      <w:bookmarkStart w:id="1779" w:name="_Toc744"/>
      <w:bookmarkEnd w:id="1777"/>
      <w:bookmarkEnd w:id="1778"/>
      <w:r>
        <w:rPr/>
        <w:t>26</w:t>
      </w:r>
      <w:r>
        <w:rPr>
          <w:rtl w:val="true"/>
        </w:rPr>
        <w:t xml:space="preserve">- </w:t>
      </w:r>
      <w:r>
        <w:rPr>
          <w:rtl w:val="true"/>
        </w:rPr>
        <w:t>الإحرام</w:t>
      </w:r>
      <w:bookmarkEnd w:id="1779"/>
    </w:p>
    <w:p>
      <w:pPr>
        <w:pStyle w:val="Heading3"/>
        <w:numPr>
          <w:ilvl w:val="2"/>
          <w:numId w:val="1"/>
        </w:numPr>
        <w:rPr/>
      </w:pPr>
      <w:bookmarkStart w:id="1780" w:name="__RefHeading___Toc363782_581953129"/>
      <w:bookmarkStart w:id="1781" w:name="_Toc745"/>
      <w:bookmarkEnd w:id="1780"/>
      <w:r>
        <w:rPr>
          <w:rtl w:val="true"/>
        </w:rPr>
        <w:t>حول مستحبّات الإحرام</w:t>
      </w:r>
      <w:bookmarkEnd w:id="1781"/>
    </w:p>
    <w:p>
      <w:pPr>
        <w:pStyle w:val="BookText"/>
        <w:rPr/>
      </w:pPr>
      <w:r>
        <w:rPr>
          <w:rFonts w:ascii="IRNazanin" w:hAnsi="IRNazanin" w:eastAsia="IRNazanin"/>
          <w:color w:val="111111"/>
          <w:sz w:val="28"/>
          <w:sz w:val="28"/>
          <w:szCs w:val="28"/>
          <w:rtl w:val="true"/>
          <w:lang w:bidi="fa-IR"/>
        </w:rPr>
        <w:t>ثمّة اختلافات جزئیة یسیرة کالاختلاف بالنسبة إلی جواز التیمّم بدلاً عن الغسل عند فقدان الماء مقدّمة للإحرام وعدم جوازه و الأمر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یتحقّق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فقدان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للتیمّم فی الحیاة المعاصرة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تلک الاختلافات هو استحباب توفیر شعر الرأس من ذی‌القعدة علی المذهب الجعفری؛ذلک للنصوص ومقدّمة للتحلیل،من الحلق و التقصیر،ویستحبّ الحلق علی المذهب الشافعی و الحنبلی و الحنفی عملاً بإطلاق أدلّة الحلق،واختلفت آراء المذاهب الأربعة بالنسبة إلی تطییب البدن و الثوب استحباباً ومکروهاً،کلّ ذلک سهلٌ یسیر؛لعدم الضرر علی ترکها وعدم الخطر علی فعلها</w:t>
      </w:r>
      <w:r>
        <w:rPr>
          <w:rFonts w:eastAsia="IRNazanin" w:cs="IRNazanin"/>
          <w:color w:val="111111"/>
          <w:sz w:val="28"/>
          <w:szCs w:val="28"/>
          <w:rtl w:val="true"/>
          <w:lang w:bidi="fa-IR"/>
        </w:rPr>
        <w:t>.</w:t>
      </w:r>
    </w:p>
    <w:p>
      <w:pPr>
        <w:pStyle w:val="Heading3"/>
        <w:numPr>
          <w:ilvl w:val="2"/>
          <w:numId w:val="1"/>
        </w:numPr>
        <w:rPr/>
      </w:pPr>
      <w:bookmarkStart w:id="1782" w:name="__RefHeading___Toc363784_581953129"/>
      <w:bookmarkStart w:id="1783" w:name="_Toc746"/>
      <w:bookmarkEnd w:id="1782"/>
      <w:r>
        <w:rPr>
          <w:rtl w:val="true"/>
        </w:rPr>
        <w:t>حول واجبات الإحرام</w:t>
      </w:r>
      <w:bookmarkEnd w:id="1783"/>
    </w:p>
    <w:p>
      <w:pPr>
        <w:pStyle w:val="Heading4"/>
        <w:numPr>
          <w:ilvl w:val="3"/>
          <w:numId w:val="1"/>
        </w:numPr>
        <w:rPr/>
      </w:pPr>
      <w:bookmarkStart w:id="1784" w:name="__RefHeading___Toc363786_581953129"/>
      <w:bookmarkStart w:id="1785" w:name="_Toc747"/>
      <w:bookmarkEnd w:id="1784"/>
      <w:r>
        <w:rPr>
          <w:rtl w:val="true"/>
        </w:rPr>
        <w:t>اشارة</w:t>
      </w:r>
      <w:bookmarkEnd w:id="178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لاخلاف بین المذاهب فی واجبات الإحرام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النیة،والتلبیة ولبس الثوبین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 خصائصها الجزئیة و التفصیل بما یلی</w:t>
      </w:r>
      <w:r>
        <w:rPr>
          <w:rFonts w:eastAsia="IRNazanin" w:cs="IRNazanin"/>
          <w:color w:val="111111"/>
          <w:sz w:val="28"/>
          <w:szCs w:val="28"/>
          <w:rtl w:val="true"/>
          <w:lang w:bidi="fa-IR"/>
        </w:rPr>
        <w:t>:</w:t>
      </w:r>
      <w:bookmarkStart w:id="1786" w:name="pg5240_59486"/>
    </w:p>
    <w:p>
      <w:pPr>
        <w:pStyle w:val="Heading4"/>
        <w:numPr>
          <w:ilvl w:val="3"/>
          <w:numId w:val="1"/>
        </w:numPr>
        <w:rPr/>
      </w:pPr>
      <w:bookmarkStart w:id="1787" w:name="__RefHeading___Toc363788_581953129"/>
      <w:bookmarkStart w:id="1788" w:name="_Toc748"/>
      <w:bookmarkEnd w:id="1786"/>
      <w:bookmarkEnd w:id="1787"/>
      <w:r>
        <w:rPr>
          <w:rtl w:val="true"/>
        </w:rPr>
        <w:t>المذاهب الاربعة</w:t>
      </w:r>
      <w:bookmarkEnd w:id="1788"/>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 معناه فی الشرع نیة الدخول فی الحجّ و العمرة،ویسنّ اقترانه بالتلبیة،إلاّ علی المذهب الحنفی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الإحرام،یتحقّق بأمرین،الأول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اقترانها بالتلبیة</w:t>
      </w:r>
      <w:r>
        <w:rPr>
          <w:rFonts w:eastAsia="IRNazanin" w:cs="IRNazanin"/>
          <w:color w:val="111111"/>
          <w:sz w:val="28"/>
          <w:szCs w:val="28"/>
          <w:rtl w:val="true"/>
          <w:lang w:bidi="fa-IR"/>
        </w:rPr>
        <w:t xml:space="preserve">. </w:t>
      </w:r>
      <w:r>
        <w:rPr>
          <w:rStyle w:val="FootnoteAnchor"/>
          <w:rtl w:val="true"/>
        </w:rPr>
        <w:footnoteReference w:id="834"/>
      </w:r>
    </w:p>
    <w:p>
      <w:pPr>
        <w:pStyle w:val="Heading4"/>
        <w:numPr>
          <w:ilvl w:val="3"/>
          <w:numId w:val="1"/>
        </w:numPr>
        <w:rPr/>
      </w:pPr>
      <w:bookmarkStart w:id="1789" w:name="__RefHeading___Toc363790_581953129"/>
      <w:bookmarkStart w:id="1790" w:name="_Toc749"/>
      <w:bookmarkEnd w:id="1789"/>
      <w:r>
        <w:rPr>
          <w:rtl w:val="true"/>
        </w:rPr>
        <w:t>المذهب الجعفری</w:t>
      </w:r>
      <w:bookmarkEnd w:id="1790"/>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النیة،بمعنی قصد القربة و الخلوص کما فی سائر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واجبات الإحرام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الأذکار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لبّیک،لبّیک لا شریک لک لبّیک،إنّ الحمد و النعمة لک و المُلک،لا 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 من التلبیة مرّة واحدة،ویستحبّ الإکثار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واجبات الإحرام لبس الثوبین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یتّزر بأحدهما ویرتدی بالآخر</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ومهمایکن فکلّ مایکون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له صلة‌بالإحرام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مجزئاً علی المذاهب الأربعة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والاختلاف الّذی ألمحنا إلیه بالنسبة إلی حکم اقتران التلبیة بالنیة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 وندباً علی‌المذاهب الثلاثة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اختلافاً نظریاً محضاً ذلک؛لعدم الاختلاف من ناحیة عملیة قطعاً ذلک؛لأنّ التلبیة واجبة علی المذاهب أجمع ولا یتسامح الحجّاج فی العمل بها قطعاً بحسب السیرة الجاریة عند المسلمین،وعلیه فلا أرضیة للمنازعة</w:t>
      </w:r>
      <w:r>
        <w:rPr>
          <w:rFonts w:eastAsia="IRNazanin" w:cs="IRNazanin"/>
          <w:color w:val="111111"/>
          <w:sz w:val="28"/>
          <w:szCs w:val="28"/>
          <w:rtl w:val="true"/>
          <w:lang w:bidi="fa-IR"/>
        </w:rPr>
        <w:t>.</w:t>
      </w:r>
      <w:bookmarkStart w:id="1791" w:name="pg5240_59487"/>
    </w:p>
    <w:p>
      <w:pPr>
        <w:pStyle w:val="Heading3"/>
        <w:numPr>
          <w:ilvl w:val="2"/>
          <w:numId w:val="1"/>
        </w:numPr>
        <w:rPr/>
      </w:pPr>
      <w:bookmarkStart w:id="1792" w:name="__RefHeading___Toc363792_581953129"/>
      <w:bookmarkStart w:id="1793" w:name="_Toc750"/>
      <w:bookmarkEnd w:id="1791"/>
      <w:bookmarkEnd w:id="1792"/>
      <w:r>
        <w:rPr>
          <w:rtl w:val="true"/>
        </w:rPr>
        <w:t>حول محظورات الإحرام</w:t>
      </w:r>
      <w:bookmarkEnd w:id="1793"/>
    </w:p>
    <w:p>
      <w:pPr>
        <w:pStyle w:val="Heading4"/>
        <w:numPr>
          <w:ilvl w:val="3"/>
          <w:numId w:val="1"/>
        </w:numPr>
        <w:rPr/>
      </w:pPr>
      <w:bookmarkStart w:id="1794" w:name="__RefHeading___Toc363794_581953129"/>
      <w:bookmarkStart w:id="1795" w:name="_Toc751"/>
      <w:bookmarkEnd w:id="1794"/>
      <w:r>
        <w:rPr>
          <w:rtl w:val="true"/>
        </w:rPr>
        <w:t>اشارة</w:t>
      </w:r>
      <w:bookmarkEnd w:id="1795"/>
    </w:p>
    <w:p>
      <w:pPr>
        <w:pStyle w:val="BookText"/>
        <w:rPr/>
      </w:pPr>
      <w:r>
        <w:rPr>
          <w:rFonts w:ascii="IRNazanin" w:hAnsi="IRNazanin" w:eastAsia="IRNazanin"/>
          <w:color w:val="111111"/>
          <w:sz w:val="28"/>
          <w:sz w:val="28"/>
          <w:szCs w:val="28"/>
          <w:rtl w:val="true"/>
          <w:lang w:bidi="fa-IR"/>
        </w:rPr>
        <w:t>اختلفت الآراء بالنسبة إلی ما له صلة بمحرّمات الإحرام 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1796" w:name="__RefHeading___Toc363796_581953129"/>
      <w:bookmarkStart w:id="1797" w:name="_Toc752"/>
      <w:bookmarkEnd w:id="1796"/>
      <w:r>
        <w:rPr>
          <w:rtl w:val="true"/>
        </w:rPr>
        <w:t>المذاهب الاربعة</w:t>
      </w:r>
      <w:bookmarkEnd w:id="1797"/>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یجوز للمحرم فعله بعد الدخول فی الإحرام،الجماع،الصید،الطیب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 المحرم عقد النکاح ویقع باطلاً عند الثلاثة،وخالف الحنفی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للمحرم عقد النکاح؛لأنّ الإحرام لا یمنع صلاحیة المرأة للعقد علیها،و إنّما یمنع الجماع،فهو کالحیض و النفاس و الظهار قبل تکفیره،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منها یمنع الجماع فقط لا صحّة العقد</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ذلک؛لما روی ابن‌عبّاس أنّ رسول الله صلی الله علیه و آله تزوّج میمونة و هو محرم متّفق علیه</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لاینکح المحرم ولا ینکح ولا 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 xml:space="preserve">. </w:t>
      </w:r>
      <w:r>
        <w:rPr>
          <w:rStyle w:val="FootnoteAnchor"/>
          <w:rtl w:val="true"/>
        </w:rPr>
        <w:footnoteReference w:id="838"/>
      </w:r>
    </w:p>
    <w:p>
      <w:pPr>
        <w:pStyle w:val="Heading4"/>
        <w:numPr>
          <w:ilvl w:val="3"/>
          <w:numId w:val="1"/>
        </w:numPr>
        <w:rPr/>
      </w:pPr>
      <w:bookmarkStart w:id="1798" w:name="__RefHeading___Toc363798_581953129"/>
      <w:bookmarkStart w:id="1799" w:name="_Toc753"/>
      <w:bookmarkEnd w:id="1798"/>
      <w:r>
        <w:rPr>
          <w:rtl w:val="true"/>
        </w:rPr>
        <w:t>المذهب الجعفری</w:t>
      </w:r>
      <w:bookmarkEnd w:id="179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مع علمه بالحکم،حرمت علیه دائماً</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ذلک؛لصحیحة عبدالله‌بن سنان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للمحرم أن یتزوّج ولا یزوّج،و إن تزوّج أو زوّج محلاًّ فتزویجه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أخری عن إبراهیم‌بن الحسن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المحرم إذا تزوّج و هو محرم فرّق بینهما ثمّ لا یتعاودان أبداً</w:t>
      </w:r>
      <w:r>
        <w:rPr>
          <w:rFonts w:eastAsia="IRNazanin" w:cs="IRNazanin"/>
          <w:color w:val="111111"/>
          <w:sz w:val="28"/>
          <w:szCs w:val="28"/>
          <w:rtl w:val="true"/>
          <w:lang w:bidi="fa-IR"/>
        </w:rPr>
        <w:t xml:space="preserve">». </w:t>
      </w:r>
      <w:r>
        <w:rPr>
          <w:rStyle w:val="FootnoteAnchor"/>
          <w:rtl w:val="true"/>
        </w:rPr>
        <w:footnoteReference w:id="840"/>
      </w:r>
      <w:bookmarkStart w:id="1800" w:name="pg5240_59488"/>
    </w:p>
    <w:p>
      <w:pPr>
        <w:pStyle w:val="Heading4"/>
        <w:numPr>
          <w:ilvl w:val="3"/>
          <w:numId w:val="1"/>
        </w:numPr>
        <w:rPr/>
      </w:pPr>
      <w:bookmarkStart w:id="1801" w:name="__RefHeading___Toc363800_581953129"/>
      <w:bookmarkStart w:id="1802" w:name="_Toc754"/>
      <w:bookmarkEnd w:id="1800"/>
      <w:bookmarkEnd w:id="1801"/>
      <w:r>
        <w:rPr>
          <w:rtl w:val="true"/>
        </w:rPr>
        <w:t>منشأ الاختلاف</w:t>
      </w:r>
      <w:bookmarkEnd w:id="1802"/>
    </w:p>
    <w:p>
      <w:pPr>
        <w:pStyle w:val="BookText"/>
        <w:rPr/>
      </w:pPr>
      <w:r>
        <w:rPr>
          <w:rFonts w:ascii="IRNazanin" w:hAnsi="IRNazanin" w:eastAsia="IRNazanin"/>
          <w:color w:val="111111"/>
          <w:sz w:val="28"/>
          <w:sz w:val="28"/>
          <w:szCs w:val="28"/>
          <w:rtl w:val="true"/>
          <w:lang w:bidi="fa-IR"/>
        </w:rPr>
        <w:t>تبین لنا بکلّ وضوح أنّ منشأ الاختلاف هنا هو الاختلاف فی الروایات الواردة فی الباب سنداً ودلالةً،والأحوط علی أساس أنّ الاجتناب من الشبهة خیر من الاقتحام فی الهلکة،هو الاجتناب،کما علیه أکثر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یسهّل الخطب أنّ ذلک العمل ممّا یجتنب عنه الحجّاج قطعاً وعلیه لا یوجد خلاف عملی بحسب الواقع</w:t>
      </w:r>
      <w:r>
        <w:rPr>
          <w:rFonts w:eastAsia="IRNazanin" w:cs="IRNazanin"/>
          <w:color w:val="111111"/>
          <w:sz w:val="28"/>
          <w:szCs w:val="28"/>
          <w:rtl w:val="true"/>
          <w:lang w:bidi="fa-IR"/>
        </w:rPr>
        <w:t>.</w:t>
      </w:r>
    </w:p>
    <w:p>
      <w:pPr>
        <w:pStyle w:val="Heading3"/>
        <w:numPr>
          <w:ilvl w:val="2"/>
          <w:numId w:val="1"/>
        </w:numPr>
        <w:rPr/>
      </w:pPr>
      <w:bookmarkStart w:id="1803" w:name="__RefHeading___Toc363802_581953129"/>
      <w:bookmarkStart w:id="1804" w:name="_Toc755"/>
      <w:bookmarkEnd w:id="1803"/>
      <w:r>
        <w:rPr>
          <w:rtl w:val="true"/>
        </w:rPr>
        <w:t>حول التقبیل و النظر</w:t>
      </w:r>
      <w:bookmarkEnd w:id="1804"/>
    </w:p>
    <w:p>
      <w:pPr>
        <w:pStyle w:val="Heading4"/>
        <w:numPr>
          <w:ilvl w:val="3"/>
          <w:numId w:val="1"/>
        </w:numPr>
        <w:rPr/>
      </w:pPr>
      <w:bookmarkStart w:id="1805" w:name="__RefHeading___Toc363804_581953129"/>
      <w:bookmarkStart w:id="1806" w:name="_Toc756"/>
      <w:bookmarkEnd w:id="1805"/>
      <w:r>
        <w:rPr>
          <w:rtl w:val="true"/>
        </w:rPr>
        <w:t>اشارة</w:t>
      </w:r>
      <w:bookmarkEnd w:id="1806"/>
    </w:p>
    <w:p>
      <w:pPr>
        <w:pStyle w:val="BookText"/>
        <w:rPr/>
      </w:pPr>
      <w:r>
        <w:rPr>
          <w:rFonts w:ascii="IRNazanin" w:hAnsi="IRNazanin" w:eastAsia="IRNazanin"/>
          <w:color w:val="111111"/>
          <w:sz w:val="28"/>
          <w:sz w:val="28"/>
          <w:szCs w:val="28"/>
          <w:rtl w:val="true"/>
          <w:lang w:bidi="fa-IR"/>
        </w:rPr>
        <w:t>اختلفت الآراء بالنسبة إلی تبعات التقبیل و النظر إلی الزوجة حال الإحرام بعد ما اتّفقت الآراء أجمع علی عدم جوازهما عن شهوة وتفصیل الاختلاف علی ما یلی</w:t>
      </w:r>
      <w:r>
        <w:rPr>
          <w:rFonts w:eastAsia="IRNazanin" w:cs="IRNazanin"/>
          <w:color w:val="111111"/>
          <w:sz w:val="28"/>
          <w:szCs w:val="28"/>
          <w:rtl w:val="true"/>
          <w:lang w:bidi="fa-IR"/>
        </w:rPr>
        <w:t>:</w:t>
      </w:r>
    </w:p>
    <w:p>
      <w:pPr>
        <w:pStyle w:val="Heading4"/>
        <w:numPr>
          <w:ilvl w:val="3"/>
          <w:numId w:val="1"/>
        </w:numPr>
        <w:rPr/>
      </w:pPr>
      <w:bookmarkStart w:id="1807" w:name="__RefHeading___Toc363806_581953129"/>
      <w:bookmarkStart w:id="1808" w:name="_Toc757"/>
      <w:bookmarkEnd w:id="1807"/>
      <w:r>
        <w:rPr>
          <w:rtl w:val="true"/>
        </w:rPr>
        <w:t>المذهب الجعفری</w:t>
      </w:r>
      <w:bookmarkEnd w:id="180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لو قبّل امرأة بشهوة فکفّارته بدنة،و إن کان بغیر شهوة فشاة،و إن‌کان الأحوط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نظر إلی أهله بشهوة فأمنی فکفّارته بدنة علی المشهور</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ذلک؛لروایة حسنة رواها أبوسیار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أباسیار إنّ حال المحرم ضیقة،إن قبّل إمرأته علی غیر شهوة و هو محرم فعلیه دم شاة،إن قبّل إمرأته علی شهوة فأمنی فعلیه جزور ویستغفر الله،ومن مسّ إمرأة‌و هو محرم علی شهوة فعلیه دم شاة،ومن نظر إلی أمرأته نظر شهوة فأمنی فعلیه جزور،و إن مسّ إمرأته أو لازمها من غیر شهوة فلیس علیه شیء</w:t>
      </w:r>
      <w:r>
        <w:rPr>
          <w:rFonts w:eastAsia="IRNazanin" w:cs="IRNazanin"/>
          <w:color w:val="111111"/>
          <w:sz w:val="28"/>
          <w:szCs w:val="28"/>
          <w:rtl w:val="true"/>
          <w:lang w:bidi="fa-IR"/>
        </w:rPr>
        <w:t xml:space="preserve">». </w:t>
      </w:r>
      <w:r>
        <w:rPr>
          <w:rStyle w:val="FootnoteAnchor"/>
          <w:rtl w:val="true"/>
        </w:rPr>
        <w:footnoteReference w:id="842"/>
      </w:r>
      <w:bookmarkStart w:id="1809" w:name="pg5240_59489"/>
    </w:p>
    <w:p>
      <w:pPr>
        <w:pStyle w:val="Heading4"/>
        <w:numPr>
          <w:ilvl w:val="3"/>
          <w:numId w:val="1"/>
        </w:numPr>
        <w:rPr/>
      </w:pPr>
      <w:bookmarkStart w:id="1810" w:name="__RefHeading___Toc363808_581953129"/>
      <w:bookmarkStart w:id="1811" w:name="_Toc758"/>
      <w:bookmarkEnd w:id="1809"/>
      <w:bookmarkEnd w:id="1810"/>
      <w:r>
        <w:rPr>
          <w:rtl w:val="true"/>
        </w:rPr>
        <w:t>المذهب الحنبلی</w:t>
      </w:r>
      <w:bookmarkEnd w:id="1811"/>
    </w:p>
    <w:p>
      <w:p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قبّل فلم ینزل فعلیه دم،و إن أنزل فعلیه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نظر فصرف بصره فأمنی فعلیه دم،و إن کرّر النظر حتّی أمنی فعلیه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القبلة وحکم المباشرة دون الفرج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حرمة الاستمتاع الثابتة بالنصّ و الإجماع فی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یفسد به الحج؛لأنّ مراتب الأحکام علی وفق ما یحصل به من اللذّة،فالوط‌ء فی الفرج أبلغ الاستمتاع فأفسد الحجّ مع الإنزال وعدمه،والوط‌ء دون الفرج دونه فأوجب البدنة،فأفسد الحجّ مع الإنزال و الدم عند عدمه،والقبلة دونهما فتکون دونهما فیما یجب بها فیجب بها بدنة عند الإنزال من غیر إفساد،وتکرار النظر دون الجمیع فیجب به الدم عند الإنزال ولا یجب عند عدمه شیء،و أمّا إن نظر ولم یکرّرفعلیه شاة و إن‌کرّره فأنزل علیه بدنة،روی ذلک عن ابن‌عبّاس أمّا مجرّد النظر فلا شیء فیه فقد کان النبی صلی الله علیه و آله ینظر إلی نسائه و هو محرم</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 لا یفسد بتکرار النظر أنزل أو لم ینزل،روی ذلک عن ابن عبّاس و هو قول أبی‌حنیفة و الشافعی،وروی عن مالک فیمن ورد النظر حتّی أمنی،علیه حجّ من قابل؛لأنّه أنزل بفعل محظور،أشبه الإنزال بالمباشرة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إنزال عن غیر مباشرة فأشبه الإنزال بالفکر والاحتلام،والأصل الّذی قاسوا علیه ممنوع</w:t>
      </w:r>
      <w:r>
        <w:rPr>
          <w:rFonts w:eastAsia="IRNazanin" w:cs="IRNazanin"/>
          <w:color w:val="111111"/>
          <w:sz w:val="28"/>
          <w:szCs w:val="28"/>
          <w:rtl w:val="true"/>
          <w:lang w:bidi="fa-IR"/>
        </w:rPr>
        <w:t>.</w:t>
      </w:r>
    </w:p>
    <w:p>
      <w:pPr>
        <w:pStyle w:val="Heading4"/>
        <w:numPr>
          <w:ilvl w:val="3"/>
          <w:numId w:val="1"/>
        </w:numPr>
        <w:rPr/>
      </w:pPr>
      <w:bookmarkStart w:id="1812" w:name="__RefHeading___Toc363810_581953129"/>
      <w:bookmarkStart w:id="1813" w:name="_Toc759"/>
      <w:bookmarkEnd w:id="1812"/>
      <w:r>
        <w:rPr>
          <w:rtl w:val="true"/>
        </w:rPr>
        <w:t>المذهب الحنفی</w:t>
      </w:r>
      <w:bookmarkEnd w:id="181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المکلّف الحاجّ تجاه الإنزال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ذلک عن أبی‌حنیفة؛لأنّه لیس بمباشرة،أشبه الفکر،ولنا أنّه إنزال بفعل</w:t>
      </w:r>
    </w:p>
    <w:p>
      <w:pPr>
        <w:pStyle w:val="BookText"/>
        <w:rPr/>
      </w:pPr>
      <w:r>
        <w:rPr>
          <w:rFonts w:ascii="IRNazanin" w:hAnsi="IRNazanin" w:eastAsia="IRNazanin"/>
          <w:color w:val="111111"/>
          <w:sz w:val="28"/>
          <w:sz w:val="28"/>
          <w:szCs w:val="28"/>
          <w:rtl w:val="true"/>
          <w:lang w:bidi="fa-IR"/>
        </w:rPr>
        <w:t>محظور،فأوجب الفدیة کاللمس</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وقال الجزیری قال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تعدّد الجماع فإن کان فی مجلس واحد اکتفی بشاة واحدة</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و هذا الحکم علی خلاف المذاهب الأخری،أخذاً بإطلاق أدلّة الشاة،بینما المذاهب‌کلّها،یقولون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الفدیة هناک بدنة؛للنصوص الواردة من طریقی آل‌البیت علیهم السلام و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أبوثور عن أبی‌حنیفة أنّ اللواط و الوط‌ء فی الدبر لایفسد الحجّ؛لأنّه لایثبت به الإحصان فلم یفسد الحجّ</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قال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 و التقبیل و الجماع فیما دون الفرج أنزل أو لم ینزل لا یفسد الإحرام وللشافعی قول أنه إذا إتّصل به الإنزال یفسد به الإحرام علی قیاس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الإحرام حکم متعلق بعین الجماع</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وقال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والمحرم غیر ممنوع عمّا یزرع الشهوة</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أمّا المذهب الجعفری فیخالف ذلک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فساد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بان من المحرمّات فی الإحرام،الاستمتاع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وتقبیلاً ولمساً ونظراً بشهوة بل کلّ لذّة وتمتع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جامع فی إحرام عمرة التمتع قبلاً أو دبراً،علیه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الأحوط اتمام العمل واستئنافه،لو وقع ذلک قبل السعی،وأحوط من ذلک إعادة الحجّ من قابل،ولو ارتکبه بعد السعی فعلیه الکفّارة فقط وهی علی الأحوط بدنة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إرتکب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إحرام الحجّ عامداً عالماً بطل حجّه،إن کان قبل</w:t>
      </w:r>
      <w:bookmarkStart w:id="1814" w:name="pg5240_59491"/>
    </w:p>
    <w:p>
      <w:pPr>
        <w:pStyle w:val="BookText"/>
        <w:rPr/>
      </w:pPr>
      <w:bookmarkEnd w:id="1814"/>
      <w:r>
        <w:rPr>
          <w:rFonts w:ascii="IRNazanin" w:hAnsi="IRNazanin" w:eastAsia="IRNazanin"/>
          <w:color w:val="111111"/>
          <w:sz w:val="28"/>
          <w:sz w:val="28"/>
          <w:szCs w:val="28"/>
          <w:rtl w:val="true"/>
          <w:lang w:bidi="fa-IR"/>
        </w:rPr>
        <w:t>وقوف عرفات بلا إشکال،و إن کان بعده وقبل الوقوف بالمشعر فکذلک علی الأقوی،فیجب علیه فی الصورتین إتمام العمل و الحجّ من قابل،وعلیه الکفّارة وهی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ذلک بعد الوقوف بالمشعر فإن کان قبل تجاوز النصف من طواف النساء صحّ حجّه،وعلیه الکفّارة،و إن کان بعد تجاوزه عنه صحّ ولاکفّارة علی الأصح</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ذلک کلّه؛لأنّ حال المحرم ضیقة کما فی الروایة الأنیف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الإحرام عبادة مهمّة و المحرم ینقطع إلی الله ویقتلع عن قلبه‌کلّ العلاقات الشهویة،فهل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الجماع فیما دون الفرج مع الإنزال لا یضر بالإحرام علی قول أبی‌حنیفة؟</w:t>
      </w:r>
    </w:p>
    <w:p>
      <w:pPr>
        <w:pStyle w:val="Heading4"/>
        <w:numPr>
          <w:ilvl w:val="3"/>
          <w:numId w:val="1"/>
        </w:numPr>
        <w:rPr/>
      </w:pPr>
      <w:bookmarkStart w:id="1815" w:name="__RefHeading___Toc363812_581953129"/>
      <w:bookmarkStart w:id="1816" w:name="_Toc760"/>
      <w:bookmarkEnd w:id="1815"/>
      <w:r>
        <w:rPr>
          <w:rtl w:val="true"/>
        </w:rPr>
        <w:t>المذهب الشافعی</w:t>
      </w:r>
      <w:bookmarkEnd w:id="1816"/>
    </w:p>
    <w:p>
      <w:pPr>
        <w:pStyle w:val="BookText"/>
        <w:rPr/>
      </w:pPr>
      <w:r>
        <w:rPr>
          <w:rFonts w:ascii="IRNazanin" w:hAnsi="IRNazanin" w:eastAsia="IRNazanin"/>
          <w:color w:val="111111"/>
          <w:sz w:val="28"/>
          <w:sz w:val="28"/>
          <w:szCs w:val="28"/>
          <w:rtl w:val="true"/>
          <w:lang w:bidi="fa-IR"/>
        </w:rPr>
        <w:t>تحرم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کالقبلة و المباشرة بشهوة سواء أنزل أم لم ینزل،وتجب علیه فی هذه الحالة الفدیة،وذلک؛لأنّ شرط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الاستمتاع و هو حاصل بالنظر و اللمس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 بشهوة</w:t>
      </w:r>
      <w:r>
        <w:rPr>
          <w:rFonts w:eastAsia="IRNazanin" w:cs="IRNazanin"/>
          <w:color w:val="111111"/>
          <w:sz w:val="28"/>
          <w:szCs w:val="28"/>
          <w:rtl w:val="true"/>
          <w:lang w:bidi="fa-IR"/>
        </w:rPr>
        <w:t xml:space="preserve">. </w:t>
      </w:r>
      <w:r>
        <w:rPr>
          <w:rStyle w:val="FootnoteAnchor"/>
          <w:rtl w:val="true"/>
        </w:rPr>
        <w:footnoteReference w:id="850"/>
      </w:r>
    </w:p>
    <w:p>
      <w:pPr>
        <w:pStyle w:val="Heading4"/>
        <w:numPr>
          <w:ilvl w:val="3"/>
          <w:numId w:val="1"/>
        </w:numPr>
        <w:rPr/>
      </w:pPr>
      <w:bookmarkStart w:id="1817" w:name="__RefHeading___Toc363814_581953129"/>
      <w:bookmarkStart w:id="1818" w:name="_Toc761"/>
      <w:bookmarkEnd w:id="1817"/>
      <w:r>
        <w:rPr>
          <w:rtl w:val="true"/>
        </w:rPr>
        <w:t>المذهب المالکی</w:t>
      </w:r>
      <w:bookmarkEnd w:id="181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فساد الحجّ بالإنزال بسبب النظر أو الفکر أن یطیلهما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یکرّرهما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الإمناء بمجرّد النظر أو الفکر فإنّه لایفسد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علیه الهدی،أمّا إذا أمنی بسبب قبلة فإنّ حجّه یفسد</w:t>
      </w:r>
      <w:r>
        <w:rPr>
          <w:rFonts w:eastAsia="IRNazanin" w:cs="IRNazanin"/>
          <w:color w:val="111111"/>
          <w:sz w:val="28"/>
          <w:szCs w:val="28"/>
          <w:rtl w:val="true"/>
          <w:lang w:bidi="fa-IR"/>
        </w:rPr>
        <w:t xml:space="preserve">. </w:t>
      </w:r>
      <w:r>
        <w:rPr>
          <w:rStyle w:val="FootnoteAnchor"/>
          <w:rtl w:val="true"/>
        </w:rPr>
        <w:footnoteReference w:id="851"/>
      </w:r>
      <w:bookmarkStart w:id="1819" w:name="pg5240_59492"/>
    </w:p>
    <w:p>
      <w:pPr>
        <w:pStyle w:val="Heading4"/>
        <w:numPr>
          <w:ilvl w:val="3"/>
          <w:numId w:val="1"/>
        </w:numPr>
        <w:rPr/>
      </w:pPr>
      <w:bookmarkStart w:id="1820" w:name="__RefHeading___Toc363816_581953129"/>
      <w:bookmarkStart w:id="1821" w:name="_Toc762"/>
      <w:bookmarkEnd w:id="1819"/>
      <w:bookmarkEnd w:id="1820"/>
      <w:r>
        <w:rPr>
          <w:rtl w:val="true"/>
        </w:rPr>
        <w:t>منشأ الاختلاف</w:t>
      </w:r>
      <w:bookmarkEnd w:id="1821"/>
    </w:p>
    <w:p>
      <w:pPr>
        <w:pStyle w:val="BookText"/>
        <w:rPr/>
      </w:pPr>
      <w:r>
        <w:rPr>
          <w:rFonts w:ascii="IRNazanin" w:hAnsi="IRNazanin" w:eastAsia="IRNazanin"/>
          <w:color w:val="111111"/>
          <w:sz w:val="28"/>
          <w:sz w:val="28"/>
          <w:szCs w:val="28"/>
          <w:rtl w:val="true"/>
          <w:lang w:bidi="fa-IR"/>
        </w:rPr>
        <w:t>قد تبین لنا أنّ الاختلاف هنا ناشئ عن الاختلاف فی مستند الحکم روائیاً واجتهادیاً وقیاسیاً،فإنّ المستند علی المذهب الجعفری هو النص التامّ سنداً ودلالةً،والمستند علی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القیاس</w:t>
      </w:r>
      <w:r>
        <w:rPr>
          <w:rFonts w:eastAsia="IRNazanin" w:cs="IRNazanin"/>
          <w:color w:val="111111"/>
          <w:sz w:val="28"/>
          <w:szCs w:val="28"/>
          <w:rtl w:val="true"/>
          <w:lang w:bidi="fa-IR"/>
        </w:rPr>
        <w:t>.</w:t>
      </w:r>
    </w:p>
    <w:p>
      <w:pPr>
        <w:pStyle w:val="Heading3"/>
        <w:numPr>
          <w:ilvl w:val="2"/>
          <w:numId w:val="1"/>
        </w:numPr>
        <w:rPr/>
      </w:pPr>
      <w:bookmarkStart w:id="1822" w:name="__RefHeading___Toc363818_581953129"/>
      <w:bookmarkStart w:id="1823" w:name="_Toc763"/>
      <w:bookmarkEnd w:id="1822"/>
      <w:r>
        <w:rPr>
          <w:rtl w:val="true"/>
        </w:rPr>
        <w:t>الیسیرة</w:t>
      </w:r>
      <w:bookmarkEnd w:id="1823"/>
    </w:p>
    <w:p>
      <w:pPr>
        <w:pStyle w:val="BookText"/>
        <w:rPr/>
      </w:pPr>
      <w:r>
        <w:rPr>
          <w:rFonts w:ascii="IRNazanin" w:hAnsi="IRNazanin" w:eastAsia="IRNazanin"/>
          <w:color w:val="111111"/>
          <w:sz w:val="28"/>
          <w:sz w:val="28"/>
          <w:szCs w:val="28"/>
          <w:rtl w:val="true"/>
          <w:lang w:bidi="fa-IR"/>
        </w:rPr>
        <w:t>هناک عدّة اختلافات یسیرة نکتفی بالإشارة إلیها،ذلک لانتفاء الموضوع بالنسبة إلی بعضها وقلّة الوقوع للبعض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ما له صلة بحرمة الصید،وبما أنّه لا أرضیة للصید فلا مسوّغ للبحث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جواز نقل هوامّ الجسد بعد الاتّفاق علی عدم جواز قتلها،وبما أنّه لا واقع لنقل الهوام إلاّ قلیلاً من جانب،والحاجّ یحتاط نفسیاً من جانب آخر فالأمر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جواز قطع الشجر الّذی أنبته الحاجّ بنفسه بعد الاتّفاق علی عدم جواز قطع الأشجار الّتی أنبتها الله وبما أنّ الحاجّ المتدین یجتنب عن قطع الأشجار قطعاً بلافرق بین ما أنبته الآدمی وما أنبته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فهم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اختلاف هناک من ناحیة عملیة أصلاً</w:t>
      </w:r>
      <w:r>
        <w:rPr>
          <w:rFonts w:eastAsia="IRNazanin" w:cs="IRNazanin"/>
          <w:color w:val="111111"/>
          <w:sz w:val="28"/>
          <w:szCs w:val="28"/>
          <w:rtl w:val="true"/>
          <w:lang w:bidi="fa-IR"/>
        </w:rPr>
        <w:t>.</w:t>
      </w:r>
    </w:p>
    <w:p>
      <w:pPr>
        <w:pStyle w:val="Heading3"/>
        <w:numPr>
          <w:ilvl w:val="2"/>
          <w:numId w:val="1"/>
        </w:numPr>
        <w:rPr/>
      </w:pPr>
      <w:bookmarkStart w:id="1824" w:name="__RefHeading___Toc363820_581953129"/>
      <w:bookmarkStart w:id="1825" w:name="_Toc764"/>
      <w:bookmarkEnd w:id="1824"/>
      <w:r>
        <w:rPr>
          <w:rtl w:val="true"/>
        </w:rPr>
        <w:t>حول الاستظلال</w:t>
      </w:r>
      <w:bookmarkEnd w:id="1825"/>
    </w:p>
    <w:p>
      <w:pPr>
        <w:pStyle w:val="Heading4"/>
        <w:numPr>
          <w:ilvl w:val="3"/>
          <w:numId w:val="1"/>
        </w:numPr>
        <w:rPr/>
      </w:pPr>
      <w:bookmarkStart w:id="1826" w:name="__RefHeading___Toc363822_581953129"/>
      <w:bookmarkStart w:id="1827" w:name="_Toc765"/>
      <w:bookmarkEnd w:id="1826"/>
      <w:r>
        <w:rPr>
          <w:rtl w:val="true"/>
        </w:rPr>
        <w:t>اشارة</w:t>
      </w:r>
      <w:bookmarkEnd w:id="182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اختلافات یسیرة بین المذاهب بعد الاتّفاق علی حرمة الاستظلال إجمالاً،وتفصیل الاختلاف بما یلی</w:t>
      </w:r>
      <w:r>
        <w:rPr>
          <w:rFonts w:eastAsia="IRNazanin" w:cs="IRNazanin"/>
          <w:color w:val="111111"/>
          <w:sz w:val="28"/>
          <w:szCs w:val="28"/>
          <w:rtl w:val="true"/>
          <w:lang w:bidi="fa-IR"/>
        </w:rPr>
        <w:t>:</w:t>
      </w:r>
      <w:bookmarkStart w:id="1828" w:name="pg5240_59493"/>
    </w:p>
    <w:p>
      <w:pPr>
        <w:pStyle w:val="Heading4"/>
        <w:numPr>
          <w:ilvl w:val="3"/>
          <w:numId w:val="1"/>
        </w:numPr>
        <w:rPr/>
      </w:pPr>
      <w:bookmarkStart w:id="1829" w:name="__RefHeading___Toc363824_581953129"/>
      <w:bookmarkStart w:id="1830" w:name="_Toc766"/>
      <w:bookmarkEnd w:id="1828"/>
      <w:bookmarkEnd w:id="1829"/>
      <w:r>
        <w:rPr>
          <w:rtl w:val="true"/>
        </w:rPr>
        <w:t>ثلاثة من المذاهب</w:t>
      </w:r>
      <w:bookmarkEnd w:id="183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یستظلّ بالشجرة و الخیمة و البیت و المحمل و الشمسیة بشرط أن لایمسّ شیء من ذلک رأسه ووجهه،فإنّ کشفهما واجب باتّفاق المالکیة و الحنیفیة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والشافعی أیضاً من مجوّزی الاستظلال إلاّ أنّ نطاق الجواز علی رأی الشافعی أوسع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الاستظلال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لاصق رأسه أو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وضع علی رأسه ما یقصد به الستر عرفاً حرم علیه ذلک</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وتبین لنا أنّ الاستظلال بالذات لایضرّ بالإحرام فلایکون من المحظورات و أمّا إذا أصبح الاستظلال ملاصقاً بالرأس و الوجه کان ذلک محظوراً علی أساس دلیل عدم جواز الستر بالنسبة إلی الرأس و الوجه علی الرجال</w:t>
      </w:r>
      <w:r>
        <w:rPr>
          <w:rFonts w:eastAsia="IRNazanin" w:cs="IRNazanin"/>
          <w:color w:val="111111"/>
          <w:sz w:val="28"/>
          <w:szCs w:val="28"/>
          <w:rtl w:val="true"/>
          <w:lang w:bidi="fa-IR"/>
        </w:rPr>
        <w:t>.</w:t>
      </w:r>
    </w:p>
    <w:p>
      <w:pPr>
        <w:pStyle w:val="Heading4"/>
        <w:numPr>
          <w:ilvl w:val="3"/>
          <w:numId w:val="1"/>
        </w:numPr>
        <w:rPr/>
      </w:pPr>
      <w:bookmarkStart w:id="1831" w:name="__RefHeading___Toc363826_581953129"/>
      <w:bookmarkStart w:id="1832" w:name="_Toc767"/>
      <w:bookmarkEnd w:id="1831"/>
      <w:r>
        <w:rPr>
          <w:rtl w:val="true"/>
        </w:rPr>
        <w:t>المذهب الجعفری</w:t>
      </w:r>
      <w:bookmarkEnd w:id="1832"/>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محرّمات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تظلیل المحرم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الرأس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اضطرّ لم یحرم</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ذلک؛للنصوص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محمّدبن مسلم عن الإمام الباقر أو الإمام الصادق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المحرم یرکب القبّة؟فقال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فالمرأة المحرمة؟قال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854"/>
      </w:r>
      <w:r>
        <w:rPr>
          <w:rFonts w:ascii="Amiri" w:hAnsi="Amiri" w:eastAsia="Amiri" w:cs="Amiri"/>
          <w:color w:val="111111"/>
          <w:sz w:val="28"/>
          <w:sz w:val="28"/>
          <w:szCs w:val="28"/>
          <w:rtl w:val="true"/>
          <w:lang w:bidi="ar-SA"/>
        </w:rPr>
        <w:t>والدلالة تامّة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سعدبن سعد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المحرم یظلّل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یؤذیه حرّ الشمس و 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علّة یظلّل ویفدی</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فالحکم بعدم جواز التظلیل علی الرجال یستند إلی النصوص</w:t>
      </w:r>
      <w:bookmarkStart w:id="1833" w:name="pg5240_59494"/>
    </w:p>
    <w:p>
      <w:pPr>
        <w:pStyle w:val="BookText"/>
        <w:rPr/>
      </w:pPr>
      <w:bookmarkEnd w:id="1833"/>
      <w:r>
        <w:rPr>
          <w:rFonts w:ascii="IRNazanin" w:hAnsi="IRNazanin" w:eastAsia="IRNazanin"/>
          <w:color w:val="111111"/>
          <w:sz w:val="28"/>
          <w:sz w:val="28"/>
          <w:szCs w:val="28"/>
          <w:rtl w:val="true"/>
          <w:lang w:bidi="fa-IR"/>
        </w:rPr>
        <w:t>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 الرأی علی المذهب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یظلّل علی رأسه فی المحمل فإن فعل فعلیه دم،واحتجّ أحمد بقول ابن عمر،روی عطاء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ابن عمر علی رحلِ عمربن عبدالله‌بن أبی‌ربیعة عوداً یستره من الشمس فنهاه</w:t>
      </w:r>
      <w:r>
        <w:rPr>
          <w:rFonts w:eastAsia="IRNazanin" w:cs="IRNazanin"/>
          <w:color w:val="111111"/>
          <w:sz w:val="28"/>
          <w:szCs w:val="28"/>
          <w:rtl w:val="true"/>
          <w:lang w:bidi="fa-IR"/>
        </w:rPr>
        <w:t xml:space="preserve">. </w:t>
      </w:r>
      <w:r>
        <w:rPr>
          <w:rStyle w:val="FootnoteAnchor"/>
          <w:rtl w:val="true"/>
        </w:rPr>
        <w:footnoteReference w:id="856"/>
      </w:r>
    </w:p>
    <w:p>
      <w:pPr>
        <w:pStyle w:val="Heading4"/>
        <w:numPr>
          <w:ilvl w:val="3"/>
          <w:numId w:val="1"/>
        </w:numPr>
        <w:rPr/>
      </w:pPr>
      <w:bookmarkStart w:id="1834" w:name="__RefHeading___Toc363828_581953129"/>
      <w:bookmarkStart w:id="1835" w:name="_Toc768"/>
      <w:bookmarkEnd w:id="1834"/>
      <w:r>
        <w:rPr>
          <w:rtl w:val="true"/>
        </w:rPr>
        <w:t>منشأ الاختلاف</w:t>
      </w:r>
      <w:bookmarkEnd w:id="1835"/>
    </w:p>
    <w:p>
      <w:pPr>
        <w:pStyle w:val="BookText"/>
        <w:rPr/>
      </w:pPr>
      <w:r>
        <w:rPr>
          <w:rFonts w:ascii="IRNazanin" w:hAnsi="IRNazanin" w:eastAsia="IRNazanin"/>
          <w:color w:val="111111"/>
          <w:sz w:val="28"/>
          <w:sz w:val="28"/>
          <w:szCs w:val="28"/>
          <w:rtl w:val="true"/>
          <w:lang w:bidi="fa-IR"/>
        </w:rPr>
        <w:t>تبین لنا أنّ الاختلاف هناک ناشئ عن الاختلاف فی مستند الحکم،فإنّ عدم جواز الاستظلال علی المذهب الجعفری یستندإلی النصوص الواردة من طریق‌آل‌البیت علیهم السلام وجواز الاستظلال علی المذهب الحنفی و الشافعی و المالکی یستند إلی الاجتهاد،والحنبلی وافق الجعفری فی هذا الحکم،ذلک للنصّ الوارد عن طریق الصحابة الدالّ علی عدم جواز التظلّل</w:t>
      </w:r>
      <w:r>
        <w:rPr>
          <w:rFonts w:eastAsia="IRNazanin" w:cs="IRNazanin"/>
          <w:color w:val="111111"/>
          <w:sz w:val="28"/>
          <w:szCs w:val="28"/>
          <w:rtl w:val="true"/>
          <w:lang w:bidi="fa-IR"/>
        </w:rPr>
        <w:t>.</w:t>
      </w:r>
    </w:p>
    <w:p>
      <w:pPr>
        <w:pStyle w:val="Heading3"/>
        <w:numPr>
          <w:ilvl w:val="2"/>
          <w:numId w:val="1"/>
        </w:numPr>
        <w:rPr/>
      </w:pPr>
      <w:bookmarkStart w:id="1836" w:name="__RefHeading___Toc363830_581953129"/>
      <w:bookmarkStart w:id="1837" w:name="_Toc769"/>
      <w:bookmarkEnd w:id="1836"/>
      <w:r>
        <w:rPr>
          <w:rtl w:val="true"/>
        </w:rPr>
        <w:t>الارتماس</w:t>
      </w:r>
      <w:bookmarkEnd w:id="1837"/>
    </w:p>
    <w:p>
      <w:pPr>
        <w:pStyle w:val="Heading4"/>
        <w:numPr>
          <w:ilvl w:val="3"/>
          <w:numId w:val="1"/>
        </w:numPr>
        <w:rPr/>
      </w:pPr>
      <w:bookmarkStart w:id="1838" w:name="__RefHeading___Toc363832_581953129"/>
      <w:bookmarkStart w:id="1839" w:name="_Toc770"/>
      <w:bookmarkEnd w:id="1838"/>
      <w:r>
        <w:rPr>
          <w:rtl w:val="true"/>
        </w:rPr>
        <w:t>اشارة</w:t>
      </w:r>
      <w:bookmarkEnd w:id="1839"/>
    </w:p>
    <w:p>
      <w:pPr>
        <w:pStyle w:val="BookText"/>
        <w:rPr/>
      </w:pPr>
      <w:r>
        <w:rPr>
          <w:rFonts w:ascii="IRNazanin" w:hAnsi="IRNazanin" w:eastAsia="IRNazanin"/>
          <w:color w:val="111111"/>
          <w:sz w:val="28"/>
          <w:sz w:val="28"/>
          <w:szCs w:val="28"/>
          <w:rtl w:val="true"/>
          <w:lang w:bidi="fa-IR"/>
        </w:rPr>
        <w:t>اختلفت آراء الفقهاء بالنسبة إلی جواز الإرتماس بالماء وعدمه،وتفصیل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1840" w:name="__RefHeading___Toc363834_581953129"/>
      <w:bookmarkStart w:id="1841" w:name="_Toc771"/>
      <w:bookmarkEnd w:id="1840"/>
      <w:r>
        <w:rPr>
          <w:rtl w:val="true"/>
        </w:rPr>
        <w:t>المذهب الجعفری</w:t>
      </w:r>
      <w:bookmarkEnd w:id="184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محرّمات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تغطیة الرأس وفی معناه الإرتماس</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ذلک لأنّ رمس الرأس فی الماء تماماً هو تغطیة الرأس وستره بالماء بکلّ وضوح،فلا یجوز الإرتماس علی أساس عدم جواز الاستتار</w:t>
      </w:r>
      <w:r>
        <w:rPr>
          <w:rFonts w:eastAsia="IRNazanin" w:cs="IRNazanin"/>
          <w:color w:val="111111"/>
          <w:sz w:val="28"/>
          <w:szCs w:val="28"/>
          <w:rtl w:val="true"/>
          <w:lang w:bidi="fa-IR"/>
        </w:rPr>
        <w:t>.</w:t>
      </w:r>
      <w:bookmarkStart w:id="1842" w:name="pg5240_59495"/>
    </w:p>
    <w:p>
      <w:pPr>
        <w:pStyle w:val="BookText"/>
        <w:rPr/>
      </w:pPr>
      <w:bookmarkEnd w:id="1842"/>
      <w:r>
        <w:rPr>
          <w:rFonts w:ascii="IRNazanin" w:hAnsi="IRNazanin" w:eastAsia="IRNazanin"/>
          <w:color w:val="111111"/>
          <w:sz w:val="28"/>
          <w:sz w:val="28"/>
          <w:szCs w:val="28"/>
          <w:rtl w:val="true"/>
          <w:lang w:bidi="fa-IR"/>
        </w:rPr>
        <w:t>ومن حسن الحظّ أنّه توجد نصوص صحاح تصرّح بعدم جواز الإرتماس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عبدالله‌بن سنان عن الإمام الصادق علیه السلام 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لاتمسّ الریحان وأنت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ترتمس فی ماء تدخل فیه رأسک</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والدلالة تامّة کاملة،وها هو الرأی علی المذهب المالکی وأضاف المالکی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لایجوز إزالة الوسخ بالغسل </w:t>
      </w:r>
      <w:r>
        <w:rPr>
          <w:rStyle w:val="FootnoteAnchor"/>
          <w:rtl w:val="true"/>
        </w:rPr>
        <w:footnoteReference w:id="859"/>
      </w:r>
      <w:r>
        <w:rPr>
          <w:rFonts w:ascii="IRNazanin" w:hAnsi="IRNazanin" w:eastAsia="IRNazanin"/>
          <w:color w:val="111111"/>
          <w:sz w:val="28"/>
          <w:sz w:val="28"/>
          <w:szCs w:val="28"/>
          <w:rtl w:val="true"/>
          <w:lang w:bidi="fa-IR"/>
        </w:rPr>
        <w:t>ذلک لاحتمال قطع الشعر</w:t>
      </w:r>
      <w:r>
        <w:rPr>
          <w:rFonts w:eastAsia="IRNazanin" w:cs="IRNazanin"/>
          <w:color w:val="111111"/>
          <w:sz w:val="28"/>
          <w:szCs w:val="28"/>
          <w:rtl w:val="true"/>
          <w:lang w:bidi="fa-IR"/>
        </w:rPr>
        <w:t>.</w:t>
      </w:r>
    </w:p>
    <w:p>
      <w:pPr>
        <w:pStyle w:val="Heading4"/>
        <w:numPr>
          <w:ilvl w:val="3"/>
          <w:numId w:val="1"/>
        </w:numPr>
        <w:rPr/>
      </w:pPr>
      <w:bookmarkStart w:id="1843" w:name="__RefHeading___Toc363836_581953129"/>
      <w:bookmarkStart w:id="1844" w:name="_Toc772"/>
      <w:bookmarkEnd w:id="1843"/>
      <w:r>
        <w:rPr>
          <w:rtl w:val="true"/>
        </w:rPr>
        <w:t>المذاهب الثلاثة الأخری</w:t>
      </w:r>
      <w:bookmarkEnd w:id="1844"/>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بذلک الإرتماس ولعلّه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أنّ ذلک ستر له،والصحیح أنّه لیس ذلک ستر و قد روی عن ابن‌عبّاس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قال لی عمر ونحن محرمون بالجحفة تعال أباقیک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أغالبک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أینا أطول نفساً فی الماء وقال ربّما قایست عمربن الخطّاب بالجحفة ونحن محرمون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 لیس بستر معتاد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للمحرم أن یغمس رأسه فی الماء خشیة أن یقتل الدواب</w:t>
      </w:r>
      <w:r>
        <w:rPr>
          <w:rFonts w:eastAsia="IRNazanin" w:cs="IRNazanin"/>
          <w:color w:val="111111"/>
          <w:sz w:val="28"/>
          <w:szCs w:val="28"/>
          <w:rtl w:val="true"/>
          <w:lang w:bidi="fa-IR"/>
        </w:rPr>
        <w:t xml:space="preserve">. </w:t>
      </w:r>
      <w:r>
        <w:rPr>
          <w:rStyle w:val="FootnoteAnchor"/>
          <w:rtl w:val="true"/>
        </w:rPr>
        <w:footnoteReference w:id="861"/>
      </w:r>
    </w:p>
    <w:p>
      <w:pPr>
        <w:pStyle w:val="Heading4"/>
        <w:numPr>
          <w:ilvl w:val="3"/>
          <w:numId w:val="1"/>
        </w:numPr>
        <w:rPr/>
      </w:pPr>
      <w:bookmarkStart w:id="1845" w:name="__RefHeading___Toc363838_581953129"/>
      <w:bookmarkStart w:id="1846" w:name="_Toc773"/>
      <w:bookmarkEnd w:id="1845"/>
      <w:r>
        <w:rPr>
          <w:rtl w:val="true"/>
        </w:rPr>
        <w:t>منشأ الاختلاف</w:t>
      </w:r>
      <w:bookmarkEnd w:id="184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أنّ الاختلاف هنا ناشئ عن الاختلاف فی انطباق معنی التغطیة علی‌الارتماس،ومن الاختلاف فی النصوص الواردة من الطریقین،فیکون الاختلاف نصّاً واجتهاداً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یسهّل الخطب أنّه لاخلاف هنا بحسب الواقع الموضوعی ذلک؛لأنّ الاستحمام فی حیاتنا المعاصرة یتمّ بإفاضة الماء من الأجهزة المعدّة فی الحمّام،فلا خلاف من ناحیة عملیة</w:t>
      </w:r>
      <w:r>
        <w:rPr>
          <w:rFonts w:eastAsia="IRNazanin" w:cs="IRNazanin"/>
          <w:color w:val="111111"/>
          <w:sz w:val="28"/>
          <w:szCs w:val="28"/>
          <w:rtl w:val="true"/>
          <w:lang w:bidi="fa-IR"/>
        </w:rPr>
        <w:t>.</w:t>
      </w:r>
      <w:bookmarkStart w:id="1847" w:name="pg5240_59496"/>
    </w:p>
    <w:p>
      <w:pPr>
        <w:pStyle w:val="Heading3"/>
        <w:numPr>
          <w:ilvl w:val="2"/>
          <w:numId w:val="1"/>
        </w:numPr>
        <w:rPr/>
      </w:pPr>
      <w:bookmarkStart w:id="1848" w:name="__RefHeading___Toc363840_581953129"/>
      <w:bookmarkStart w:id="1849" w:name="_Toc774"/>
      <w:bookmarkEnd w:id="1847"/>
      <w:bookmarkEnd w:id="1848"/>
      <w:r>
        <w:rPr>
          <w:rtl w:val="true"/>
        </w:rPr>
        <w:t>حول الاکتحال والاختضاب</w:t>
      </w:r>
      <w:bookmarkEnd w:id="1849"/>
    </w:p>
    <w:p>
      <w:pPr>
        <w:pStyle w:val="Heading4"/>
        <w:numPr>
          <w:ilvl w:val="3"/>
          <w:numId w:val="1"/>
        </w:numPr>
        <w:rPr/>
      </w:pPr>
      <w:bookmarkStart w:id="1850" w:name="__RefHeading___Toc363842_581953129"/>
      <w:bookmarkStart w:id="1851" w:name="_Toc775"/>
      <w:bookmarkEnd w:id="1850"/>
      <w:r>
        <w:rPr>
          <w:rtl w:val="true"/>
        </w:rPr>
        <w:t>اشارة</w:t>
      </w:r>
      <w:bookmarkEnd w:id="1851"/>
    </w:p>
    <w:p>
      <w:pPr>
        <w:pStyle w:val="BookText"/>
        <w:rPr/>
      </w:pPr>
      <w:r>
        <w:rPr>
          <w:rFonts w:ascii="IRNazanin" w:hAnsi="IRNazanin" w:eastAsia="IRNazanin"/>
          <w:color w:val="111111"/>
          <w:sz w:val="28"/>
          <w:sz w:val="28"/>
          <w:szCs w:val="28"/>
          <w:rtl w:val="true"/>
          <w:lang w:bidi="fa-IR"/>
        </w:rPr>
        <w:t>اختلفت الآراء بالنسبة إلی جواز الاکتحال والاختضاب وعدم جوازهما حال الإحرام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852" w:name="__RefHeading___Toc363844_581953129"/>
      <w:bookmarkStart w:id="1853" w:name="_Toc776"/>
      <w:bookmarkEnd w:id="1852"/>
      <w:r>
        <w:rPr>
          <w:rtl w:val="true"/>
        </w:rPr>
        <w:t>المذاهب الاربعة</w:t>
      </w:r>
      <w:bookmarkEnd w:id="1853"/>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للمحرم أن یکتحل بما فیه طیب باتّفاق ثلاثة،وخالفا لمالکیة،قالوا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 المحرم الاکتحال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للمحرم أن یختضب بالحناء لأنّه طیب،والمحرم ممنوع من التطیب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المالکیة و الحنفیة،أمّا الشافعیة،قالوا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الخضاب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علی المحرم الاختضاب</w:t>
      </w:r>
      <w:r>
        <w:rPr>
          <w:rFonts w:eastAsia="IRNazanin" w:cs="IRNazanin"/>
          <w:color w:val="111111"/>
          <w:sz w:val="28"/>
          <w:szCs w:val="28"/>
          <w:rtl w:val="true"/>
          <w:lang w:bidi="fa-IR"/>
        </w:rPr>
        <w:t xml:space="preserve">. </w:t>
      </w:r>
      <w:r>
        <w:rPr>
          <w:rStyle w:val="FootnoteAnchor"/>
          <w:rtl w:val="true"/>
        </w:rPr>
        <w:footnoteReference w:id="862"/>
      </w:r>
    </w:p>
    <w:p>
      <w:pPr>
        <w:pStyle w:val="Heading4"/>
        <w:numPr>
          <w:ilvl w:val="3"/>
          <w:numId w:val="1"/>
        </w:numPr>
        <w:rPr/>
      </w:pPr>
      <w:bookmarkStart w:id="1854" w:name="__RefHeading___Toc363846_581953129"/>
      <w:bookmarkStart w:id="1855" w:name="_Toc777"/>
      <w:bookmarkEnd w:id="1854"/>
      <w:r>
        <w:rPr>
          <w:rtl w:val="true"/>
        </w:rPr>
        <w:t>المذهب الجعفری</w:t>
      </w:r>
      <w:bookmarkEnd w:id="1855"/>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من محرّمات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الاکتحال بالسواد إن کان فیه الزینة،ولا یترک الاحتیاط بالاجتناب عن مطلق الکحل الّذی فیه الزینة،ولو کان فیه الطیب فالأقوی حرمته</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الخاتم و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للزینة فلو کان للاستحباب أو لخاصیة فیه،لا للزینة لا إشکال فیه،والأحوط ترک استعمال الحناء للزینة،بل الحرمة لا تخلو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المرأة الحلی للزینة</w:t>
      </w:r>
      <w:r>
        <w:rPr>
          <w:rFonts w:eastAsia="IRNazanin" w:cs="IRNazanin"/>
          <w:color w:val="111111"/>
          <w:sz w:val="28"/>
          <w:szCs w:val="28"/>
          <w:rtl w:val="true"/>
          <w:lang w:bidi="fa-IR"/>
        </w:rPr>
        <w:t xml:space="preserve">. </w:t>
      </w:r>
      <w:r>
        <w:rPr>
          <w:rStyle w:val="FootnoteAnchor"/>
          <w:rtl w:val="true"/>
        </w:rPr>
        <w:footnoteReference w:id="864"/>
      </w:r>
    </w:p>
    <w:p>
      <w:pPr>
        <w:pStyle w:val="Heading4"/>
        <w:numPr>
          <w:ilvl w:val="3"/>
          <w:numId w:val="1"/>
        </w:numPr>
        <w:rPr/>
      </w:pPr>
      <w:bookmarkStart w:id="1856" w:name="__RefHeading___Toc363848_581953129"/>
      <w:bookmarkStart w:id="1857" w:name="_Toc778"/>
      <w:bookmarkEnd w:id="1856"/>
      <w:r>
        <w:rPr>
          <w:rtl w:val="true"/>
        </w:rPr>
        <w:t>منشأ الاختلاف</w:t>
      </w:r>
      <w:bookmarkEnd w:id="185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ناشئ عن الاختلاف فی انطباق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مفهوم الزینة 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العامل الرئیسی بالنسبة إلی حرمة الاکتحال والاختضاب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الزینة و التطییب علی أساس النصوص و الفتاوی،ومن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حریز بسند صحیح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لاتکتحل المرأة المحرمة بالسواد،إنّ السواد زینة</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صرّحت علی المطلوب بعموم التعلیل وقال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لبس الخاتم للزینة ولبس الحلّی للزینة</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الاختضاب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لمفهوم تعلیل المنع عن الکحل بالسواد و النظر فی المرآة بأنّه زینة</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أحمد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یکتحل المحرم ما لم یرد به الزینة،وقال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من الزینة</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فتبین لنا بکلّ وضوح أنّ الاختلاف ناشئ عن الاختلاف فی انطباق المفهوم علی المصداق و هذا هو الاختلاف فی الاجتهاد</w:t>
      </w:r>
      <w:r>
        <w:rPr>
          <w:rFonts w:eastAsia="IRNazanin" w:cs="IRNazanin"/>
          <w:color w:val="111111"/>
          <w:sz w:val="28"/>
          <w:szCs w:val="28"/>
          <w:rtl w:val="true"/>
          <w:lang w:bidi="fa-IR"/>
        </w:rPr>
        <w:t>.</w:t>
      </w:r>
      <w:bookmarkStart w:id="1858" w:name="pg5240_59498"/>
    </w:p>
    <w:p>
      <w:pPr>
        <w:pStyle w:val="Heading3"/>
        <w:numPr>
          <w:ilvl w:val="2"/>
          <w:numId w:val="1"/>
        </w:numPr>
        <w:rPr/>
      </w:pPr>
      <w:bookmarkStart w:id="1859" w:name="__RefHeading___Toc363850_581953129"/>
      <w:bookmarkStart w:id="1860" w:name="_Toc779"/>
      <w:bookmarkEnd w:id="1858"/>
      <w:bookmarkEnd w:id="1859"/>
      <w:r>
        <w:rPr>
          <w:rtl w:val="true"/>
        </w:rPr>
        <w:t>الخلاصة</w:t>
      </w:r>
      <w:bookmarkEnd w:id="1860"/>
    </w:p>
    <w:p>
      <w:pPr>
        <w:pStyle w:val="BookText"/>
        <w:rPr/>
      </w:pPr>
      <w:r>
        <w:rPr>
          <w:rFonts w:ascii="IRNazanin" w:hAnsi="IRNazanin" w:eastAsia="IRNazanin"/>
          <w:color w:val="111111"/>
          <w:sz w:val="28"/>
          <w:sz w:val="28"/>
          <w:szCs w:val="28"/>
          <w:rtl w:val="true"/>
          <w:lang w:bidi="fa-IR"/>
        </w:rPr>
        <w:t>الاختلاف فی مستحبّات الإحرام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کان مجزئاً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واجبات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الجعفری مجزءٌ علی المذاهب الأربعة فلا خلاف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عقد النکاح للمحرم،إلاّ علی 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التقبیل و النظر إلی الزوجة عن شهوة واختلفت الآراء فی الکفّارة،والأحوط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الاستظلال للمحرم حال السیر علی مذهبی الجعفری و الحنبلی ویجوز ذلک علی المذاهب الثلاثة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الارتماس بالماء للمحرم علی مذهبی الجعفری و المالکی ویجوز علی‌المذاهب الثلاثة الاُخری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حول الاکتحال والاختضاب حرمة وکراهة ولا اختلاف من ناحیة عملیة</w:t>
      </w:r>
      <w:r>
        <w:rPr>
          <w:rFonts w:eastAsia="IRNazanin" w:cs="IRNazanin"/>
          <w:color w:val="111111"/>
          <w:sz w:val="28"/>
          <w:szCs w:val="28"/>
          <w:rtl w:val="true"/>
          <w:lang w:bidi="fa-IR"/>
        </w:rPr>
        <w:t>.</w:t>
      </w:r>
      <w:bookmarkStart w:id="1861" w:name="pg5240_59499"/>
    </w:p>
    <w:p>
      <w:pPr>
        <w:pStyle w:val="Heading3"/>
        <w:numPr>
          <w:ilvl w:val="2"/>
          <w:numId w:val="1"/>
        </w:numPr>
        <w:rPr/>
      </w:pPr>
      <w:bookmarkStart w:id="1862" w:name="__RefHeading___Toc363852_581953129"/>
      <w:bookmarkStart w:id="1863" w:name="_Toc780"/>
      <w:bookmarkEnd w:id="1861"/>
      <w:bookmarkEnd w:id="1862"/>
      <w:r>
        <w:rPr>
          <w:rtl w:val="true"/>
        </w:rPr>
        <w:t>الأسئلة</w:t>
      </w:r>
      <w:bookmarkEnd w:id="18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اقتران النیة بالتلبیة؟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جواز عقد النکاح حال الإحرام؟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کفّارة التقبیل عن شهوة وکفّارته بدون الشهوة؟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تتحقّق الکفّارة تجاه النظر إلی إمرأة بدون الشهوة؟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جواز التظلیل حال الإحرام؟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الارتماس بالماء حال الإحرام؟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العامل الرئیسی لعدم جواز الاکتحال والاختضاب ولبس الحلی وما شاکلها؟</w:t>
      </w:r>
      <w:bookmarkStart w:id="1864" w:name="pg5240_59501"/>
    </w:p>
    <w:p>
      <w:pPr>
        <w:pStyle w:val="Heading2"/>
        <w:numPr>
          <w:ilvl w:val="1"/>
          <w:numId w:val="1"/>
        </w:numPr>
        <w:rPr/>
      </w:pPr>
      <w:bookmarkStart w:id="1865" w:name="__RefHeading___Toc363854_581953129"/>
      <w:bookmarkStart w:id="1866" w:name="_Toc781"/>
      <w:bookmarkEnd w:id="1864"/>
      <w:bookmarkEnd w:id="1865"/>
      <w:r>
        <w:rPr/>
        <w:t>27</w:t>
      </w:r>
      <w:r>
        <w:rPr>
          <w:rtl w:val="true"/>
        </w:rPr>
        <w:t xml:space="preserve">- </w:t>
      </w:r>
      <w:r>
        <w:rPr>
          <w:rtl w:val="true"/>
        </w:rPr>
        <w:t>الوقوفات</w:t>
      </w:r>
      <w:bookmarkEnd w:id="1866"/>
    </w:p>
    <w:p>
      <w:pPr>
        <w:pStyle w:val="Heading3"/>
        <w:numPr>
          <w:ilvl w:val="2"/>
          <w:numId w:val="1"/>
        </w:numPr>
        <w:rPr/>
      </w:pPr>
      <w:bookmarkStart w:id="1867" w:name="__RefHeading___Toc363856_581953129"/>
      <w:bookmarkStart w:id="1868" w:name="_Toc782"/>
      <w:bookmarkEnd w:id="1867"/>
      <w:r>
        <w:rPr>
          <w:rtl w:val="true"/>
        </w:rPr>
        <w:t>وقت الوقوف فی عرفة</w:t>
      </w:r>
      <w:bookmarkEnd w:id="1868"/>
    </w:p>
    <w:p>
      <w:pPr>
        <w:pStyle w:val="Heading4"/>
        <w:numPr>
          <w:ilvl w:val="3"/>
          <w:numId w:val="1"/>
        </w:numPr>
        <w:rPr/>
      </w:pPr>
      <w:bookmarkStart w:id="1869" w:name="__RefHeading___Toc363858_581953129"/>
      <w:bookmarkStart w:id="1870" w:name="_Toc783"/>
      <w:bookmarkEnd w:id="1869"/>
      <w:r>
        <w:rPr>
          <w:rtl w:val="true"/>
        </w:rPr>
        <w:t>اشارة</w:t>
      </w:r>
      <w:bookmarkEnd w:id="1870"/>
    </w:p>
    <w:p>
      <w:pPr>
        <w:pStyle w:val="BookText"/>
        <w:rPr/>
      </w:pPr>
      <w:r>
        <w:rPr>
          <w:rFonts w:ascii="IRNazanin" w:hAnsi="IRNazanin" w:eastAsia="IRNazanin"/>
          <w:color w:val="111111"/>
          <w:sz w:val="28"/>
          <w:sz w:val="28"/>
          <w:szCs w:val="28"/>
          <w:rtl w:val="true"/>
          <w:lang w:bidi="fa-IR"/>
        </w:rPr>
        <w:t>اختلفت الآراء بالنسبة إلی ابتداء الوقوف وانتهائه فی عرفة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871" w:name="__RefHeading___Toc363860_581953129"/>
      <w:bookmarkStart w:id="1872" w:name="_Toc784"/>
      <w:bookmarkEnd w:id="1871"/>
      <w:r>
        <w:rPr>
          <w:rtl w:val="true"/>
        </w:rPr>
        <w:t>ثلاثة من المذاهب</w:t>
      </w:r>
      <w:bookmarkEnd w:id="1872"/>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الوقوف فی عرفة 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بعد زوال شمس الیوم التاسع من شهر ذی الحجّة إلی فجر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الشافعی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زوال شمس یوم التاسع من ذی الحجّة إلی فجر یوم النحر</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قال أبوبکر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قدر الواجب من الوقوف فمن حین تزول الشمس إلی أن تغرب،فهذا القدر من الوقوف واجب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الشافعی لیس بواجب بل هو سنة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انّه قال من وقف بعرفة فقد تمّ حجّه</w:t>
      </w:r>
      <w:r>
        <w:rPr>
          <w:rFonts w:eastAsia="IRNazanin" w:cs="IRNazanin"/>
          <w:color w:val="111111"/>
          <w:sz w:val="28"/>
          <w:szCs w:val="28"/>
          <w:rtl w:val="true"/>
          <w:lang w:bidi="fa-IR"/>
        </w:rPr>
        <w:t>.</w:t>
      </w:r>
      <w:bookmarkStart w:id="1873" w:name="pg5240_59502"/>
    </w:p>
    <w:p>
      <w:pPr>
        <w:pStyle w:val="BookText"/>
        <w:rPr/>
      </w:pPr>
      <w:bookmarkEnd w:id="18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والقدر المفروض هو حصوله کائناً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والمشی و السیر لا یخلو عن وقفة،وسواء نوی أو لم ینو بخلاف الطواف</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وقال الأنصاری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وواجب الوقوف بعرفة حضوره بعرفة أی بجزء منها بین زوال وفجر یوم النحر،للإتباع رواه مسلم</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نهار التاسع بعد الزوال إلی الغروب</w:t>
      </w:r>
      <w:r>
        <w:rPr>
          <w:rFonts w:eastAsia="IRNazanin" w:cs="IRNazanin"/>
          <w:color w:val="111111"/>
          <w:sz w:val="28"/>
          <w:szCs w:val="28"/>
          <w:rtl w:val="true"/>
          <w:lang w:bidi="fa-IR"/>
        </w:rPr>
        <w:t xml:space="preserve">. </w:t>
      </w:r>
      <w:r>
        <w:rPr>
          <w:rStyle w:val="FootnoteAnchor"/>
          <w:rtl w:val="true"/>
        </w:rPr>
        <w:footnoteReference w:id="872"/>
      </w:r>
    </w:p>
    <w:p>
      <w:pPr>
        <w:pStyle w:val="Heading4"/>
        <w:numPr>
          <w:ilvl w:val="3"/>
          <w:numId w:val="1"/>
        </w:numPr>
        <w:rPr/>
      </w:pPr>
      <w:bookmarkStart w:id="1874" w:name="__RefHeading___Toc363862_581953129"/>
      <w:bookmarkStart w:id="1875" w:name="_Toc785"/>
      <w:bookmarkEnd w:id="1874"/>
      <w:r>
        <w:rPr>
          <w:rtl w:val="true"/>
        </w:rPr>
        <w:t>المذهب الجعفری</w:t>
      </w:r>
      <w:bookmarkEnd w:id="1875"/>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الاختیار لعرفة من زوال الشمس إلی الغروب من ترکه عامداً فسد حجّه،ووقت الاضطرار إلی طلوع الفجر من یوم النحر</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ولم نجد خلافاً یعتدّ به إلاّ عن الحنبلی و هو کما یلی</w:t>
      </w:r>
      <w:r>
        <w:rPr>
          <w:rFonts w:eastAsia="IRNazanin" w:cs="IRNazanin"/>
          <w:color w:val="111111"/>
          <w:sz w:val="28"/>
          <w:szCs w:val="28"/>
          <w:rtl w:val="true"/>
          <w:lang w:bidi="fa-IR"/>
        </w:rPr>
        <w:t>:</w:t>
      </w:r>
    </w:p>
    <w:p>
      <w:pPr>
        <w:pStyle w:val="Heading4"/>
        <w:numPr>
          <w:ilvl w:val="3"/>
          <w:numId w:val="1"/>
        </w:numPr>
        <w:rPr/>
      </w:pPr>
      <w:bookmarkStart w:id="1876" w:name="__RefHeading___Toc363864_581953129"/>
      <w:bookmarkStart w:id="1877" w:name="_Toc786"/>
      <w:bookmarkEnd w:id="1876"/>
      <w:r>
        <w:rPr>
          <w:rtl w:val="true"/>
        </w:rPr>
        <w:t>المذهب الحنبلی</w:t>
      </w:r>
      <w:bookmarkEnd w:id="187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المعتبر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للوقوف علی المذهب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فجر الیوم التاسع من شهر ذی‌الحجّة إلی فجر الیوم العاشر </w:t>
      </w:r>
      <w:r>
        <w:rPr>
          <w:rStyle w:val="FootnoteAnchor"/>
          <w:rtl w:val="true"/>
        </w:rPr>
        <w:footnoteReference w:id="874"/>
      </w:r>
      <w:r>
        <w:rPr>
          <w:rFonts w:ascii="IRNazanin" w:hAnsi="IRNazanin" w:eastAsia="IRNazanin"/>
          <w:color w:val="111111"/>
          <w:sz w:val="28"/>
          <w:sz w:val="28"/>
          <w:szCs w:val="28"/>
          <w:rtl w:val="true"/>
          <w:lang w:bidi="fa-IR"/>
        </w:rPr>
        <w:t>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الوقوف من طلوع الفجر یوم عرفة إلی طلوع الفجر من یوم النحر،لا نعلم خلافاً بین أهل العلم فی آن آخر لوقت طلوع فجر یوم النحر</w:t>
      </w:r>
      <w:r>
        <w:rPr>
          <w:rFonts w:eastAsia="IRNazanin" w:cs="IRNazanin"/>
          <w:color w:val="111111"/>
          <w:sz w:val="28"/>
          <w:szCs w:val="28"/>
          <w:rtl w:val="true"/>
          <w:lang w:bidi="fa-IR"/>
        </w:rPr>
        <w:t xml:space="preserve">. </w:t>
      </w:r>
      <w:r>
        <w:rPr>
          <w:rStyle w:val="FootnoteAnchor"/>
          <w:rtl w:val="true"/>
        </w:rPr>
        <w:footnoteReference w:id="875"/>
      </w:r>
      <w:r>
        <w:rPr>
          <w:rFonts w:ascii="Amiri" w:hAnsi="Amiri" w:eastAsia="Amiri" w:cs="Amiri"/>
          <w:color w:val="111111"/>
          <w:sz w:val="28"/>
          <w:sz w:val="28"/>
          <w:szCs w:val="28"/>
          <w:rtl w:val="true"/>
          <w:lang w:bidi="ar-SA"/>
        </w:rPr>
        <w:t>ولم یرد نصّ أو إجماع دالّ علی أنّ مبدأ</w:t>
      </w:r>
      <w:bookmarkStart w:id="1878" w:name="pg5240_59503"/>
    </w:p>
    <w:p>
      <w:pPr>
        <w:pStyle w:val="BookText"/>
        <w:rPr/>
      </w:pPr>
      <w:bookmarkEnd w:id="1878"/>
      <w:r>
        <w:rPr>
          <w:rFonts w:ascii="IRNazanin" w:hAnsi="IRNazanin" w:eastAsia="IRNazanin"/>
          <w:color w:val="111111"/>
          <w:sz w:val="28"/>
          <w:sz w:val="28"/>
          <w:szCs w:val="28"/>
          <w:rtl w:val="true"/>
          <w:lang w:bidi="fa-IR"/>
        </w:rPr>
        <w:t>الوقوف فی عرفة هو فجر الیوم التاسع،عدا ما یقول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من الفجر 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عرفة فکان وقتاً للوقوف کبعد الزوال</w:t>
      </w:r>
      <w:r>
        <w:rPr>
          <w:rFonts w:eastAsia="IRNazanin" w:cs="IRNazanin"/>
          <w:color w:val="111111"/>
          <w:sz w:val="28"/>
          <w:szCs w:val="28"/>
          <w:rtl w:val="true"/>
          <w:lang w:bidi="fa-IR"/>
        </w:rPr>
        <w:t xml:space="preserve">. </w:t>
      </w:r>
      <w:r>
        <w:rPr>
          <w:rStyle w:val="FootnoteAnchor"/>
          <w:rtl w:val="true"/>
        </w:rPr>
        <w:footnoteReference w:id="876"/>
      </w:r>
    </w:p>
    <w:p>
      <w:pPr>
        <w:pStyle w:val="Heading4"/>
        <w:numPr>
          <w:ilvl w:val="3"/>
          <w:numId w:val="1"/>
        </w:numPr>
        <w:rPr/>
      </w:pPr>
      <w:bookmarkStart w:id="1879" w:name="__RefHeading___Toc363866_581953129"/>
      <w:bookmarkStart w:id="1880" w:name="_Toc787"/>
      <w:bookmarkEnd w:id="1879"/>
      <w:r>
        <w:rPr>
          <w:rtl w:val="true"/>
        </w:rPr>
        <w:t>منشأ الاختلاف</w:t>
      </w:r>
      <w:bookmarkEnd w:id="1880"/>
    </w:p>
    <w:p>
      <w:pPr>
        <w:pStyle w:val="BookText"/>
        <w:rPr/>
      </w:pPr>
      <w:r>
        <w:rPr>
          <w:rFonts w:ascii="IRNazanin" w:hAnsi="IRNazanin" w:eastAsia="IRNazanin"/>
          <w:color w:val="111111"/>
          <w:sz w:val="28"/>
          <w:sz w:val="28"/>
          <w:szCs w:val="28"/>
          <w:rtl w:val="true"/>
          <w:lang w:bidi="fa-IR"/>
        </w:rPr>
        <w:t>تبین لنا بکلّ وضوح أنّ الاختلاف فی هذا الحقل ناشئ عن تفرّد الحنبلی واجتهاده الخاصّ معلناً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 الوقوف فی عرفة من الفجر إلی الفجر،و قد مرّ بنا أنّه لایمکن المساعدة علی هذا التحدید؛لعدم الدلیل علیه من نصّ أو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فتوی من بعض شیوخ الحنابلة یخالف التحدید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إقامة الصلاتین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إلی موقف عرفة فیکبّر ویهلّل ویجتهد فی الدعاء إلی غروب الشمس</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أمّا الاختلاف بالنسبة إلی التعبیر عن الوقت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الزوال إلی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بالوقت الاختیاری علی المذهب الجعفری وبوقت الفضیلة علی المذاهب الأخری فهو ناشئ عن عدم التقریب بین المذاهب و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ذلک؛لأنّ وقت الفضیلة بحسب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یؤیده عمل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الوقت الاختیاری فلا یترکه الحاجّ عن اختیار إلاّ أنّ التعبیر بالوقت الاختیاری آکد و هو الأحوط فی الدین و الأقرب للتقوی</w:t>
      </w:r>
      <w:r>
        <w:rPr>
          <w:rFonts w:eastAsia="IRNazanin" w:cs="IRNazanin"/>
          <w:color w:val="111111"/>
          <w:sz w:val="28"/>
          <w:szCs w:val="28"/>
          <w:rtl w:val="true"/>
          <w:lang w:bidi="fa-IR"/>
        </w:rPr>
        <w:t>.</w:t>
      </w:r>
    </w:p>
    <w:p>
      <w:pPr>
        <w:pStyle w:val="Heading3"/>
        <w:numPr>
          <w:ilvl w:val="2"/>
          <w:numId w:val="1"/>
        </w:numPr>
        <w:rPr/>
      </w:pPr>
      <w:bookmarkStart w:id="1881" w:name="__RefHeading___Toc363868_581953129"/>
      <w:bookmarkStart w:id="1882" w:name="_Toc788"/>
      <w:bookmarkEnd w:id="1881"/>
      <w:r>
        <w:rPr>
          <w:rtl w:val="true"/>
        </w:rPr>
        <w:t>حکم الخروج عن عرفة قبل الغروب</w:t>
      </w:r>
      <w:bookmarkEnd w:id="188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الغروب فحجّه صحیح فی قول جماعة الفقهاء إلاّ مالکاً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 له،قال 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لانعلم من فقهاء الأمصار من قال بقول مالک، </w:t>
      </w:r>
      <w:r>
        <w:rPr>
          <w:rStyle w:val="FootnoteAnchor"/>
          <w:rtl w:val="true"/>
        </w:rPr>
        <w:footnoteReference w:id="878"/>
      </w:r>
      <w:r>
        <w:rPr>
          <w:rFonts w:ascii="IRNazanin" w:hAnsi="IRNazanin" w:eastAsia="IRNazanin"/>
          <w:color w:val="111111"/>
          <w:sz w:val="28"/>
          <w:sz w:val="28"/>
          <w:szCs w:val="28"/>
          <w:rtl w:val="true"/>
          <w:lang w:bidi="fa-IR"/>
        </w:rPr>
        <w:t>وقال الجزیری قال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أرکان الحجّ الحضور بعرفة بأی جزء منها،</w:t>
      </w:r>
      <w:bookmarkStart w:id="1883" w:name="pg5240_59504"/>
    </w:p>
    <w:p>
      <w:pPr>
        <w:pStyle w:val="BookText"/>
        <w:rPr/>
      </w:pPr>
      <w:bookmarkEnd w:id="1883"/>
      <w:r>
        <w:rPr>
          <w:rFonts w:ascii="IRNazanin" w:hAnsi="IRNazanin" w:eastAsia="IRNazanin"/>
          <w:color w:val="111111"/>
          <w:sz w:val="28"/>
          <w:sz w:val="28"/>
          <w:szCs w:val="28"/>
          <w:rtl w:val="true"/>
          <w:lang w:bidi="fa-IR"/>
        </w:rPr>
        <w:t>فالحضور بعرفة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یفسدالحجّ بترکه وواجب یلزم فی ترکه دم،فالأوّل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 من غروب الشمس یوم عرفة إلی طلوع فجر یوم النحر،والثانی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 من زوال الشمس یوم عرفة إلی غروب الشمس من ذلک الیوم</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وقال مالک بأنّ من دفع من عرفات قبل مغیب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یرجع قبل طلوع الفجر ویقف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یعد إلی عرفات،فعلیه الحجّ قابلا و الهدی ینحره فی حجّ قابل و هو کمن فاته الحجّ</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ویتطابق رأی المالکی مع فتوی الفقهاء أجمع ولا خلاف إلاّ فی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یسهّل الخطب هو الوحدة العملیة،فإنّ الحجّاج المسلمین من کافّة المذاهب یلتزمون بالوقوف من زوال الشمس إلی غروب الشمس یوم التاسع فلم یکن هناک اختلاف من ناحیة عملیة،و أمّا الاختلاف فی التعبیر فهو ناشئ عن عدم المقارنه بین الآراء و المذاهب وفق المنهج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فالإخلال بالرکن اختیاراً یوجب بطلان الحجّ و الإخلال بالواجب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واجبات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اضطرّ إلی ترک الوقوف بعرفة فهو معذور علی أساس قاعدة رفع التکلیف عن المضطرّ و هو نفس الحکم علی المذهب الجعفری،و قد نقل عن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هو تبدیل الحجّ بالعمرة،لبطلان الحجّ بواسطة النقص فی الرکن</w:t>
      </w:r>
      <w:r>
        <w:rPr>
          <w:rFonts w:eastAsia="IRNazanin" w:cs="IRNazanin"/>
          <w:color w:val="111111"/>
          <w:sz w:val="28"/>
          <w:szCs w:val="28"/>
          <w:rtl w:val="true"/>
          <w:lang w:bidi="fa-IR"/>
        </w:rPr>
        <w:t xml:space="preserve">. </w:t>
      </w:r>
      <w:r>
        <w:rPr>
          <w:rStyle w:val="FootnoteAnchor"/>
          <w:rtl w:val="true"/>
        </w:rPr>
        <w:footnoteReference w:id="881"/>
      </w:r>
    </w:p>
    <w:p>
      <w:pPr>
        <w:pStyle w:val="Heading3"/>
        <w:numPr>
          <w:ilvl w:val="2"/>
          <w:numId w:val="1"/>
        </w:numPr>
        <w:rPr/>
      </w:pPr>
      <w:bookmarkStart w:id="1884" w:name="__RefHeading___Toc363870_581953129"/>
      <w:bookmarkStart w:id="1885" w:name="_Toc789"/>
      <w:bookmarkEnd w:id="1884"/>
      <w:r>
        <w:rPr>
          <w:rtl w:val="true"/>
        </w:rPr>
        <w:t>حول الوقوف بالمزدلفة</w:t>
      </w:r>
      <w:bookmarkEnd w:id="1885"/>
    </w:p>
    <w:p>
      <w:pPr>
        <w:pStyle w:val="Heading4"/>
        <w:numPr>
          <w:ilvl w:val="3"/>
          <w:numId w:val="1"/>
        </w:numPr>
        <w:rPr/>
      </w:pPr>
      <w:bookmarkStart w:id="1886" w:name="__RefHeading___Toc363872_581953129"/>
      <w:bookmarkStart w:id="1887" w:name="_Toc790"/>
      <w:bookmarkEnd w:id="1886"/>
      <w:r>
        <w:rPr>
          <w:rtl w:val="true"/>
        </w:rPr>
        <w:t>اشارة</w:t>
      </w:r>
      <w:bookmarkEnd w:id="188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بالنسبة إلی وقت الوقوف هناک وتفصیل الاختلاف بما یلی</w:t>
      </w:r>
      <w:r>
        <w:rPr>
          <w:rFonts w:eastAsia="IRNazanin" w:cs="IRNazanin"/>
          <w:color w:val="111111"/>
          <w:sz w:val="28"/>
          <w:szCs w:val="28"/>
          <w:rtl w:val="true"/>
          <w:lang w:bidi="fa-IR"/>
        </w:rPr>
        <w:t>:</w:t>
      </w:r>
      <w:bookmarkStart w:id="1888" w:name="pg5240_59505"/>
    </w:p>
    <w:p>
      <w:pPr>
        <w:pStyle w:val="Heading4"/>
        <w:numPr>
          <w:ilvl w:val="3"/>
          <w:numId w:val="1"/>
        </w:numPr>
        <w:rPr/>
      </w:pPr>
      <w:bookmarkStart w:id="1889" w:name="__RefHeading___Toc363874_581953129"/>
      <w:bookmarkStart w:id="1890" w:name="_Toc791"/>
      <w:bookmarkEnd w:id="1888"/>
      <w:bookmarkEnd w:id="1889"/>
      <w:r>
        <w:rPr>
          <w:rtl w:val="true"/>
        </w:rPr>
        <w:t>المذهب الجعفری</w:t>
      </w:r>
      <w:bookmarkEnd w:id="1890"/>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الوقوف بالمشعر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طلوع الفجر إلی طلوع الشمس وللمضطرّ إلی زوال الشمس؛ </w:t>
      </w:r>
      <w:r>
        <w:rPr>
          <w:rStyle w:val="FootnoteAnchor"/>
          <w:rtl w:val="true"/>
        </w:rPr>
        <w:footnoteReference w:id="882"/>
      </w:r>
      <w:r>
        <w:rPr>
          <w:rFonts w:ascii="IRNazanin" w:hAnsi="IRNazanin" w:eastAsia="IRNazanin"/>
          <w:color w:val="111111"/>
          <w:sz w:val="28"/>
          <w:sz w:val="28"/>
          <w:szCs w:val="28"/>
          <w:rtl w:val="true"/>
          <w:lang w:bidi="fa-IR"/>
        </w:rPr>
        <w:t>ذلک لصحیحة معاویة‌بن عمّار عن‌الإمام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علی طهر بعدما تصلّی الفجرفقف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قریباًعن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أفض حین یشرف لک ثبیر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بمکّة</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والدلالة تامّة‌والحکم متسالم علیه عند الفقهاء الإمامیین</w:t>
      </w:r>
      <w:r>
        <w:rPr>
          <w:rFonts w:eastAsia="IRNazanin" w:cs="IRNazanin"/>
          <w:color w:val="111111"/>
          <w:sz w:val="28"/>
          <w:szCs w:val="28"/>
          <w:rtl w:val="true"/>
          <w:lang w:bidi="fa-IR"/>
        </w:rPr>
        <w:t>.</w:t>
      </w:r>
    </w:p>
    <w:p>
      <w:pPr>
        <w:pStyle w:val="Heading4"/>
        <w:numPr>
          <w:ilvl w:val="3"/>
          <w:numId w:val="1"/>
        </w:numPr>
        <w:rPr/>
      </w:pPr>
      <w:bookmarkStart w:id="1891" w:name="__RefHeading___Toc363876_581953129"/>
      <w:bookmarkStart w:id="1892" w:name="_Toc792"/>
      <w:bookmarkEnd w:id="1891"/>
      <w:r>
        <w:rPr>
          <w:rtl w:val="true"/>
        </w:rPr>
        <w:t>المذاهب الاربعة</w:t>
      </w:r>
      <w:bookmarkEnd w:id="189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 بالمزدلفة قبل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المذهب الحنفی و الشافعی و المالکی ویجب المبیت بالمزدلفة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الحنبلی ولیکن المبیت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اللیل</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زمان الوقوف بمزدلفة فما بین طلوع الفجر وطلوع الشمس هذا عندنا،وقال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النصف الاخیر من لیلة النحر</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 بمزدلفة،و إن کان دفعة فی وسط اللیل أو أوّله أو آخره وترک الوقوف مع الإمام أجزأه ولا دم علیه</w:t>
      </w:r>
      <w:r>
        <w:rPr>
          <w:rFonts w:eastAsia="IRNazanin" w:cs="IRNazanin"/>
          <w:color w:val="111111"/>
          <w:sz w:val="28"/>
          <w:szCs w:val="28"/>
          <w:rtl w:val="true"/>
          <w:lang w:bidi="fa-IR"/>
        </w:rPr>
        <w:t xml:space="preserve">.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الوقوف بعد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یستحبّ الوقوف و الدعاء بالمأثور بعد صلاة الفجر حتّی یتحقّق الضوء من المشرق اقتداءً بالنبی صلی الله علیه و آله کما 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والمستحبّ الاقتداء برسول الله صلی الله علیه و آله فی المبیت</w:t>
      </w:r>
      <w:bookmarkStart w:id="1893" w:name="pg5240_59506"/>
    </w:p>
    <w:p>
      <w:pPr>
        <w:pStyle w:val="BookText"/>
        <w:rPr/>
      </w:pPr>
      <w:bookmarkEnd w:id="1893"/>
      <w:r>
        <w:rPr>
          <w:rFonts w:ascii="IRNazanin" w:hAnsi="IRNazanin" w:eastAsia="IRNazanin"/>
          <w:color w:val="111111"/>
          <w:sz w:val="28"/>
          <w:sz w:val="28"/>
          <w:szCs w:val="28"/>
          <w:rtl w:val="true"/>
          <w:lang w:bidi="fa-IR"/>
        </w:rPr>
        <w:t>إلی أن یصبح ثمّ یقف حتّی یسفر،وعن نافع أنّ ابن‌زبیر أخّر فی الوقت حتّی کادت تطلع الشمس</w:t>
      </w:r>
      <w:r>
        <w:rPr>
          <w:rFonts w:eastAsia="IRNazanin" w:cs="IRNazanin"/>
          <w:color w:val="111111"/>
          <w:sz w:val="28"/>
          <w:szCs w:val="28"/>
          <w:rtl w:val="true"/>
          <w:lang w:bidi="fa-IR"/>
        </w:rPr>
        <w:t xml:space="preserve">. </w:t>
      </w:r>
      <w:r>
        <w:rPr>
          <w:rStyle w:val="FootnoteAnchor"/>
          <w:rtl w:val="true"/>
        </w:rPr>
        <w:footnoteReference w:id="887"/>
      </w:r>
    </w:p>
    <w:p>
      <w:pPr>
        <w:pStyle w:val="Heading4"/>
        <w:numPr>
          <w:ilvl w:val="3"/>
          <w:numId w:val="1"/>
        </w:numPr>
        <w:rPr/>
      </w:pPr>
      <w:bookmarkStart w:id="1894" w:name="__RefHeading___Toc363878_581953129"/>
      <w:bookmarkStart w:id="1895" w:name="_Toc793"/>
      <w:bookmarkEnd w:id="1894"/>
      <w:r>
        <w:rPr>
          <w:rtl w:val="true"/>
        </w:rPr>
        <w:t>منشأ الاختلاف</w:t>
      </w:r>
      <w:bookmarkEnd w:id="1895"/>
    </w:p>
    <w:p>
      <w:pPr>
        <w:pStyle w:val="BookText"/>
        <w:rPr/>
      </w:pPr>
      <w:r>
        <w:rPr>
          <w:rFonts w:ascii="IRNazanin" w:hAnsi="IRNazanin" w:eastAsia="IRNazanin"/>
          <w:color w:val="111111"/>
          <w:sz w:val="28"/>
          <w:sz w:val="28"/>
          <w:szCs w:val="28"/>
          <w:rtl w:val="true"/>
          <w:lang w:bidi="fa-IR"/>
        </w:rPr>
        <w:t>تبین لنا أنّ الاختلاف هنا ناشئ عن الاختلاف فی مدرک الحکم،فإنّ مدرک الوقوف باللیل فی المزدلفة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عمل النبی صلی الله علیه و آله حسب ما نقل عن طریق الصحابة کما 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بات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المزدلفة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مناسککم،و إنّما أبیح الدفع بعد نصف اللیل بما ورد من الرخصة فیه</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ولم یکن هناک نصّ خاصّ وقال السید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السنّة الثابتة فی المبیت بالمزدلفة</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 أمّا مدرک الوقوف بین الطلوعین فی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النصّ الوارد عن الإمام الصادق علیه السلام الّذی دلّ علی وجوب الوقوف من طلوع الفجر إلی طلوع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إلی ذلک أنّه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المشعرالّذی هو وعاء الذکر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اللّهَ عِنْدَ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90"/>
      </w:r>
      <w:r>
        <w:rPr>
          <w:rFonts w:ascii="IRNazanin" w:hAnsi="IRNazanin" w:eastAsia="IRNazanin"/>
          <w:color w:val="111111"/>
          <w:sz w:val="28"/>
          <w:sz w:val="28"/>
          <w:szCs w:val="28"/>
          <w:rtl w:val="true"/>
          <w:lang w:bidi="fa-IR"/>
        </w:rPr>
        <w:t>هو بعد طلوع الفجر بلا خلاف وهناک عدّة أدعیة مأثورة عن الطریقین فی ذلک الوقت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أنّ ذلک الوقت هو المنسک و أمّا الوقوف فی المزدلفة لیلاً لیس إلاّ مقدّمة للوقوف الأصلی وعلیه یستحبّ الوقوف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ویؤکّده ماقال به الحنبلی من وجوب المبیت فی المزدلفة وعدم کفایة الوقوف قطعة من اللیل،ولا یجوز الخروج قبل طلوع الفجر</w:t>
      </w:r>
      <w:r>
        <w:rPr>
          <w:rFonts w:eastAsia="IRNazanin" w:cs="IRNazanin"/>
          <w:color w:val="111111"/>
          <w:sz w:val="28"/>
          <w:szCs w:val="28"/>
          <w:rtl w:val="true"/>
          <w:lang w:bidi="fa-IR"/>
        </w:rPr>
        <w:t>.</w:t>
      </w:r>
      <w:bookmarkStart w:id="1896" w:name="pg5240_59507"/>
    </w:p>
    <w:p>
      <w:pPr>
        <w:pStyle w:val="BookText"/>
        <w:rPr/>
      </w:pPr>
      <w:bookmarkEnd w:id="1896"/>
      <w:r>
        <w:rPr>
          <w:rFonts w:ascii="IRNazanin" w:hAnsi="IRNazanin" w:eastAsia="IRNazanin"/>
          <w:color w:val="111111"/>
          <w:sz w:val="28"/>
          <w:sz w:val="28"/>
          <w:szCs w:val="28"/>
          <w:rtl w:val="true"/>
          <w:lang w:bidi="fa-IR"/>
        </w:rPr>
        <w:t>والّذی یسهّل الخطب أنّ فقهاء السنّة یقولون بمطلوبیة الدعاء بعد صلاة الفجر و الوقوف بعد الفجر حتّی الإسفار و هو یقرب طلوع الشمس فإذا ارتحل الحاج بعد ذلک الوقت ودخل فی وادی محسر یواجه طلوع الفجر؛لعدم الفصل بین الإسفار و الطلوع إلاّ القلیل و هو نفس الرأی علی 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الإفاضة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الشمس بقلیل،ولکن لا یتجاوز وادی محسر إلاّ بعد طلوعها</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وعلیه لیس ثمّة اختلاف من ناحیة عملیة</w:t>
      </w:r>
      <w:r>
        <w:rPr>
          <w:rFonts w:eastAsia="IRNazanin" w:cs="IRNazanin"/>
          <w:color w:val="111111"/>
          <w:sz w:val="28"/>
          <w:szCs w:val="28"/>
          <w:rtl w:val="true"/>
          <w:lang w:bidi="fa-IR"/>
        </w:rPr>
        <w:t>.</w:t>
      </w:r>
    </w:p>
    <w:p>
      <w:pPr>
        <w:pStyle w:val="Heading3"/>
        <w:numPr>
          <w:ilvl w:val="2"/>
          <w:numId w:val="1"/>
        </w:numPr>
        <w:rPr/>
      </w:pPr>
      <w:bookmarkStart w:id="1897" w:name="__RefHeading___Toc363880_581953129"/>
      <w:bookmarkStart w:id="1898" w:name="_Toc794"/>
      <w:bookmarkEnd w:id="1897"/>
      <w:r>
        <w:rPr>
          <w:rtl w:val="true"/>
        </w:rPr>
        <w:t>جواز التفریق بین العشائین لیلة المزدلفة</w:t>
      </w:r>
      <w:bookmarkEnd w:id="1898"/>
    </w:p>
    <w:p>
      <w:pPr>
        <w:pStyle w:val="Heading4"/>
        <w:numPr>
          <w:ilvl w:val="3"/>
          <w:numId w:val="1"/>
        </w:numPr>
        <w:rPr/>
      </w:pPr>
      <w:bookmarkStart w:id="1899" w:name="__RefHeading___Toc363882_581953129"/>
      <w:bookmarkStart w:id="1900" w:name="_Toc795"/>
      <w:bookmarkEnd w:id="1899"/>
      <w:r>
        <w:rPr>
          <w:rtl w:val="true"/>
        </w:rPr>
        <w:t>اشارة</w:t>
      </w:r>
      <w:bookmarkEnd w:id="1900"/>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 المغرب قبل أن یأتی مزدلفة ولم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السنّة وصحّت صلاته،وبه قال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أبوحینفة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لایجزئه؛لأنّ النبی صلی الله علیه و آله جمع بین الصلاتین،فکان نسکاً 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صلاتین جاز الجمع بینهما جاز التفریق بینهما کالظهر و العصر بعرفة وفعل النبی صلی الله علیه و آله محمول علی الأولی و الأفضل </w:t>
      </w:r>
      <w:r>
        <w:rPr>
          <w:rStyle w:val="FootnoteAnchor"/>
          <w:rtl w:val="true"/>
        </w:rPr>
        <w:footnoteReference w:id="892"/>
      </w:r>
      <w:r>
        <w:rPr>
          <w:rFonts w:ascii="IRNazanin" w:hAnsi="IRNazanin" w:eastAsia="IRNazanin"/>
          <w:color w:val="111111"/>
          <w:sz w:val="28"/>
          <w:sz w:val="28"/>
          <w:szCs w:val="28"/>
          <w:rtl w:val="true"/>
          <w:lang w:bidi="fa-IR"/>
        </w:rPr>
        <w:t>و هو نفس الرأی علی المذهب الجعفری القائل بجواز الجمع فی مطلق الأحول</w:t>
      </w:r>
      <w:r>
        <w:rPr>
          <w:rFonts w:eastAsia="IRNazanin" w:cs="IRNazanin"/>
          <w:color w:val="111111"/>
          <w:sz w:val="28"/>
          <w:szCs w:val="28"/>
          <w:rtl w:val="true"/>
          <w:lang w:bidi="fa-IR"/>
        </w:rPr>
        <w:t>.</w:t>
      </w:r>
    </w:p>
    <w:p>
      <w:pPr>
        <w:pStyle w:val="Heading4"/>
        <w:numPr>
          <w:ilvl w:val="3"/>
          <w:numId w:val="1"/>
        </w:numPr>
        <w:rPr/>
      </w:pPr>
      <w:bookmarkStart w:id="1901" w:name="__RefHeading___Toc363884_581953129"/>
      <w:bookmarkStart w:id="1902" w:name="_Toc796"/>
      <w:bookmarkEnd w:id="1901"/>
      <w:r>
        <w:rPr>
          <w:rtl w:val="true"/>
        </w:rPr>
        <w:t>منشأ الاختلاف</w:t>
      </w:r>
      <w:bookmarkEnd w:id="190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ناشئ عن الاختلاف فی التعیین و التخییر،حیث أنّ المذهب الحنبلی استنبط الحکم تعییناً،بأنّ الجمع هناک هو الحکم علی التعیین کمنسک معین و أمّا علی المذاهب الأخری کان الجمع أولی،فیجوز التفریق بین العشائین کما هو منهجیة الجمع بین الصلاتین المشترکتین فی الوقت</w:t>
      </w:r>
      <w:r>
        <w:rPr>
          <w:rFonts w:eastAsia="IRNazanin" w:cs="IRNazanin"/>
          <w:color w:val="111111"/>
          <w:sz w:val="28"/>
          <w:szCs w:val="28"/>
          <w:rtl w:val="true"/>
          <w:lang w:bidi="fa-IR"/>
        </w:rPr>
        <w:t>.</w:t>
      </w:r>
      <w:bookmarkStart w:id="1903" w:name="pg5240_59508"/>
    </w:p>
    <w:p>
      <w:pPr>
        <w:pStyle w:val="Heading3"/>
        <w:numPr>
          <w:ilvl w:val="2"/>
          <w:numId w:val="1"/>
        </w:numPr>
        <w:rPr/>
      </w:pPr>
      <w:bookmarkStart w:id="1904" w:name="__RefHeading___Toc363886_581953129"/>
      <w:bookmarkStart w:id="1905" w:name="_Toc797"/>
      <w:bookmarkEnd w:id="1903"/>
      <w:bookmarkEnd w:id="1904"/>
      <w:r>
        <w:rPr>
          <w:rtl w:val="true"/>
        </w:rPr>
        <w:t>أعمال منی</w:t>
      </w:r>
      <w:bookmarkEnd w:id="1905"/>
    </w:p>
    <w:p>
      <w:pPr>
        <w:pStyle w:val="Heading3"/>
        <w:numPr>
          <w:ilvl w:val="2"/>
          <w:numId w:val="1"/>
        </w:numPr>
        <w:rPr/>
      </w:pPr>
      <w:bookmarkStart w:id="1906" w:name="__RefHeading___Toc363888_581953129"/>
      <w:bookmarkStart w:id="1907" w:name="_Toc798"/>
      <w:bookmarkEnd w:id="1906"/>
      <w:r>
        <w:rPr>
          <w:rtl w:val="true"/>
        </w:rPr>
        <w:t>خصوصیة الترتیب بالنسبة إلی أعمال منی</w:t>
      </w:r>
      <w:bookmarkEnd w:id="1907"/>
    </w:p>
    <w:p>
      <w:pPr>
        <w:pStyle w:val="Heading4"/>
        <w:numPr>
          <w:ilvl w:val="3"/>
          <w:numId w:val="1"/>
        </w:numPr>
        <w:rPr/>
      </w:pPr>
      <w:bookmarkStart w:id="1908" w:name="__RefHeading___Toc363890_581953129"/>
      <w:bookmarkStart w:id="1909" w:name="_Toc799"/>
      <w:bookmarkEnd w:id="1908"/>
      <w:r>
        <w:rPr>
          <w:rtl w:val="true"/>
        </w:rPr>
        <w:t>اشارة</w:t>
      </w:r>
      <w:bookmarkEnd w:id="1909"/>
    </w:p>
    <w:p>
      <w:pPr>
        <w:pStyle w:val="BookText"/>
        <w:rPr/>
      </w:pPr>
      <w:r>
        <w:rPr>
          <w:rFonts w:ascii="IRNazanin" w:hAnsi="IRNazanin" w:eastAsia="IRNazanin"/>
          <w:color w:val="111111"/>
          <w:sz w:val="28"/>
          <w:sz w:val="28"/>
          <w:szCs w:val="28"/>
          <w:rtl w:val="true"/>
          <w:lang w:bidi="fa-IR"/>
        </w:rPr>
        <w:t>اختلفت الآراء بالنسبة إلی وجوب الترتیب بین الرمی و الحلق و الهدی وعدم وجوبه،وتفصیل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910" w:name="__RefHeading___Toc363892_581953129"/>
      <w:bookmarkStart w:id="1911" w:name="_Toc800"/>
      <w:bookmarkEnd w:id="1910"/>
      <w:r>
        <w:rPr>
          <w:rtl w:val="true"/>
        </w:rPr>
        <w:t>المذهب الجعفری</w:t>
      </w:r>
      <w:bookmarkEnd w:id="1911"/>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وترتیب هذه المناسک واجب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الرمی،ثمّ الذبح،ثمّ الحلق،فلو قدّم بعضها علی بعض أثم ولا إعادة</w:t>
      </w:r>
      <w:r>
        <w:rPr>
          <w:rFonts w:eastAsia="IRNazanin" w:cs="IRNazanin"/>
          <w:color w:val="111111"/>
          <w:sz w:val="28"/>
          <w:szCs w:val="28"/>
          <w:rtl w:val="true"/>
          <w:lang w:bidi="fa-IR"/>
        </w:rPr>
        <w:t xml:space="preserve">. </w:t>
      </w:r>
      <w:r>
        <w:rPr>
          <w:rStyle w:val="FootnoteAnchor"/>
          <w:rtl w:val="true"/>
        </w:rPr>
        <w:footnoteReference w:id="893"/>
      </w:r>
      <w:r>
        <w:rPr>
          <w:rFonts w:ascii="Amiri" w:hAnsi="Amiri" w:eastAsia="Amiri" w:cs="Amiri"/>
          <w:color w:val="111111"/>
          <w:sz w:val="28"/>
          <w:sz w:val="28"/>
          <w:szCs w:val="28"/>
          <w:rtl w:val="true"/>
          <w:lang w:bidi="ar-SA"/>
        </w:rPr>
        <w:t>وقال المحقّق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منسوب إلی أکثر المتأخّرین؛لقوله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رُؤُسَکُمْ حَتّی یَبْلُغَ الْهَدْیُ مَحِلَّهُ</w:t>
      </w:r>
      <w:r>
        <w:rPr>
          <w:rFonts w:eastAsia="Amiri" w:cs="Amiri" w:ascii="Amiri" w:hAnsi="Amiri"/>
          <w:color w:val="111111"/>
          <w:sz w:val="28"/>
          <w:szCs w:val="28"/>
          <w:rtl w:val="true"/>
          <w:lang w:bidi="ar-SA"/>
        </w:rPr>
        <w:t xml:space="preserve">... . </w:t>
      </w:r>
      <w:r>
        <w:rPr>
          <w:rStyle w:val="FootnoteAnchor"/>
          <w:rtl w:val="true"/>
        </w:rPr>
        <w:footnoteReference w:id="894"/>
      </w:r>
      <w:r>
        <w:rPr>
          <w:rFonts w:ascii="IRNazanin" w:hAnsi="IRNazanin" w:eastAsia="IRNazanin"/>
          <w:color w:val="111111"/>
          <w:sz w:val="28"/>
          <w:sz w:val="28"/>
          <w:szCs w:val="28"/>
          <w:rtl w:val="true"/>
          <w:lang w:bidi="fa-IR"/>
        </w:rPr>
        <w:t xml:space="preserve">وللتأسّی مع قول النبی صلی الله علیه و آله </w:t>
      </w:r>
      <w:r>
        <w:rPr>
          <w:rStyle w:val="FootnoteAnchor"/>
          <w:rtl w:val="true"/>
        </w:rPr>
        <w:footnoteReference w:id="895"/>
      </w:r>
      <w:r>
        <w:rPr>
          <w:rFonts w:ascii="IRNazanin" w:hAnsi="IRNazanin" w:eastAsia="IRNazanin"/>
          <w:color w:val="111111"/>
          <w:sz w:val="28"/>
          <w:sz w:val="28"/>
          <w:szCs w:val="28"/>
          <w:rtl w:val="true"/>
          <w:lang w:bidi="fa-IR"/>
        </w:rPr>
        <w:t xml:space="preserve">وقول الإمام الصادق علیه السلام فی صحیحة معاویة‌بن عمّار </w:t>
      </w:r>
      <w:r>
        <w:rPr>
          <w:rStyle w:val="FootnoteAnchor"/>
          <w:rtl w:val="true"/>
        </w:rPr>
        <w:footnoteReference w:id="896"/>
      </w:r>
      <w:r>
        <w:rPr>
          <w:rFonts w:ascii="IRNazanin" w:hAnsi="IRNazanin" w:eastAsia="IRNazanin"/>
          <w:color w:val="111111"/>
          <w:sz w:val="28"/>
          <w:sz w:val="28"/>
          <w:szCs w:val="28"/>
          <w:rtl w:val="true"/>
          <w:lang w:bidi="fa-IR"/>
        </w:rPr>
        <w:t>إذا رمیت الجمرة فاشتر هدیک</w:t>
      </w:r>
      <w:r>
        <w:rPr>
          <w:rFonts w:eastAsia="IRNazanin" w:cs="IRNazanin"/>
          <w:color w:val="111111"/>
          <w:sz w:val="28"/>
          <w:szCs w:val="28"/>
          <w:rtl w:val="true"/>
          <w:lang w:bidi="fa-IR"/>
        </w:rPr>
        <w:t xml:space="preserve">. </w:t>
      </w:r>
      <w:r>
        <w:rPr>
          <w:rStyle w:val="FootnoteAnchor"/>
          <w:rtl w:val="true"/>
        </w:rPr>
        <w:footnoteReference w:id="897"/>
      </w:r>
    </w:p>
    <w:p>
      <w:pPr>
        <w:pStyle w:val="Heading4"/>
        <w:numPr>
          <w:ilvl w:val="3"/>
          <w:numId w:val="1"/>
        </w:numPr>
        <w:rPr/>
      </w:pPr>
      <w:bookmarkStart w:id="1912" w:name="__RefHeading___Toc363894_581953129"/>
      <w:bookmarkStart w:id="1913" w:name="_Toc801"/>
      <w:bookmarkEnd w:id="1912"/>
      <w:r>
        <w:rPr>
          <w:rtl w:val="true"/>
        </w:rPr>
        <w:t>المذاهب الاربعة</w:t>
      </w:r>
      <w:bookmarkEnd w:id="191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الترتیب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عند أکثر أهل العلم؛لحدیث عبدالله‌بن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رسول الله صلی الله علیه و آله خطاباً لمن تخلّف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یراع الترتیب فقدّم منسکاً علی منسک فعلیه دم،وتأوّل قوله صلی الله علیه و آله</w:t>
      </w:r>
      <w:r>
        <w:rPr>
          <w:rFonts w:eastAsia="IRNazanin" w:cs="IRNazanin"/>
          <w:color w:val="111111"/>
          <w:sz w:val="28"/>
          <w:szCs w:val="28"/>
          <w:rtl w:val="true"/>
          <w:lang w:bidi="fa-IR"/>
        </w:rPr>
        <w:t>:</w:t>
      </w:r>
      <w:bookmarkStart w:id="1914" w:name="pg5240_59509"/>
    </w:p>
    <w:p>
      <w:pPr>
        <w:pStyle w:val="BookText"/>
        <w:rPr/>
      </w:pPr>
      <w:bookmarkEnd w:id="19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رفع الإثم دون الفدیة</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وقال الکاشانی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روی أنّه صلی الله علیه و آله رمی ثمّ ذبح ثمّ دعا بالحلاق</w:t>
      </w:r>
      <w:r>
        <w:rPr>
          <w:rFonts w:eastAsia="IRNazanin" w:cs="IRNazanin"/>
          <w:color w:val="111111"/>
          <w:sz w:val="28"/>
          <w:szCs w:val="28"/>
          <w:rtl w:val="true"/>
          <w:lang w:bidi="fa-IR"/>
        </w:rPr>
        <w:t xml:space="preserve">. </w:t>
      </w:r>
      <w:r>
        <w:rPr>
          <w:rStyle w:val="FootnoteAnchor"/>
          <w:rtl w:val="true"/>
        </w:rPr>
        <w:footnoteReference w:id="899"/>
      </w:r>
    </w:p>
    <w:p>
      <w:pPr>
        <w:pStyle w:val="Heading4"/>
        <w:numPr>
          <w:ilvl w:val="3"/>
          <w:numId w:val="1"/>
        </w:numPr>
        <w:rPr/>
      </w:pPr>
      <w:bookmarkStart w:id="1915" w:name="__RefHeading___Toc363896_581953129"/>
      <w:bookmarkStart w:id="1916" w:name="_Toc802"/>
      <w:bookmarkEnd w:id="1915"/>
      <w:r>
        <w:rPr>
          <w:rtl w:val="true"/>
        </w:rPr>
        <w:t>منشأ الاختلاف</w:t>
      </w:r>
      <w:bookmarkEnd w:id="1916"/>
    </w:p>
    <w:p>
      <w:pPr>
        <w:pStyle w:val="BookText"/>
        <w:rPr/>
      </w:pPr>
      <w:r>
        <w:rPr>
          <w:rFonts w:ascii="IRNazanin" w:hAnsi="IRNazanin" w:eastAsia="IRNazanin"/>
          <w:color w:val="111111"/>
          <w:sz w:val="28"/>
          <w:sz w:val="28"/>
          <w:szCs w:val="28"/>
          <w:rtl w:val="true"/>
          <w:lang w:bidi="fa-IR"/>
        </w:rPr>
        <w:t>من البین أنّ الاختلاف هنا ناشئ عن الاختلاف فی فهم المعنی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من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نفی الحرج هنا هو نفی الإثم وقالت المذاهب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الحکم المحرج کما هو ظاهر قوله‌تعالی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 </w:t>
      </w:r>
      <w:r>
        <w:rPr>
          <w:rStyle w:val="FootnoteAnchor"/>
          <w:rtl w:val="true"/>
        </w:rPr>
        <w:footnoteReference w:id="900"/>
      </w:r>
      <w:r>
        <w:rPr>
          <w:rFonts w:ascii="IRNazanin" w:hAnsi="IRNazanin" w:eastAsia="IRNazanin"/>
          <w:color w:val="111111"/>
          <w:sz w:val="28"/>
          <w:sz w:val="28"/>
          <w:szCs w:val="28"/>
          <w:rtl w:val="true"/>
          <w:lang w:bidi="fa-IR"/>
        </w:rPr>
        <w:t>فتبین لنا أنّ الترتیب بین الرمی و الهدی و الحلق واجب علی المذهب الجعفری و المذهب الحنفی،ومندوب علی المذاهب الثلاثة الأخری؛لذلک نری أنّ الحجّاج کلّهم یبادرون إلی أعمال یوم النحر وفق الترتیب،ولا یوجد هناک تخلّف إلاّ لعذر،والعذر رافع للتکلیف علی المذاهب کلّها إلاّ علی المذهب الحنفی بحسب فهمه الخاصّ</w:t>
      </w:r>
      <w:r>
        <w:rPr>
          <w:rFonts w:eastAsia="IRNazanin" w:cs="IRNazanin"/>
          <w:color w:val="111111"/>
          <w:sz w:val="28"/>
          <w:szCs w:val="28"/>
          <w:rtl w:val="true"/>
          <w:lang w:bidi="fa-IR"/>
        </w:rPr>
        <w:t>.</w:t>
      </w:r>
    </w:p>
    <w:p>
      <w:pPr>
        <w:pStyle w:val="Heading3"/>
        <w:numPr>
          <w:ilvl w:val="2"/>
          <w:numId w:val="1"/>
        </w:numPr>
        <w:rPr/>
      </w:pPr>
      <w:bookmarkStart w:id="1917" w:name="__RefHeading___Toc363898_581953129"/>
      <w:bookmarkStart w:id="1918" w:name="_Toc803"/>
      <w:bookmarkEnd w:id="1917"/>
      <w:r>
        <w:rPr>
          <w:rtl w:val="true"/>
        </w:rPr>
        <w:t>وقت الرمی</w:t>
      </w:r>
      <w:bookmarkEnd w:id="1918"/>
    </w:p>
    <w:p>
      <w:pPr>
        <w:pStyle w:val="Heading4"/>
        <w:numPr>
          <w:ilvl w:val="3"/>
          <w:numId w:val="1"/>
        </w:numPr>
        <w:rPr/>
      </w:pPr>
      <w:bookmarkStart w:id="1919" w:name="__RefHeading___Toc363900_581953129"/>
      <w:bookmarkStart w:id="1920" w:name="_Toc804"/>
      <w:bookmarkEnd w:id="1919"/>
      <w:r>
        <w:rPr>
          <w:rtl w:val="true"/>
        </w:rPr>
        <w:t>اشارة</w:t>
      </w:r>
      <w:bookmarkEnd w:id="1920"/>
    </w:p>
    <w:p>
      <w:pPr>
        <w:pStyle w:val="BookText"/>
        <w:rPr/>
      </w:pPr>
      <w:r>
        <w:rPr>
          <w:rFonts w:ascii="IRNazanin" w:hAnsi="IRNazanin" w:eastAsia="IRNazanin"/>
          <w:color w:val="111111"/>
          <w:sz w:val="28"/>
          <w:sz w:val="28"/>
          <w:szCs w:val="28"/>
          <w:rtl w:val="true"/>
          <w:lang w:bidi="fa-IR"/>
        </w:rPr>
        <w:t>اختلفت الآراء بالنسبة إلی وقت رمی‌الجمار للمختار 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1921" w:name="__RefHeading___Toc363902_581953129"/>
      <w:bookmarkStart w:id="1922" w:name="_Toc805"/>
      <w:bookmarkEnd w:id="1921"/>
      <w:r>
        <w:rPr>
          <w:rtl w:val="true"/>
        </w:rPr>
        <w:t>المذهب الجعفری</w:t>
      </w:r>
      <w:bookmarkEnd w:id="192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وقت الرمی من طلوع الشمس من یوم العید إلی غروبه</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ذلک؛لأنّ الرمی من مناسک یوم العید و الیوم من الطلوع إلی الغروب،ویدلّنا علی ذلک</w:t>
      </w:r>
      <w:bookmarkStart w:id="1923" w:name="pg5240_59510"/>
    </w:p>
    <w:p>
      <w:pPr>
        <w:pStyle w:val="BookText"/>
        <w:rPr/>
      </w:pPr>
      <w:bookmarkEnd w:id="1923"/>
      <w:r>
        <w:rPr>
          <w:rFonts w:ascii="IRNazanin" w:hAnsi="IRNazanin" w:eastAsia="IRNazanin"/>
          <w:color w:val="111111"/>
          <w:sz w:val="28"/>
          <w:sz w:val="28"/>
          <w:szCs w:val="28"/>
          <w:rtl w:val="true"/>
          <w:lang w:bidi="fa-IR"/>
        </w:rPr>
        <w:t>الحدیث المشهور الوارد من الطریقین 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أقبل رسول الله صلی الله علیه و آله من المزدلفة مرّ علی جمرة العقبة یوم النحر فرماها بسبع حصیات ثمّ أتی منی وکذلک السنّة،و قد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Style w:val="FootnoteAnchor"/>
          <w:rtl w:val="true"/>
        </w:rPr>
        <w:footnoteReference w:id="902"/>
      </w:r>
    </w:p>
    <w:p>
      <w:pPr>
        <w:pStyle w:val="Heading4"/>
        <w:numPr>
          <w:ilvl w:val="3"/>
          <w:numId w:val="1"/>
        </w:numPr>
        <w:rPr/>
      </w:pPr>
      <w:bookmarkStart w:id="1924" w:name="__RefHeading___Toc363904_581953129"/>
      <w:bookmarkStart w:id="1925" w:name="_Toc806"/>
      <w:bookmarkEnd w:id="1924"/>
      <w:r>
        <w:rPr>
          <w:rtl w:val="true"/>
        </w:rPr>
        <w:t>المذهب الحنبلی</w:t>
      </w:r>
      <w:bookmarkEnd w:id="1925"/>
    </w:p>
    <w:p>
      <w:pPr>
        <w:pStyle w:val="BookText"/>
        <w:rPr/>
      </w:pPr>
      <w:r>
        <w:rPr>
          <w:rFonts w:ascii="IRNazanin" w:hAnsi="IRNazanin" w:eastAsia="IRNazanin"/>
          <w:color w:val="111111"/>
          <w:sz w:val="28"/>
          <w:sz w:val="28"/>
          <w:szCs w:val="28"/>
          <w:rtl w:val="true"/>
          <w:lang w:bidi="fa-IR"/>
        </w:rPr>
        <w:t>ووقته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نصف لیلة النحر لمن وقف قبله بعرفة،ولا یصحّ الرمی فی أیام التشریق إلاّ بعد الزوال</w:t>
      </w:r>
      <w:r>
        <w:rPr>
          <w:rFonts w:eastAsia="IRNazanin" w:cs="IRNazanin"/>
          <w:color w:val="111111"/>
          <w:sz w:val="28"/>
          <w:szCs w:val="28"/>
          <w:rtl w:val="true"/>
          <w:lang w:bidi="fa-IR"/>
        </w:rPr>
        <w:t>.</w:t>
      </w:r>
    </w:p>
    <w:p>
      <w:pPr>
        <w:pStyle w:val="Heading4"/>
        <w:numPr>
          <w:ilvl w:val="3"/>
          <w:numId w:val="1"/>
        </w:numPr>
        <w:rPr/>
      </w:pPr>
      <w:bookmarkStart w:id="1926" w:name="__RefHeading___Toc363906_581953129"/>
      <w:bookmarkStart w:id="1927" w:name="_Toc807"/>
      <w:bookmarkEnd w:id="1926"/>
      <w:r>
        <w:rPr>
          <w:rtl w:val="true"/>
        </w:rPr>
        <w:t>المذهب الحنفی</w:t>
      </w:r>
      <w:bookmarkEnd w:id="1927"/>
    </w:p>
    <w:p>
      <w:pPr>
        <w:pStyle w:val="BookText"/>
        <w:rPr/>
      </w:pPr>
      <w:r>
        <w:rPr>
          <w:rFonts w:ascii="IRNazanin" w:hAnsi="IRNazanin" w:eastAsia="IRNazanin"/>
          <w:color w:val="111111"/>
          <w:sz w:val="28"/>
          <w:sz w:val="28"/>
          <w:szCs w:val="28"/>
          <w:rtl w:val="true"/>
          <w:lang w:bidi="fa-IR"/>
        </w:rPr>
        <w:t>وقت أداء رمی جمرة العقبة فجر یوم النحر إلی فجر الیوم الثانی منه،فإن قدّمه عن ذلک لایجزئه،و إن أخّره عن ذلک لزمه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 الرمی فی الیوم الثانی و الثالث هو من بعد الزوال إلی الغروب،ویکره فی اللیل إلی الفجر،وقبل الزوال لایجزئ وبعد فجر الیوم الثانی یلزمه دم بالتأخیر</w:t>
      </w:r>
      <w:r>
        <w:rPr>
          <w:rFonts w:eastAsia="IRNazanin" w:cs="IRNazanin"/>
          <w:color w:val="111111"/>
          <w:sz w:val="28"/>
          <w:szCs w:val="28"/>
          <w:rtl w:val="true"/>
          <w:lang w:bidi="fa-IR"/>
        </w:rPr>
        <w:t>.</w:t>
      </w:r>
    </w:p>
    <w:p>
      <w:pPr>
        <w:pStyle w:val="Heading4"/>
        <w:numPr>
          <w:ilvl w:val="3"/>
          <w:numId w:val="1"/>
        </w:numPr>
        <w:rPr/>
      </w:pPr>
      <w:bookmarkStart w:id="1928" w:name="__RefHeading___Toc363908_581953129"/>
      <w:bookmarkStart w:id="1929" w:name="_Toc808"/>
      <w:bookmarkEnd w:id="1928"/>
      <w:r>
        <w:rPr>
          <w:rtl w:val="true"/>
        </w:rPr>
        <w:t>المذهب الشافعی</w:t>
      </w:r>
      <w:bookmarkEnd w:id="1929"/>
    </w:p>
    <w:p>
      <w:pPr>
        <w:pStyle w:val="BookText"/>
        <w:rPr/>
      </w:pPr>
      <w:r>
        <w:rPr>
          <w:rFonts w:ascii="IRNazanin" w:hAnsi="IRNazanin" w:eastAsia="IRNazanin"/>
          <w:color w:val="111111"/>
          <w:sz w:val="28"/>
          <w:sz w:val="28"/>
          <w:szCs w:val="28"/>
          <w:rtl w:val="true"/>
          <w:lang w:bidi="fa-IR"/>
        </w:rPr>
        <w:t>یدخل وقت الرمی بانتصاف لیلة النحر ویمتدّ وقته إلی آخر أیام التشریق</w:t>
      </w:r>
      <w:r>
        <w:rPr>
          <w:rFonts w:eastAsia="IRNazanin" w:cs="IRNazanin"/>
          <w:color w:val="111111"/>
          <w:sz w:val="28"/>
          <w:szCs w:val="28"/>
          <w:rtl w:val="true"/>
          <w:lang w:bidi="fa-IR"/>
        </w:rPr>
        <w:t>.</w:t>
      </w:r>
    </w:p>
    <w:p>
      <w:pPr>
        <w:pStyle w:val="Heading4"/>
        <w:numPr>
          <w:ilvl w:val="3"/>
          <w:numId w:val="1"/>
        </w:numPr>
        <w:rPr/>
      </w:pPr>
      <w:bookmarkStart w:id="1930" w:name="__RefHeading___Toc363910_581953129"/>
      <w:bookmarkStart w:id="1931" w:name="_Toc809"/>
      <w:bookmarkEnd w:id="1930"/>
      <w:r>
        <w:rPr>
          <w:rtl w:val="true"/>
        </w:rPr>
        <w:t>المذهب المالکی</w:t>
      </w:r>
      <w:bookmarkEnd w:id="193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الرمی فی کلّ یوم منها من زوال الشمس إلی الغروب،فلو قدّم الرمی علی الزوال لا یکفی وعلیه دم إن لم یعده بعد الزوال،و إن أخّره إلی اللیل أو إلی الیوم الثانی فعلیه دم</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ویستدلّ علی تعیین الوقت للرمی بالروایات الواردة من طریق</w:t>
      </w:r>
      <w:bookmarkStart w:id="1932" w:name="pg5240_59511"/>
    </w:p>
    <w:p>
      <w:pPr>
        <w:pStyle w:val="BookText"/>
        <w:rPr/>
      </w:pPr>
      <w:bookmarkEnd w:id="1932"/>
      <w:r>
        <w:rPr>
          <w:rFonts w:ascii="IRNazanin" w:hAnsi="IRNazanin" w:eastAsia="IRNazanin"/>
          <w:color w:val="111111"/>
          <w:sz w:val="28"/>
          <w:sz w:val="28"/>
          <w:szCs w:val="28"/>
          <w:rtl w:val="true"/>
          <w:lang w:bidi="fa-IR"/>
        </w:rPr>
        <w:t>الصحابة،منها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آله یرمی الجمرة ضحی یوم النحر وحده ورمی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فی الیوم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زوال الشمس أخرجه مسلم</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ابن‌عبّاس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یسأل یوم النحر بمنی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رمیت بعد ما أمسیت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قال الکاشانی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الرمی من یوم النحر ما بعد طلوع الفجر الثانی،فلا یجوز قبل طلوعه،وأوّل وقته المستحبّ ما بعد طلوع الشمس قبل الزوال هذا عندنا 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انتصف لیلة النحر دخل وقت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نقول أنّ المستحبّ ذلک و أمّا آخره فآخر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وقت الرمی من الیوم الثانی و الثالث من أیام الرمی فبعد الزوال حتّی لا یجوز الرمی فیهما قبل الزوال فی الروایة المشهورة عن أبی‌حنیفة وروی أبوحنیفة أن الأفضل أن یرمی فی الیوم الثانی و الثالث بعدالزوال فإن رمی قبله جاز،وجه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علی رمی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الروایة المشهورة ما روی عن جابر أنّ رسول صلی الله علیه و آله رمی الجمرة یوم النحر ضحی ورمی فی بقیة الأیام بعد الزوال،و هذا باب لا یعرف بالقیاس</w:t>
      </w:r>
      <w:r>
        <w:rPr>
          <w:rFonts w:eastAsia="IRNazanin" w:cs="IRNazanin"/>
          <w:color w:val="111111"/>
          <w:sz w:val="28"/>
          <w:szCs w:val="28"/>
          <w:rtl w:val="true"/>
          <w:lang w:bidi="fa-IR"/>
        </w:rPr>
        <w:t xml:space="preserve">. </w:t>
      </w:r>
      <w:r>
        <w:rPr>
          <w:rStyle w:val="FootnoteAnchor"/>
          <w:rtl w:val="true"/>
        </w:rPr>
        <w:footnoteReference w:id="906"/>
      </w:r>
    </w:p>
    <w:p>
      <w:pPr>
        <w:pStyle w:val="Heading4"/>
        <w:numPr>
          <w:ilvl w:val="3"/>
          <w:numId w:val="1"/>
        </w:numPr>
        <w:rPr/>
      </w:pPr>
      <w:bookmarkStart w:id="1933" w:name="__RefHeading___Toc363912_581953129"/>
      <w:bookmarkStart w:id="1934" w:name="_Toc810"/>
      <w:bookmarkEnd w:id="1933"/>
      <w:r>
        <w:rPr>
          <w:rtl w:val="true"/>
        </w:rPr>
        <w:t>منشأ الاختلاف</w:t>
      </w:r>
      <w:bookmarkEnd w:id="193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أنّ الحکم علی المذهب الجعفری یستند إلی النصّ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المذاهب الأربعة فیستند الحکم إلی النصوص،واختلف أصحاب هذه المذاهب بینهم،فمنهم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الرمی فترة الأیام الثلاثة صباحاً ومساءً؛لقول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ولا حرج</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وأکثرهم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الثلاثة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إلی وقت الرمی یوم النحر قبل الزوال ووقته فی الیوم الثانی و الثالث بعد الزوال،استناداً إلی الحدیث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رواه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وعملاً بسیرة الرسول صلی الله علیه و آله مؤکّداً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فالوقت محدّد و التقدیم لایجزئ،والتأخیر لایجوز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هناک نصّ بالنسبة إلی من أخّر الرمی إلی اللیل،روی عبدالله‌بن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الرمی حتّی تغیب الشمس فلا یرم حتّی تزول الشمس من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أفتی الحنبلی و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لیلاً وعلیه دم</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والاختلاف فی صحّة الرمی بعد منتصف اللیل أو بعد الفجر ناشئ عن الاختلاف فی مبدأ الیوم بأنّه بعد نصف اللیل أو بعد طلوع الفجر</w:t>
      </w:r>
      <w:r>
        <w:rPr>
          <w:rFonts w:eastAsia="IRNazanin" w:cs="IRNazanin"/>
          <w:color w:val="111111"/>
          <w:sz w:val="28"/>
          <w:szCs w:val="28"/>
          <w:rtl w:val="true"/>
          <w:lang w:bidi="fa-IR"/>
        </w:rPr>
        <w:t>.</w:t>
      </w:r>
      <w:bookmarkStart w:id="1935" w:name="pg5240_59513"/>
    </w:p>
    <w:p>
      <w:pPr>
        <w:pStyle w:val="Heading3"/>
        <w:numPr>
          <w:ilvl w:val="2"/>
          <w:numId w:val="1"/>
        </w:numPr>
        <w:rPr/>
      </w:pPr>
      <w:bookmarkStart w:id="1936" w:name="__RefHeading___Toc363914_581953129"/>
      <w:bookmarkStart w:id="1937" w:name="_Toc811"/>
      <w:bookmarkEnd w:id="1935"/>
      <w:bookmarkEnd w:id="1936"/>
      <w:r>
        <w:rPr>
          <w:rtl w:val="true"/>
        </w:rPr>
        <w:t>الخلاصة</w:t>
      </w:r>
      <w:bookmarkEnd w:id="1937"/>
    </w:p>
    <w:p>
      <w:pPr>
        <w:pStyle w:val="BookText"/>
        <w:rPr/>
      </w:pPr>
      <w:r>
        <w:rPr>
          <w:rFonts w:ascii="IRNazanin" w:hAnsi="IRNazanin" w:eastAsia="IRNazanin"/>
          <w:color w:val="111111"/>
          <w:sz w:val="28"/>
          <w:sz w:val="28"/>
          <w:szCs w:val="28"/>
          <w:rtl w:val="true"/>
          <w:lang w:bidi="fa-IR"/>
        </w:rPr>
        <w:t>وقت الوقوف بعرفة من زوال الشمس إلی الغروب علی المذاهب کلّها إلاّ علی الحنبلی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فجر الیوم التاسع إلی فجر الیوم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الوقوف فی المزدلفة قبل الفجر علی المذاهب الأربعة ووقته بعد الفجر علی 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الترتیب بین أعمال منی واجب علی المذهب الجعفری و الحنفی وسنّة عند المذاهب الثلاثة الاُخری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الرمی علی المذهب الجعفری و الشافعی من طلوع الشمس إلی الغروب،ووقته علی المذاهب الثلاثة الاُخری قبل الزوال یوم النحر وبعد الزوال فی الیوم الثانی و الثالث</w:t>
      </w:r>
      <w:r>
        <w:rPr>
          <w:rFonts w:eastAsia="IRNazanin" w:cs="IRNazanin"/>
          <w:color w:val="111111"/>
          <w:sz w:val="28"/>
          <w:szCs w:val="28"/>
          <w:rtl w:val="true"/>
          <w:lang w:bidi="fa-IR"/>
        </w:rPr>
        <w:t>.</w:t>
      </w:r>
      <w:bookmarkStart w:id="1938" w:name="pg5240_59514"/>
    </w:p>
    <w:p>
      <w:pPr>
        <w:pStyle w:val="Heading3"/>
        <w:numPr>
          <w:ilvl w:val="2"/>
          <w:numId w:val="1"/>
        </w:numPr>
        <w:rPr/>
      </w:pPr>
      <w:bookmarkStart w:id="1939" w:name="__RefHeading___Toc363916_581953129"/>
      <w:bookmarkStart w:id="1940" w:name="_Toc812"/>
      <w:bookmarkEnd w:id="1938"/>
      <w:bookmarkEnd w:id="1939"/>
      <w:r>
        <w:rPr>
          <w:rtl w:val="true"/>
        </w:rPr>
        <w:t>الأسئلة</w:t>
      </w:r>
      <w:bookmarkEnd w:id="19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الوقت الاختیاری و الوقت الاضطراری فی عرفة؟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وجوب الوقوف بالمزدلفة بین الطلوعین؟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التفریق بین العشائین لیلة المزدلفة؟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وجوب الترتیب بین أعمال منی؟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تأخّر الرمی عن الوقت المحدّد فهل علیه دم؟</w:t>
      </w:r>
      <w:bookmarkStart w:id="1941" w:name="pg5240_59515"/>
    </w:p>
    <w:p>
      <w:pPr>
        <w:pStyle w:val="Heading2"/>
        <w:numPr>
          <w:ilvl w:val="1"/>
          <w:numId w:val="1"/>
        </w:numPr>
        <w:rPr/>
      </w:pPr>
      <w:bookmarkStart w:id="1942" w:name="__RefHeading___Toc363918_581953129"/>
      <w:bookmarkStart w:id="1943" w:name="_Toc813"/>
      <w:bookmarkEnd w:id="1941"/>
      <w:bookmarkEnd w:id="1942"/>
      <w:r>
        <w:rPr/>
        <w:t>28</w:t>
      </w:r>
      <w:r>
        <w:rPr>
          <w:rtl w:val="true"/>
        </w:rPr>
        <w:t xml:space="preserve">- </w:t>
      </w:r>
      <w:r>
        <w:rPr>
          <w:rtl w:val="true"/>
        </w:rPr>
        <w:t>الطواف</w:t>
      </w:r>
      <w:bookmarkEnd w:id="1943"/>
    </w:p>
    <w:p>
      <w:pPr>
        <w:pStyle w:val="Heading3"/>
        <w:numPr>
          <w:ilvl w:val="2"/>
          <w:numId w:val="1"/>
        </w:numPr>
        <w:rPr/>
      </w:pPr>
      <w:bookmarkStart w:id="1944" w:name="__RefHeading___Toc363920_581953129"/>
      <w:bookmarkStart w:id="1945" w:name="_Toc814"/>
      <w:bookmarkEnd w:id="1944"/>
      <w:r>
        <w:rPr>
          <w:rtl w:val="true"/>
        </w:rPr>
        <w:t>طواف الوداع وطواف النساء</w:t>
      </w:r>
      <w:bookmarkEnd w:id="1945"/>
    </w:p>
    <w:p>
      <w:pPr>
        <w:pStyle w:val="Heading4"/>
        <w:numPr>
          <w:ilvl w:val="3"/>
          <w:numId w:val="1"/>
        </w:numPr>
        <w:rPr/>
      </w:pPr>
      <w:bookmarkStart w:id="1946" w:name="__RefHeading___Toc363922_581953129"/>
      <w:bookmarkStart w:id="1947" w:name="_Toc815"/>
      <w:bookmarkEnd w:id="1946"/>
      <w:r>
        <w:rPr>
          <w:rtl w:val="true"/>
        </w:rPr>
        <w:t>اشارة</w:t>
      </w:r>
      <w:bookmarkEnd w:id="1947"/>
    </w:p>
    <w:p>
      <w:pPr>
        <w:pStyle w:val="BookText"/>
        <w:rPr/>
      </w:pPr>
      <w:r>
        <w:rPr>
          <w:rFonts w:ascii="IRNazanin" w:hAnsi="IRNazanin" w:eastAsia="IRNazanin"/>
          <w:color w:val="111111"/>
          <w:sz w:val="28"/>
          <w:sz w:val="28"/>
          <w:szCs w:val="28"/>
          <w:rtl w:val="true"/>
          <w:lang w:bidi="fa-IR"/>
        </w:rPr>
        <w:t>اختلفت الآراء بالنسبة إلی خصوصیة الطواف النهائی فی ختام المناسک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948" w:name="__RefHeading___Toc363924_581953129"/>
      <w:bookmarkStart w:id="1949" w:name="_Toc816"/>
      <w:bookmarkEnd w:id="1948"/>
      <w:r>
        <w:rPr>
          <w:rtl w:val="true"/>
        </w:rPr>
        <w:t>المذاهب الاربعة</w:t>
      </w:r>
      <w:bookmarkEnd w:id="194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الثانی الطواف الواجب و هوطواف الوداع ویسمّی طواف الصدر</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ولم یتعرّض إلی خلاف فیه 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الخارج من مکّة فلیس له أن یخرج حتّی یودّع البیت بطواف سبع و هو واجب،من ترکه لزمه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 فی 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بترکه شیء؛لأنّه یسقط عن الحائض فلم یکن واجباً کطواف القدوم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ما روی 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الناس أن یکون آخر عهدهم بالبیت إلاّ أنّه خففت عن المرأة الحائض،متّفق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لاینفرنّ أحد حتّی یکون آخر عهده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وجوبه فإنّه لیس</w:t>
      </w:r>
      <w:bookmarkStart w:id="1950" w:name="pg5240_59516"/>
    </w:p>
    <w:p>
      <w:pPr>
        <w:pStyle w:val="BookText"/>
        <w:rPr/>
      </w:pPr>
      <w:bookmarkEnd w:id="1950"/>
      <w:r>
        <w:rPr>
          <w:rFonts w:ascii="IRNazanin" w:hAnsi="IRNazanin" w:eastAsia="IRNazanin"/>
          <w:color w:val="111111"/>
          <w:sz w:val="28"/>
          <w:sz w:val="28"/>
          <w:szCs w:val="28"/>
          <w:rtl w:val="true"/>
          <w:lang w:bidi="fa-IR"/>
        </w:rPr>
        <w:t>برکن ویسمّی طواف الوداع؛لأنّه لتودیع البیت،وطواف الصدر؛لأنّه عند صدور الناس من مکّة</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قال مالک فی قول عمربن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آخر النسک الطواف بالبیت،إنّ ذلک فیما نری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مَحِلُّها إِلَی الْبَیْتِ الْعَتِیقِ ،فمحل الشعائر کلّها وانقضائها إلی البیت العتیق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مالک عن یحیی‌بن سعید أن عمربن الخطاب ردّ رجلاً مرّ 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قریب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ودّع البیت،حتّی ودّع البیت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فتبین لنا أنّ الأصل فی طواف الوداع هو رأی عمربن الخطاب 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طواف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لسقوطه عن الحائض و النفساء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 الوجوب 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هذا البیت فلیکن اخر عهده به الطواف،ومطلق الأمر لوجوب العمل</w:t>
      </w:r>
      <w:r>
        <w:rPr>
          <w:rFonts w:eastAsia="IRNazanin" w:cs="IRNazanin"/>
          <w:color w:val="111111"/>
          <w:sz w:val="28"/>
          <w:szCs w:val="28"/>
          <w:rtl w:val="true"/>
          <w:lang w:bidi="fa-IR"/>
        </w:rPr>
        <w:t xml:space="preserve">». </w:t>
      </w:r>
      <w:r>
        <w:rPr>
          <w:rStyle w:val="FootnoteAnchor"/>
          <w:rtl w:val="true"/>
        </w:rPr>
        <w:footnoteReference w:id="912"/>
      </w:r>
    </w:p>
    <w:p>
      <w:pPr>
        <w:pStyle w:val="Heading4"/>
        <w:numPr>
          <w:ilvl w:val="3"/>
          <w:numId w:val="1"/>
        </w:numPr>
        <w:rPr/>
      </w:pPr>
      <w:bookmarkStart w:id="1951" w:name="__RefHeading___Toc363926_581953129"/>
      <w:bookmarkStart w:id="1952" w:name="_Toc817"/>
      <w:bookmarkEnd w:id="1951"/>
      <w:r>
        <w:rPr>
          <w:rtl w:val="true"/>
        </w:rPr>
        <w:t>المذهب الجعفری</w:t>
      </w:r>
      <w:bookmarkEnd w:id="195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الحجّ و هو الّذی یسمّی بطواف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واجب فی الحجّ و العمرة المفردة،دون المتمتّع بها و هو لازم للرجال و النساء و الصبیان و الخناثی</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ذلک؛للنصوص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معاویة‌بن عمّار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المتمتّع بالعمرة إلی الحجّ ثلاثة أطواف بالبیت وسعیان بین الصفا و المروة،فعلیه إذا قدم مکّة طواف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الصلاة و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للعمرة،وعلیه للحجّ طوافان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طواف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الصلاة و السعی ویسمّی طواف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وطواف بالبیت بعد الحجّ </w:t>
      </w:r>
      <w:r>
        <w:rPr>
          <w:rStyle w:val="FootnoteAnchor"/>
          <w:rtl w:val="true"/>
        </w:rPr>
        <w:footnoteReference w:id="914"/>
      </w:r>
      <w:r>
        <w:rPr>
          <w:rFonts w:ascii="IRNazanin" w:hAnsi="IRNazanin" w:eastAsia="IRNazanin"/>
          <w:color w:val="111111"/>
          <w:sz w:val="28"/>
          <w:sz w:val="28"/>
          <w:szCs w:val="28"/>
          <w:rtl w:val="true"/>
          <w:lang w:bidi="fa-IR"/>
        </w:rPr>
        <w:t>دلّت علی وجوب طواف فی ختام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 هذا الطواف بطواف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حلّیة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ترتبط بهذا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قصّر أو حلق حلّ له کلّ شیءإلاّ النساء فإذا أتی بطواف النساء حلّ له النساء </w:t>
      </w:r>
      <w:r>
        <w:rPr>
          <w:rStyle w:val="FootnoteAnchor"/>
          <w:rtl w:val="true"/>
        </w:rPr>
        <w:footnoteReference w:id="915"/>
      </w:r>
      <w:r>
        <w:rPr>
          <w:rFonts w:ascii="IRNazanin" w:hAnsi="IRNazanin" w:eastAsia="IRNazanin"/>
          <w:color w:val="111111"/>
          <w:sz w:val="28"/>
          <w:sz w:val="28"/>
          <w:szCs w:val="28"/>
          <w:rtl w:val="true"/>
          <w:lang w:bidi="fa-IR"/>
        </w:rPr>
        <w:t>ذلک؛للنصوص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صحیحة‌الحلبی‌عن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لاتحلّ له‌النساء حتّی یزورالبیت</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و أمّا علی المذاهب الأربعة،فلا یرتبط التحلیل بطواف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ذلک؛لأنّ التحلیل قدتمّ بعد طواف الزیارة فلا یلعب طواف الوداع دوراً فی هذا الحقل و إنّما هو وداع البیت عند الخروج من مکّة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للزیارة بعد الرمی و النحر و الحلق حلّ له کلّ شیء حرّمه الإحرام،و قد ذکرنا أنّه لم یکن بقی علیه من المحظورات سوی النساء،فهذا الطواف حلّل له النساء،قال عبدالله‌بن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النبی صلی الله علیه و آله من شیء حرّم منه حتّی قضی حجّه ونحر هدیه یوم النحر،فأفاض بالبیت ثمّ حلّ من کلّ شیء حرّمه،متّفق علیه،ولا نعلم خلافاً فی حصول الحلّ بطواف الزیارة</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فتبین لنا أنّ تحلیل النساء یرتبط بطواف الزیارة وعلیه یترتّب تحلیل النساء</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حسن الحظّ أنّه لا خلاف فی أنّ تحریم النساء أصعب المحظورات ولا یرفع إلاّ بالطواف،و إنّما الخلاف فی أنّ الطواف الّذی یوجب التحلیل هنا هو طواف الزیارة أو طواف النساء؟وجهان علی الفریقین</w:t>
      </w:r>
      <w:r>
        <w:rPr>
          <w:rFonts w:eastAsia="IRNazanin" w:cs="IRNazanin"/>
          <w:color w:val="111111"/>
          <w:sz w:val="28"/>
          <w:szCs w:val="28"/>
          <w:rtl w:val="true"/>
          <w:lang w:bidi="fa-IR"/>
        </w:rPr>
        <w:t>.</w:t>
      </w:r>
      <w:bookmarkStart w:id="1953" w:name="pg5240_59518"/>
    </w:p>
    <w:p>
      <w:pPr>
        <w:pStyle w:val="Heading4"/>
        <w:numPr>
          <w:ilvl w:val="3"/>
          <w:numId w:val="1"/>
        </w:numPr>
        <w:rPr/>
      </w:pPr>
      <w:bookmarkStart w:id="1954" w:name="__RefHeading___Toc363928_581953129"/>
      <w:bookmarkStart w:id="1955" w:name="_Toc818"/>
      <w:bookmarkEnd w:id="1953"/>
      <w:bookmarkEnd w:id="1954"/>
      <w:r>
        <w:rPr>
          <w:rtl w:val="true"/>
        </w:rPr>
        <w:t>منشأ الاختلاف</w:t>
      </w:r>
      <w:bookmarkEnd w:id="1955"/>
    </w:p>
    <w:p>
      <w:pPr>
        <w:pStyle w:val="BookText"/>
        <w:rPr/>
      </w:pPr>
      <w:r>
        <w:rPr>
          <w:rFonts w:ascii="IRNazanin" w:hAnsi="IRNazanin" w:eastAsia="IRNazanin"/>
          <w:color w:val="111111"/>
          <w:sz w:val="28"/>
          <w:sz w:val="28"/>
          <w:szCs w:val="28"/>
          <w:rtl w:val="true"/>
          <w:lang w:bidi="fa-IR"/>
        </w:rPr>
        <w:t>قد تبین لنا بکلّ وضوح أنّ الاختلاف هنا ناشئ عن الاختلاف فی النصوص الواردة من طریقی آل‌البیت علیهم السلام و الصحابة،وبما أنّه لم یکن هناک اختلاف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یمکننا الجمع بین تلک النصوص المختلفة إلاّ أنّه لا یمکننا الجمع بین الاختلاف الناشئ عن فهم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یسهّل الخطب أنّ الطواف المتنازع فیه لایترک قطعاً ویؤتی قربة إلی الله ولایضرّنا الاختلاف فی التسمیة و هو الاختلاف فی التعبیر،فیکفینا الإیتاء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فلا اختلاف هناک من ناحیة عملیة</w:t>
      </w:r>
      <w:r>
        <w:rPr>
          <w:rFonts w:eastAsia="IRNazanin" w:cs="IRNazanin"/>
          <w:color w:val="111111"/>
          <w:sz w:val="28"/>
          <w:szCs w:val="28"/>
          <w:rtl w:val="true"/>
          <w:lang w:bidi="fa-IR"/>
        </w:rPr>
        <w:t>.</w:t>
      </w:r>
    </w:p>
    <w:p>
      <w:pPr>
        <w:pStyle w:val="Heading3"/>
        <w:numPr>
          <w:ilvl w:val="2"/>
          <w:numId w:val="1"/>
        </w:numPr>
        <w:rPr/>
      </w:pPr>
      <w:bookmarkStart w:id="1956" w:name="__RefHeading___Toc363930_581953129"/>
      <w:bookmarkStart w:id="1957" w:name="_Toc819"/>
      <w:bookmarkEnd w:id="1956"/>
      <w:r>
        <w:rPr>
          <w:rtl w:val="true"/>
        </w:rPr>
        <w:t>وجوب الطهارة فی الطواف</w:t>
      </w:r>
      <w:bookmarkEnd w:id="1957"/>
    </w:p>
    <w:p>
      <w:pPr>
        <w:pStyle w:val="Heading4"/>
        <w:numPr>
          <w:ilvl w:val="3"/>
          <w:numId w:val="1"/>
        </w:numPr>
        <w:rPr/>
      </w:pPr>
      <w:bookmarkStart w:id="1958" w:name="__RefHeading___Toc363932_581953129"/>
      <w:bookmarkStart w:id="1959" w:name="_Toc820"/>
      <w:bookmarkEnd w:id="1958"/>
      <w:r>
        <w:rPr>
          <w:rtl w:val="true"/>
        </w:rPr>
        <w:t>اشارة</w:t>
      </w:r>
      <w:bookmarkEnd w:id="1959"/>
    </w:p>
    <w:p>
      <w:pPr>
        <w:pStyle w:val="BookText"/>
        <w:rPr/>
      </w:pPr>
      <w:r>
        <w:rPr>
          <w:rFonts w:ascii="IRNazanin" w:hAnsi="IRNazanin" w:eastAsia="IRNazanin"/>
          <w:color w:val="111111"/>
          <w:sz w:val="28"/>
          <w:sz w:val="28"/>
          <w:szCs w:val="28"/>
          <w:rtl w:val="true"/>
          <w:lang w:bidi="fa-IR"/>
        </w:rPr>
        <w:t>اختلفت الآراء بالنسبة إلی اشتراط الطهارة من الحدث و الخبث فی الطواف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960" w:name="__RefHeading___Toc363934_581953129"/>
      <w:bookmarkStart w:id="1961" w:name="_Toc821"/>
      <w:bookmarkEnd w:id="1960"/>
      <w:r>
        <w:rPr>
          <w:rtl w:val="true"/>
        </w:rPr>
        <w:t>المذهب الجعفری</w:t>
      </w:r>
      <w:bookmarkEnd w:id="196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واجبات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وإزالة النجاسة عن الثوب و البدن</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أمّا الطهارة عن الحدث،قال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الحدث الأصغر و الأکبر فی الطواف الواجب بلا خلاف أجده بل الإجماع بقسمیه علیه </w:t>
      </w:r>
      <w:r>
        <w:rPr>
          <w:rStyle w:val="FootnoteAnchor"/>
          <w:rtl w:val="true"/>
        </w:rPr>
        <w:footnoteReference w:id="919"/>
      </w:r>
      <w:r>
        <w:rPr>
          <w:rFonts w:ascii="IRNazanin" w:hAnsi="IRNazanin" w:eastAsia="IRNazanin"/>
          <w:color w:val="111111"/>
          <w:sz w:val="28"/>
          <w:sz w:val="28"/>
          <w:szCs w:val="28"/>
          <w:rtl w:val="true"/>
          <w:lang w:bidi="fa-IR"/>
        </w:rPr>
        <w:t>ویدلّنا علی ذلک النصوص الواردة‌فی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معاویة‌بن عمّار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تقضی المناسک کلّها علی غیر وضوء إلاّ الطواف بالبیت،والوضوء أفضل</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محمّدبن مسلم قال سألت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bookmarkStart w:id="1962" w:name="pg5240_59519"/>
    </w:p>
    <w:p>
      <w:pPr>
        <w:pStyle w:val="BookText"/>
        <w:rPr/>
      </w:pPr>
      <w:bookmarkEnd w:id="1962"/>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طاف طواف الفریضة‌و هو علی غیر طهر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ویعید طوافه</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و أمّا طهارة البدن و الثوب فهی أیضاً ممّا لاخلاف فیها کما 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إزالة النجاسة عن الثوب و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أکثر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الغنیة الإجماع علیه للنبوی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صلاة،وخبر یونس‌بن یعقوب عن الإمام الصادق علیه السلام فی رجل یری فی ثوبه الدم و هو فی الطواف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الموضع الّذی رأی فیه الدم فیعرفه ثمّ یخرج فیغسله ثمّ یعود فیتمّ طوافه</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بل لا إشکال فی الإشتراط بناءً علی تحریم إدخال النجاسة و إن لم تسر</w:t>
      </w:r>
      <w:r>
        <w:rPr>
          <w:rFonts w:eastAsia="IRNazanin" w:cs="IRNazanin"/>
          <w:color w:val="111111"/>
          <w:sz w:val="28"/>
          <w:szCs w:val="28"/>
          <w:rtl w:val="true"/>
          <w:lang w:bidi="fa-IR"/>
        </w:rPr>
        <w:t xml:space="preserve">. </w:t>
      </w:r>
      <w:r>
        <w:rPr>
          <w:rStyle w:val="FootnoteAnchor"/>
          <w:rtl w:val="true"/>
        </w:rPr>
        <w:footnoteReference w:id="923"/>
      </w:r>
    </w:p>
    <w:p>
      <w:pPr>
        <w:pStyle w:val="Heading4"/>
        <w:numPr>
          <w:ilvl w:val="3"/>
          <w:numId w:val="1"/>
        </w:numPr>
        <w:rPr/>
      </w:pPr>
      <w:bookmarkStart w:id="1963" w:name="__RefHeading___Toc363936_581953129"/>
      <w:bookmarkStart w:id="1964" w:name="_Toc822"/>
      <w:bookmarkEnd w:id="1963"/>
      <w:r>
        <w:rPr>
          <w:rtl w:val="true"/>
        </w:rPr>
        <w:t>المذاهب الاربعة</w:t>
      </w:r>
      <w:bookmarkEnd w:id="1964"/>
    </w:p>
    <w:p>
      <w:pPr>
        <w:pStyle w:val="BookText"/>
        <w:rPr/>
      </w:pPr>
      <w:r>
        <w:rPr>
          <w:rFonts w:ascii="IRNazanin" w:hAnsi="IRNazanin" w:eastAsia="IRNazanin"/>
          <w:color w:val="111111"/>
          <w:sz w:val="28"/>
          <w:sz w:val="28"/>
          <w:szCs w:val="28"/>
          <w:rtl w:val="true"/>
          <w:lang w:bidi="fa-IR"/>
        </w:rPr>
        <w:t>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الطهارة من الحدث و النجاسة و الستارة شرائط لصحّة الطواف فی المشهور عن أحمد و هو قول مالک و الشافعی،وقال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من ذلک شرطاً؛لأنّ الطواف رکن للحجّ فلم یشترط له الطهارة کالوقوف</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ماروی ابن‌عبّاس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صلاة،إلاّ أنّکم تتکلّمون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الترمذی؛ولأنّها عبادة متعلّقة بالبیت فکانت الطهارة فیها شرطاً کالصلاة</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وقال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طهارة الثوب و البدن و المکان من الخبث فسنّة مؤکّدة حتّی لو طاف وعلیه ثوب کلّه نجس،فلا جزاء علیه و إنّما ترک السنّة علی الصحیح </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أبوبکر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الطهارة عن الحدث و الجنابة و الحیض و النفاس</w:t>
      </w:r>
      <w:bookmarkStart w:id="1965" w:name="pg5240_59520"/>
    </w:p>
    <w:p>
      <w:pPr>
        <w:pStyle w:val="BookText"/>
        <w:rPr/>
      </w:pPr>
      <w:bookmarkEnd w:id="1965"/>
      <w:r>
        <w:rPr>
          <w:rFonts w:ascii="IRNazanin" w:hAnsi="IRNazanin" w:eastAsia="IRNazanin"/>
          <w:color w:val="111111"/>
          <w:sz w:val="28"/>
          <w:sz w:val="28"/>
          <w:szCs w:val="28"/>
          <w:rtl w:val="true"/>
          <w:lang w:bidi="fa-IR"/>
        </w:rPr>
        <w:t>فلیست بشرط،لجواز الطواف ولیست بفرض عندنا،حتّی یجوز الطواف بدونها وعند الشافعی فرض لا یصحّ الطواف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لا جواز لها بدون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الطواف لایصحّ بدون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لْیَطَّوَّفُوا بِالْبَیْتِ الْعَتِیقِ </w:t>
      </w:r>
      <w:r>
        <w:rPr>
          <w:rStyle w:val="FootnoteAnchor"/>
          <w:rtl w:val="true"/>
        </w:rPr>
        <w:footnoteReference w:id="926"/>
      </w:r>
      <w:r>
        <w:rPr>
          <w:rFonts w:ascii="IRNazanin" w:hAnsi="IRNazanin" w:eastAsia="IRNazanin"/>
          <w:color w:val="111111"/>
          <w:sz w:val="28"/>
          <w:sz w:val="28"/>
          <w:szCs w:val="28"/>
          <w:rtl w:val="true"/>
          <w:lang w:bidi="fa-IR"/>
        </w:rPr>
        <w:t>أمر بالطواف مطلقاً،ولا یجوز تقیید مطلق الکتاب بالخبر الواحد فیحمل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التشبیه بالثواب</w:t>
      </w:r>
      <w:r>
        <w:rPr>
          <w:rFonts w:eastAsia="IRNazanin" w:cs="IRNazanin"/>
          <w:color w:val="111111"/>
          <w:sz w:val="28"/>
          <w:szCs w:val="28"/>
          <w:rtl w:val="true"/>
          <w:lang w:bidi="fa-IR"/>
        </w:rPr>
        <w:t xml:space="preserve">. </w:t>
      </w:r>
      <w:r>
        <w:rPr>
          <w:rStyle w:val="FootnoteAnchor"/>
          <w:rtl w:val="true"/>
        </w:rPr>
        <w:footnoteReference w:id="927"/>
      </w:r>
    </w:p>
    <w:p>
      <w:pPr>
        <w:pStyle w:val="Heading4"/>
        <w:numPr>
          <w:ilvl w:val="3"/>
          <w:numId w:val="1"/>
        </w:numPr>
        <w:rPr/>
      </w:pPr>
      <w:bookmarkStart w:id="1966" w:name="__RefHeading___Toc363938_581953129"/>
      <w:bookmarkStart w:id="1967" w:name="_Toc823"/>
      <w:bookmarkEnd w:id="1966"/>
      <w:r>
        <w:rPr>
          <w:rtl w:val="true"/>
        </w:rPr>
        <w:t>منشأ الاختلاف</w:t>
      </w:r>
      <w:bookmarkEnd w:id="1967"/>
    </w:p>
    <w:p>
      <w:pPr>
        <w:pStyle w:val="BookText"/>
        <w:rPr/>
      </w:pPr>
      <w:r>
        <w:rPr>
          <w:rFonts w:ascii="IRNazanin" w:hAnsi="IRNazanin" w:eastAsia="IRNazanin"/>
          <w:color w:val="111111"/>
          <w:sz w:val="28"/>
          <w:sz w:val="28"/>
          <w:szCs w:val="28"/>
          <w:rtl w:val="true"/>
          <w:lang w:bidi="fa-IR"/>
        </w:rPr>
        <w:t>تبین لنا أنّه یشترط فی الطواف،الطهارة من الحدث و الخبث ولا خلاف فیه إلاّ عن الحنفی فی ذهابه إلی عدم الإشتراط قیاساً بالوقوف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فالإشتراط یستند إلی النصّ وعدم الإشتراط یستند إلی إطلاق الطواف</w:t>
      </w:r>
      <w:r>
        <w:rPr>
          <w:rFonts w:eastAsia="IRNazanin" w:cs="IRNazanin"/>
          <w:color w:val="111111"/>
          <w:sz w:val="28"/>
          <w:szCs w:val="28"/>
          <w:rtl w:val="true"/>
          <w:lang w:bidi="fa-IR"/>
        </w:rPr>
        <w:t>.</w:t>
      </w:r>
    </w:p>
    <w:p>
      <w:pPr>
        <w:pStyle w:val="Heading3"/>
        <w:numPr>
          <w:ilvl w:val="2"/>
          <w:numId w:val="1"/>
        </w:numPr>
        <w:rPr/>
      </w:pPr>
      <w:bookmarkStart w:id="1968" w:name="__RefHeading___Toc363940_581953129"/>
      <w:bookmarkStart w:id="1969" w:name="_Toc824"/>
      <w:bookmarkEnd w:id="1968"/>
      <w:r>
        <w:rPr>
          <w:rtl w:val="true"/>
        </w:rPr>
        <w:t>حکم الشکّ فی عدد الأشواط</w:t>
      </w:r>
      <w:bookmarkEnd w:id="1969"/>
    </w:p>
    <w:p>
      <w:pPr>
        <w:pStyle w:val="Heading4"/>
        <w:numPr>
          <w:ilvl w:val="3"/>
          <w:numId w:val="1"/>
        </w:numPr>
        <w:rPr/>
      </w:pPr>
      <w:bookmarkStart w:id="1970" w:name="__RefHeading___Toc363942_581953129"/>
      <w:bookmarkStart w:id="1971" w:name="_Toc825"/>
      <w:bookmarkEnd w:id="1970"/>
      <w:r>
        <w:rPr>
          <w:rtl w:val="true"/>
        </w:rPr>
        <w:t>المذاهب الاربعة</w:t>
      </w:r>
      <w:bookmarkEnd w:id="1971"/>
    </w:p>
    <w:p>
      <w:pPr>
        <w:pStyle w:val="BookText"/>
        <w:rPr/>
      </w:pPr>
      <w:r>
        <w:rPr>
          <w:rFonts w:ascii="IRNazanin" w:hAnsi="IRNazanin" w:eastAsia="IRNazanin"/>
          <w:color w:val="111111"/>
          <w:sz w:val="28"/>
          <w:sz w:val="28"/>
          <w:szCs w:val="28"/>
          <w:rtl w:val="true"/>
          <w:lang w:bidi="fa-IR"/>
        </w:rPr>
        <w:t xml:space="preserve">القاعدة عند الشکّ فی عدد الأشواط هی البناء علی الأقلّ أخذاً بالقدر المتیقّن </w:t>
      </w:r>
      <w:r>
        <w:rPr>
          <w:rStyle w:val="FootnoteAnchor"/>
          <w:rtl w:val="true"/>
        </w:rPr>
        <w:footnoteReference w:id="928"/>
      </w: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شکّ فی النقص بنی علی الیقین،وتمّم الأشواط السبعة</w:t>
      </w:r>
      <w:r>
        <w:rPr>
          <w:rFonts w:eastAsia="IRNazanin" w:cs="IRNazanin"/>
          <w:color w:val="111111"/>
          <w:sz w:val="28"/>
          <w:szCs w:val="28"/>
          <w:rtl w:val="true"/>
          <w:lang w:bidi="fa-IR"/>
        </w:rPr>
        <w:t xml:space="preserve">. </w:t>
      </w:r>
      <w:r>
        <w:rPr>
          <w:rStyle w:val="FootnoteAnchor"/>
          <w:rtl w:val="true"/>
        </w:rPr>
        <w:footnoteReference w:id="929"/>
      </w:r>
    </w:p>
    <w:p>
      <w:pPr>
        <w:pStyle w:val="Heading4"/>
        <w:numPr>
          <w:ilvl w:val="3"/>
          <w:numId w:val="1"/>
        </w:numPr>
        <w:rPr/>
      </w:pPr>
      <w:bookmarkStart w:id="1972" w:name="__RefHeading___Toc363944_581953129"/>
      <w:bookmarkStart w:id="1973" w:name="_Toc826"/>
      <w:bookmarkEnd w:id="1972"/>
      <w:r>
        <w:rPr>
          <w:rtl w:val="true"/>
        </w:rPr>
        <w:t>المذهب الجعفری</w:t>
      </w:r>
      <w:bookmarkEnd w:id="197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عدد الشوط بعد انصرافه لم یلتفت؛لقاعدة الفراغ،</w:t>
      </w:r>
      <w:bookmarkStart w:id="1974" w:name="pg5240_59521"/>
    </w:p>
    <w:p>
      <w:pPr>
        <w:pStyle w:val="BookText"/>
        <w:rPr/>
      </w:pPr>
      <w:bookmarkEnd w:id="1974"/>
      <w:r>
        <w:rPr>
          <w:rFonts w:ascii="IRNazanin" w:hAnsi="IRNazanin" w:eastAsia="IRNazanin"/>
          <w:color w:val="111111"/>
          <w:sz w:val="28"/>
          <w:sz w:val="28"/>
          <w:szCs w:val="28"/>
          <w:rtl w:val="true"/>
          <w:lang w:bidi="fa-IR"/>
        </w:rPr>
        <w:t>و إن کان فی أثنائه وکان شاکّاً فی الزیادة قطع ولا شیء علیه،و إن کان فی النقصان،استأنف فی الفریضة وبنی علی الأقلّ فی النافلة</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أمّا عدم اعتبار الشکّ فی الزیادة أثناء الطواف فهو علی أساس النصّ الوارد فی المقام و هو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الإمام الصادق علیه السلام عن رجل طاف بالبیت طواف الفریضة فلم یدر أسبعة طاف أو ثمانیة؟فقال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السبعة فقد استیقن،و إنّما وهمه علی الثامن فلیصلّ رکعتین</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والدلالة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هذا؛مضافاً إلی أصالة البرائة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بالإعادة فی فرض النقصان فهو أیضاً مستند إلی النصّ و هو صحیحة منصوربن حازم قال سألت الإمام الصادق علیه السلام عن رجل طاف الفریضة فلم یدرستّة طاف أم سبعة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فلیعد طوافه</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و أمّا البناء علی الأقلّ فی الشکّ فی النافلة فهو ممّا تسالم علیه الفقهاء وتدلّ علیه موثّقة حنّان‌بن سدیر عن الإمام الصادق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طواف نافلة فاستیقن ثلاثة و هو فی شکّ من الرابع أنّه طاف،فلیبن علی الثلاثة</w:t>
      </w:r>
      <w:r>
        <w:rPr>
          <w:rFonts w:eastAsia="IRNazanin" w:cs="IRNazanin"/>
          <w:color w:val="111111"/>
          <w:sz w:val="28"/>
          <w:szCs w:val="28"/>
          <w:rtl w:val="true"/>
          <w:lang w:bidi="fa-IR"/>
        </w:rPr>
        <w:t xml:space="preserve">. </w:t>
      </w:r>
      <w:r>
        <w:rPr>
          <w:rStyle w:val="FootnoteAnchor"/>
          <w:rtl w:val="true"/>
        </w:rPr>
        <w:footnoteReference w:id="933"/>
      </w:r>
    </w:p>
    <w:p>
      <w:pPr>
        <w:pStyle w:val="Heading3"/>
        <w:numPr>
          <w:ilvl w:val="2"/>
          <w:numId w:val="1"/>
        </w:numPr>
        <w:rPr/>
      </w:pPr>
      <w:bookmarkStart w:id="1975" w:name="__RefHeading___Toc363946_581953129"/>
      <w:bookmarkStart w:id="1976" w:name="_Toc827"/>
      <w:bookmarkEnd w:id="1975"/>
      <w:r>
        <w:rPr>
          <w:rtl w:val="true"/>
        </w:rPr>
        <w:t>الموالاة</w:t>
      </w:r>
      <w:bookmarkEnd w:id="1976"/>
    </w:p>
    <w:p>
      <w:pPr>
        <w:pStyle w:val="Heading4"/>
        <w:numPr>
          <w:ilvl w:val="3"/>
          <w:numId w:val="1"/>
        </w:numPr>
        <w:rPr/>
      </w:pPr>
      <w:bookmarkStart w:id="1977" w:name="__RefHeading___Toc363948_581953129"/>
      <w:bookmarkStart w:id="1978" w:name="_Toc828"/>
      <w:bookmarkEnd w:id="1977"/>
      <w:r>
        <w:rPr>
          <w:rtl w:val="true"/>
        </w:rPr>
        <w:t>اشارة</w:t>
      </w:r>
      <w:bookmarkEnd w:id="1978"/>
    </w:p>
    <w:p>
      <w:pPr>
        <w:pStyle w:val="BookText"/>
        <w:rPr/>
      </w:pPr>
      <w:r>
        <w:rPr>
          <w:rFonts w:ascii="IRNazanin" w:hAnsi="IRNazanin" w:eastAsia="IRNazanin"/>
          <w:color w:val="111111"/>
          <w:sz w:val="28"/>
          <w:sz w:val="28"/>
          <w:szCs w:val="28"/>
          <w:rtl w:val="true"/>
          <w:lang w:bidi="fa-IR"/>
        </w:rPr>
        <w:t>اختلفت الآراء بالنسبة إلی اشتراط الموالاة فی الطواف 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1979" w:name="__RefHeading___Toc363950_581953129"/>
      <w:bookmarkStart w:id="1980" w:name="_Toc829"/>
      <w:bookmarkEnd w:id="1979"/>
      <w:r>
        <w:rPr>
          <w:rtl w:val="true"/>
        </w:rPr>
        <w:t>ثلاثة من المذاهب</w:t>
      </w:r>
      <w:bookmarkEnd w:id="198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شرائط صحّة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بین الأشواط</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و هو نفس الرأی علی المذهب الشافعی و المالکی 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bookmarkStart w:id="1981" w:name="pg5240_59522"/>
    </w:p>
    <w:p>
      <w:pPr>
        <w:pStyle w:val="BookText"/>
        <w:rPr/>
      </w:pPr>
      <w:bookmarkEnd w:id="1981"/>
      <w:r>
        <w:rPr>
          <w:rFonts w:ascii="IRNazanin" w:hAnsi="IRNazanin" w:eastAsia="IRNazanin"/>
          <w:color w:val="111111"/>
          <w:sz w:val="28"/>
          <w:sz w:val="28"/>
          <w:szCs w:val="28"/>
          <w:rtl w:val="true"/>
          <w:lang w:bidi="fa-IR"/>
        </w:rPr>
        <w:t>النبی صلی الله علیه و آله وإلی بین طوافه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 صلاة فیشترط له الموالاة کسائرالصلوات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بالفصل القصیر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فی طول الفصل وقصره إلی العرف من غیر تحدید</w:t>
      </w:r>
      <w:r>
        <w:rPr>
          <w:rFonts w:eastAsia="IRNazanin" w:cs="IRNazanin"/>
          <w:color w:val="111111"/>
          <w:sz w:val="28"/>
          <w:szCs w:val="28"/>
          <w:rtl w:val="true"/>
          <w:lang w:bidi="fa-IR"/>
        </w:rPr>
        <w:t xml:space="preserve">. </w:t>
      </w:r>
      <w:r>
        <w:rPr>
          <w:rStyle w:val="FootnoteAnchor"/>
          <w:rtl w:val="true"/>
        </w:rPr>
        <w:footnoteReference w:id="935"/>
      </w:r>
    </w:p>
    <w:p>
      <w:pPr>
        <w:pStyle w:val="Heading4"/>
        <w:numPr>
          <w:ilvl w:val="3"/>
          <w:numId w:val="1"/>
        </w:numPr>
        <w:rPr/>
      </w:pPr>
      <w:bookmarkStart w:id="1982" w:name="__RefHeading___Toc363952_581953129"/>
      <w:bookmarkStart w:id="1983" w:name="_Toc830"/>
      <w:bookmarkEnd w:id="1982"/>
      <w:r>
        <w:rPr>
          <w:rtl w:val="true"/>
        </w:rPr>
        <w:t>المذهب الحنفی</w:t>
      </w:r>
      <w:bookmarkEnd w:id="1983"/>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طواف الزیارة المفروض فأکثر أشواطه 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لوترک الأکثربطل،وباقیها واجب،ولا یصدق ترک الواجب إلاّ بالخروج من مکّة،أمّا مادام فیها فهو مطالب به،والأفضل أن یوالی بین الطواف</w:t>
      </w:r>
      <w:r>
        <w:rPr>
          <w:rFonts w:eastAsia="IRNazanin" w:cs="IRNazanin"/>
          <w:color w:val="111111"/>
          <w:sz w:val="28"/>
          <w:szCs w:val="28"/>
          <w:rtl w:val="true"/>
          <w:lang w:bidi="fa-IR"/>
        </w:rPr>
        <w:t xml:space="preserve">. </w:t>
      </w:r>
      <w:r>
        <w:rPr>
          <w:rStyle w:val="FootnoteAnchor"/>
          <w:rtl w:val="true"/>
        </w:rPr>
        <w:footnoteReference w:id="936"/>
      </w:r>
    </w:p>
    <w:p>
      <w:pPr>
        <w:pStyle w:val="Heading4"/>
        <w:numPr>
          <w:ilvl w:val="3"/>
          <w:numId w:val="1"/>
        </w:numPr>
        <w:rPr/>
      </w:pPr>
      <w:bookmarkStart w:id="1984" w:name="__RefHeading___Toc363954_581953129"/>
      <w:bookmarkStart w:id="1985" w:name="_Toc831"/>
      <w:bookmarkEnd w:id="1984"/>
      <w:r>
        <w:rPr>
          <w:rtl w:val="true"/>
        </w:rPr>
        <w:t>المذهب الجعفری</w:t>
      </w:r>
      <w:bookmarkEnd w:id="1985"/>
    </w:p>
    <w:p>
      <w:pPr>
        <w:pStyle w:val="BookText"/>
        <w:rPr/>
      </w:pPr>
      <w:r>
        <w:rPr>
          <w:rFonts w:ascii="IRNazanin" w:hAnsi="IRNazanin" w:eastAsia="IRNazanin"/>
          <w:color w:val="111111"/>
          <w:sz w:val="28"/>
          <w:sz w:val="28"/>
          <w:szCs w:val="28"/>
          <w:rtl w:val="true"/>
          <w:lang w:bidi="fa-IR"/>
        </w:rPr>
        <w:t>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الأصحاب هنا و النصوص وجوب الموالاة فی الطواف الواجب فی غیر المواضع الّتی عرفت</w:t>
      </w:r>
      <w:r>
        <w:rPr>
          <w:rFonts w:eastAsia="IRNazanin" w:cs="IRNazanin"/>
          <w:color w:val="111111"/>
          <w:sz w:val="28"/>
          <w:szCs w:val="28"/>
          <w:rtl w:val="true"/>
          <w:lang w:bidi="fa-IR"/>
        </w:rPr>
        <w:t xml:space="preserve">. </w:t>
      </w:r>
      <w:r>
        <w:rPr>
          <w:rStyle w:val="FootnoteAnchor"/>
          <w:rtl w:val="true"/>
        </w:rPr>
        <w:footnoteReference w:id="937"/>
      </w:r>
      <w:r>
        <w:rPr>
          <w:rFonts w:ascii="Amiri" w:hAnsi="Amiri" w:eastAsia="Amiri" w:cs="Amiri"/>
          <w:color w:val="111111"/>
          <w:sz w:val="28"/>
          <w:sz w:val="28"/>
          <w:szCs w:val="28"/>
          <w:rtl w:val="true"/>
          <w:lang w:bidi="ar-SA"/>
        </w:rPr>
        <w:t>من حلول وقت الصلاة و المرض،والحدث</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نقص من طوافه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لمرض أو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جاوز النصف رجع بعدالقطع فأتمّ،و إن‌کان دون‌ذلک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أی‌أقلّ من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ذلک؛للنصوص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أبان‌بن تغلب،عن الإمام الصادق علیه السلام فی رجل طاف شوطاً أو شوطین ثمّ خرج مع رجل فی حاجة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طواف نافلة بنی علیه و إن کان طواف فریضة لم یبن</w:t>
      </w:r>
      <w:r>
        <w:rPr>
          <w:rFonts w:eastAsia="IRNazanin" w:cs="IRNazanin"/>
          <w:color w:val="111111"/>
          <w:sz w:val="28"/>
          <w:szCs w:val="28"/>
          <w:rtl w:val="true"/>
          <w:lang w:bidi="fa-IR"/>
        </w:rPr>
        <w:t xml:space="preserve">». </w:t>
      </w:r>
      <w:r>
        <w:rPr>
          <w:rStyle w:val="FootnoteAnchor"/>
          <w:rtl w:val="true"/>
        </w:rPr>
        <w:footnoteReference w:id="939"/>
      </w:r>
      <w:bookmarkStart w:id="1986" w:name="pg5240_59523"/>
    </w:p>
    <w:p>
      <w:pPr>
        <w:pStyle w:val="BookText"/>
        <w:rPr/>
      </w:pPr>
      <w:bookmarkEnd w:id="1986"/>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إسحق‌بن عمّار عن الإمام الکاظم علیه السلام المروی فی الکافی فی رجل طاف طواف الفریضة ثمّ اعتلّ علّة لایقدر معها علی إتمام الطواف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طاف أربعة أشواط أمر من یطوف عنه ثلاثة أشواط و قد تمّ طوافه،و إن کان قد طاف ثلاثة أشواط ولا یقدر علی الطواف فإنّ هذا ممّا غلب الله تعالی علیه فلا بأس أن یؤخّر الطواف یوماً أو یومین،فإن خلّته العلة عاد فطاف اسبوعاً،و إن طالت علّته أمر من یطوف علیه اسبوعاً</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دلّت هاتان الروایتان علی وجوب الموالاة فی طواف الفریضة و أمّا إذا قطع الطواف لعذر ولم تتحقق الموالاة،إذاً یدور الحکم مدار اجتیاز النصف وعدمه إتماماً واستئنافاً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لک ممّا ذکرناه أنّ المدار فی إتمام الطواف واستئنافه مع القطع لعذر،مجاوزة النصف وعدمه</w:t>
      </w:r>
      <w:r>
        <w:rPr>
          <w:rFonts w:eastAsia="IRNazanin" w:cs="IRNazanin"/>
          <w:color w:val="111111"/>
          <w:sz w:val="28"/>
          <w:szCs w:val="28"/>
          <w:rtl w:val="true"/>
          <w:lang w:bidi="fa-IR"/>
        </w:rPr>
        <w:t xml:space="preserve">. </w:t>
      </w:r>
      <w:r>
        <w:rPr>
          <w:rStyle w:val="FootnoteAnchor"/>
          <w:rtl w:val="true"/>
        </w:rPr>
        <w:footnoteReference w:id="941"/>
      </w:r>
    </w:p>
    <w:p>
      <w:pPr>
        <w:pStyle w:val="Heading4"/>
        <w:numPr>
          <w:ilvl w:val="3"/>
          <w:numId w:val="1"/>
        </w:numPr>
        <w:rPr/>
      </w:pPr>
      <w:bookmarkStart w:id="1987" w:name="__RefHeading___Toc363956_581953129"/>
      <w:bookmarkStart w:id="1988" w:name="_Toc832"/>
      <w:bookmarkEnd w:id="1987"/>
      <w:r>
        <w:rPr>
          <w:rtl w:val="true"/>
        </w:rPr>
        <w:t>منشأ الاختلاف</w:t>
      </w:r>
      <w:bookmarkEnd w:id="1988"/>
    </w:p>
    <w:p>
      <w:pPr>
        <w:pStyle w:val="BookText"/>
        <w:rPr/>
      </w:pPr>
      <w:r>
        <w:rPr>
          <w:rFonts w:ascii="IRNazanin" w:hAnsi="IRNazanin" w:eastAsia="IRNazanin"/>
          <w:color w:val="111111"/>
          <w:sz w:val="28"/>
          <w:sz w:val="28"/>
          <w:szCs w:val="28"/>
          <w:rtl w:val="true"/>
          <w:lang w:bidi="fa-IR"/>
        </w:rPr>
        <w:t>تبین لنا أنّ الاختلاف فی حکم الشکّ بالنسبة إلی عدد الأشواط ناشئ من ورود النصّ وعدمه،و قد مرّ بنا أنّه ورد النصّ من طریق آل‌البیت علیهم السلام بالنسبة إلی تعیین الوظیفة تجاه الشکّ فی عدد الأشواط و هو المدرک الوحید للحکم علی 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 وجود نصّ من طریق الصحابة یفسح المجال للاجتهاد،وعلیه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الوظیفة عند الشکّ فی عدد الأشواط هو الأخذ بالأقلّ أخذاً بالقدر المتیقّن وعملاً بالاحتیاط علی المذاهب الأربعة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الموالاة فقد مرّ بنا أنّها ثابتة بالنصّ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فیها إلاّ عن الحنفی فی ذهابه إلی أنّ الأفضل أن یوالی بین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أنّ التفرّد فی</w:t>
      </w:r>
      <w:bookmarkStart w:id="1989" w:name="pg5240_59524"/>
    </w:p>
    <w:p>
      <w:pPr>
        <w:pStyle w:val="BookText"/>
        <w:rPr/>
      </w:pPr>
      <w:bookmarkEnd w:id="1989"/>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وجوب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 عن الاجتهاد الخاصّ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یسهّل الخطب أنّ الحجّاج الحنفیین لایترکون ما هو الأفضل و هو الموالاة؛أضف إلی ذلک أنّه لامجال للقطع و الفصل بین الإشواط فی زماننا المعاصر بسبب شدّة الزحام وعلیه فلا إختلاف بالنسبة إلی الموالاة من ناحیة عملیة</w:t>
      </w:r>
      <w:r>
        <w:rPr>
          <w:rFonts w:eastAsia="IRNazanin" w:cs="IRNazanin"/>
          <w:color w:val="111111"/>
          <w:sz w:val="28"/>
          <w:szCs w:val="28"/>
          <w:rtl w:val="true"/>
          <w:lang w:bidi="fa-IR"/>
        </w:rPr>
        <w:t>.</w:t>
      </w:r>
    </w:p>
    <w:p>
      <w:pPr>
        <w:pStyle w:val="Heading3"/>
        <w:numPr>
          <w:ilvl w:val="2"/>
          <w:numId w:val="1"/>
        </w:numPr>
        <w:rPr/>
      </w:pPr>
      <w:bookmarkStart w:id="1990" w:name="__RefHeading___Toc363958_581953129"/>
      <w:bookmarkStart w:id="1991" w:name="_Toc833"/>
      <w:bookmarkEnd w:id="1990"/>
      <w:r>
        <w:rPr>
          <w:rtl w:val="true"/>
        </w:rPr>
        <w:t>السعی</w:t>
      </w:r>
      <w:bookmarkEnd w:id="1991"/>
    </w:p>
    <w:p>
      <w:pPr>
        <w:pStyle w:val="Heading3"/>
        <w:numPr>
          <w:ilvl w:val="2"/>
          <w:numId w:val="1"/>
        </w:numPr>
        <w:rPr/>
      </w:pPr>
      <w:bookmarkStart w:id="1992" w:name="__RefHeading___Toc363960_581953129"/>
      <w:bookmarkStart w:id="1993" w:name="_Toc834"/>
      <w:bookmarkEnd w:id="1992"/>
      <w:r>
        <w:rPr>
          <w:rtl w:val="true"/>
        </w:rPr>
        <w:t>رکنیة السعی</w:t>
      </w:r>
      <w:bookmarkEnd w:id="1993"/>
    </w:p>
    <w:p>
      <w:pPr>
        <w:pStyle w:val="Heading4"/>
        <w:numPr>
          <w:ilvl w:val="3"/>
          <w:numId w:val="1"/>
        </w:numPr>
        <w:rPr/>
      </w:pPr>
      <w:bookmarkStart w:id="1994" w:name="__RefHeading___Toc363962_581953129"/>
      <w:bookmarkStart w:id="1995" w:name="_Toc835"/>
      <w:bookmarkEnd w:id="1994"/>
      <w:r>
        <w:rPr>
          <w:rtl w:val="true"/>
        </w:rPr>
        <w:t>اشارة</w:t>
      </w:r>
      <w:bookmarkEnd w:id="1995"/>
    </w:p>
    <w:p>
      <w:pPr>
        <w:pStyle w:val="BookText"/>
        <w:rPr/>
      </w:pPr>
      <w:r>
        <w:rPr>
          <w:rFonts w:ascii="IRNazanin" w:hAnsi="IRNazanin" w:eastAsia="IRNazanin"/>
          <w:color w:val="111111"/>
          <w:sz w:val="28"/>
          <w:sz w:val="28"/>
          <w:szCs w:val="28"/>
          <w:rtl w:val="true"/>
          <w:lang w:bidi="fa-IR"/>
        </w:rPr>
        <w:t>اختلفت الآراء بالنسبة إلی کون السعی رکناً للحجّ وعدمه،وتفصیل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1996" w:name="__RefHeading___Toc363964_581953129"/>
      <w:bookmarkStart w:id="1997" w:name="_Toc836"/>
      <w:bookmarkEnd w:id="1996"/>
      <w:r>
        <w:rPr>
          <w:rtl w:val="true"/>
        </w:rPr>
        <w:t>المذهب الجعفری</w:t>
      </w:r>
      <w:bookmarkEnd w:id="1997"/>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رکن من ترکه عامداً بطل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ناسیاً وجب علیه الاتیان به</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السعی رکن للحجّ بلا خلاف أجده فیه بیننا،بل الإجماع بقسمیه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والنصوص 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معاویة‌بن عمّار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السعی متعمّداً فعلیه الحجّ من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مضافاً إلی قاعدة عدم الإتیان بالمأمور به علی وجهه</w:t>
      </w:r>
      <w:r>
        <w:rPr>
          <w:rFonts w:eastAsia="IRNazanin" w:cs="IRNazanin"/>
          <w:color w:val="111111"/>
          <w:sz w:val="28"/>
          <w:szCs w:val="28"/>
          <w:rtl w:val="true"/>
          <w:lang w:bidi="fa-IR"/>
        </w:rPr>
        <w:t xml:space="preserve">. </w:t>
      </w:r>
      <w:r>
        <w:rPr>
          <w:rStyle w:val="FootnoteAnchor"/>
          <w:rtl w:val="true"/>
        </w:rPr>
        <w:footnoteReference w:id="94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هو الرأی علی المذهب الحنبلی و الشافعی و المالکی و قد ورد النصّ الدالّ علی ذلک من طریق الصحابة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مسلم أنّه‌ما أتمّ الله حجّ من لم یطف بین الصفا و المروة</w:t>
      </w:r>
      <w:r>
        <w:rPr>
          <w:rFonts w:eastAsia="IRNazanin" w:cs="IRNazanin"/>
          <w:color w:val="111111"/>
          <w:sz w:val="28"/>
          <w:szCs w:val="28"/>
          <w:rtl w:val="true"/>
          <w:lang w:bidi="fa-IR"/>
        </w:rPr>
        <w:t xml:space="preserve">. </w:t>
      </w:r>
      <w:r>
        <w:rPr>
          <w:rStyle w:val="FootnoteAnchor"/>
          <w:rtl w:val="true"/>
        </w:rPr>
        <w:footnoteReference w:id="945"/>
      </w:r>
      <w:bookmarkStart w:id="1998" w:name="pg5240_59525"/>
    </w:p>
    <w:p>
      <w:pPr>
        <w:pStyle w:val="BookText"/>
        <w:rPr/>
      </w:pPr>
      <w:bookmarkEnd w:id="1998"/>
      <w:r>
        <w:rPr>
          <w:rFonts w:ascii="IRNazanin" w:hAnsi="IRNazanin" w:eastAsia="IRNazanin"/>
          <w:color w:val="111111"/>
          <w:sz w:val="28"/>
          <w:sz w:val="28"/>
          <w:szCs w:val="28"/>
          <w:rtl w:val="true"/>
          <w:lang w:bidi="fa-IR"/>
        </w:rPr>
        <w:t>واحتج الشافعی بما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السعی بین‌الصفاوالمروة أی فرض علیکم،کما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 </w:t>
      </w:r>
      <w:r>
        <w:rPr>
          <w:rStyle w:val="FootnoteAnchor"/>
          <w:rtl w:val="true"/>
        </w:rPr>
        <w:footnoteReference w:id="946"/>
      </w:r>
    </w:p>
    <w:p>
      <w:pPr>
        <w:pStyle w:val="Heading4"/>
        <w:numPr>
          <w:ilvl w:val="3"/>
          <w:numId w:val="1"/>
        </w:numPr>
        <w:rPr/>
      </w:pPr>
      <w:bookmarkStart w:id="1999" w:name="__RefHeading___Toc363966_581953129"/>
      <w:bookmarkStart w:id="2000" w:name="_Toc837"/>
      <w:bookmarkEnd w:id="1999"/>
      <w:r>
        <w:rPr>
          <w:rtl w:val="true"/>
        </w:rPr>
        <w:t>المذهب الحنفی</w:t>
      </w:r>
      <w:bookmarkEnd w:id="2000"/>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ولیس برکن إذا ترکه وجب علیه دم</w:t>
      </w:r>
      <w:r>
        <w:rPr>
          <w:rFonts w:eastAsia="IRNazanin" w:cs="IRNazanin"/>
          <w:color w:val="111111"/>
          <w:sz w:val="28"/>
          <w:szCs w:val="28"/>
          <w:rtl w:val="true"/>
          <w:lang w:bidi="fa-IR"/>
        </w:rPr>
        <w:t xml:space="preserve">. </w:t>
      </w:r>
      <w:r>
        <w:rPr>
          <w:rStyle w:val="FootnoteAnchor"/>
          <w:rtl w:val="true"/>
        </w:rPr>
        <w:footnoteReference w:id="947"/>
      </w:r>
      <w:r>
        <w:rPr>
          <w:rFonts w:ascii="Amiri" w:hAnsi="Amiri" w:eastAsia="Amiri" w:cs="Amiri"/>
          <w:color w:val="111111"/>
          <w:sz w:val="28"/>
          <w:sz w:val="28"/>
          <w:szCs w:val="28"/>
          <w:rtl w:val="true"/>
          <w:lang w:bidi="ar-SA"/>
        </w:rPr>
        <w:t>قال الکاشانی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أمّاالسعی فقد 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برکن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البیت هو طواف الزیارة و هو الرکن لاغیر إلاّ انّه زید علیه الوقوف بعرفة بدلیل</w:t>
      </w:r>
      <w:r>
        <w:rPr>
          <w:rFonts w:eastAsia="Amiri" w:cs="Amiri" w:ascii="Amiri" w:hAnsi="Amiri"/>
          <w:color w:val="111111"/>
          <w:sz w:val="28"/>
          <w:szCs w:val="28"/>
          <w:rtl w:val="true"/>
          <w:lang w:bidi="ar-SA"/>
        </w:rPr>
        <w:t xml:space="preserve">. </w:t>
      </w:r>
      <w:r>
        <w:rPr>
          <w:rStyle w:val="FootnoteAnchor"/>
          <w:rtl w:val="true"/>
        </w:rPr>
        <w:footnoteReference w:id="94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الحجّ شیئان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بعرفة؛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الزیارة</w:t>
      </w:r>
      <w:r>
        <w:rPr>
          <w:rFonts w:eastAsia="IRNazanin" w:cs="IRNazanin"/>
          <w:color w:val="111111"/>
          <w:sz w:val="28"/>
          <w:szCs w:val="28"/>
          <w:rtl w:val="true"/>
          <w:lang w:bidi="fa-IR"/>
        </w:rPr>
        <w:t xml:space="preserve">. </w:t>
      </w:r>
      <w:r>
        <w:rPr>
          <w:rStyle w:val="FootnoteAnchor"/>
          <w:rtl w:val="true"/>
        </w:rPr>
        <w:footnoteReference w:id="949"/>
      </w:r>
    </w:p>
    <w:p>
      <w:pPr>
        <w:pStyle w:val="Heading3"/>
        <w:numPr>
          <w:ilvl w:val="2"/>
          <w:numId w:val="1"/>
        </w:numPr>
        <w:rPr/>
      </w:pPr>
      <w:bookmarkStart w:id="2001" w:name="__RefHeading___Toc363968_581953129"/>
      <w:bookmarkStart w:id="2002" w:name="_Toc838"/>
      <w:bookmarkEnd w:id="2001"/>
      <w:r>
        <w:rPr>
          <w:rtl w:val="true"/>
        </w:rPr>
        <w:t>حکم الشکّ فی عدد السعی بین الصفا و المروة</w:t>
      </w:r>
      <w:bookmarkEnd w:id="2002"/>
    </w:p>
    <w:p>
      <w:pPr>
        <w:pStyle w:val="Heading4"/>
        <w:numPr>
          <w:ilvl w:val="3"/>
          <w:numId w:val="1"/>
        </w:numPr>
        <w:rPr/>
      </w:pPr>
      <w:bookmarkStart w:id="2003" w:name="__RefHeading___Toc363970_581953129"/>
      <w:bookmarkStart w:id="2004" w:name="_Toc839"/>
      <w:bookmarkEnd w:id="2003"/>
      <w:r>
        <w:rPr>
          <w:rtl w:val="true"/>
        </w:rPr>
        <w:t>اشارة</w:t>
      </w:r>
      <w:bookmarkEnd w:id="2004"/>
    </w:p>
    <w:p>
      <w:pPr>
        <w:pStyle w:val="BookText"/>
        <w:rPr/>
      </w:pPr>
      <w:r>
        <w:rPr>
          <w:rFonts w:ascii="IRNazanin" w:hAnsi="IRNazanin" w:eastAsia="IRNazanin"/>
          <w:color w:val="111111"/>
          <w:sz w:val="28"/>
          <w:sz w:val="28"/>
          <w:szCs w:val="28"/>
          <w:rtl w:val="true"/>
          <w:lang w:bidi="fa-IR"/>
        </w:rPr>
        <w:t>إنّ الاختلاف هنا هو نفس الاختلاف‌الّذی مرّ بنا فی حکم الشکّ فی عدد الأشواط فنکتفی بالإشارة إلیه بما یلی</w:t>
      </w:r>
      <w:r>
        <w:rPr>
          <w:rFonts w:eastAsia="IRNazanin" w:cs="IRNazanin"/>
          <w:color w:val="111111"/>
          <w:sz w:val="28"/>
          <w:szCs w:val="28"/>
          <w:rtl w:val="true"/>
          <w:lang w:bidi="fa-IR"/>
        </w:rPr>
        <w:t>:</w:t>
      </w:r>
    </w:p>
    <w:p>
      <w:pPr>
        <w:pStyle w:val="Heading4"/>
        <w:numPr>
          <w:ilvl w:val="3"/>
          <w:numId w:val="1"/>
        </w:numPr>
        <w:rPr/>
      </w:pPr>
      <w:bookmarkStart w:id="2005" w:name="__RefHeading___Toc363972_581953129"/>
      <w:bookmarkStart w:id="2006" w:name="_Toc840"/>
      <w:bookmarkEnd w:id="2005"/>
      <w:r>
        <w:rPr>
          <w:rtl w:val="true"/>
        </w:rPr>
        <w:t>المذاهب الاربعة</w:t>
      </w:r>
      <w:bookmarkEnd w:id="200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حدث الشکّ فی عدد السعی یبنی علی الأقلّ أخذاً بالقدر المتیقّن،کما 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العدد بنی علی الأقلّ لأنّه هو المتیقّن</w:t>
      </w:r>
      <w:r>
        <w:rPr>
          <w:rFonts w:eastAsia="IRNazanin" w:cs="IRNazanin"/>
          <w:color w:val="111111"/>
          <w:sz w:val="28"/>
          <w:szCs w:val="28"/>
          <w:rtl w:val="true"/>
          <w:lang w:bidi="fa-IR"/>
        </w:rPr>
        <w:t xml:space="preserve">. </w:t>
      </w:r>
      <w:r>
        <w:rPr>
          <w:rStyle w:val="FootnoteAnchor"/>
          <w:rtl w:val="true"/>
        </w:rPr>
        <w:footnoteReference w:id="950"/>
      </w:r>
      <w:bookmarkStart w:id="2007" w:name="pg5240_59526"/>
    </w:p>
    <w:p>
      <w:pPr>
        <w:pStyle w:val="Heading4"/>
        <w:numPr>
          <w:ilvl w:val="3"/>
          <w:numId w:val="1"/>
        </w:numPr>
        <w:rPr/>
      </w:pPr>
      <w:bookmarkStart w:id="2008" w:name="__RefHeading___Toc363974_581953129"/>
      <w:bookmarkStart w:id="2009" w:name="_Toc841"/>
      <w:bookmarkEnd w:id="2007"/>
      <w:bookmarkEnd w:id="2008"/>
      <w:r>
        <w:rPr>
          <w:rtl w:val="true"/>
        </w:rPr>
        <w:t>المذهب الجعفری</w:t>
      </w:r>
      <w:bookmarkEnd w:id="2009"/>
    </w:p>
    <w:p>
      <w:pPr>
        <w:pStyle w:val="BookText"/>
        <w:rPr/>
      </w:pPr>
      <w:r>
        <w:rPr>
          <w:rFonts w:ascii="IRNazanin" w:hAnsi="IRNazanin" w:eastAsia="IRNazanin"/>
          <w:color w:val="111111"/>
          <w:sz w:val="28"/>
          <w:sz w:val="28"/>
          <w:szCs w:val="28"/>
          <w:rtl w:val="true"/>
          <w:lang w:bidi="fa-IR"/>
        </w:rPr>
        <w:t>إذا حدث الشکّ فی عدد السعی فإن کان بعد الإتمام یبنی علی الصحّة علی أساس قاعدة الفراغ،و أمّا إذا کان الشکّ فی الأثناء فإن کان الشکّ فی الزیادة،یقطع الزیادة المتوهّمة ویبنی علی الصحّة،کما 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لوتیقّن أنّه أتمّ سبعة ولکن شکّ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بالصحّة،لأصالة عدم الزیادة وعدم إفسادها سهواً</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کان الشکّ فی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یتیقّن علی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لاخلاف ولا إشکال فی البطلان؛لتردّده بین محذوری الزیادة و النقیصة اللّتین کلّ منهما مبطل،وأصالة الشغل المحتاجة إلی یقین الفراغ الّذی لا دلیل علی حصوله بالاعتماد علی أصالة الأقلّ،بل الدلیل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ورد فی صحیحة سعیدبن یسارعن الإمام الصادق علیه السلام فی رجل اشتبه فی عدد الأشواط،قال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حفظ أنّه سعی ستّة أشواط فلیعد فلیبتدئ السعی حتّی یکمل سبعة أشواط</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فإنّ ذیله کالصریح فی ذلک</w:t>
      </w:r>
      <w:r>
        <w:rPr>
          <w:rFonts w:eastAsia="IRNazanin" w:cs="IRNazanin"/>
          <w:color w:val="111111"/>
          <w:sz w:val="28"/>
          <w:szCs w:val="28"/>
          <w:rtl w:val="true"/>
          <w:lang w:bidi="fa-IR"/>
        </w:rPr>
        <w:t xml:space="preserve">. </w:t>
      </w:r>
      <w:r>
        <w:rPr>
          <w:rStyle w:val="FootnoteAnchor"/>
          <w:rtl w:val="true"/>
        </w:rPr>
        <w:footnoteReference w:id="953"/>
      </w:r>
    </w:p>
    <w:p>
      <w:pPr>
        <w:pStyle w:val="Heading4"/>
        <w:numPr>
          <w:ilvl w:val="3"/>
          <w:numId w:val="1"/>
        </w:numPr>
        <w:rPr/>
      </w:pPr>
      <w:bookmarkStart w:id="2010" w:name="__RefHeading___Toc363976_581953129"/>
      <w:bookmarkStart w:id="2011" w:name="_Toc842"/>
      <w:bookmarkEnd w:id="2010"/>
      <w:r>
        <w:rPr>
          <w:rtl w:val="true"/>
        </w:rPr>
        <w:t>منشأ الاختلاف</w:t>
      </w:r>
      <w:bookmarkEnd w:id="201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أنّ الاختلاف فی رکنیة السعی ناشئ عن الاختلاف فی الاستنباط من النصوص،فبما أنّه ورد نصّ عن طریق آل‌البیت علیهم السلام و الصحابة دالّ علی عدم تحقّق الحجّ بدون السعی،ثبت أنّ السعی ممّا لا یتمّ الحجّ إلاّ به و هو معنی الرکنیة علی المذاهب کلّها إلاّ 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ذهابه إلی عدم رکنیة السعی مکتفیاً بوجوبه،ذلک؛لعدم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الاختلاف فی حکم</w:t>
      </w:r>
      <w:bookmarkStart w:id="2012" w:name="pg5240_59527"/>
    </w:p>
    <w:p>
      <w:pPr>
        <w:pStyle w:val="BookText"/>
        <w:rPr/>
      </w:pPr>
      <w:bookmarkEnd w:id="2012"/>
      <w:r>
        <w:rPr>
          <w:rFonts w:ascii="IRNazanin" w:hAnsi="IRNazanin" w:eastAsia="IRNazanin"/>
          <w:color w:val="111111"/>
          <w:sz w:val="28"/>
          <w:sz w:val="28"/>
          <w:szCs w:val="28"/>
          <w:rtl w:val="true"/>
          <w:lang w:bidi="fa-IR"/>
        </w:rPr>
        <w:t>الشکّ فی عدد السعی فهو نفس الاختلاف بین المذهب الجعفری و المذاهب الأربعة،ناشئاً ومنشئاً</w:t>
      </w:r>
      <w:r>
        <w:rPr>
          <w:rFonts w:eastAsia="IRNazanin" w:cs="IRNazanin"/>
          <w:color w:val="111111"/>
          <w:sz w:val="28"/>
          <w:szCs w:val="28"/>
          <w:rtl w:val="true"/>
          <w:lang w:bidi="fa-IR"/>
        </w:rPr>
        <w:t>.</w:t>
      </w:r>
    </w:p>
    <w:p>
      <w:pPr>
        <w:pStyle w:val="Heading3"/>
        <w:numPr>
          <w:ilvl w:val="2"/>
          <w:numId w:val="1"/>
        </w:numPr>
        <w:rPr/>
      </w:pPr>
      <w:bookmarkStart w:id="2013" w:name="__RefHeading___Toc363978_581953129"/>
      <w:bookmarkStart w:id="2014" w:name="_Toc843"/>
      <w:bookmarkEnd w:id="2013"/>
      <w:r>
        <w:rPr>
          <w:rtl w:val="true"/>
        </w:rPr>
        <w:t>حول التخییر بین الحلق و التقصیر فی العمرة المتمتّع بها</w:t>
      </w:r>
      <w:bookmarkEnd w:id="2014"/>
    </w:p>
    <w:p>
      <w:pPr>
        <w:pStyle w:val="Heading4"/>
        <w:numPr>
          <w:ilvl w:val="3"/>
          <w:numId w:val="1"/>
        </w:numPr>
        <w:rPr/>
      </w:pPr>
      <w:bookmarkStart w:id="2015" w:name="__RefHeading___Toc363980_581953129"/>
      <w:bookmarkStart w:id="2016" w:name="_Toc844"/>
      <w:bookmarkEnd w:id="2015"/>
      <w:r>
        <w:rPr>
          <w:rtl w:val="true"/>
        </w:rPr>
        <w:t>اشارة</w:t>
      </w:r>
      <w:bookmarkEnd w:id="2016"/>
    </w:p>
    <w:p>
      <w:pPr>
        <w:pStyle w:val="BookText"/>
        <w:rPr/>
      </w:pPr>
      <w:r>
        <w:rPr>
          <w:rFonts w:ascii="IRNazanin" w:hAnsi="IRNazanin" w:eastAsia="IRNazanin"/>
          <w:color w:val="111111"/>
          <w:sz w:val="28"/>
          <w:sz w:val="28"/>
          <w:szCs w:val="28"/>
          <w:rtl w:val="true"/>
          <w:lang w:bidi="fa-IR"/>
        </w:rPr>
        <w:t>اختلفت الآراء بالنسبة‌إلی تعیین التقصیر بعدعمرة التمتع وعدمه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017" w:name="__RefHeading___Toc363982_581953129"/>
      <w:bookmarkStart w:id="2018" w:name="_Toc845"/>
      <w:bookmarkEnd w:id="2017"/>
      <w:r>
        <w:rPr>
          <w:rtl w:val="true"/>
        </w:rPr>
        <w:t>المذهب الجعفری</w:t>
      </w:r>
      <w:bookmarkEnd w:id="2018"/>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عمرة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التقصیر،ولا یجوز حلق الرأس ولو حلقه لزمه دم</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ذلک؛للنصوص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ابن عمّار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المتعة إلاّ التقصیر</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والحکم متسالم علیه</w:t>
      </w:r>
      <w:r>
        <w:rPr>
          <w:rFonts w:eastAsia="IRNazanin" w:cs="IRNazanin"/>
          <w:color w:val="111111"/>
          <w:sz w:val="28"/>
          <w:szCs w:val="28"/>
          <w:rtl w:val="true"/>
          <w:lang w:bidi="fa-IR"/>
        </w:rPr>
        <w:t>.</w:t>
      </w:r>
    </w:p>
    <w:p>
      <w:pPr>
        <w:pStyle w:val="Heading4"/>
        <w:numPr>
          <w:ilvl w:val="3"/>
          <w:numId w:val="1"/>
        </w:numPr>
        <w:rPr/>
      </w:pPr>
      <w:bookmarkStart w:id="2019" w:name="__RefHeading___Toc363984_581953129"/>
      <w:bookmarkStart w:id="2020" w:name="_Toc846"/>
      <w:bookmarkEnd w:id="2019"/>
      <w:r>
        <w:rPr>
          <w:rtl w:val="true"/>
        </w:rPr>
        <w:t>المذاهب الاربعة</w:t>
      </w:r>
      <w:bookmarkEnd w:id="2020"/>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 الّذی أحرم بالعمرة من المیقات فإذا فرغ من أفعالها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و السعی قصّر أو حلق،لما روی عبدالله‌بن عمر أنّه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من لم یکن معه هدی فلیطف بالبیت وبالصفا و المروة ولیقصّر ولیحلل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 ولا نعلم فیه خلافاً</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وعلیه فالّذی یساعده الدلیل هو التقصیر فحسب</w:t>
      </w:r>
      <w:r>
        <w:rPr>
          <w:rFonts w:eastAsia="IRNazanin" w:cs="IRNazanin"/>
          <w:color w:val="111111"/>
          <w:sz w:val="28"/>
          <w:szCs w:val="28"/>
          <w:rtl w:val="true"/>
          <w:lang w:bidi="fa-IR"/>
        </w:rPr>
        <w:t>.</w:t>
      </w:r>
    </w:p>
    <w:p>
      <w:pPr>
        <w:pStyle w:val="Heading3"/>
        <w:numPr>
          <w:ilvl w:val="2"/>
          <w:numId w:val="1"/>
        </w:numPr>
        <w:rPr/>
      </w:pPr>
      <w:bookmarkStart w:id="2021" w:name="__RefHeading___Toc363986_581953129"/>
      <w:bookmarkStart w:id="2022" w:name="_Toc847"/>
      <w:bookmarkEnd w:id="2021"/>
      <w:r>
        <w:rPr>
          <w:rtl w:val="true"/>
        </w:rPr>
        <w:t>حدّ التقصیر و الحلق</w:t>
      </w:r>
      <w:bookmarkEnd w:id="2022"/>
    </w:p>
    <w:p>
      <w:pPr>
        <w:pStyle w:val="Heading4"/>
        <w:numPr>
          <w:ilvl w:val="3"/>
          <w:numId w:val="1"/>
        </w:numPr>
        <w:rPr/>
      </w:pPr>
      <w:bookmarkStart w:id="2023" w:name="__RefHeading___Toc363988_581953129"/>
      <w:bookmarkStart w:id="2024" w:name="_Toc848"/>
      <w:bookmarkEnd w:id="2023"/>
      <w:r>
        <w:rPr>
          <w:rtl w:val="true"/>
        </w:rPr>
        <w:t>اشارة</w:t>
      </w:r>
      <w:bookmarkEnd w:id="202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بالنسبة إلی حدّ التقصیر و الحلق،وتفصیل الاختلاف بما یلی</w:t>
      </w:r>
      <w:r>
        <w:rPr>
          <w:rFonts w:eastAsia="IRNazanin" w:cs="IRNazanin"/>
          <w:color w:val="111111"/>
          <w:sz w:val="28"/>
          <w:szCs w:val="28"/>
          <w:rtl w:val="true"/>
          <w:lang w:bidi="fa-IR"/>
        </w:rPr>
        <w:t>:</w:t>
      </w:r>
      <w:bookmarkStart w:id="2025" w:name="pg5240_59528"/>
    </w:p>
    <w:p>
      <w:pPr>
        <w:pStyle w:val="Heading4"/>
        <w:numPr>
          <w:ilvl w:val="3"/>
          <w:numId w:val="1"/>
        </w:numPr>
        <w:rPr/>
      </w:pPr>
      <w:bookmarkStart w:id="2026" w:name="__RefHeading___Toc363990_581953129"/>
      <w:bookmarkStart w:id="2027" w:name="_Toc849"/>
      <w:bookmarkEnd w:id="2025"/>
      <w:bookmarkEnd w:id="2026"/>
      <w:r>
        <w:rPr>
          <w:rtl w:val="true"/>
        </w:rPr>
        <w:t>المذهب الجعفری</w:t>
      </w:r>
      <w:bookmarkEnd w:id="2027"/>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یکفی فی التقصیر قصّ شیء من الشعر أو الظفر بکلّ آلة شاء،والأحوط لمن علیه الحلق أن یحلق جمیع رأسه،ولو لم یکن له شعر یکفی له إمرار الموسی علی رأسه</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الاجتزاء بتحقّق مسمّی التقصیر بالإزالة للشعر أو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للنصوص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جمیل‌بن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محرم یقصر من بعض ولا یقصر من بعض،قال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إلی غیر ذلک من النصوص الدالّة علی الاکتفاء بمسمّاه</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و أمّا بالنسبة إلی الحلق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المنصرف من الحلق فی الأدلّة‌هو حلق الرأس‌تماماً،کماقال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بحلق البعض مسمّی حلق الرأس للأصل</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وعلیه یکفی فی التقصیر المسمّی،وفی الحلق حلق الرأس بتمامه ذلک کلّه بحسب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الکاشانی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مقدار الحلق فالأفضل حلق جمیع الرأس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مُحَلِّقِینَ 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1"/>
      </w:r>
      <w:r>
        <w:rPr>
          <w:rFonts w:ascii="IRNazanin" w:hAnsi="IRNazanin" w:eastAsia="IRNazanin"/>
          <w:color w:val="111111"/>
          <w:sz w:val="28"/>
          <w:sz w:val="28"/>
          <w:szCs w:val="28"/>
          <w:rtl w:val="true"/>
          <w:lang w:bidi="fa-IR"/>
        </w:rPr>
        <w:t>والرأس إسم للجمیع وکذا روی أن النبی صلی الله علیه و آله حلق جمیع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فلا خلاف بین المذهب الجعفری و الحنفی علی ما نقله الکاشانی</w:t>
      </w:r>
      <w:r>
        <w:rPr>
          <w:rFonts w:eastAsia="IRNazanin" w:cs="IRNazanin"/>
          <w:color w:val="111111"/>
          <w:sz w:val="28"/>
          <w:szCs w:val="28"/>
          <w:rtl w:val="true"/>
          <w:lang w:bidi="fa-IR"/>
        </w:rPr>
        <w:t xml:space="preserve">. </w:t>
      </w:r>
      <w:r>
        <w:rPr>
          <w:rStyle w:val="FootnoteAnchor"/>
          <w:rtl w:val="true"/>
        </w:rPr>
        <w:footnoteReference w:id="962"/>
      </w:r>
    </w:p>
    <w:p>
      <w:pPr>
        <w:pStyle w:val="Heading4"/>
        <w:numPr>
          <w:ilvl w:val="3"/>
          <w:numId w:val="1"/>
        </w:numPr>
        <w:rPr/>
      </w:pPr>
      <w:bookmarkStart w:id="2028" w:name="__RefHeading___Toc363992_581953129"/>
      <w:bookmarkStart w:id="2029" w:name="_Toc850"/>
      <w:bookmarkEnd w:id="2028"/>
      <w:r>
        <w:rPr>
          <w:rtl w:val="true"/>
        </w:rPr>
        <w:t>المذاهب الاربعة</w:t>
      </w:r>
      <w:bookmarkEnd w:id="202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التقصیر أو الحلق من جمیع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قال مالک،وقال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یجزئه التقصیر من ثلاث شعرات واختار ابن‌المنذر أنّه یجزئه ما یقع علیه اسم التقصیر</w:t>
      </w:r>
    </w:p>
    <w:p>
      <w:pPr>
        <w:pStyle w:val="BookText"/>
        <w:rPr/>
      </w:pPr>
      <w:r>
        <w:rPr>
          <w:rFonts w:ascii="IRNazanin" w:hAnsi="IRNazanin" w:eastAsia="IRNazanin"/>
          <w:color w:val="111111"/>
          <w:sz w:val="28"/>
          <w:sz w:val="28"/>
          <w:szCs w:val="28"/>
          <w:rtl w:val="true"/>
          <w:lang w:bidi="fa-IR"/>
        </w:rPr>
        <w:t>لتناول اللفظ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علی المسح فی الطهارة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مُحَلِّقِینَ رُؤُسَکُمْ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عامّ فی جمیعه؛ولأنّ النبی صلی الله علیه و آله حلق جمیع رأسه تفسیراً لمطلق الأمر به فیجب الرجوع إلیه،ولأنّه نسک تعلّق بالرأس فوجب استیعابه به</w:t>
      </w:r>
      <w:r>
        <w:rPr>
          <w:rFonts w:eastAsia="Amiri" w:cs="Amiri" w:ascii="Amiri" w:hAnsi="Amiri"/>
          <w:color w:val="111111"/>
          <w:sz w:val="28"/>
          <w:szCs w:val="28"/>
          <w:rtl w:val="true"/>
          <w:lang w:bidi="ar-SA"/>
        </w:rPr>
        <w:t xml:space="preserve">. </w:t>
      </w:r>
      <w:r>
        <w:rPr>
          <w:rStyle w:val="FootnoteAnchor"/>
          <w:rtl w:val="true"/>
        </w:rPr>
        <w:footnoteReference w:id="963"/>
      </w:r>
      <w:r>
        <w:rPr>
          <w:rFonts w:ascii="IRNazanin" w:hAnsi="IRNazanin" w:eastAsia="IRNazanin"/>
          <w:color w:val="111111"/>
          <w:sz w:val="28"/>
          <w:sz w:val="28"/>
          <w:szCs w:val="28"/>
          <w:rtl w:val="true"/>
          <w:lang w:bidi="fa-IR"/>
        </w:rPr>
        <w:t>فتبین لنا أنّ حدّالتقصیر و الحلق علی مذهبی الحنبلی و المالکی هو الاستیعاب فیجب تقصیر جمیع شعر الرأس أو حلق جمیعه،ویکتفی بربع الرأس تقصیراً أو حلقاً علی المذهب الحنفی ویکتفی علی المذهب الشافعی بالمسمّی ثلاث شعرات فی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 للمذهب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الحلق أو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الشافعی لیس بواجب ویتحلل من الحجّ بالرمی ومن العمرة بالسعی،احتجّ بما روی عن ابن‌عمر بأن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رمی الجمرة فقد حلّ له ما حرّم علی الحاجّ إلاّ النساء و الطیب،ولنا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 ثُمَّ لْیقْضُوا تَفَثَهُم،روی عن ابن‌عمر أن التفث حلاق الرأس</w:t>
      </w:r>
      <w:r>
        <w:rPr>
          <w:rFonts w:eastAsia="IRNazanin" w:cs="IRNazanin"/>
          <w:color w:val="111111"/>
          <w:sz w:val="28"/>
          <w:szCs w:val="28"/>
          <w:rtl w:val="true"/>
          <w:lang w:bidi="fa-IR"/>
        </w:rPr>
        <w:t xml:space="preserve">. </w:t>
      </w:r>
      <w:r>
        <w:rPr>
          <w:rStyle w:val="FootnoteAnchor"/>
          <w:rtl w:val="true"/>
        </w:rPr>
        <w:footnoteReference w:id="964"/>
      </w:r>
      <w:bookmarkStart w:id="2030" w:name="pg5240_59530"/>
    </w:p>
    <w:p>
      <w:pPr>
        <w:pStyle w:val="Heading3"/>
        <w:numPr>
          <w:ilvl w:val="2"/>
          <w:numId w:val="1"/>
        </w:numPr>
        <w:rPr/>
      </w:pPr>
      <w:bookmarkStart w:id="2031" w:name="__RefHeading___Toc363994_581953129"/>
      <w:bookmarkStart w:id="2032" w:name="_Toc851"/>
      <w:bookmarkEnd w:id="2030"/>
      <w:bookmarkEnd w:id="2031"/>
      <w:r>
        <w:rPr>
          <w:rtl w:val="true"/>
        </w:rPr>
        <w:t>الخلاصة</w:t>
      </w:r>
      <w:bookmarkEnd w:id="2032"/>
    </w:p>
    <w:p>
      <w:pPr>
        <w:pStyle w:val="BookText"/>
        <w:rPr/>
      </w:pPr>
      <w:r>
        <w:rPr>
          <w:rFonts w:ascii="IRNazanin" w:hAnsi="IRNazanin" w:eastAsia="IRNazanin"/>
          <w:color w:val="111111"/>
          <w:sz w:val="28"/>
          <w:sz w:val="28"/>
          <w:szCs w:val="28"/>
          <w:rtl w:val="true"/>
          <w:lang w:bidi="fa-IR"/>
        </w:rPr>
        <w:t>تحقّق الاختلاف بین المذهب الجعفری و المذاهب الأربعة بالنسبة إلی طواف الوداع وطواف النساء عنواناً وتسمیة ولا خلاف بحسب العمل،وعلیه تحدّثنا عن مقولة الجمع بین النظرین بشریطة التقریب بین أرباب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الطهارة من الحدث و الخبث فی الطواف،علی المذاهب کلّها إلاّ علی المذهب الحنفی فی ذهابه إلی عدم اشتراط الطهارة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الشکّ فی عدد الأشواط هو الأخذ بالأقل علی المذاهب الأربعة،و أمّا علی المذهب الجعفری إذا کان الشکّ بعد إتمام الطواف لا اعتبار به؛لقاعدة الفراغ،و أمّا إذا کان الشکّ فی الأثناء حینئذ إذا کان الشکّ فی الزیادة یقطع الزیادة المتوهّمة ویحکم بالصحّة،و أمّا إذا کان الشکّ فی النقیصة یستأنف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طواف الواجب الموالاة وجوباً علی المذاهب کلّها إلاّ علی المذهب الحنفی ذاهباً إلی عدم وجوبها فی الطواف و إنّما هی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السعی رکن من أرکان الحجّ علی المذاهب کلّها إلاّ علی 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الشکّ فی عدد السعی هو الحکم فی الشکّ بالنسبة إلی الأشواط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التحلیل من عمرة التمتّع یتحقّق بالتقصیر فحسب علی المذهب الجعفری،والتحلیل بالحلق و التقصیر تخییراً،علی المذاهب الأربعة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التقصیر هو الاستیعاب علی المذهب الحنبلی و المالکی،و هو ربع الرأس،علی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الحلق الاستیعاب و المسمّی فی التقصیر،علی المذهب الجعفری و الشافعی</w:t>
      </w:r>
      <w:r>
        <w:rPr>
          <w:rFonts w:eastAsia="IRNazanin" w:cs="IRNazanin"/>
          <w:color w:val="111111"/>
          <w:sz w:val="28"/>
          <w:szCs w:val="28"/>
          <w:rtl w:val="true"/>
          <w:lang w:bidi="fa-IR"/>
        </w:rPr>
        <w:t>.</w:t>
      </w:r>
      <w:r>
        <w:rPr>
          <w:rFonts w:eastAsia="IRNazanin" w:cs="IRNazanin"/>
          <w:color w:val="111111"/>
          <w:sz w:val="28"/>
          <w:szCs w:val="28"/>
          <w:lang w:bidi="fa-IR"/>
        </w:rPr>
        <w:t>3</w:t>
      </w:r>
      <w:bookmarkStart w:id="2033" w:name="pg5240_59531"/>
    </w:p>
    <w:p>
      <w:pPr>
        <w:pStyle w:val="Heading3"/>
        <w:numPr>
          <w:ilvl w:val="2"/>
          <w:numId w:val="1"/>
        </w:numPr>
        <w:rPr/>
      </w:pPr>
      <w:bookmarkStart w:id="2034" w:name="__RefHeading___Toc363996_581953129"/>
      <w:bookmarkStart w:id="2035" w:name="_Toc852"/>
      <w:bookmarkEnd w:id="2033"/>
      <w:bookmarkEnd w:id="2034"/>
      <w:r>
        <w:rPr>
          <w:rtl w:val="true"/>
        </w:rPr>
        <w:t>الأسئلة</w:t>
      </w:r>
      <w:bookmarkEnd w:id="20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وقت طواف الوداع وطواف النساء؟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اشتراط الطهارة فی الطواف؟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اعتبار الشکّ فی الزیادة أثناء الطواف؟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النقص فی الطواف لعذر؟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تشترط الموالاة فی الطواف؟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الشکّ فی عدد السعی بین الصفا و المروة؟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یکفی مسمّی الحلق فی التحلیل؟</w:t>
      </w:r>
      <w:bookmarkStart w:id="2036" w:name="pg5240_59533"/>
    </w:p>
    <w:p>
      <w:pPr>
        <w:pStyle w:val="Heading2"/>
        <w:numPr>
          <w:ilvl w:val="1"/>
          <w:numId w:val="1"/>
        </w:numPr>
        <w:rPr/>
      </w:pPr>
      <w:bookmarkStart w:id="2037" w:name="__RefHeading___Toc363998_581953129"/>
      <w:bookmarkStart w:id="2038" w:name="_Toc853"/>
      <w:bookmarkEnd w:id="2036"/>
      <w:bookmarkEnd w:id="2037"/>
      <w:r>
        <w:rPr/>
        <w:t>29</w:t>
      </w:r>
      <w:r>
        <w:rPr>
          <w:rtl w:val="true"/>
        </w:rPr>
        <w:t xml:space="preserve">- </w:t>
      </w:r>
      <w:r>
        <w:rPr>
          <w:rtl w:val="true"/>
        </w:rPr>
        <w:t>النکاح</w:t>
      </w:r>
      <w:bookmarkEnd w:id="2038"/>
    </w:p>
    <w:p>
      <w:pPr>
        <w:pStyle w:val="Heading3"/>
        <w:numPr>
          <w:ilvl w:val="2"/>
          <w:numId w:val="1"/>
        </w:numPr>
        <w:rPr/>
      </w:pPr>
      <w:bookmarkStart w:id="2039" w:name="__RefHeading___Toc364000_581953129"/>
      <w:bookmarkStart w:id="2040" w:name="_Toc854"/>
      <w:bookmarkEnd w:id="2039"/>
      <w:r>
        <w:rPr>
          <w:rtl w:val="true"/>
        </w:rPr>
        <w:t>اشتراط القصد</w:t>
      </w:r>
      <w:bookmarkEnd w:id="2040"/>
    </w:p>
    <w:p>
      <w:pPr>
        <w:pStyle w:val="Heading4"/>
        <w:numPr>
          <w:ilvl w:val="3"/>
          <w:numId w:val="1"/>
        </w:numPr>
        <w:rPr/>
      </w:pPr>
      <w:bookmarkStart w:id="2041" w:name="__RefHeading___Toc364002_581953129"/>
      <w:bookmarkStart w:id="2042" w:name="_Toc855"/>
      <w:bookmarkEnd w:id="2041"/>
      <w:r>
        <w:rPr>
          <w:rtl w:val="true"/>
        </w:rPr>
        <w:t>اشارة</w:t>
      </w:r>
      <w:bookmarkEnd w:id="2042"/>
    </w:p>
    <w:p>
      <w:pPr>
        <w:pStyle w:val="BookText"/>
        <w:rPr/>
      </w:pPr>
      <w:r>
        <w:rPr>
          <w:rFonts w:ascii="IRNazanin" w:hAnsi="IRNazanin" w:eastAsia="IRNazanin"/>
          <w:color w:val="111111"/>
          <w:sz w:val="28"/>
          <w:sz w:val="28"/>
          <w:szCs w:val="28"/>
          <w:rtl w:val="true"/>
          <w:lang w:bidi="fa-IR"/>
        </w:rPr>
        <w:t>اختلفت الآراء بالنسبة إلی اشتراط قصد المدلول فی صیغة العقد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043" w:name="__RefHeading___Toc364004_581953129"/>
      <w:bookmarkStart w:id="2044" w:name="_Toc856"/>
      <w:bookmarkEnd w:id="2043"/>
      <w:r>
        <w:rPr>
          <w:rtl w:val="true"/>
        </w:rPr>
        <w:t>المذاهب الأربعة</w:t>
      </w:r>
      <w:bookmarkEnd w:id="2044"/>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علی أنّ النکاح ینعقد ولو کان هزلاً؛لحدیث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جدّهن جدّ وهزلهن جدّ،الزواج و الطلاق و العتق</w:t>
      </w:r>
      <w:r>
        <w:rPr>
          <w:rFonts w:eastAsia="IRNazanin" w:cs="IRNazanin"/>
          <w:color w:val="111111"/>
          <w:sz w:val="28"/>
          <w:szCs w:val="28"/>
          <w:rtl w:val="true"/>
          <w:lang w:bidi="fa-IR"/>
        </w:rPr>
        <w:t xml:space="preserve">. </w:t>
      </w:r>
      <w:r>
        <w:rPr>
          <w:rStyle w:val="FootnoteAnchor"/>
          <w:rtl w:val="true"/>
        </w:rPr>
        <w:footnoteReference w:id="965"/>
      </w:r>
    </w:p>
    <w:p>
      <w:pPr>
        <w:pStyle w:val="Heading4"/>
        <w:numPr>
          <w:ilvl w:val="3"/>
          <w:numId w:val="1"/>
        </w:numPr>
        <w:rPr/>
      </w:pPr>
      <w:bookmarkStart w:id="2045" w:name="__RefHeading___Toc364006_581953129"/>
      <w:bookmarkStart w:id="2046" w:name="_Toc857"/>
      <w:bookmarkEnd w:id="2045"/>
      <w:r>
        <w:rPr>
          <w:rtl w:val="true"/>
        </w:rPr>
        <w:t>المذهب الجعفری</w:t>
      </w:r>
      <w:bookmarkEnd w:id="204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قصد الإنشاء فی الصیغة،ذلک لأنّ صیغ العقود من الإنشاءات الّتی تتقوّم بالقصد فلا یتحقّق الإنشاء بدون القصد وعلیه فلا عقد مع الهزل و الإکراه؛لعدم تحقّق القصد هناک</w:t>
      </w:r>
      <w:r>
        <w:rPr>
          <w:rFonts w:eastAsia="IRNazanin" w:cs="IRNazanin"/>
          <w:color w:val="111111"/>
          <w:sz w:val="28"/>
          <w:szCs w:val="28"/>
          <w:rtl w:val="true"/>
          <w:lang w:bidi="fa-IR"/>
        </w:rPr>
        <w:t xml:space="preserve">. </w:t>
      </w:r>
      <w:r>
        <w:rPr>
          <w:rStyle w:val="FootnoteAnchor"/>
          <w:rtl w:val="true"/>
        </w:rPr>
        <w:footnoteReference w:id="966"/>
      </w:r>
      <w:r>
        <w:rPr>
          <w:rFonts w:ascii="Amiri" w:hAnsi="Amiri" w:eastAsia="Amiri" w:cs="Amiri"/>
          <w:color w:val="111111"/>
          <w:sz w:val="28"/>
          <w:sz w:val="28"/>
          <w:szCs w:val="28"/>
          <w:rtl w:val="true"/>
          <w:lang w:bidi="ar-SA"/>
        </w:rPr>
        <w:t>والّذی یسهّل الخطب أنّ عقد النکاح من</w:t>
      </w:r>
      <w:bookmarkStart w:id="2047" w:name="pg5240_59534"/>
    </w:p>
    <w:p>
      <w:pPr>
        <w:pStyle w:val="BookText"/>
        <w:rPr/>
      </w:pPr>
      <w:bookmarkEnd w:id="2047"/>
      <w:r>
        <w:rPr>
          <w:rFonts w:ascii="IRNazanin" w:hAnsi="IRNazanin" w:eastAsia="IRNazanin"/>
          <w:color w:val="111111"/>
          <w:sz w:val="28"/>
          <w:sz w:val="28"/>
          <w:szCs w:val="28"/>
          <w:rtl w:val="true"/>
          <w:lang w:bidi="fa-IR"/>
        </w:rPr>
        <w:t>الاُمور المهمّة بین المسلمین أجمع فلا یوجد عقد عن هزلٍ وبدون القصد،وعلیه فلا اختلاف من ناحیة عملیة،بالنسبة إلی خصائص عقد النکاح</w:t>
      </w:r>
      <w:r>
        <w:rPr>
          <w:rFonts w:eastAsia="IRNazanin" w:cs="IRNazanin"/>
          <w:color w:val="111111"/>
          <w:sz w:val="28"/>
          <w:szCs w:val="28"/>
          <w:rtl w:val="true"/>
          <w:lang w:bidi="fa-IR"/>
        </w:rPr>
        <w:t>.</w:t>
      </w:r>
    </w:p>
    <w:p>
      <w:pPr>
        <w:pStyle w:val="Heading4"/>
        <w:numPr>
          <w:ilvl w:val="3"/>
          <w:numId w:val="1"/>
        </w:numPr>
        <w:rPr/>
      </w:pPr>
      <w:bookmarkStart w:id="2048" w:name="__RefHeading___Toc364008_581953129"/>
      <w:bookmarkStart w:id="2049" w:name="_Toc858"/>
      <w:bookmarkEnd w:id="2048"/>
      <w:r>
        <w:rPr>
          <w:rtl w:val="true"/>
        </w:rPr>
        <w:t>منشأ الاختلاف</w:t>
      </w:r>
      <w:bookmarkEnd w:id="2049"/>
    </w:p>
    <w:p>
      <w:pPr>
        <w:pStyle w:val="BookText"/>
        <w:rPr/>
      </w:pPr>
      <w:r>
        <w:rPr>
          <w:rFonts w:ascii="IRNazanin" w:hAnsi="IRNazanin" w:eastAsia="IRNazanin"/>
          <w:color w:val="111111"/>
          <w:sz w:val="28"/>
          <w:sz w:val="28"/>
          <w:szCs w:val="28"/>
          <w:rtl w:val="true"/>
          <w:lang w:bidi="fa-IR"/>
        </w:rPr>
        <w:t>الاختلاف ناشئ عن عدم التقریب و المقارنة بین المذاهب؛لعدم وجود الاختلاف الجوهری هناک</w:t>
      </w:r>
      <w:r>
        <w:rPr>
          <w:rFonts w:eastAsia="IRNazanin" w:cs="IRNazanin"/>
          <w:color w:val="111111"/>
          <w:sz w:val="28"/>
          <w:szCs w:val="28"/>
          <w:rtl w:val="true"/>
          <w:lang w:bidi="fa-IR"/>
        </w:rPr>
        <w:t>.</w:t>
      </w:r>
    </w:p>
    <w:p>
      <w:pPr>
        <w:pStyle w:val="Heading3"/>
        <w:numPr>
          <w:ilvl w:val="2"/>
          <w:numId w:val="1"/>
        </w:numPr>
        <w:rPr/>
      </w:pPr>
      <w:bookmarkStart w:id="2050" w:name="__RefHeading___Toc364010_581953129"/>
      <w:bookmarkStart w:id="2051" w:name="_Toc859"/>
      <w:bookmarkEnd w:id="2050"/>
      <w:r>
        <w:rPr>
          <w:rtl w:val="true"/>
        </w:rPr>
        <w:t>اشتراط الفسخ</w:t>
      </w:r>
      <w:bookmarkEnd w:id="2051"/>
    </w:p>
    <w:p>
      <w:pPr>
        <w:pStyle w:val="Heading4"/>
        <w:numPr>
          <w:ilvl w:val="3"/>
          <w:numId w:val="1"/>
        </w:numPr>
        <w:rPr/>
      </w:pPr>
      <w:bookmarkStart w:id="2052" w:name="__RefHeading___Toc364012_581953129"/>
      <w:bookmarkStart w:id="2053" w:name="_Toc860"/>
      <w:bookmarkEnd w:id="2052"/>
      <w:r>
        <w:rPr>
          <w:rtl w:val="true"/>
        </w:rPr>
        <w:t>اشارة</w:t>
      </w:r>
      <w:bookmarkEnd w:id="2053"/>
    </w:p>
    <w:p>
      <w:pPr>
        <w:pStyle w:val="BookText"/>
        <w:rPr/>
      </w:pPr>
      <w:r>
        <w:rPr>
          <w:rFonts w:ascii="IRNazanin" w:hAnsi="IRNazanin" w:eastAsia="IRNazanin"/>
          <w:color w:val="111111"/>
          <w:sz w:val="28"/>
          <w:sz w:val="28"/>
          <w:szCs w:val="28"/>
          <w:rtl w:val="true"/>
          <w:lang w:bidi="fa-IR"/>
        </w:rPr>
        <w:t>اختلفت الآراء بالنسبة إلی اشتراط الخیار فی فسخ العقد،وتفصیل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054" w:name="__RefHeading___Toc364014_581953129"/>
      <w:bookmarkStart w:id="2055" w:name="_Toc861"/>
      <w:bookmarkEnd w:id="2054"/>
      <w:r>
        <w:rPr>
          <w:rtl w:val="true"/>
        </w:rPr>
        <w:t>المذهب الجعفری</w:t>
      </w:r>
      <w:bookmarkEnd w:id="2055"/>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فی النکاح اشتراط الخیار فی نفس العقد فلو شرطه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بطلان العقد به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علی أنّه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ابن إدریس أنّه لا یبطل ببطلان الشرط ولا یخلو قوله من قوّة،إذ لا فرق بینه وبین سائر الشروط الفاسدة فی العقد،والمشهور علی عدم کونها مُفسدة للعقد</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ذلک؛لتعدّد المطلوب فإنّ مدلول الشرط غیر مدلول العقد،وعلیه فبطلان مدلوله لایوجب فساد العقد</w:t>
      </w:r>
      <w:r>
        <w:rPr>
          <w:rFonts w:eastAsia="IRNazanin" w:cs="IRNazanin"/>
          <w:color w:val="111111"/>
          <w:sz w:val="28"/>
          <w:szCs w:val="28"/>
          <w:rtl w:val="true"/>
          <w:lang w:bidi="fa-IR"/>
        </w:rPr>
        <w:t>.</w:t>
      </w:r>
    </w:p>
    <w:p>
      <w:pPr>
        <w:pStyle w:val="Heading4"/>
        <w:numPr>
          <w:ilvl w:val="3"/>
          <w:numId w:val="1"/>
        </w:numPr>
        <w:rPr/>
      </w:pPr>
      <w:bookmarkStart w:id="2056" w:name="__RefHeading___Toc364016_581953129"/>
      <w:bookmarkStart w:id="2057" w:name="_Toc862"/>
      <w:bookmarkEnd w:id="2056"/>
      <w:r>
        <w:rPr>
          <w:rtl w:val="true"/>
        </w:rPr>
        <w:t>المذهب الحنبلی</w:t>
      </w:r>
      <w:bookmarkEnd w:id="205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الشروط الفاسدة لاتفسد العقد کما إذا شرط له الخیار أو اشترطت هی الخیار،کلّ هذه الشروط ملغاة لا قیمة لها و العقد صحیح لاتؤثّر علیه بشیء</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و هو نفس الرأی علی المذهب الحنفی</w:t>
      </w:r>
      <w:r>
        <w:rPr>
          <w:rFonts w:eastAsia="IRNazanin" w:cs="IRNazanin"/>
          <w:color w:val="111111"/>
          <w:sz w:val="28"/>
          <w:szCs w:val="28"/>
          <w:rtl w:val="true"/>
          <w:lang w:bidi="fa-IR"/>
        </w:rPr>
        <w:t>.</w:t>
      </w:r>
      <w:bookmarkStart w:id="2058" w:name="pg5240_59535"/>
    </w:p>
    <w:p>
      <w:pPr>
        <w:pStyle w:val="Heading4"/>
        <w:numPr>
          <w:ilvl w:val="3"/>
          <w:numId w:val="1"/>
        </w:numPr>
        <w:rPr/>
      </w:pPr>
      <w:bookmarkStart w:id="2059" w:name="__RefHeading___Toc364018_581953129"/>
      <w:bookmarkStart w:id="2060" w:name="_Toc863"/>
      <w:bookmarkEnd w:id="2058"/>
      <w:bookmarkEnd w:id="2059"/>
      <w:r>
        <w:rPr>
          <w:rtl w:val="true"/>
        </w:rPr>
        <w:t>المذهب الشافعی</w:t>
      </w:r>
      <w:bookmarkEnd w:id="2060"/>
    </w:p>
    <w:p>
      <w:pPr>
        <w:pStyle w:val="BookText"/>
        <w:rPr/>
      </w:pPr>
      <w:r>
        <w:rPr>
          <w:rFonts w:ascii="Amiri" w:hAnsi="Amiri" w:eastAsia="Amiri" w:cs="Amiri"/>
          <w:color w:val="111111"/>
          <w:sz w:val="28"/>
          <w:sz w:val="28"/>
          <w:szCs w:val="28"/>
          <w:rtl w:val="true"/>
          <w:lang w:bidi="ar-SA"/>
        </w:rPr>
        <w:t xml:space="preserve">الشروط الفاسدة تفسد العقد </w:t>
      </w:r>
      <w:r>
        <w:rPr>
          <w:rStyle w:val="FootnoteAnchor"/>
          <w:rtl w:val="true"/>
        </w:rPr>
        <w:footnoteReference w:id="969"/>
      </w:r>
      <w:r>
        <w:rPr>
          <w:rFonts w:ascii="IRNazanin" w:hAnsi="IRNazanin" w:eastAsia="IRNazanin"/>
          <w:color w:val="111111"/>
          <w:sz w:val="28"/>
          <w:sz w:val="28"/>
          <w:szCs w:val="28"/>
          <w:rtl w:val="true"/>
          <w:lang w:bidi="fa-IR"/>
        </w:rPr>
        <w:t>وقال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الخیار للزوج و الزوجة أو لهما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مفسداً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وقع ذلک یفسخ العقد قبل الدخول،أمّا إذا دخل بها فلا یفسخ ویکون لها الصداق المسمّی </w:t>
      </w:r>
      <w:r>
        <w:rPr>
          <w:rStyle w:val="FootnoteAnchor"/>
          <w:rtl w:val="true"/>
        </w:rPr>
        <w:footnoteReference w:id="970"/>
      </w:r>
      <w:r>
        <w:rPr>
          <w:rFonts w:ascii="IRNazanin" w:hAnsi="IRNazanin" w:eastAsia="IRNazanin"/>
          <w:color w:val="111111"/>
          <w:sz w:val="28"/>
          <w:sz w:val="28"/>
          <w:szCs w:val="28"/>
          <w:rtl w:val="true"/>
          <w:lang w:bidi="fa-IR"/>
        </w:rPr>
        <w:t>وعلیه یصبح للدخول دور بنّاء فی صحّة العقد،حیث یصحّ العقد علی المذهب المالکی</w:t>
      </w:r>
      <w:r>
        <w:rPr>
          <w:rFonts w:eastAsia="IRNazanin" w:cs="IRNazanin"/>
          <w:color w:val="111111"/>
          <w:sz w:val="28"/>
          <w:szCs w:val="28"/>
          <w:rtl w:val="true"/>
          <w:lang w:bidi="fa-IR"/>
        </w:rPr>
        <w:t>.</w:t>
      </w:r>
    </w:p>
    <w:p>
      <w:pPr>
        <w:pStyle w:val="Heading4"/>
        <w:numPr>
          <w:ilvl w:val="3"/>
          <w:numId w:val="1"/>
        </w:numPr>
        <w:rPr/>
      </w:pPr>
      <w:bookmarkStart w:id="2061" w:name="__RefHeading___Toc364020_581953129"/>
      <w:bookmarkStart w:id="2062" w:name="_Toc864"/>
      <w:bookmarkEnd w:id="2061"/>
      <w:r>
        <w:rPr>
          <w:rtl w:val="true"/>
        </w:rPr>
        <w:t>منشأ الاختلاف</w:t>
      </w:r>
      <w:bookmarkEnd w:id="2062"/>
    </w:p>
    <w:p>
      <w:pPr>
        <w:pStyle w:val="BookText"/>
        <w:rPr/>
      </w:pPr>
      <w:r>
        <w:rPr>
          <w:rFonts w:ascii="IRNazanin" w:hAnsi="IRNazanin" w:eastAsia="IRNazanin"/>
          <w:color w:val="111111"/>
          <w:sz w:val="28"/>
          <w:sz w:val="28"/>
          <w:szCs w:val="28"/>
          <w:rtl w:val="true"/>
          <w:lang w:bidi="fa-IR"/>
        </w:rPr>
        <w:t>إنّ الاختلاف هنا ناشئ عن الاختلاف بین الفقهاء بالنسبة إلی مفسدیة الشرط الفاسد وعدمها،و قد مرّ بنا أنّ ما هو الأقوی مدرکاً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الفاسد لیس بمفسد</w:t>
      </w:r>
      <w:r>
        <w:rPr>
          <w:rFonts w:eastAsia="IRNazanin" w:cs="IRNazanin"/>
          <w:color w:val="111111"/>
          <w:sz w:val="28"/>
          <w:szCs w:val="28"/>
          <w:rtl w:val="true"/>
          <w:lang w:bidi="fa-IR"/>
        </w:rPr>
        <w:t>.</w:t>
      </w:r>
    </w:p>
    <w:p>
      <w:pPr>
        <w:pStyle w:val="Heading3"/>
        <w:numPr>
          <w:ilvl w:val="2"/>
          <w:numId w:val="1"/>
        </w:numPr>
        <w:rPr/>
      </w:pPr>
      <w:bookmarkStart w:id="2063" w:name="__RefHeading___Toc364022_581953129"/>
      <w:bookmarkStart w:id="2064" w:name="_Toc865"/>
      <w:bookmarkEnd w:id="2063"/>
      <w:r>
        <w:rPr>
          <w:rtl w:val="true"/>
        </w:rPr>
        <w:t>الإشهاد علی العقد</w:t>
      </w:r>
      <w:bookmarkEnd w:id="2064"/>
    </w:p>
    <w:p>
      <w:pPr>
        <w:pStyle w:val="Heading4"/>
        <w:numPr>
          <w:ilvl w:val="3"/>
          <w:numId w:val="1"/>
        </w:numPr>
        <w:rPr/>
      </w:pPr>
      <w:bookmarkStart w:id="2065" w:name="__RefHeading___Toc364024_581953129"/>
      <w:bookmarkStart w:id="2066" w:name="_Toc866"/>
      <w:bookmarkEnd w:id="2065"/>
      <w:r>
        <w:rPr>
          <w:rtl w:val="true"/>
        </w:rPr>
        <w:t>اشارة</w:t>
      </w:r>
      <w:bookmarkEnd w:id="2066"/>
    </w:p>
    <w:p>
      <w:pPr>
        <w:pStyle w:val="BookText"/>
        <w:rPr/>
      </w:pPr>
      <w:r>
        <w:rPr>
          <w:rFonts w:ascii="IRNazanin" w:hAnsi="IRNazanin" w:eastAsia="IRNazanin"/>
          <w:color w:val="111111"/>
          <w:sz w:val="28"/>
          <w:sz w:val="28"/>
          <w:szCs w:val="28"/>
          <w:rtl w:val="true"/>
          <w:lang w:bidi="fa-IR"/>
        </w:rPr>
        <w:t>اختلفت الآراء بالنسبة إلی ضرورة الشهود ووجوبها عند العقد،وتفصیل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067" w:name="__RefHeading___Toc364026_581953129"/>
      <w:bookmarkStart w:id="2068" w:name="_Toc867"/>
      <w:bookmarkEnd w:id="2067"/>
      <w:r>
        <w:rPr>
          <w:rtl w:val="true"/>
        </w:rPr>
        <w:t>المذاهب الأربعة</w:t>
      </w:r>
      <w:bookmarkEnd w:id="206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الثلاثة علی ضرورة وجود الشهود عند العقد،فإذا لم یشهد شاهدان عند الإیجاب و القبول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 المالکیة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الشاهدین ضروری ولکن لایلزم أن یحضرا العقد بل یحضران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حضورالشاهدین للدخول؟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حضورهما عند العقد فهو مندوب</w:t>
      </w:r>
      <w:r>
        <w:rPr>
          <w:rFonts w:eastAsia="IRNazanin" w:cs="IRNazanin"/>
          <w:color w:val="111111"/>
          <w:sz w:val="28"/>
          <w:szCs w:val="28"/>
          <w:rtl w:val="true"/>
          <w:lang w:bidi="fa-IR"/>
        </w:rPr>
        <w:t xml:space="preserve">. </w:t>
      </w:r>
      <w:r>
        <w:rPr>
          <w:rStyle w:val="FootnoteAnchor"/>
          <w:rtl w:val="true"/>
        </w:rPr>
        <w:footnoteReference w:id="971"/>
      </w:r>
      <w:bookmarkStart w:id="2069" w:name="pg5240_59536"/>
    </w:p>
    <w:p>
      <w:pPr>
        <w:pStyle w:val="BookText"/>
        <w:rPr/>
      </w:pPr>
      <w:bookmarkEnd w:id="2069"/>
      <w:r>
        <w:rPr>
          <w:rFonts w:ascii="IRNazanin" w:hAnsi="IRNazanin" w:eastAsia="IRNazanin"/>
          <w:color w:val="111111"/>
          <w:sz w:val="28"/>
          <w:sz w:val="28"/>
          <w:szCs w:val="28"/>
          <w:rtl w:val="true"/>
          <w:lang w:bidi="fa-IR"/>
        </w:rPr>
        <w:t>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ما روی عن رسول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لانکاح إلاّ بشهود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الحاجة مست إلی رفع تهمة الزنا عندنا ولا تندفع إلا بالشهود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و إنّما الشرط هو الاعلان،وجه قول مالک ان النکاح یمتاز عن السفاح بالاعلان فإن الزنا یکون سرّاً فیجب أن یکون النکاح علانیة وروی أنّه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نکاح السرّ</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النکاح لا ینعقد إلاّ بشاهدین،هذا المشهور عن أحمد،وروی ذلک عن عمر و هو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 وشاهدین عدلین،من حدیث ابن عبّاس،إلاّ أنّ فی نقله ذلک ضعیفاً فلم أذکره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بغیر شهود،وفعله ابن عمر و الحسن‌بن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لایثبت فی الشاهدین فی النکاح خبر</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وهناک قول لإبن أبی‌لیلا وأبی ثور وأبی بکر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لاتشرط الشهادة فی الزواج ولا تلزم؛لأنّ الآیات الواردة فی شأن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فانکحوا،وانکحوا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تشرط بالإشهاد،فیعمل علی إطلاقها و الأحادیث الواردة لاتصلح مقیدة</w:t>
      </w:r>
      <w:r>
        <w:rPr>
          <w:rFonts w:eastAsia="IRNazanin" w:cs="IRNazanin"/>
          <w:color w:val="111111"/>
          <w:sz w:val="28"/>
          <w:szCs w:val="28"/>
          <w:rtl w:val="true"/>
          <w:lang w:bidi="fa-IR"/>
        </w:rPr>
        <w:t xml:space="preserve">. </w:t>
      </w:r>
      <w:r>
        <w:rPr>
          <w:rStyle w:val="FootnoteAnchor"/>
          <w:rtl w:val="true"/>
        </w:rPr>
        <w:footnoteReference w:id="974"/>
      </w:r>
    </w:p>
    <w:p>
      <w:pPr>
        <w:pStyle w:val="Heading4"/>
        <w:numPr>
          <w:ilvl w:val="3"/>
          <w:numId w:val="1"/>
        </w:numPr>
        <w:rPr/>
      </w:pPr>
      <w:bookmarkStart w:id="2070" w:name="__RefHeading___Toc364028_581953129"/>
      <w:bookmarkStart w:id="2071" w:name="_Toc868"/>
      <w:bookmarkEnd w:id="2070"/>
      <w:r>
        <w:rPr>
          <w:rtl w:val="true"/>
        </w:rPr>
        <w:t>المذهب الجعفری</w:t>
      </w:r>
      <w:bookmarkEnd w:id="207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لایشترط الشهود فی صحّة النکاح </w:t>
      </w:r>
      <w:r>
        <w:rPr>
          <w:rStyle w:val="FootnoteAnchor"/>
          <w:rtl w:val="true"/>
        </w:rPr>
        <w:footnoteReference w:id="975"/>
      </w:r>
      <w:r>
        <w:rPr>
          <w:rFonts w:ascii="IRNazanin" w:hAnsi="IRNazanin" w:eastAsia="IRNazanin"/>
          <w:color w:val="111111"/>
          <w:sz w:val="28"/>
          <w:sz w:val="28"/>
          <w:szCs w:val="28"/>
          <w:rtl w:val="true"/>
          <w:lang w:bidi="fa-IR"/>
        </w:rPr>
        <w:t>ذلک؛لإطلاق أدلّة النکاح،وعدم الدلیل علی الاستشهاد</w:t>
      </w:r>
      <w:r>
        <w:rPr>
          <w:rFonts w:eastAsia="IRNazanin" w:cs="IRNazanin"/>
          <w:color w:val="111111"/>
          <w:sz w:val="28"/>
          <w:szCs w:val="28"/>
          <w:rtl w:val="true"/>
          <w:lang w:bidi="fa-IR"/>
        </w:rPr>
        <w:t>.</w:t>
      </w:r>
      <w:bookmarkStart w:id="2072" w:name="pg5240_59537"/>
    </w:p>
    <w:p>
      <w:pPr>
        <w:pStyle w:val="Heading4"/>
        <w:numPr>
          <w:ilvl w:val="3"/>
          <w:numId w:val="1"/>
        </w:numPr>
        <w:rPr/>
      </w:pPr>
      <w:bookmarkStart w:id="2073" w:name="__RefHeading___Toc364030_581953129"/>
      <w:bookmarkStart w:id="2074" w:name="_Toc869"/>
      <w:bookmarkEnd w:id="2072"/>
      <w:bookmarkEnd w:id="2073"/>
      <w:r>
        <w:rPr>
          <w:rtl w:val="true"/>
        </w:rPr>
        <w:t>منشأ الاختلاف</w:t>
      </w:r>
      <w:bookmarkEnd w:id="2074"/>
    </w:p>
    <w:p>
      <w:pPr>
        <w:pStyle w:val="BookText"/>
        <w:rPr/>
      </w:pPr>
      <w:r>
        <w:rPr>
          <w:rFonts w:ascii="IRNazanin" w:hAnsi="IRNazanin" w:eastAsia="IRNazanin"/>
          <w:color w:val="111111"/>
          <w:sz w:val="28"/>
          <w:sz w:val="28"/>
          <w:szCs w:val="28"/>
          <w:rtl w:val="true"/>
          <w:lang w:bidi="fa-IR"/>
        </w:rPr>
        <w:t>إنّ الاختلاف هنا ناشئ عن الاختلاف فی الاجتهاد،حیث لم یکن هناک نصّ صحیح کمدرک تامّ للحکم</w:t>
      </w:r>
      <w:r>
        <w:rPr>
          <w:rFonts w:eastAsia="IRNazanin" w:cs="IRNazanin"/>
          <w:color w:val="111111"/>
          <w:sz w:val="28"/>
          <w:szCs w:val="28"/>
          <w:rtl w:val="true"/>
          <w:lang w:bidi="fa-IR"/>
        </w:rPr>
        <w:t>.</w:t>
      </w:r>
    </w:p>
    <w:p>
      <w:pPr>
        <w:pStyle w:val="Heading3"/>
        <w:numPr>
          <w:ilvl w:val="2"/>
          <w:numId w:val="1"/>
        </w:numPr>
        <w:rPr/>
      </w:pPr>
      <w:bookmarkStart w:id="2075" w:name="__RefHeading___Toc364032_581953129"/>
      <w:bookmarkStart w:id="2076" w:name="_Toc870"/>
      <w:bookmarkEnd w:id="2075"/>
      <w:r>
        <w:rPr>
          <w:rtl w:val="true"/>
        </w:rPr>
        <w:t>أولیاء العقد</w:t>
      </w:r>
      <w:bookmarkEnd w:id="2076"/>
    </w:p>
    <w:p>
      <w:pPr>
        <w:pStyle w:val="Heading4"/>
        <w:numPr>
          <w:ilvl w:val="3"/>
          <w:numId w:val="1"/>
        </w:numPr>
        <w:rPr/>
      </w:pPr>
      <w:bookmarkStart w:id="2077" w:name="__RefHeading___Toc364034_581953129"/>
      <w:bookmarkStart w:id="2078" w:name="_Toc871"/>
      <w:bookmarkEnd w:id="2077"/>
      <w:r>
        <w:rPr>
          <w:rtl w:val="true"/>
        </w:rPr>
        <w:t>اشارة</w:t>
      </w:r>
      <w:bookmarkEnd w:id="2078"/>
    </w:p>
    <w:p>
      <w:pPr>
        <w:pStyle w:val="BookText"/>
        <w:rPr/>
      </w:pPr>
      <w:r>
        <w:rPr>
          <w:rFonts w:ascii="IRNazanin" w:hAnsi="IRNazanin" w:eastAsia="IRNazanin"/>
          <w:color w:val="111111"/>
          <w:sz w:val="28"/>
          <w:sz w:val="28"/>
          <w:szCs w:val="28"/>
          <w:rtl w:val="true"/>
          <w:lang w:bidi="fa-IR"/>
        </w:rPr>
        <w:t>اختلفت الآراء بالنسبة إلی اشتراط الولایة فی صحّة العقد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079" w:name="__RefHeading___Toc364036_581953129"/>
      <w:bookmarkStart w:id="2080" w:name="_Toc872"/>
      <w:bookmarkEnd w:id="2079"/>
      <w:r>
        <w:rPr>
          <w:rtl w:val="true"/>
        </w:rPr>
        <w:t>المذاهب الأربعة</w:t>
      </w:r>
      <w:bookmarkEnd w:id="208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فی النکاح هو الّذی یتوقّف علیه صحّة العقد فلا یصحّ بدونه،و هو الأب أو وصیه و القریب العاصب و السلطان،وترتیب الأولیاء فی أحقّیة الولایة مفصّل فی المذاهب</w:t>
      </w:r>
      <w:r>
        <w:rPr>
          <w:rFonts w:eastAsia="IRNazanin" w:cs="IRNazanin"/>
          <w:color w:val="111111"/>
          <w:sz w:val="28"/>
          <w:szCs w:val="28"/>
          <w:rtl w:val="true"/>
          <w:lang w:bidi="fa-IR"/>
        </w:rPr>
        <w:t>.</w:t>
      </w:r>
    </w:p>
    <w:p>
      <w:pPr>
        <w:pStyle w:val="Heading3"/>
        <w:numPr>
          <w:ilvl w:val="2"/>
          <w:numId w:val="1"/>
        </w:numPr>
        <w:rPr/>
      </w:pPr>
      <w:bookmarkStart w:id="2081" w:name="__RefHeading___Toc364038_581953129"/>
      <w:bookmarkStart w:id="2082" w:name="_Toc873"/>
      <w:bookmarkEnd w:id="2081"/>
      <w:r>
        <w:rPr>
          <w:rtl w:val="true"/>
        </w:rPr>
        <w:t>ینقسم الولی إلی قسمین</w:t>
      </w:r>
      <w:bookmarkEnd w:id="2082"/>
    </w:p>
    <w:p>
      <w:pPr>
        <w:pStyle w:val="Heading4"/>
        <w:numPr>
          <w:ilvl w:val="3"/>
          <w:numId w:val="1"/>
        </w:numPr>
        <w:rPr/>
      </w:pPr>
      <w:bookmarkStart w:id="2083" w:name="__RefHeading___Toc364040_581953129"/>
      <w:bookmarkStart w:id="2084" w:name="_Toc874"/>
      <w:bookmarkEnd w:id="2083"/>
      <w:r>
        <w:rPr>
          <w:rtl w:val="true"/>
        </w:rPr>
        <w:t>اشارة</w:t>
      </w:r>
      <w:bookmarkEnd w:id="2084"/>
    </w:p>
    <w:p>
      <w:pPr>
        <w:pStyle w:val="BookText"/>
        <w:rPr/>
      </w:pPr>
      <w:r>
        <w:rPr>
          <w:rFonts w:ascii="IRNazanin" w:hAnsi="IRNazanin" w:eastAsia="IRNazanin"/>
          <w:color w:val="111111"/>
          <w:sz w:val="28"/>
          <w:sz w:val="28"/>
          <w:szCs w:val="28"/>
          <w:rtl w:val="true"/>
          <w:lang w:bidi="fa-IR"/>
        </w:rPr>
        <w:t>ولی مجبر له حقّ تزویج بعض من له علیه الولایة،بدون إذنه ورضاه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و الصغیرة،المجنون و المجنونة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وولی غیر مجبر لیس له ذلک بل لابدّ منه،ولکن لایصحّ له أن یزوّج بدون إذن من له علیه الولایة ورضاه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ویختصّ الولی المجبر بتزویج الصغیر و الصغیرة و المجنون و المجنونة ویختصّ الولی غیرالمجبر بتزویج الکبیرة العاقلة البالغة بإذنها ورضاها سواء کانت بکراً أو ثیباً،إلاّ أنّه لایشترط فی إذن البکر أن تصرّح برضاها فلو سکتت کان ذلک إذناً،أمّا الثیب فإنّه لابدّ فی إذنها من التصریح بالرضا لفظاً،فلا یصحّ العقد بدون أن یباشره الولی،کما لا یصحّ للولی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یعقد بدون إذن المعقود علیها ورضاها</w:t>
      </w:r>
      <w:r>
        <w:rPr>
          <w:rFonts w:eastAsia="IRNazanin" w:cs="IRNazanin"/>
          <w:color w:val="111111"/>
          <w:sz w:val="28"/>
          <w:szCs w:val="28"/>
          <w:rtl w:val="true"/>
          <w:lang w:bidi="fa-IR"/>
        </w:rPr>
        <w:t xml:space="preserve">. </w:t>
      </w:r>
      <w:r>
        <w:rPr>
          <w:rStyle w:val="FootnoteAnchor"/>
          <w:rtl w:val="true"/>
        </w:rPr>
        <w:footnoteReference w:id="976"/>
      </w:r>
      <w:bookmarkStart w:id="2085" w:name="pg5240_59538"/>
    </w:p>
    <w:p>
      <w:pPr>
        <w:pStyle w:val="BookText"/>
        <w:rPr/>
      </w:pPr>
      <w:bookmarkEnd w:id="2085"/>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النکاح لایصحّ إلاّ بولی ولا تملک المرأة تزویج نفسها ولا غیرها ولا توکیل غیر ولیها فی تزویجها فإن فعلت،لم یصحّ النکاح؛روی ذلک عن عمر وأبی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أحمد عن هذا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صحیح،وروی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نکحت نفسها بغیر إذن ولیها فنکاحها باطل باطل باطل</w:t>
      </w:r>
      <w:r>
        <w:rPr>
          <w:rFonts w:eastAsia="IRNazanin" w:cs="IRNazanin"/>
          <w:color w:val="111111"/>
          <w:sz w:val="28"/>
          <w:szCs w:val="28"/>
          <w:rtl w:val="true"/>
          <w:lang w:bidi="fa-IR"/>
        </w:rPr>
        <w:t xml:space="preserve">. </w:t>
      </w:r>
      <w:r>
        <w:rPr>
          <w:rStyle w:val="FootnoteAnchor"/>
          <w:rtl w:val="true"/>
        </w:rPr>
        <w:footnoteReference w:id="977"/>
      </w:r>
    </w:p>
    <w:p>
      <w:pPr>
        <w:pStyle w:val="Heading4"/>
        <w:numPr>
          <w:ilvl w:val="3"/>
          <w:numId w:val="1"/>
        </w:numPr>
        <w:rPr/>
      </w:pPr>
      <w:bookmarkStart w:id="2086" w:name="__RefHeading___Toc364042_581953129"/>
      <w:bookmarkStart w:id="2087" w:name="_Toc875"/>
      <w:bookmarkEnd w:id="2086"/>
      <w:r>
        <w:rPr>
          <w:rtl w:val="true"/>
        </w:rPr>
        <w:t>المذهب الحنفی</w:t>
      </w:r>
      <w:bookmarkEnd w:id="2087"/>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ولایة الإجبار علی البنت و الذکر فی حال الصغر،أمّا فی حال الکبر فلیس لهم ولایة إلاّ علی من کان مجنوناً من ذکر أو أنثی </w:t>
      </w:r>
      <w:r>
        <w:rPr>
          <w:rStyle w:val="FootnoteAnchor"/>
          <w:rtl w:val="true"/>
        </w:rPr>
        <w:footnoteReference w:id="978"/>
      </w: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تزوّج نفسها وغیرهاوتوکّل فی النکاح؛لأنّ الله تعالی‌قال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تَعْضُلُوهُنَّ أَنْ یَنْکِحْنَ أَزْواجَهُنَّ</w:t>
      </w:r>
      <w:r>
        <w:rPr>
          <w:rFonts w:eastAsia="Amiri" w:cs="Amiri" w:ascii="Amiri" w:hAnsi="Amiri"/>
          <w:color w:val="111111"/>
          <w:sz w:val="28"/>
          <w:szCs w:val="28"/>
          <w:rtl w:val="true"/>
          <w:lang w:bidi="ar-SA"/>
        </w:rPr>
        <w:t xml:space="preserve">... </w:t>
      </w:r>
      <w:r>
        <w:rPr>
          <w:rStyle w:val="FootnoteAnchor"/>
          <w:rtl w:val="true"/>
        </w:rPr>
        <w:footnoteReference w:id="979"/>
      </w:r>
      <w:r>
        <w:rPr>
          <w:rFonts w:ascii="IRNazanin" w:hAnsi="IRNazanin" w:eastAsia="IRNazanin"/>
          <w:color w:val="111111"/>
          <w:sz w:val="28"/>
          <w:sz w:val="28"/>
          <w:szCs w:val="28"/>
          <w:rtl w:val="true"/>
          <w:lang w:bidi="fa-IR"/>
        </w:rPr>
        <w:t>أضاف النکاح إلیهنّ ونهی عن منعهنّ منه؛ولأنّه خالص حقّها وهی من أهل المباشرة کبیع أمتها</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وقال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الرشد شرطاً لصحّة الزواج ولا لنفاذه فإنّ تزوج السفیه امرأة جاز زواجه؛لأنّه من حوائجه الأصلیة وتصرفاته الشخصیة،والحجر إنّما هو علی التصرفات المالیة المحضة و القاعدة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مالا یؤثر فیه الهزل کالعتق و النکاح،لایؤثر فیه الحجر</w:t>
      </w:r>
      <w:r>
        <w:rPr>
          <w:rFonts w:eastAsia="IRNazanin" w:cs="IRNazanin"/>
          <w:color w:val="111111"/>
          <w:sz w:val="28"/>
          <w:szCs w:val="28"/>
          <w:rtl w:val="true"/>
          <w:lang w:bidi="fa-IR"/>
        </w:rPr>
        <w:t xml:space="preserve">. </w:t>
      </w:r>
      <w:r>
        <w:rPr>
          <w:rStyle w:val="FootnoteAnchor"/>
          <w:rtl w:val="true"/>
        </w:rPr>
        <w:footnoteReference w:id="98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لاتثبت ولایة‌الاستبداد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البالغ العاقل ولا علی البالغة العاقلة</w:t>
      </w:r>
      <w:r>
        <w:rPr>
          <w:rFonts w:eastAsia="IRNazanin" w:cs="IRNazanin"/>
          <w:color w:val="111111"/>
          <w:sz w:val="28"/>
          <w:szCs w:val="28"/>
          <w:rtl w:val="true"/>
          <w:lang w:bidi="fa-IR"/>
        </w:rPr>
        <w:t xml:space="preserve">. </w:t>
      </w:r>
      <w:r>
        <w:rPr>
          <w:rStyle w:val="FootnoteAnchor"/>
          <w:rtl w:val="true"/>
        </w:rPr>
        <w:footnoteReference w:id="982"/>
      </w:r>
      <w:bookmarkStart w:id="2088" w:name="pg5240_59539"/>
    </w:p>
    <w:p>
      <w:pPr>
        <w:pStyle w:val="Heading4"/>
        <w:numPr>
          <w:ilvl w:val="3"/>
          <w:numId w:val="1"/>
        </w:numPr>
        <w:rPr/>
      </w:pPr>
      <w:bookmarkStart w:id="2089" w:name="__RefHeading___Toc364044_581953129"/>
      <w:bookmarkStart w:id="2090" w:name="_Toc876"/>
      <w:bookmarkEnd w:id="2088"/>
      <w:bookmarkEnd w:id="2089"/>
      <w:r>
        <w:rPr>
          <w:rtl w:val="true"/>
        </w:rPr>
        <w:t>المذهب الجعفری</w:t>
      </w:r>
      <w:bookmarkEnd w:id="2090"/>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ولایة الأب 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والوصی لأحدهما مع فقد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الصغیر و المجنون ولا ولایة لهما علی البالغ الرشید ولا علی البالغة الرشیدة إذا کانت ثیبة،واختلفوا فی ثبوتها علی البکر الرشیدة علی أقوال،والمسألة مشکلة فلا یترک مراعاة الاحتیاط بالاستئذان منها،نعم لوعضلها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منعها من التزویج للکفو مع میلها سقط اعتبار إذنه،وکذا یسقط اعتبار إذنه إذاکان غائباً لا یمکن الاستئذان منه مع حاجتها إلی التزویج</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ذلک جمعاً بین الأدلّة و النصوص،وقال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لایشترط فی نکاح الرشیدة حضور الولی</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ذلک،لإطلاق أدلّة النکاح وعموم السلطنة؛أضف إلی ذلک أنّه قد ورد هناک نصّ معتبر یدلّنا علی المطلوب،و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زرارة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المرأة‌الّتی قد ملکت نفسها غیر السفیهة ولا المولّی علیها،تزویجها بغیر ولی جائز</w:t>
      </w:r>
      <w:r>
        <w:rPr>
          <w:rFonts w:eastAsia="IRNazanin" w:cs="IRNazanin"/>
          <w:color w:val="111111"/>
          <w:sz w:val="28"/>
          <w:szCs w:val="28"/>
          <w:rtl w:val="true"/>
          <w:lang w:bidi="fa-IR"/>
        </w:rPr>
        <w:t xml:space="preserve">» </w:t>
      </w:r>
      <w:r>
        <w:rPr>
          <w:rStyle w:val="FootnoteAnchor"/>
          <w:rtl w:val="true"/>
        </w:rPr>
        <w:footnoteReference w:id="985"/>
      </w:r>
      <w:r>
        <w:rPr>
          <w:rFonts w:ascii="Amiri" w:hAnsi="Amiri" w:eastAsia="Amiri" w:cs="Amiri"/>
          <w:color w:val="111111"/>
          <w:sz w:val="28"/>
          <w:sz w:val="28"/>
          <w:szCs w:val="28"/>
          <w:rtl w:val="true"/>
          <w:lang w:bidi="ar-SA"/>
        </w:rPr>
        <w:t>والدلالة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بعض الروایات الدالّة علی الاستئذان وهی تحمل علی الاستحباب،وعلیه یمکننا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یستحبّ فی النکاح إذن الولی</w:t>
      </w:r>
      <w:r>
        <w:rPr>
          <w:rFonts w:eastAsia="IRNazanin" w:cs="IRNazanin"/>
          <w:color w:val="111111"/>
          <w:sz w:val="28"/>
          <w:szCs w:val="28"/>
          <w:rtl w:val="true"/>
          <w:lang w:bidi="fa-IR"/>
        </w:rPr>
        <w:t>.</w:t>
      </w:r>
    </w:p>
    <w:p>
      <w:pPr>
        <w:pStyle w:val="Heading4"/>
        <w:numPr>
          <w:ilvl w:val="3"/>
          <w:numId w:val="1"/>
        </w:numPr>
        <w:rPr/>
      </w:pPr>
      <w:bookmarkStart w:id="2091" w:name="__RefHeading___Toc364046_581953129"/>
      <w:bookmarkStart w:id="2092" w:name="_Toc877"/>
      <w:bookmarkEnd w:id="2091"/>
      <w:r>
        <w:rPr>
          <w:rtl w:val="true"/>
        </w:rPr>
        <w:t>منشأ الاختلاف</w:t>
      </w:r>
      <w:bookmarkEnd w:id="209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هنا ناشئ عن الاختلاف فی النصوص الواردة عن طریقی آل‌البیت علیهم السلام و الصحابة وربّما کان الحکم بعدم صحّة نکاح المرأة بدون إذن الولی ناشئاً عن المضایقات الّتی کانت تلحقهنّ فی العصر الجاهلی،ولا زالت مستمرّة فی بعض البلدان</w:t>
      </w:r>
      <w:r>
        <w:rPr>
          <w:rFonts w:eastAsia="IRNazanin" w:cs="IRNazanin"/>
          <w:color w:val="111111"/>
          <w:sz w:val="28"/>
          <w:szCs w:val="28"/>
          <w:rtl w:val="true"/>
          <w:lang w:bidi="fa-IR"/>
        </w:rPr>
        <w:t>.</w:t>
      </w:r>
      <w:bookmarkStart w:id="2093" w:name="pg5240_59540"/>
    </w:p>
    <w:p>
      <w:pPr>
        <w:pStyle w:val="BookText"/>
        <w:rPr/>
      </w:pPr>
      <w:bookmarkEnd w:id="2093"/>
      <w:r>
        <w:rPr>
          <w:rFonts w:ascii="IRNazanin" w:hAnsi="IRNazanin" w:eastAsia="IRNazanin"/>
          <w:color w:val="111111"/>
          <w:sz w:val="28"/>
          <w:sz w:val="28"/>
          <w:szCs w:val="28"/>
          <w:rtl w:val="true"/>
          <w:lang w:bidi="fa-IR"/>
        </w:rPr>
        <w:t>ومن الجدیر بالذکر أنّ استئذان الرشیدة الباکرة من أبیها فی عقد النکاح عمل صالح وسنّة حسنة له آثار إیجابیة کثیرة وعلیه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لزوماً فی تزویج البالغة الرشیدة الباکرة،اعتبار إذن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أو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وإذنها معاً،ویکفی فی إثبات إذنها سکوتها</w:t>
      </w:r>
      <w:r>
        <w:rPr>
          <w:rFonts w:eastAsia="IRNazanin" w:cs="IRNazanin"/>
          <w:color w:val="111111"/>
          <w:sz w:val="28"/>
          <w:szCs w:val="28"/>
          <w:rtl w:val="true"/>
          <w:lang w:bidi="fa-IR"/>
        </w:rPr>
        <w:t xml:space="preserve">. </w:t>
      </w:r>
      <w:r>
        <w:rPr>
          <w:rStyle w:val="FootnoteAnchor"/>
          <w:rtl w:val="true"/>
        </w:rPr>
        <w:footnoteReference w:id="986"/>
      </w:r>
    </w:p>
    <w:p>
      <w:pPr>
        <w:pStyle w:val="Heading3"/>
        <w:numPr>
          <w:ilvl w:val="2"/>
          <w:numId w:val="1"/>
        </w:numPr>
        <w:rPr/>
      </w:pPr>
      <w:bookmarkStart w:id="2094" w:name="__RefHeading___Toc364048_581953129"/>
      <w:bookmarkStart w:id="2095" w:name="_Toc878"/>
      <w:bookmarkEnd w:id="2094"/>
      <w:r>
        <w:rPr>
          <w:rtl w:val="true"/>
        </w:rPr>
        <w:t>حول النکاح الموقّت</w:t>
      </w:r>
      <w:r>
        <w:rPr>
          <w:rtl w:val="true"/>
        </w:rPr>
        <w:t>-</w:t>
      </w:r>
      <w:r>
        <w:rPr>
          <w:rtl w:val="true"/>
        </w:rPr>
        <w:t>المتعة</w:t>
      </w:r>
      <w:r>
        <w:rPr>
          <w:rtl w:val="true"/>
        </w:rPr>
        <w:t>-</w:t>
      </w:r>
      <w:bookmarkEnd w:id="2095"/>
    </w:p>
    <w:p>
      <w:pPr>
        <w:pStyle w:val="Heading4"/>
        <w:numPr>
          <w:ilvl w:val="3"/>
          <w:numId w:val="1"/>
        </w:numPr>
        <w:rPr/>
      </w:pPr>
      <w:bookmarkStart w:id="2096" w:name="__RefHeading___Toc364050_581953129"/>
      <w:bookmarkStart w:id="2097" w:name="_Toc879"/>
      <w:bookmarkEnd w:id="2096"/>
      <w:r>
        <w:rPr>
          <w:rtl w:val="true"/>
        </w:rPr>
        <w:t>اشارة</w:t>
      </w:r>
      <w:bookmarkEnd w:id="2097"/>
    </w:p>
    <w:p>
      <w:pPr>
        <w:pStyle w:val="BookText"/>
        <w:rPr/>
      </w:pPr>
      <w:r>
        <w:rPr>
          <w:rFonts w:ascii="IRNazanin" w:hAnsi="IRNazanin" w:eastAsia="IRNazanin"/>
          <w:color w:val="111111"/>
          <w:sz w:val="28"/>
          <w:sz w:val="28"/>
          <w:szCs w:val="28"/>
          <w:rtl w:val="true"/>
          <w:lang w:bidi="fa-IR"/>
        </w:rPr>
        <w:t>اختلفت الآراء بالنسبة إلی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وبطلانها و هذه المسألة من المسائل الخلافیة المهمّة بین المذاهب الأربعة و المذهب الجعفری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098" w:name="__RefHeading___Toc364052_581953129"/>
      <w:bookmarkStart w:id="2099" w:name="_Toc880"/>
      <w:bookmarkEnd w:id="2098"/>
      <w:r>
        <w:rPr>
          <w:rtl w:val="true"/>
        </w:rPr>
        <w:t>المذاهب الأربعة</w:t>
      </w:r>
      <w:bookmarkEnd w:id="2099"/>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المتعة أو النکاح الموقّت باطل باتّفاق المسلمین،وما نقل من إباحته فی صدر الإسلام فقد کان لضرورة اقتضتها حالة الحرب و القتال،یدلّ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مسلم عن سبرة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رسول الله صلی الله علیه و آله بالمتعة عام الفتح حین دخلنا مکّة،ثمّ لم نخرج حتّی نهانا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حکم صریح فی أنّه حکم‌موقّت اقتضته ضرورة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ماجه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کنت أذنت فی الاستمتاع،ألا و إنّ الله حرّمها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من أحدٍ استحقّ علیه التعزیر لا الحدّ؛وذلک لأنّه نقل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جائز،وذلک شبهة توجب سقوط الحدّ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روی من أنّ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جائز فالصحیح أنّه قال ذلک قبل أن یبلغه نسخه،و قد وقعت بینه وبین ابن الزبیر مشادّة فی ذلک فقد روی أنّ ابن الزبیر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أناس أعمی الله بصائرهم،کما أعمی أبصارهم یقولون بحلّ نکاح المتعة فقال ابن</w:t>
      </w:r>
      <w:bookmarkStart w:id="2100" w:name="pg5240_59541"/>
    </w:p>
    <w:p>
      <w:pPr>
        <w:pStyle w:val="BookText"/>
        <w:rPr/>
      </w:pPr>
      <w:bookmarkEnd w:id="2100"/>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جلف جاف لقد رأیت إمام المتّقین رسول الله صلی الله علیه و آله یجیزه،فظاهر هذا أنّ ابن عبّاس لم یبلغه النسخ</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وقال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نکاح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باطل نصّ علیه أحمد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المتعة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أبناء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روایة اخری أنّها مکروهة غیر حرام؛لأنّ ابن منصور سأل أحمد عنها؟فقال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یجتنبها أحبّ إلی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هذا الکراهة دون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عن ابن عبّاس أنّها جائزة وعلیه أکثر أصحابه،عطاء،وطاوس،وبه قال ابن جریح وحکی ذلک عن أبی‌سعید الخدری وجابر وإلیه ذهب الشیعة؛لأنّه قد ثبت أنّ النبی صلی الله علیه و آله أذن فیها،وروی أنّ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 و آله أنهی عنهما وأعاقب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 ومتعة الحجّ؛ولأنّه عقد علی منفعة فیکون موقّتاً کالإجارة</w:t>
      </w:r>
      <w:r>
        <w:rPr>
          <w:rFonts w:eastAsia="IRNazanin" w:cs="IRNazanin"/>
          <w:color w:val="111111"/>
          <w:sz w:val="28"/>
          <w:szCs w:val="28"/>
          <w:rtl w:val="true"/>
          <w:lang w:bidi="fa-IR"/>
        </w:rPr>
        <w:t xml:space="preserve">. </w:t>
      </w:r>
      <w:r>
        <w:rPr>
          <w:rStyle w:val="FootnoteAnchor"/>
          <w:rtl w:val="true"/>
        </w:rPr>
        <w:footnoteReference w:id="988"/>
      </w:r>
    </w:p>
    <w:p>
      <w:pPr>
        <w:pStyle w:val="Heading4"/>
        <w:numPr>
          <w:ilvl w:val="3"/>
          <w:numId w:val="1"/>
        </w:numPr>
        <w:rPr/>
      </w:pPr>
      <w:bookmarkStart w:id="2101" w:name="__RefHeading___Toc364054_581953129"/>
      <w:bookmarkStart w:id="2102" w:name="_Toc881"/>
      <w:bookmarkEnd w:id="2101"/>
      <w:r>
        <w:rPr>
          <w:rtl w:val="true"/>
        </w:rPr>
        <w:t>المذهب الجعفری</w:t>
      </w:r>
      <w:bookmarkEnd w:id="210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النکاح الموقت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 فی دین الإسلام؛لتحقّق شرعیته وعدم ما یدلّ علی رفعه</w:t>
      </w:r>
      <w:r>
        <w:rPr>
          <w:rFonts w:eastAsia="IRNazanin" w:cs="IRNazanin"/>
          <w:color w:val="111111"/>
          <w:sz w:val="28"/>
          <w:szCs w:val="28"/>
          <w:rtl w:val="true"/>
          <w:lang w:bidi="fa-IR"/>
        </w:rPr>
        <w:t xml:space="preserve">. </w:t>
      </w:r>
      <w:r>
        <w:rPr>
          <w:rStyle w:val="FootnoteAnchor"/>
          <w:rtl w:val="true"/>
        </w:rPr>
        <w:footnoteReference w:id="989"/>
      </w:r>
      <w:r>
        <w:rPr>
          <w:rFonts w:ascii="Amiri" w:hAnsi="Amiri" w:eastAsia="Amiri" w:cs="Amiri"/>
          <w:color w:val="111111"/>
          <w:sz w:val="28"/>
          <w:sz w:val="28"/>
          <w:szCs w:val="28"/>
          <w:rtl w:val="true"/>
          <w:lang w:bidi="ar-SA"/>
        </w:rPr>
        <w:t>ویمکن الاستدلال علی جواز المتعة بالکتاب و السنّة،منها ما رواه أبوبصیر فی الصحیح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أباجعفر علیه السلام 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 وَ لا جُناحَ عَلَیْکُمْ فِیما تَراضَیْتُمْ بِهِ مِنْ بَعْدِ الْفَرِیضَةِ</w:t>
      </w:r>
      <w:r>
        <w:rPr>
          <w:rFonts w:eastAsia="Amiri" w:cs="Amiri" w:ascii="Amiri" w:hAnsi="Amiri"/>
          <w:color w:val="111111"/>
          <w:sz w:val="28"/>
          <w:szCs w:val="28"/>
          <w:rtl w:val="true"/>
          <w:lang w:bidi="ar-SA"/>
        </w:rPr>
        <w:t xml:space="preserve">... . </w:t>
      </w:r>
      <w:r>
        <w:rPr>
          <w:rStyle w:val="FootnoteAnchor"/>
          <w:rtl w:val="true"/>
        </w:rPr>
        <w:footnoteReference w:id="990"/>
      </w:r>
      <w:r>
        <w:rPr>
          <w:rFonts w:ascii="Amiri" w:hAnsi="Amiri" w:eastAsia="Amiri" w:cs="Amiri"/>
          <w:color w:val="111111"/>
          <w:sz w:val="28"/>
          <w:sz w:val="28"/>
          <w:szCs w:val="28"/>
          <w:rtl w:val="true"/>
          <w:lang w:bidi="ar-SA"/>
        </w:rPr>
        <w:t>و هذا هو المدرک التامّ کتاباً وسنّةً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عبدالله‌بن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اللیثی إلی أبی‌جعفر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متعة النساء؟فقال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أحلّها فی کتابه وعلی سنّة نبیه،فهی حلال إلی یوم القیامة</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ویؤکّد ذلک ما نقله العلامة الأمینی عن صحیحی البخاری ومسلم وتفسیر الثعلبی عن عمران‌بن حصین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آیة المتعة فی کتاب الله عزوجلّ ولم تنزل آیة بعدها تنسخها،فأمرنا بها رسول الله صلی الله علیه و آله،ولم ینهانا عنها</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والدلالة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صحیح الترمذی أنّه سأل رجل من أهل الشام،ابن عمر عن متعة النساء،قال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قد نهی 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کان أبی‌قد نهی عنها وسنّها رسول الله صلی الله علیه و آله،نترک السنّة ونتّبع أبی</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شرعیة المتعة فی دین الإسلام باتّفاق المسلمین،و إنّ المسلمین کانوا یفعلونه من غیر نکیر،وکذا کان فی خلافة أبی‌بکر ومدّة من خلافة عمر،نعم هو حرّمه فی المدّة الاُخری من تلقاء نفسه بعد أن روی شرعیته عن صاحب الشرع،فإنّه فیما اشتهر عنه بین الفریقین،صعد المنبر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متعتان کانتا علی عهد رسول الله صلی الله علیه و آله أنا أنهی عنهما واُحرّمهما واُعاقب علیهما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متعة الحجّ ومتعة النساء </w:t>
      </w:r>
      <w:r>
        <w:rPr>
          <w:rStyle w:val="FootnoteAnchor"/>
          <w:rtl w:val="true"/>
        </w:rPr>
        <w:footnoteReference w:id="994"/>
      </w: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ثلاث‌کنّ علی عهد رسول الله صلی الله علیه و آله أنا أنهی عنهنّ واُحرّمهن واُعاقب علیهنّ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 ومتعة الحجّ،وحی علی خیر العمل،و هو صریح فی تحریمه‌ما روی عن رسول‌الله صلی الله علیه و آله شرعیته،وجعل تحریمه أولی بالاتّباع و القبول،حیث توعّد من خالفه بالعقوبة و الزجر بل فی متعة النساء بالحدّ و الرجم،فعن صحیح مسلم عن قتادة عن أبی‌نضرة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عبّاس یأمر بالمتعة وکان ابن الزبیر ینهی عنها فذکرت ذلک</w:t>
      </w:r>
    </w:p>
    <w:p>
      <w:pPr>
        <w:pStyle w:val="BookText"/>
        <w:rPr/>
      </w:pPr>
      <w:r>
        <w:rPr>
          <w:rFonts w:ascii="IRNazanin" w:hAnsi="IRNazanin" w:eastAsia="IRNazanin"/>
          <w:color w:val="111111"/>
          <w:sz w:val="28"/>
          <w:sz w:val="28"/>
          <w:szCs w:val="28"/>
          <w:rtl w:val="true"/>
          <w:lang w:bidi="fa-IR"/>
        </w:rPr>
        <w:t>لجابربن عبدالله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تمتّعنا علی عهد رسول الله صلی الله علیه و آله فلمّا قام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یحلّ لرسول الله صلی الله علیه و آله ماشاء بما شاء و أنّ القرآن قد نزل منازله،فأتمّوا الحجّ و العمرة لله کما أمرکم الله عزّوجلّ وأبتّوا نکاح هذه النساء،فلن اوتی برجل نکح امرأة إلی أجل إلاّ رجمته بالحجارة</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وهل یجوز الردّ علی النبی صلی الله علیه و آله؟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 أتباعه فی الجواب عنه 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رفع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النبی صلی الله علیه و آله مجتهداً فی الأحکام الشرعیة ویجوز لمجتهد آخر مخالفته و هو من السخافة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الاُصول الإمامیة فظاهر؛لقولهم بعصمة النبی صلی الله علیه و آله أنّ ما یحکم به عن وحی إلهی لایتطرّق إلیه السهو و الخطأ کما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کُنْتُ بِدْعاً مِنَ الرُّسُلِ وَ ما أَدْرِی ما یُفْعَلُ بِی وَ لا بِکُمْ إِنْ أَتَّبِعُ إِلاّ ما یُوحی إِلَیَّ</w:t>
      </w:r>
      <w:r>
        <w:rPr>
          <w:rFonts w:eastAsia="Amiri" w:cs="Amiri" w:ascii="Amiri" w:hAnsi="Amiri"/>
          <w:color w:val="111111"/>
          <w:sz w:val="28"/>
          <w:szCs w:val="28"/>
          <w:rtl w:val="true"/>
          <w:lang w:bidi="ar-SA"/>
        </w:rPr>
        <w:t xml:space="preserve">... . </w:t>
      </w:r>
      <w:r>
        <w:rPr>
          <w:rStyle w:val="FootnoteAnchor"/>
          <w:rtl w:val="true"/>
        </w:rPr>
        <w:footnoteReference w:id="997"/>
      </w:r>
      <w:r>
        <w:rPr>
          <w:rFonts w:ascii="IRNazanin" w:hAnsi="IRNazanin" w:eastAsia="IRNazanin"/>
          <w:color w:val="111111"/>
          <w:sz w:val="28"/>
          <w:sz w:val="28"/>
          <w:szCs w:val="28"/>
          <w:rtl w:val="true"/>
          <w:lang w:bidi="fa-IR"/>
        </w:rPr>
        <w:t>وحینئذٍ فلا یسوغ لأحدٍ مخالفته ولا اجتهاد فی مقابلة قضائه وحکمه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رأی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النافین عصمة الأنبیاء فلأنّهم إنّما نفوا عصمتهم فیما لیس له علاقة بتبلیغ‌الأحکام الشرعیة،و أمّا ما یتعلّق بالأحکام الشرعیة وتبلیغها فقد أوجبوا العصمة فیها؛لأنّ الخطأ فیها مناف لما تقتضیه المعجزة من وجوب تصدیق النبی صلی الله علیه و آله فیما یبلّغه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فالکتاب العزیز دالّ علی وجوب طاعة النبی صلی الله علیه و آله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998"/>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bookmarkStart w:id="2103" w:name="pg5240_59544"/>
    </w:p>
    <w:p>
      <w:pPr>
        <w:pStyle w:val="BookText"/>
        <w:rPr/>
      </w:pPr>
      <w:bookmarkEnd w:id="2103"/>
      <w:r>
        <w:rPr>
          <w:rFonts w:ascii="Amiri" w:hAnsi="Amiri" w:eastAsia="Amiri" w:cs="Amiri"/>
          <w:color w:val="111111"/>
          <w:sz w:val="28"/>
          <w:sz w:val="28"/>
          <w:szCs w:val="28"/>
          <w:rtl w:val="true"/>
          <w:lang w:bidi="ar-SA"/>
        </w:rPr>
        <w:t xml:space="preserve">وَ مَنْ یَعْصِ اللّهَ وَ رَسُولَهُ فَقَدْ ضَلَّ ضَلالاً مُبِیناً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کلّ ذلک مضافاً إلی ما یعلم من تتبّع السیر وتصفّح آثار السلف اتّفاق الصحابة و التابعین علی نفی الاجتهاد و الرأی مع ورود النصّ عن النبی صلی الله علیه و آله وظهور حکمه فی شیء من الوقائع و الأحکام</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أضف إلی ذلک أنّه یمکن أن یکون للنکاح الموقّت آثار إیجابیة کثیرة کما روی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أمیرالمؤمنین علی علیه السلام أنّه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أنّ عمر نهی عن المتعة لما زنی إلاّ شقی، </w:t>
      </w:r>
      <w:r>
        <w:rPr>
          <w:rStyle w:val="FootnoteAnchor"/>
          <w:rtl w:val="true"/>
        </w:rPr>
        <w:footnoteReference w:id="1001"/>
      </w:r>
      <w:r>
        <w:rPr>
          <w:rFonts w:ascii="IRNazanin" w:hAnsi="IRNazanin" w:eastAsia="IRNazanin"/>
          <w:color w:val="111111"/>
          <w:sz w:val="28"/>
          <w:sz w:val="28"/>
          <w:szCs w:val="28"/>
          <w:rtl w:val="true"/>
          <w:lang w:bidi="fa-IR"/>
        </w:rPr>
        <w:t>ولعلّه علی أساس تلک الاختلافات لم یکن لنکاح المتعة واقع عملی فی مجتمعاتنا الإسلامیة کافةً،حیث لم تؤلف فی مظانّ التزویج بین الشیعة و السنّة،إلاّ أنّ الاختلاف حول المتعة هو نظری فحسب ولا خلاف فی عدم کونها مألوفة بین المسلمین فلا منازعة من ناحیة عملیة</w:t>
      </w:r>
      <w:r>
        <w:rPr>
          <w:rFonts w:eastAsia="IRNazanin" w:cs="IRNazanin"/>
          <w:color w:val="111111"/>
          <w:sz w:val="28"/>
          <w:szCs w:val="28"/>
          <w:rtl w:val="true"/>
          <w:lang w:bidi="fa-IR"/>
        </w:rPr>
        <w:t>.</w:t>
      </w:r>
    </w:p>
    <w:p>
      <w:pPr>
        <w:pStyle w:val="Heading3"/>
        <w:numPr>
          <w:ilvl w:val="2"/>
          <w:numId w:val="1"/>
        </w:numPr>
        <w:rPr/>
      </w:pPr>
      <w:bookmarkStart w:id="2104" w:name="__RefHeading___Toc364056_581953129"/>
      <w:bookmarkStart w:id="2105" w:name="_Toc882"/>
      <w:bookmarkEnd w:id="2104"/>
      <w:r>
        <w:rPr>
          <w:rtl w:val="true"/>
        </w:rPr>
        <w:t>زواج المسیار</w:t>
      </w:r>
      <w:bookmarkEnd w:id="210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القرضاوی انما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عامیة دارجة فی بعض البلاد الخلیج یقصدون منها المرور وعدم المکث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المسیار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النفقة و التسویة فی القسم والارث باشتراط عدم مطالبتها بهذه الحقوق</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والذی اعلنه القرضاوی ووافقه المفتی‌بن باز،هو الزواج الموقت بحسب الواقع</w:t>
      </w:r>
      <w:r>
        <w:rPr>
          <w:rFonts w:eastAsia="IRNazanin" w:cs="IRNazanin"/>
          <w:color w:val="111111"/>
          <w:sz w:val="28"/>
          <w:szCs w:val="28"/>
          <w:rtl w:val="true"/>
          <w:lang w:bidi="fa-IR"/>
        </w:rPr>
        <w:t>.</w:t>
      </w:r>
      <w:bookmarkStart w:id="2106" w:name="pg5240_59545"/>
    </w:p>
    <w:p>
      <w:pPr>
        <w:pStyle w:val="Heading3"/>
        <w:numPr>
          <w:ilvl w:val="2"/>
          <w:numId w:val="1"/>
        </w:numPr>
        <w:rPr/>
      </w:pPr>
      <w:bookmarkStart w:id="2107" w:name="__RefHeading___Toc364058_581953129"/>
      <w:bookmarkStart w:id="2108" w:name="_Toc883"/>
      <w:bookmarkEnd w:id="2106"/>
      <w:bookmarkEnd w:id="2107"/>
      <w:r>
        <w:rPr>
          <w:rtl w:val="true"/>
        </w:rPr>
        <w:t>الخلاصة</w:t>
      </w:r>
      <w:bookmarkEnd w:id="2108"/>
    </w:p>
    <w:p>
      <w:pPr>
        <w:pStyle w:val="BookText"/>
        <w:rPr/>
      </w:pPr>
      <w:r>
        <w:rPr>
          <w:rFonts w:ascii="IRNazanin" w:hAnsi="IRNazanin" w:eastAsia="IRNazanin"/>
          <w:color w:val="111111"/>
          <w:sz w:val="28"/>
          <w:sz w:val="28"/>
          <w:szCs w:val="28"/>
          <w:rtl w:val="true"/>
          <w:lang w:bidi="fa-IR"/>
        </w:rPr>
        <w:t>یصحّ النکاح بلفظ‌التملیک وما شاکله علی المذهب الحنفی ولایصحّ علی‌المذاهب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القصد فی العقد علی المذهب الجعفری ولا یشترط ذلک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 الفسخ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لایفسد العقد من أصله،علی المذهب الجعفری و الحنبلی و الحنفی ویفسد العقد علی مذهبی الشافعی و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لایجب الإشهاد علی العقد علی المذهب الجعفری ویجب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لایصحّ العقد بدون أن یباشره الولی علی المذاهب الأربعة ولا ولایة علی البالغ الرشید و الرشیدة و الأحوط علی الباکرة الرشیدة الاستئذان من الولی علی 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النکاح الموقت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الجعفری ولایجوز علی المذاهب الأربعة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لاخلاف فی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المذاهب أجمع؛لعدم الواقع العملی للمتعة فی التاریخ المعاصر</w:t>
      </w:r>
      <w:r>
        <w:rPr>
          <w:rFonts w:eastAsia="IRNazanin" w:cs="IRNazanin"/>
          <w:color w:val="111111"/>
          <w:sz w:val="28"/>
          <w:szCs w:val="28"/>
          <w:rtl w:val="true"/>
          <w:lang w:bidi="fa-IR"/>
        </w:rPr>
        <w:t>.</w:t>
      </w:r>
      <w:bookmarkStart w:id="2109" w:name="pg5240_59546"/>
    </w:p>
    <w:p>
      <w:pPr>
        <w:pStyle w:val="Heading3"/>
        <w:numPr>
          <w:ilvl w:val="2"/>
          <w:numId w:val="1"/>
        </w:numPr>
        <w:rPr/>
      </w:pPr>
      <w:bookmarkStart w:id="2110" w:name="__RefHeading___Toc364060_581953129"/>
      <w:bookmarkStart w:id="2111" w:name="_Toc884"/>
      <w:bookmarkEnd w:id="2109"/>
      <w:bookmarkEnd w:id="2110"/>
      <w:r>
        <w:rPr>
          <w:rtl w:val="true"/>
        </w:rPr>
        <w:t>الأسئلة</w:t>
      </w:r>
      <w:bookmarkEnd w:id="2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عقد النکاح بلفظ التملیک و الهبة و الصدقة؟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القصد فی صحّة العقد؟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الإشهاد علی العقد؟لماذا؟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أنّ الشرط الفاسد لیس بمفسد؟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العقد بدون إذن الولی؟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جواز المتعة؟</w:t>
      </w:r>
      <w:bookmarkStart w:id="2112" w:name="pg5240_59547"/>
    </w:p>
    <w:p>
      <w:pPr>
        <w:pStyle w:val="Heading2"/>
        <w:numPr>
          <w:ilvl w:val="1"/>
          <w:numId w:val="1"/>
        </w:numPr>
        <w:rPr/>
      </w:pPr>
      <w:bookmarkStart w:id="2113" w:name="__RefHeading___Toc364062_581953129"/>
      <w:bookmarkStart w:id="2114" w:name="_Toc885"/>
      <w:bookmarkEnd w:id="2112"/>
      <w:bookmarkEnd w:id="2113"/>
      <w:r>
        <w:rPr/>
        <w:t>30</w:t>
      </w:r>
      <w:r>
        <w:rPr>
          <w:rtl w:val="true"/>
        </w:rPr>
        <w:t xml:space="preserve">- </w:t>
      </w:r>
      <w:r>
        <w:rPr>
          <w:rtl w:val="true"/>
        </w:rPr>
        <w:t>حوار حول المتعة</w:t>
      </w:r>
      <w:bookmarkEnd w:id="2114"/>
    </w:p>
    <w:p>
      <w:pPr>
        <w:pStyle w:val="Heading3"/>
        <w:numPr>
          <w:ilvl w:val="2"/>
          <w:numId w:val="1"/>
        </w:numPr>
        <w:rPr/>
      </w:pPr>
      <w:bookmarkStart w:id="2115" w:name="__RefHeading___Toc364064_581953129"/>
      <w:bookmarkStart w:id="2116" w:name="_Toc886"/>
      <w:bookmarkEnd w:id="2115"/>
      <w:r>
        <w:rPr>
          <w:rtl w:val="true"/>
        </w:rPr>
        <w:t>اشارة</w:t>
      </w:r>
      <w:bookmarkEnd w:id="2116"/>
    </w:p>
    <w:p>
      <w:pPr>
        <w:pStyle w:val="BookText"/>
        <w:rPr/>
      </w:pPr>
      <w:r>
        <w:rPr>
          <w:rFonts w:ascii="IRNazanin" w:hAnsi="IRNazanin" w:eastAsia="IRNazanin"/>
          <w:color w:val="111111"/>
          <w:sz w:val="28"/>
          <w:sz w:val="28"/>
          <w:szCs w:val="28"/>
          <w:rtl w:val="true"/>
          <w:lang w:bidi="fa-IR"/>
        </w:rPr>
        <w:t>تحدّث بعض المحققین من أبناء السنّة عن مسئلة المتعة فاستعرض أدلّة جوازها وبادر إلی الرّد علیها،وأعلن عدم جواز المتعة،ولابأس بذکر ذلک الحدیث الفقهی و الملاحظة علیه،قال بأنّ للشیعة الإمامیة أدلّة علی جواز المتعة وهی بما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الاستمتاع دون النکاح،والاُجور دون المهور،ایتاء الأجر بعد الاستمتاع یکون فی عقد الإجارة،والمتعة هو عقد الإجارة علی البضع،أمّا المهر فإنّه یجب بنفس عقد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فی السنّة جواز المتعة فی بعض الغزوات،منها عام اوطاس،وفی عمرة القضاء وفی خیبر وعام الفتح وفی تبوک</w:t>
      </w:r>
      <w:r>
        <w:rPr>
          <w:rFonts w:eastAsia="IRNazanin" w:cs="IRNazanin"/>
          <w:color w:val="111111"/>
          <w:sz w:val="28"/>
          <w:szCs w:val="28"/>
          <w:rtl w:val="true"/>
          <w:lang w:bidi="fa-IR"/>
        </w:rPr>
        <w:t xml:space="preserve">. </w:t>
      </w:r>
      <w:r>
        <w:rPr>
          <w:rStyle w:val="FootnoteAnchor"/>
          <w:rtl w:val="true"/>
        </w:rPr>
        <w:footnoteReference w:id="100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نغزوا مع رسول الله صلی الله علیه و آله رخص لنا أن ننکح المرأة بالثوب إلی أجل،ثمّ قرأ ابن مسعود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تُحَرِّمُوا طَیِّباتِ ما أَحَلَّ اللّهُ</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أُحِلَّ لَکُمُ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الْمُؤْمِناتِ وَ الْمُحْصَناتُ مِنَ الَّذِینَ أُوتُوا الْکِتابَ مِنْ قَبْلِکُمْ إِذا آتَیْتُمُوهُنَّ أُجُورَهُنَّ</w:t>
      </w:r>
      <w:r>
        <w:rPr>
          <w:rFonts w:eastAsia="Amiri" w:cs="Amiri" w:ascii="Amiri" w:hAnsi="Amiri"/>
          <w:color w:val="111111"/>
          <w:sz w:val="28"/>
          <w:szCs w:val="28"/>
          <w:rtl w:val="true"/>
          <w:lang w:bidi="ar-SA"/>
        </w:rPr>
        <w:t xml:space="preserve">... </w:t>
      </w:r>
      <w:r>
        <w:rPr>
          <w:rStyle w:val="FootnoteAnchor"/>
          <w:rtl w:val="true"/>
        </w:rPr>
        <w:footnoteReference w:id="1007"/>
      </w:r>
      <w:r>
        <w:rPr>
          <w:rFonts w:ascii="IRNazanin" w:hAnsi="IRNazanin" w:eastAsia="IRNazanin"/>
          <w:color w:val="111111"/>
          <w:sz w:val="28"/>
          <w:sz w:val="28"/>
          <w:szCs w:val="28"/>
          <w:rtl w:val="true"/>
          <w:lang w:bidi="fa-IR"/>
        </w:rPr>
        <w:t>رواه البخاری ومسلم</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وفی صحیح مسلم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نستمتع بالقبضة من التمر و الدقیق علی عهد رسول الله صلی الله علیه و آله وأبی بکر حتّی نهی عمر فی شأن عمروبن حریث</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 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یقول بجواز المتعة ابن عبّاس وجماعة من السلف منهم بعض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أبی‌بکر وجابر وابن مسعود ومعاویة وعمروبن حریث وأبوسعید وسلمة،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بعض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وعطاء وسعیدبن جبیر وسائر فقهاء مکة منهم ابن جریح</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الاستمتاع النکاح،حیث بدأت بقوله تعالی وَ لا تَنْکِحُوا ما نَکَحَ آباؤُکُمْ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بالأجر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آتُوهُنَّ أُجُورَهُنَّ</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أی مهورهنَّ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آتَیْتَ أُجُورَهُنَّ</w:t>
      </w:r>
      <w:r>
        <w:rPr>
          <w:rFonts w:eastAsia="Amiri" w:cs="Amiri" w:ascii="Amiri" w:hAnsi="Amiri"/>
          <w:color w:val="111111"/>
          <w:sz w:val="28"/>
          <w:szCs w:val="28"/>
          <w:rtl w:val="true"/>
          <w:lang w:bidi="ar-SA"/>
        </w:rPr>
        <w:t xml:space="preserve">... </w:t>
      </w:r>
      <w:r>
        <w:rPr>
          <w:rStyle w:val="FootnoteAnchor"/>
          <w:rtl w:val="true"/>
        </w:rPr>
        <w:footnoteReference w:id="1012"/>
      </w:r>
      <w:r>
        <w:rPr>
          <w:rFonts w:ascii="IRNazanin" w:hAnsi="IRNazanin" w:eastAsia="IRNazanin"/>
          <w:color w:val="111111"/>
          <w:sz w:val="28"/>
          <w:sz w:val="28"/>
          <w:szCs w:val="28"/>
          <w:rtl w:val="true"/>
          <w:lang w:bidi="fa-IR"/>
        </w:rPr>
        <w:t>أی المهور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الأجر،تقدیم وتأخیر،والتقدیر،فآتوهنَّ اجورهنَّ إذا استمتعم مثل إذا طلقتم النساء أی إذا أردتم الاستمتاع</w:t>
      </w:r>
      <w:r>
        <w:rPr>
          <w:rFonts w:eastAsia="IRNazanin" w:cs="IRNazanin"/>
          <w:color w:val="111111"/>
          <w:sz w:val="28"/>
          <w:szCs w:val="28"/>
          <w:rtl w:val="true"/>
          <w:lang w:bidi="fa-IR"/>
        </w:rPr>
        <w:t xml:space="preserve">. </w:t>
      </w:r>
      <w:r>
        <w:rPr>
          <w:rStyle w:val="FootnoteAnchor"/>
          <w:rtl w:val="true"/>
        </w:rPr>
        <w:footnoteReference w:id="101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تجویز المتعة فی الغزوات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لضرورت اقتضت الجواز</w:t>
      </w:r>
      <w:r>
        <w:rPr>
          <w:rFonts w:eastAsia="IRNazanin" w:cs="IRNazanin"/>
          <w:color w:val="111111"/>
          <w:sz w:val="28"/>
          <w:szCs w:val="28"/>
          <w:rtl w:val="true"/>
          <w:lang w:bidi="fa-IR"/>
        </w:rPr>
        <w:t>.</w:t>
      </w:r>
      <w:bookmarkStart w:id="2117" w:name="pg5240_59549"/>
    </w:p>
    <w:p>
      <w:pPr>
        <w:pStyle w:val="Heading3"/>
        <w:numPr>
          <w:ilvl w:val="2"/>
          <w:numId w:val="1"/>
        </w:numPr>
        <w:rPr/>
      </w:pPr>
      <w:bookmarkStart w:id="2118" w:name="__RefHeading___Toc364066_581953129"/>
      <w:bookmarkStart w:id="2119" w:name="_Toc887"/>
      <w:bookmarkEnd w:id="2117"/>
      <w:bookmarkEnd w:id="2118"/>
      <w:r>
        <w:rPr>
          <w:rtl w:val="true"/>
        </w:rPr>
        <w:t>الملاحظة علیه</w:t>
      </w:r>
      <w:bookmarkEnd w:id="2119"/>
    </w:p>
    <w:p>
      <w:pPr>
        <w:pStyle w:val="BookText"/>
        <w:rPr/>
      </w:pPr>
      <w:r>
        <w:rPr>
          <w:rFonts w:ascii="IRNazanin" w:hAnsi="IRNazanin" w:eastAsia="IRNazanin"/>
          <w:color w:val="111111"/>
          <w:sz w:val="28"/>
          <w:sz w:val="28"/>
          <w:szCs w:val="28"/>
          <w:rtl w:val="true"/>
          <w:lang w:bidi="fa-IR"/>
        </w:rPr>
        <w:t>لاشک أنّ کلمة المتعة بینة المعنی الّتی لا تقبل النقاش بحسب الوضع اللغوی و المصطلح الفقهی،قال 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المتعة إسم للتمتع </w:t>
      </w:r>
      <w:r>
        <w:rPr>
          <w:rStyle w:val="FootnoteAnchor"/>
          <w:rtl w:val="true"/>
        </w:rPr>
        <w:footnoteReference w:id="1014"/>
      </w: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إلی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اعتمر فی أشهر الحج فقد استمتع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 بالمرأة لاترید ادامتها لنفسک،ومتعة التزویج بمکة منه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احتجّ محتجّ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یروی عن ابن عباس أنّه کان یراها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کان یقرؤها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فماستمتعتم به منهن إلی أجل مسمی،فالثابت عندنا أنّ ابن عباس کان یراها حلالاً،ثم لما وقف علی نهی النبی صلی الله علیه و آله رجع عن إحلالها،قال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المتعة إلاّ رحمة رحم الله بها امّة محمد صلی الله علیه و آله فلو لا نهیه عنها ما احتاج إلی الزنا إلاّ شقی و الله،قال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الّتی فی سورة النساء فما استمتعتم به منهن إلی کذا وکذا من الاجل علی کذا وکذا مسمی،فإن بدا لهما أن یتراضیا بعد الأجل و إن تفرقا فهم،ولیس بنکاح</w:t>
      </w:r>
      <w:r>
        <w:rPr>
          <w:rFonts w:eastAsia="IRNazanin" w:cs="IRNazanin"/>
          <w:color w:val="111111"/>
          <w:sz w:val="28"/>
          <w:szCs w:val="28"/>
          <w:rtl w:val="true"/>
          <w:lang w:bidi="fa-IR"/>
        </w:rPr>
        <w:t xml:space="preserve">. </w:t>
      </w:r>
      <w:r>
        <w:rPr>
          <w:rStyle w:val="FootnoteAnchor"/>
          <w:rtl w:val="true"/>
        </w:rPr>
        <w:footnoteReference w:id="1015"/>
      </w:r>
      <w:r>
        <w:rPr>
          <w:rFonts w:ascii="Amiri" w:hAnsi="Amiri" w:eastAsia="Amiri" w:cs="Amiri"/>
          <w:color w:val="111111"/>
          <w:sz w:val="28"/>
          <w:sz w:val="28"/>
          <w:szCs w:val="28"/>
          <w:rtl w:val="true"/>
          <w:lang w:bidi="ar-SA"/>
        </w:rPr>
        <w:t>فتبین لنا بکلّ وضوح أن الاستمتاع بحسب الوضع هو الزواج الموقت،و أما النکاح فهو 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1017"/>
      </w:r>
      <w:r>
        <w:rPr>
          <w:rFonts w:ascii="IRNazanin" w:hAnsi="IRNazanin" w:eastAsia="IRNazanin"/>
          <w:color w:val="111111"/>
          <w:sz w:val="28"/>
          <w:sz w:val="28"/>
          <w:szCs w:val="28"/>
          <w:rtl w:val="true"/>
          <w:lang w:bidi="fa-IR"/>
        </w:rPr>
        <w:t>فذکر فی تلک السورة،الزواج بقسمیه،الزواج الدائم بلفظ صریح فی النکاح مع خصائص اخری و الزواج الموقت بلفظ صریح فی المتعة مع الخصائص،و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ما نَکَحَ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 ما بعده من الآیات تدلنا علی عدم جواز نکاح المحارم</w:t>
      </w:r>
      <w:bookmarkStart w:id="2120" w:name="pg5240_59550"/>
    </w:p>
    <w:p>
      <w:pPr>
        <w:pStyle w:val="BookText"/>
        <w:rPr/>
      </w:pPr>
      <w:bookmarkEnd w:id="2120"/>
      <w:r>
        <w:rPr>
          <w:rFonts w:ascii="IRNazanin" w:hAnsi="IRNazanin" w:eastAsia="IRNazanin"/>
          <w:color w:val="111111"/>
          <w:sz w:val="28"/>
          <w:sz w:val="28"/>
          <w:szCs w:val="28"/>
          <w:rtl w:val="true"/>
          <w:lang w:bidi="fa-IR"/>
        </w:rPr>
        <w:t>الشرعیة ولا صلة له بالنکاح و الإستمتاع فلا یکون قرینة علی إرادة النکاح من الإستمتاع کما توهمه الکاتب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وعلیه فالآیة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فَآتُوهُنَّ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تصرّح علی الاستمتاع من النساء،وصریح القرآن حجة قطعیة لاریب فیها،وها هو المعنی الّذی فهمه الأصحاب الکبار کإبن عباس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ابی‌بن‌کعب وابن عباس وسعیدبن جبیر وابن مسعود،یقرأونها فما استمتعتم به منهنَّ إلی أجل مسمّی،اخرج الطبری ذلک عنهم فی تفسیر الآیة من تفسیره الکبیر،وأرسل الزمخشری فی الکشاف هذه القرائة،ارسال المسلمات،وکذلک الرازی فی تفسیره وشرح صحیح مسلم للنووی فی أول باب نکاح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وایده الإمام أحمد حنبل فی مسنده،وقال أبوبکر الجصاص فی أحکام القرآن وأبوبکر البیهقی فی السنن الکبری و القاضی البیضاوی فی تفسیره وابن‌کثیر فی تفسیره وجلال الدین السیوطی فی الدرالمنثور و القاضی الشوکانی فی تفسیره وشهاب الدین الآلوسی فی تفسیره نزول هذه الآیة فی موضوع المتعة،بأسناد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ضوء ذلک لایمکن الإلتزام بأنَّ المراد من الإستمتاع هو النکاح الدائم</w:t>
      </w:r>
      <w:r>
        <w:rPr>
          <w:rFonts w:eastAsia="IRNazanin" w:cs="IRNazanin"/>
          <w:color w:val="111111"/>
          <w:sz w:val="28"/>
          <w:szCs w:val="28"/>
          <w:rtl w:val="true"/>
          <w:lang w:bidi="fa-IR"/>
        </w:rPr>
        <w:t>.</w:t>
      </w:r>
    </w:p>
    <w:p>
      <w:pPr>
        <w:pStyle w:val="Heading3"/>
        <w:numPr>
          <w:ilvl w:val="2"/>
          <w:numId w:val="1"/>
        </w:numPr>
        <w:rPr/>
      </w:pPr>
      <w:bookmarkStart w:id="2121" w:name="__RefHeading___Toc364068_581953129"/>
      <w:bookmarkStart w:id="2122" w:name="_Toc888"/>
      <w:bookmarkEnd w:id="2121"/>
      <w:r>
        <w:rPr>
          <w:rtl w:val="true"/>
        </w:rPr>
        <w:t>القول بالنسخ</w:t>
      </w:r>
      <w:bookmarkEnd w:id="212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ثبت نزول الآیة فی المتعة حسب فهم الأصحاب و التابعین و المفسرین،لجأ جمع من أتباع مدرسة الخلفاء حمایة عن خلیفة الثانی،إلی أنّ آیة المتعة منسوخة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Style w:val="FootnoteAnchor"/>
          <w:rtl w:val="true"/>
        </w:rPr>
        <w:footnoteReference w:id="1018"/>
      </w:r>
      <w:r>
        <w:rPr>
          <w:rFonts w:ascii="IRNazanin" w:hAnsi="IRNazanin" w:eastAsia="IRNazanin"/>
          <w:color w:val="111111"/>
          <w:sz w:val="28"/>
          <w:sz w:val="28"/>
          <w:szCs w:val="28"/>
          <w:rtl w:val="true"/>
          <w:lang w:bidi="fa-IR"/>
        </w:rPr>
        <w:t>ومن حسن الحظ أن هذه الآیة مکیة وآیة المتعة مدنیة ولا یمکن أن یکون الناسخ قبل المنسوخ للخلف،أضف إلی ذلک أن القول بالنسخ ینافی مع قول الخلیفة الثانی المعروف</w:t>
      </w:r>
      <w:r>
        <w:rPr>
          <w:rFonts w:eastAsia="IRNazanin" w:cs="IRNazanin"/>
          <w:color w:val="111111"/>
          <w:sz w:val="28"/>
          <w:szCs w:val="28"/>
          <w:rtl w:val="true"/>
          <w:lang w:bidi="fa-IR"/>
        </w:rPr>
        <w:t>.</w:t>
      </w:r>
      <w:bookmarkStart w:id="2123" w:name="pg5240_59551"/>
    </w:p>
    <w:p>
      <w:pPr>
        <w:pStyle w:val="BookText"/>
        <w:rPr/>
      </w:pPr>
      <w:bookmarkEnd w:id="2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 و آله أنهی عنهما وأعاقب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 ومتعة الحج</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فلو کان النسخ ثابتاً هناک بآیة اخری أو بسنة نبویة لم یکن مجال لتحریم الخلیفة قطعاً</w:t>
      </w:r>
      <w:r>
        <w:rPr>
          <w:rFonts w:eastAsia="IRNazanin" w:cs="IRNazanin"/>
          <w:color w:val="111111"/>
          <w:sz w:val="28"/>
          <w:szCs w:val="28"/>
          <w:rtl w:val="true"/>
          <w:lang w:bidi="fa-IR"/>
        </w:rPr>
        <w:t>.</w:t>
      </w:r>
    </w:p>
    <w:p>
      <w:pPr>
        <w:pStyle w:val="Heading3"/>
        <w:numPr>
          <w:ilvl w:val="2"/>
          <w:numId w:val="1"/>
        </w:numPr>
        <w:rPr/>
      </w:pPr>
      <w:bookmarkStart w:id="2124" w:name="__RefHeading___Toc364070_581953129"/>
      <w:bookmarkStart w:id="2125" w:name="_Toc889"/>
      <w:bookmarkEnd w:id="2124"/>
      <w:r>
        <w:rPr>
          <w:rtl w:val="true"/>
        </w:rPr>
        <w:t>النصوص علی عدم النسخ</w:t>
      </w:r>
      <w:bookmarkEnd w:id="2125"/>
    </w:p>
    <w:p>
      <w:pPr>
        <w:pStyle w:val="BookText"/>
        <w:rPr/>
      </w:pPr>
      <w:r>
        <w:rPr>
          <w:rFonts w:ascii="IRNazanin" w:hAnsi="IRNazanin" w:eastAsia="IRNazanin"/>
          <w:color w:val="111111"/>
          <w:sz w:val="28"/>
          <w:sz w:val="28"/>
          <w:szCs w:val="28"/>
          <w:rtl w:val="true"/>
          <w:lang w:bidi="fa-IR"/>
        </w:rPr>
        <w:t>توجد هناک عدة نصوص تدلنا علی عدم ورود النسخ بالنسبة إلی آیة المتعة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المتعة محکمة لیست بمنسوخة</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عمران‌بن حصین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آیة المتعة فی کتاب الله تعالی،لم تنزل آیة بعدها تنسخها،فأمرنا بها رسول الله صلی الله علیه و آله،وتمتعنا مع رسول الله صلی الله علیه و آله ومات ولم ینهانا عنها ثمّ قال رجل برأیه ما شاء</w:t>
      </w:r>
      <w:r>
        <w:rPr>
          <w:rFonts w:eastAsia="IRNazanin" w:cs="IRNazanin"/>
          <w:color w:val="111111"/>
          <w:sz w:val="28"/>
          <w:szCs w:val="28"/>
          <w:rtl w:val="true"/>
          <w:lang w:bidi="fa-IR"/>
        </w:rPr>
        <w:t xml:space="preserve">. </w:t>
      </w:r>
      <w:r>
        <w:rPr>
          <w:rStyle w:val="FootnoteAnchor"/>
          <w:rtl w:val="true"/>
        </w:rPr>
        <w:footnoteReference w:id="102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 البخاری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آیة المتعة فی کتاب الله ففعلنا مع رسول الله صلی الله علیه و آله ولم ینزل قرآن یحرمها ولم ینه عنها حتّی مات،قال رجل برأیه ما شاء</w:t>
      </w:r>
      <w:r>
        <w:rPr>
          <w:rFonts w:eastAsia="IRNazanin" w:cs="IRNazanin"/>
          <w:color w:val="111111"/>
          <w:sz w:val="28"/>
          <w:szCs w:val="28"/>
          <w:rtl w:val="true"/>
          <w:lang w:bidi="fa-IR"/>
        </w:rPr>
        <w:t xml:space="preserve">. </w:t>
      </w:r>
      <w:r>
        <w:rPr>
          <w:rStyle w:val="FootnoteAnchor"/>
          <w:rtl w:val="true"/>
        </w:rPr>
        <w:footnoteReference w:id="1022"/>
      </w:r>
      <w:bookmarkStart w:id="2126" w:name="pg5240_59552"/>
    </w:p>
    <w:p>
      <w:pPr>
        <w:pStyle w:val="Heading3"/>
        <w:numPr>
          <w:ilvl w:val="2"/>
          <w:numId w:val="1"/>
        </w:numPr>
        <w:rPr/>
      </w:pPr>
      <w:bookmarkStart w:id="2127" w:name="__RefHeading___Toc364072_581953129"/>
      <w:bookmarkStart w:id="2128" w:name="_Toc890"/>
      <w:bookmarkEnd w:id="2126"/>
      <w:bookmarkEnd w:id="2127"/>
      <w:r>
        <w:rPr>
          <w:rtl w:val="true"/>
        </w:rPr>
        <w:t>الخلاصة</w:t>
      </w:r>
      <w:bookmarkEnd w:id="2128"/>
    </w:p>
    <w:p>
      <w:pPr>
        <w:pStyle w:val="BookText"/>
        <w:rPr/>
      </w:pPr>
      <w:r>
        <w:rPr>
          <w:rFonts w:ascii="IRNazanin" w:hAnsi="IRNazanin" w:eastAsia="IRNazanin"/>
          <w:color w:val="111111"/>
          <w:sz w:val="28"/>
          <w:sz w:val="28"/>
          <w:szCs w:val="28"/>
          <w:rtl w:val="true"/>
          <w:lang w:bidi="fa-IR"/>
        </w:rPr>
        <w:t>لا شک فی شرعیة الزواج الموقت وتحققه فی الإسلام فی مدّة من الزمن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فی مصطلح الأصحاب بآیة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فی سورة النساء،الزواج بقسمیه کل بلفظ صریح فی معناه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تحریم المتعة حکم حکومی صدر من قبل خلیفة الثانی</w:t>
      </w:r>
      <w:r>
        <w:rPr>
          <w:rFonts w:eastAsia="IRNazanin" w:cs="IRNazanin"/>
          <w:color w:val="111111"/>
          <w:sz w:val="28"/>
          <w:szCs w:val="28"/>
          <w:rtl w:val="true"/>
          <w:lang w:bidi="fa-IR"/>
        </w:rPr>
        <w:t>.</w:t>
      </w:r>
      <w:bookmarkStart w:id="2129" w:name="pg5240_59553"/>
    </w:p>
    <w:p>
      <w:pPr>
        <w:pStyle w:val="Heading3"/>
        <w:numPr>
          <w:ilvl w:val="2"/>
          <w:numId w:val="1"/>
        </w:numPr>
        <w:rPr/>
      </w:pPr>
      <w:bookmarkStart w:id="2130" w:name="__RefHeading___Toc364074_581953129"/>
      <w:bookmarkStart w:id="2131" w:name="_Toc891"/>
      <w:bookmarkEnd w:id="2129"/>
      <w:bookmarkEnd w:id="2130"/>
      <w:r>
        <w:rPr>
          <w:rtl w:val="true"/>
        </w:rPr>
        <w:t>الأسئلة</w:t>
      </w:r>
      <w:bookmarkEnd w:id="2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الإستمتاع هو النکاح؟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جواز المتعة؟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تحریم المتعة؟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صدور الحکم علی خلاف القرآن و السنة؟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آیة المتعة من الآیات المنسوخة؟</w:t>
      </w:r>
      <w:bookmarkStart w:id="2132" w:name="pg5240_59555"/>
    </w:p>
    <w:p>
      <w:pPr>
        <w:pStyle w:val="Heading2"/>
        <w:numPr>
          <w:ilvl w:val="1"/>
          <w:numId w:val="1"/>
        </w:numPr>
        <w:rPr/>
      </w:pPr>
      <w:bookmarkStart w:id="2133" w:name="__RefHeading___Toc364076_581953129"/>
      <w:bookmarkStart w:id="2134" w:name="_Toc892"/>
      <w:bookmarkEnd w:id="2132"/>
      <w:bookmarkEnd w:id="2133"/>
      <w:r>
        <w:rPr/>
        <w:t>31</w:t>
      </w:r>
      <w:r>
        <w:rPr>
          <w:rtl w:val="true"/>
        </w:rPr>
        <w:t xml:space="preserve">- </w:t>
      </w:r>
      <w:r>
        <w:rPr>
          <w:rtl w:val="true"/>
        </w:rPr>
        <w:t>أسباب تحریم المصاهرة</w:t>
      </w:r>
      <w:bookmarkEnd w:id="2134"/>
    </w:p>
    <w:p>
      <w:pPr>
        <w:pStyle w:val="Heading3"/>
        <w:numPr>
          <w:ilvl w:val="2"/>
          <w:numId w:val="1"/>
        </w:numPr>
        <w:rPr/>
      </w:pPr>
      <w:bookmarkStart w:id="2135" w:name="__RefHeading___Toc364078_581953129"/>
      <w:bookmarkStart w:id="2136" w:name="_Toc893"/>
      <w:bookmarkEnd w:id="2135"/>
      <w:r>
        <w:rPr>
          <w:rtl w:val="true"/>
        </w:rPr>
        <w:t>أسباب تحریم الزواج</w:t>
      </w:r>
      <w:bookmarkEnd w:id="2136"/>
    </w:p>
    <w:p>
      <w:pPr>
        <w:pStyle w:val="Heading4"/>
        <w:numPr>
          <w:ilvl w:val="3"/>
          <w:numId w:val="1"/>
        </w:numPr>
        <w:rPr/>
      </w:pPr>
      <w:bookmarkStart w:id="2137" w:name="__RefHeading___Toc364080_581953129"/>
      <w:bookmarkStart w:id="2138" w:name="_Toc894"/>
      <w:bookmarkEnd w:id="2137"/>
      <w:r>
        <w:rPr>
          <w:rtl w:val="true"/>
        </w:rPr>
        <w:t>اشارة</w:t>
      </w:r>
      <w:bookmarkEnd w:id="2138"/>
    </w:p>
    <w:p>
      <w:pPr>
        <w:pStyle w:val="BookText"/>
        <w:rPr/>
      </w:pPr>
      <w:r>
        <w:rPr>
          <w:rFonts w:ascii="IRNazanin" w:hAnsi="IRNazanin" w:eastAsia="IRNazanin"/>
          <w:color w:val="111111"/>
          <w:sz w:val="28"/>
          <w:sz w:val="28"/>
          <w:szCs w:val="28"/>
          <w:rtl w:val="true"/>
          <w:lang w:bidi="fa-IR"/>
        </w:rPr>
        <w:t>اختلفت الآراء بالنسبة إلی حرمة المصاهرة بواسطة الزنا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139" w:name="__RefHeading___Toc364082_581953129"/>
      <w:bookmarkStart w:id="2140" w:name="_Toc895"/>
      <w:bookmarkEnd w:id="2139"/>
      <w:r>
        <w:rPr>
          <w:rtl w:val="true"/>
        </w:rPr>
        <w:t>المذهب الجعفری</w:t>
      </w:r>
      <w:bookmarkEnd w:id="2140"/>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الطارئ علی التزویج لا یوجب الحرمة،و أمّا إن کان سابقاً علی التزویج فالتحریم لایخلو من قوّة</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ذلک علی أساس النصوص الواردة فی المقام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الزنا بعد التزویج لایوجب الحرمة إجماعاً ولما ورد فی جملة من النصوص من أنّ الحرام لایفسد الحلال أو إنّ الحرام لایحرّم الحلال</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ومن تلک النصوص صحیحة سعیدبن یسار قال سألت الإمام الصادق علیه السلام عن رجل فجر بامرأة یتزوّج ابنتها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سعید،إنّ الحرام لایفسد الحلال</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و أمّا إذا کان الزنا قبل التزویج</w:t>
      </w:r>
      <w:bookmarkStart w:id="2141" w:name="pg5240_59556"/>
    </w:p>
    <w:p>
      <w:pPr>
        <w:pStyle w:val="BookText"/>
        <w:rPr/>
      </w:pPr>
      <w:bookmarkEnd w:id="2141"/>
      <w:r>
        <w:rPr>
          <w:rFonts w:ascii="IRNazanin" w:hAnsi="IRNazanin" w:eastAsia="IRNazanin"/>
          <w:color w:val="111111"/>
          <w:sz w:val="28"/>
          <w:sz w:val="28"/>
          <w:szCs w:val="28"/>
          <w:rtl w:val="true"/>
          <w:lang w:bidi="fa-IR"/>
        </w:rPr>
        <w:t>فهو یوجب الحرمة علی أساس النصوص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محمّدبن مسلم عن الإمام الباقر أو الإمام الصادق علیه السلام أنّه سئل عن الرجل یفجر بامرأة أیتزوّج بابنتها؟قال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26"/>
      </w:r>
    </w:p>
    <w:p>
      <w:pPr>
        <w:pStyle w:val="Heading4"/>
        <w:numPr>
          <w:ilvl w:val="3"/>
          <w:numId w:val="1"/>
        </w:numPr>
        <w:rPr/>
      </w:pPr>
      <w:bookmarkStart w:id="2142" w:name="__RefHeading___Toc364084_581953129"/>
      <w:bookmarkStart w:id="2143" w:name="_Toc896"/>
      <w:bookmarkEnd w:id="2142"/>
      <w:r>
        <w:rPr>
          <w:rtl w:val="true"/>
        </w:rPr>
        <w:t>المذهب الحنبلی</w:t>
      </w:r>
      <w:bookmarkEnd w:id="2143"/>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فی أنّ الوط‌ء الحلال تثبت به حرمة المصاهرة،أمّا وط‌ء الشبهة و الزنا فإنّه تثبت به حرمة المصاهرة علی الصحیح من المذهب</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و هو نفس الرأی علی المذهب الحنفی</w:t>
      </w:r>
      <w:r>
        <w:rPr>
          <w:rFonts w:eastAsia="IRNazanin" w:cs="IRNazanin"/>
          <w:color w:val="111111"/>
          <w:sz w:val="28"/>
          <w:szCs w:val="28"/>
          <w:rtl w:val="true"/>
          <w:lang w:bidi="fa-IR"/>
        </w:rPr>
        <w:t>.</w:t>
      </w:r>
    </w:p>
    <w:p>
      <w:pPr>
        <w:pStyle w:val="Heading4"/>
        <w:numPr>
          <w:ilvl w:val="3"/>
          <w:numId w:val="1"/>
        </w:numPr>
        <w:rPr/>
      </w:pPr>
      <w:bookmarkStart w:id="2144" w:name="__RefHeading___Toc364086_581953129"/>
      <w:bookmarkStart w:id="2145" w:name="_Toc897"/>
      <w:bookmarkEnd w:id="2144"/>
      <w:r>
        <w:rPr>
          <w:rtl w:val="true"/>
        </w:rPr>
        <w:t>المذهب الشافعی</w:t>
      </w:r>
      <w:bookmarkEnd w:id="214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الزنا فإنّه لایوجب حرمة المصاهرة علی أی حال؛لأنّها نعمة من الله لایصحّ زوالها بذلک الفعل المحرّم</w:t>
      </w:r>
      <w:r>
        <w:rPr>
          <w:rFonts w:eastAsia="IRNazanin" w:cs="IRNazanin"/>
          <w:color w:val="111111"/>
          <w:sz w:val="28"/>
          <w:szCs w:val="28"/>
          <w:rtl w:val="true"/>
          <w:lang w:bidi="fa-IR"/>
        </w:rPr>
        <w:t xml:space="preserve">. </w:t>
      </w:r>
      <w:r>
        <w:rPr>
          <w:rStyle w:val="FootnoteAnchor"/>
          <w:rtl w:val="true"/>
        </w:rPr>
        <w:footnoteReference w:id="1028"/>
      </w:r>
      <w:r>
        <w:rPr>
          <w:rFonts w:ascii="Amiri" w:hAnsi="Amiri" w:eastAsia="Amiri" w:cs="Amiri"/>
          <w:color w:val="111111"/>
          <w:sz w:val="28"/>
          <w:sz w:val="28"/>
          <w:szCs w:val="28"/>
          <w:rtl w:val="true"/>
          <w:lang w:bidi="ar-SA"/>
        </w:rPr>
        <w:t>قال الدمیری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لمذهب الشافعی إنّ الزنا لایثبت حرمة المصاهرة قوله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لایحرّم الحرام الحلال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xml:space="preserve">... </w:t>
      </w:r>
      <w:r>
        <w:rPr>
          <w:rStyle w:val="FootnoteAnchor"/>
          <w:rtl w:val="true"/>
        </w:rPr>
        <w:footnoteReference w:id="1029"/>
      </w:r>
      <w:r>
        <w:rPr>
          <w:rFonts w:ascii="IRNazanin" w:hAnsi="IRNazanin" w:eastAsia="IRNazanin"/>
          <w:color w:val="111111"/>
          <w:sz w:val="28"/>
          <w:sz w:val="28"/>
          <w:szCs w:val="28"/>
          <w:rtl w:val="true"/>
          <w:lang w:bidi="fa-IR"/>
        </w:rPr>
        <w:t>یفید صراحة حلّ ماعدا المذکورات قبلها ولیس المزنی بها منهن فتدخل فی عموم الحلّ</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ابن عبّاس أنّ الوط‌ء المحرّم لایحرّم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قال مالک و الشافعی؛لما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لایحرّم الحرام الحلال؛ولأنّه وط‌ء لاتصیر به الموطوئة فراشاً فلا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ما نَکَحَ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والوط‌ء یسمّی نکاحاً</w:t>
      </w:r>
      <w:r>
        <w:rPr>
          <w:rFonts w:eastAsia="IRNazanin" w:cs="IRNazanin"/>
          <w:color w:val="111111"/>
          <w:sz w:val="28"/>
          <w:szCs w:val="28"/>
          <w:rtl w:val="true"/>
          <w:lang w:bidi="fa-IR"/>
        </w:rPr>
        <w:t xml:space="preserve">. </w:t>
      </w:r>
      <w:r>
        <w:rPr>
          <w:rStyle w:val="FootnoteAnchor"/>
          <w:rtl w:val="true"/>
        </w:rPr>
        <w:footnoteReference w:id="1031"/>
      </w:r>
      <w:bookmarkStart w:id="2146" w:name="pg5240_59557"/>
    </w:p>
    <w:p>
      <w:pPr>
        <w:pStyle w:val="Heading4"/>
        <w:numPr>
          <w:ilvl w:val="3"/>
          <w:numId w:val="1"/>
        </w:numPr>
        <w:rPr/>
      </w:pPr>
      <w:bookmarkStart w:id="2147" w:name="__RefHeading___Toc364088_581953129"/>
      <w:bookmarkStart w:id="2148" w:name="_Toc898"/>
      <w:bookmarkEnd w:id="2146"/>
      <w:bookmarkEnd w:id="2147"/>
      <w:r>
        <w:rPr>
          <w:rtl w:val="true"/>
        </w:rPr>
        <w:t>منشأ الاختلاف</w:t>
      </w:r>
      <w:bookmarkEnd w:id="2148"/>
    </w:p>
    <w:p>
      <w:pPr>
        <w:pStyle w:val="BookText"/>
        <w:rPr/>
      </w:pPr>
      <w:r>
        <w:rPr>
          <w:rFonts w:ascii="IRNazanin" w:hAnsi="IRNazanin" w:eastAsia="IRNazanin"/>
          <w:color w:val="111111"/>
          <w:sz w:val="28"/>
          <w:sz w:val="28"/>
          <w:szCs w:val="28"/>
          <w:rtl w:val="true"/>
          <w:lang w:bidi="fa-IR"/>
        </w:rPr>
        <w:t>إنّ الاختلاف هنا ناشئ عن الاختلاف فی النصوص والاختلاف فی الاجتهاد</w:t>
      </w:r>
      <w:r>
        <w:rPr>
          <w:rFonts w:eastAsia="IRNazanin" w:cs="IRNazanin"/>
          <w:color w:val="111111"/>
          <w:sz w:val="28"/>
          <w:szCs w:val="28"/>
          <w:rtl w:val="true"/>
          <w:lang w:bidi="fa-IR"/>
        </w:rPr>
        <w:t>.</w:t>
      </w:r>
    </w:p>
    <w:p>
      <w:pPr>
        <w:pStyle w:val="Heading3"/>
        <w:numPr>
          <w:ilvl w:val="2"/>
          <w:numId w:val="1"/>
        </w:numPr>
        <w:rPr/>
      </w:pPr>
      <w:bookmarkStart w:id="2149" w:name="__RefHeading___Toc364090_581953129"/>
      <w:bookmarkStart w:id="2150" w:name="_Toc899"/>
      <w:bookmarkEnd w:id="2149"/>
      <w:r>
        <w:rPr>
          <w:rtl w:val="true"/>
        </w:rPr>
        <w:t>حکم اللمس و النظر بشهوة</w:t>
      </w:r>
      <w:bookmarkEnd w:id="2150"/>
    </w:p>
    <w:p>
      <w:pPr>
        <w:pStyle w:val="Heading4"/>
        <w:numPr>
          <w:ilvl w:val="3"/>
          <w:numId w:val="1"/>
        </w:numPr>
        <w:rPr/>
      </w:pPr>
      <w:bookmarkStart w:id="2151" w:name="__RefHeading___Toc364092_581953129"/>
      <w:bookmarkStart w:id="2152" w:name="_Toc900"/>
      <w:bookmarkEnd w:id="2151"/>
      <w:r>
        <w:rPr>
          <w:rtl w:val="true"/>
        </w:rPr>
        <w:t>اشارة</w:t>
      </w:r>
      <w:bookmarkEnd w:id="2152"/>
    </w:p>
    <w:p>
      <w:pPr>
        <w:pStyle w:val="BookText"/>
        <w:rPr/>
      </w:pPr>
      <w:r>
        <w:rPr>
          <w:rFonts w:ascii="IRNazanin" w:hAnsi="IRNazanin" w:eastAsia="IRNazanin"/>
          <w:color w:val="111111"/>
          <w:sz w:val="28"/>
          <w:sz w:val="28"/>
          <w:szCs w:val="28"/>
          <w:rtl w:val="true"/>
          <w:lang w:bidi="fa-IR"/>
        </w:rPr>
        <w:t>اختلفت الآراء بالنسبة إلی تحریم المصاهرة بواسطة اللمس و النظر عن شهوة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153" w:name="__RefHeading___Toc364094_581953129"/>
      <w:bookmarkStart w:id="2154" w:name="_Toc901"/>
      <w:bookmarkEnd w:id="2153"/>
      <w:r>
        <w:rPr>
          <w:rtl w:val="true"/>
        </w:rPr>
        <w:t>المذهب الجعفری</w:t>
      </w:r>
      <w:bookmarkEnd w:id="2154"/>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لا یسوغ لغیر المالک،کنظر الفرج و القبلة ولمس باطن الجسد بشهوة،فیه تردّد أظهره أنّه یثمر کراهیة</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ذلک جمعاً بین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المجوّزة و المانعة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والفتاوی وعملاً بأصالة الحلّ</w:t>
      </w:r>
      <w:r>
        <w:rPr>
          <w:rFonts w:eastAsia="IRNazanin" w:cs="IRNazanin"/>
          <w:color w:val="111111"/>
          <w:sz w:val="28"/>
          <w:szCs w:val="28"/>
          <w:rtl w:val="true"/>
          <w:lang w:bidi="fa-IR"/>
        </w:rPr>
        <w:t>.</w:t>
      </w:r>
    </w:p>
    <w:p>
      <w:pPr>
        <w:pStyle w:val="Heading4"/>
        <w:numPr>
          <w:ilvl w:val="3"/>
          <w:numId w:val="1"/>
        </w:numPr>
        <w:rPr/>
      </w:pPr>
      <w:bookmarkStart w:id="2155" w:name="__RefHeading___Toc364096_581953129"/>
      <w:bookmarkStart w:id="2156" w:name="_Toc902"/>
      <w:bookmarkEnd w:id="2155"/>
      <w:r>
        <w:rPr>
          <w:rtl w:val="true"/>
        </w:rPr>
        <w:t>المذهب الحنبلی</w:t>
      </w:r>
      <w:bookmarkEnd w:id="2156"/>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الجوزجانی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عن رجل نظر إلی امّ امرأته فی شهوة أو قبّلها أو باشرها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 لایحرّمه شیء إلاّ الجماع؛لقوله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تَکُونُوا دَخَلْتُمْ بِهِنَّ فَلا جُناحَ عَلَیْکُمْ</w:t>
      </w:r>
      <w:r>
        <w:rPr>
          <w:rFonts w:eastAsia="Amiri" w:cs="Amiri" w:ascii="Amiri" w:hAnsi="Amiri"/>
          <w:color w:val="111111"/>
          <w:sz w:val="28"/>
          <w:szCs w:val="28"/>
          <w:rtl w:val="true"/>
          <w:lang w:bidi="ar-SA"/>
        </w:rPr>
        <w:t xml:space="preserve">... . </w:t>
      </w:r>
      <w:r>
        <w:rPr>
          <w:rStyle w:val="FootnoteAnchor"/>
          <w:rtl w:val="true"/>
        </w:rPr>
        <w:footnoteReference w:id="1033"/>
      </w:r>
      <w:r>
        <w:rPr>
          <w:rFonts w:ascii="IRNazanin" w:hAnsi="IRNazanin" w:eastAsia="IRNazanin"/>
          <w:color w:val="111111"/>
          <w:sz w:val="28"/>
          <w:sz w:val="28"/>
          <w:szCs w:val="28"/>
          <w:rtl w:val="true"/>
          <w:lang w:bidi="fa-IR"/>
        </w:rPr>
        <w:t xml:space="preserve">و هذا لیس بدخول فلا یجوز ترک النصّ الصریح، </w:t>
      </w:r>
      <w:r>
        <w:rPr>
          <w:rStyle w:val="FootnoteAnchor"/>
          <w:rtl w:val="true"/>
        </w:rPr>
        <w:footnoteReference w:id="1034"/>
      </w:r>
      <w:r>
        <w:rPr>
          <w:rFonts w:ascii="IRNazanin" w:hAnsi="IRNazanin" w:eastAsia="IRNazanin"/>
          <w:color w:val="111111"/>
          <w:sz w:val="28"/>
          <w:sz w:val="28"/>
          <w:szCs w:val="28"/>
          <w:rtl w:val="true"/>
          <w:lang w:bidi="fa-IR"/>
        </w:rPr>
        <w:t>و هو نفس الرأی علی المذهب الشافعی و المالکی</w:t>
      </w:r>
      <w:r>
        <w:rPr>
          <w:rFonts w:eastAsia="IRNazanin" w:cs="IRNazanin"/>
          <w:color w:val="111111"/>
          <w:sz w:val="28"/>
          <w:szCs w:val="28"/>
          <w:rtl w:val="true"/>
          <w:lang w:bidi="fa-IR"/>
        </w:rPr>
        <w:t>.</w:t>
      </w:r>
    </w:p>
    <w:p>
      <w:pPr>
        <w:pStyle w:val="Heading4"/>
        <w:numPr>
          <w:ilvl w:val="3"/>
          <w:numId w:val="1"/>
        </w:numPr>
        <w:rPr/>
      </w:pPr>
      <w:bookmarkStart w:id="2157" w:name="__RefHeading___Toc364098_581953129"/>
      <w:bookmarkStart w:id="2158" w:name="_Toc903"/>
      <w:bookmarkEnd w:id="2157"/>
      <w:r>
        <w:rPr>
          <w:rtl w:val="true"/>
        </w:rPr>
        <w:t>المذهب الحنفی</w:t>
      </w:r>
      <w:bookmarkEnd w:id="215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اللمس و النظر بشهوة بین عمد ونسیان وإکراه فالکلّ تثبت به</w:t>
      </w:r>
      <w:bookmarkStart w:id="2159" w:name="pg5240_59558"/>
    </w:p>
    <w:p>
      <w:pPr>
        <w:pStyle w:val="BookText"/>
        <w:rPr/>
      </w:pPr>
      <w:bookmarkEnd w:id="2159"/>
      <w:r>
        <w:rPr>
          <w:rFonts w:ascii="Amiri" w:hAnsi="Amiri" w:eastAsia="Amiri" w:cs="Amiri"/>
          <w:color w:val="111111"/>
          <w:sz w:val="28"/>
          <w:sz w:val="28"/>
          <w:szCs w:val="28"/>
          <w:rtl w:val="true"/>
          <w:lang w:bidi="ar-SA"/>
        </w:rPr>
        <w:t>حرمة المصاهرة</w:t>
      </w:r>
      <w:r>
        <w:rPr>
          <w:rFonts w:eastAsia="Amiri" w:cs="Amiri" w:ascii="Amiri" w:hAnsi="Amiri"/>
          <w:color w:val="111111"/>
          <w:sz w:val="28"/>
          <w:szCs w:val="28"/>
          <w:rtl w:val="true"/>
          <w:lang w:bidi="ar-SA"/>
        </w:rPr>
        <w:t xml:space="preserve">. </w:t>
      </w:r>
      <w:r>
        <w:rPr>
          <w:rStyle w:val="FootnoteAnchor"/>
          <w:rtl w:val="true"/>
        </w:rPr>
        <w:footnoteReference w:id="1035"/>
      </w:r>
      <w:r>
        <w:rPr>
          <w:rFonts w:ascii="IRNazanin" w:hAnsi="IRNazanin" w:eastAsia="IRNazanin"/>
          <w:color w:val="111111"/>
          <w:sz w:val="28"/>
          <w:sz w:val="28"/>
          <w:szCs w:val="28"/>
          <w:rtl w:val="true"/>
          <w:lang w:bidi="fa-IR"/>
        </w:rPr>
        <w:t>ذلک لما روی عبدالله‌بن مسعود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إلی فرج امرأة لم تحلّ له امّها وابنتها</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واللمس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الحنفیة یثبت حرمة المصاهرة بالزنا و اللمس و النظر بدون النکاح؛لأنّ المس و النظر سبب داع إلی الوط‌ء فیقام مقامه احتیاطاً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0" w:name="__RefHeading___Toc364100_581953129"/>
      <w:bookmarkStart w:id="2161" w:name="_Toc904"/>
      <w:bookmarkEnd w:id="2160"/>
      <w:r>
        <w:rPr>
          <w:rtl w:val="true"/>
        </w:rPr>
        <w:t>منشأ الاختلاف</w:t>
      </w:r>
      <w:bookmarkEnd w:id="2161"/>
    </w:p>
    <w:p>
      <w:pPr>
        <w:pStyle w:val="BookText"/>
        <w:rPr/>
      </w:pPr>
      <w:r>
        <w:rPr>
          <w:rFonts w:ascii="IRNazanin" w:hAnsi="IRNazanin" w:eastAsia="IRNazanin"/>
          <w:color w:val="111111"/>
          <w:sz w:val="28"/>
          <w:sz w:val="28"/>
          <w:szCs w:val="28"/>
          <w:rtl w:val="true"/>
          <w:lang w:bidi="fa-IR"/>
        </w:rPr>
        <w:t>تبین لنا أنّ الاختلاف هنا ناشئ عن الاختلاف فی الاجتهاد ولم یکن فی المسألة نصّ معتبر من طریق الصحابة،و أمّا النصوص الواردة من طریق آل‌البیت علیهم السلام فهی کثیرة معتبرة إلاّ أنّها متعارضة و قد مرّ بنا أنّ الجمع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رفعاً للتضادّ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کراهة المصاهرة هناک</w:t>
      </w:r>
      <w:r>
        <w:rPr>
          <w:rFonts w:eastAsia="IRNazanin" w:cs="IRNazanin"/>
          <w:color w:val="111111"/>
          <w:sz w:val="28"/>
          <w:szCs w:val="28"/>
          <w:rtl w:val="true"/>
          <w:lang w:bidi="fa-IR"/>
        </w:rPr>
        <w:t>.</w:t>
      </w:r>
    </w:p>
    <w:p>
      <w:pPr>
        <w:pStyle w:val="Heading3"/>
        <w:numPr>
          <w:ilvl w:val="2"/>
          <w:numId w:val="1"/>
        </w:numPr>
        <w:rPr/>
      </w:pPr>
      <w:bookmarkStart w:id="2162" w:name="__RefHeading___Toc364102_581953129"/>
      <w:bookmarkStart w:id="2163" w:name="_Toc905"/>
      <w:bookmarkEnd w:id="2162"/>
      <w:r>
        <w:rPr>
          <w:rtl w:val="true"/>
        </w:rPr>
        <w:t>حرمة المصاهرة مع ولد الزنا</w:t>
      </w:r>
      <w:bookmarkEnd w:id="2163"/>
    </w:p>
    <w:p>
      <w:pPr>
        <w:pStyle w:val="Heading4"/>
        <w:numPr>
          <w:ilvl w:val="3"/>
          <w:numId w:val="1"/>
        </w:numPr>
        <w:rPr/>
      </w:pPr>
      <w:bookmarkStart w:id="2164" w:name="__RefHeading___Toc364104_581953129"/>
      <w:bookmarkStart w:id="2165" w:name="_Toc906"/>
      <w:bookmarkEnd w:id="2164"/>
      <w:r>
        <w:rPr>
          <w:rtl w:val="true"/>
        </w:rPr>
        <w:t>اشارة</w:t>
      </w:r>
      <w:bookmarkEnd w:id="2165"/>
    </w:p>
    <w:p>
      <w:pPr>
        <w:pStyle w:val="BookText"/>
        <w:rPr/>
      </w:pPr>
      <w:r>
        <w:rPr>
          <w:rFonts w:ascii="IRNazanin" w:hAnsi="IRNazanin" w:eastAsia="IRNazanin"/>
          <w:color w:val="111111"/>
          <w:sz w:val="28"/>
          <w:sz w:val="28"/>
          <w:szCs w:val="28"/>
          <w:rtl w:val="true"/>
          <w:lang w:bidi="fa-IR"/>
        </w:rPr>
        <w:t>اختلفت الآراء بالنسبة إلی حرمة المصاهرة مع ولد الزنا وعدمها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166" w:name="__RefHeading___Toc364106_581953129"/>
      <w:bookmarkStart w:id="2167" w:name="_Toc907"/>
      <w:bookmarkEnd w:id="2166"/>
      <w:r>
        <w:rPr>
          <w:rtl w:val="true"/>
        </w:rPr>
        <w:t>المذهب الجعفری</w:t>
      </w:r>
      <w:bookmarkEnd w:id="216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زنی فإن خلق من مائه ولد،علی الجزم لم ینتسب إلیه شرعاً وهل یحرم علی الزانی و الزانیة؟الوجه أنّه یحرم؛لأنّه مخلوق من مائه فهو یسمّی ولداً لغة</w:t>
      </w:r>
      <w:r>
        <w:rPr>
          <w:rFonts w:eastAsia="IRNazanin" w:cs="IRNazanin"/>
          <w:color w:val="111111"/>
          <w:sz w:val="28"/>
          <w:szCs w:val="28"/>
          <w:rtl w:val="true"/>
          <w:lang w:bidi="fa-IR"/>
        </w:rPr>
        <w:t xml:space="preserve">. </w:t>
      </w:r>
      <w:r>
        <w:rPr>
          <w:rStyle w:val="FootnoteAnchor"/>
          <w:rtl w:val="true"/>
        </w:rPr>
        <w:footnoteReference w:id="1038"/>
      </w:r>
      <w:r>
        <w:rPr>
          <w:rFonts w:ascii="Amiri" w:hAnsi="Amiri" w:eastAsia="Amiri" w:cs="Amiri"/>
          <w:color w:val="111111"/>
          <w:sz w:val="28"/>
          <w:sz w:val="28"/>
          <w:szCs w:val="28"/>
          <w:rtl w:val="true"/>
          <w:lang w:bidi="ar-SA"/>
        </w:rPr>
        <w:t>فیشمله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w:t>
      </w:r>
      <w:bookmarkStart w:id="2168" w:name="pg5240_59559"/>
    </w:p>
    <w:p>
      <w:pPr>
        <w:pStyle w:val="BookText"/>
        <w:rPr/>
      </w:pPr>
      <w:bookmarkEnd w:id="2168"/>
      <w:r>
        <w:rPr>
          <w:rFonts w:ascii="IRNazanin" w:hAnsi="IRNazanin" w:eastAsia="IRNazanin"/>
          <w:color w:val="111111"/>
          <w:sz w:val="28"/>
          <w:sz w:val="28"/>
          <w:szCs w:val="28"/>
          <w:rtl w:val="true"/>
          <w:lang w:bidi="fa-IR"/>
        </w:rPr>
        <w:t>وَ بَناتُکُمْ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 الرأی علی المذهب الحنبلی و الحنفی،کما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علی الرجل نکاح بنته من الزنا واُخته وبنت ابنه وبنت بنته وبنت أخیه واُخته من الزنا و هو قول عامّة الفقهاء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أُمَّهاتُکُمْ وَ بَناتُکُمْ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بنته فإنّها مخلوقة من مائه هذه حقیقة لاتختلف بالحلّ و الحرمة،ویدلّ علی ذلک،قول النبی صلی الله علیه و آله فی امرأة هلال‌بن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انظروه یعنی ولدها فإن جاءت به علی صفة کذا فهو لشریک‌بن سمحاء،یعنی الزانی لأنّها مخلوقة من مائه،فلم تحلّ له کبنته من النکاح وتخلُّف بعض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لاینفی کونها بنتاً کما لو تخلّف لرق أو اختلاف دین</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زنی بامرأة فحملت سفاحاً وولدت ثمّ أرضعت صبیة بلبنهافإنّه لایحلّ لهذا الزانی أنّ یتزوّجها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بنته من‌الرضاع</w:t>
      </w:r>
      <w:r>
        <w:rPr>
          <w:rFonts w:eastAsia="IRNazanin" w:cs="IRNazanin"/>
          <w:color w:val="111111"/>
          <w:sz w:val="28"/>
          <w:szCs w:val="28"/>
          <w:rtl w:val="true"/>
          <w:lang w:bidi="fa-IR"/>
        </w:rPr>
        <w:t xml:space="preserve">. </w:t>
      </w:r>
      <w:r>
        <w:rPr>
          <w:rStyle w:val="FootnoteAnchor"/>
          <w:rtl w:val="true"/>
        </w:rPr>
        <w:footnoteReference w:id="1040"/>
      </w:r>
    </w:p>
    <w:p>
      <w:pPr>
        <w:pStyle w:val="Heading4"/>
        <w:numPr>
          <w:ilvl w:val="3"/>
          <w:numId w:val="1"/>
        </w:numPr>
        <w:rPr/>
      </w:pPr>
      <w:bookmarkStart w:id="2169" w:name="__RefHeading___Toc364108_581953129"/>
      <w:bookmarkStart w:id="2170" w:name="_Toc908"/>
      <w:bookmarkEnd w:id="2169"/>
      <w:r>
        <w:rPr>
          <w:rtl w:val="true"/>
        </w:rPr>
        <w:t>المذهب الشافعی</w:t>
      </w:r>
      <w:bookmarkEnd w:id="217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للرجل أن یتزوّج بنته المخلوقة من مائه زناً،فإذا زنی بامرأة وحملت منه سفاحاً وجاءت بنت فإنّها لاتحرم علیه؛لأنّ ماء الزنا لا حرمة له </w:t>
      </w:r>
      <w:r>
        <w:rPr>
          <w:rStyle w:val="FootnoteAnchor"/>
          <w:rtl w:val="true"/>
        </w:rPr>
        <w:footnoteReference w:id="1041"/>
      </w:r>
      <w:r>
        <w:rPr>
          <w:rFonts w:ascii="IRNazanin" w:hAnsi="IRNazanin" w:eastAsia="IRNazanin"/>
          <w:color w:val="111111"/>
          <w:sz w:val="28"/>
          <w:sz w:val="28"/>
          <w:szCs w:val="28"/>
          <w:rtl w:val="true"/>
          <w:lang w:bidi="fa-IR"/>
        </w:rPr>
        <w:t>و هو نفس الرأی علی المذهب المالکی 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مالک و الشافعی یجوز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لأنّها اجنبیة منه ولا تنسب إلیه شرعاً ولا یجری التوارث بینهما ولا تلزمه نفقتها فلم تحرم علیه کسائر الأجانب</w:t>
      </w:r>
      <w:r>
        <w:rPr>
          <w:rFonts w:eastAsia="IRNazanin" w:cs="IRNazanin"/>
          <w:color w:val="111111"/>
          <w:sz w:val="28"/>
          <w:szCs w:val="28"/>
          <w:rtl w:val="true"/>
          <w:lang w:bidi="fa-IR"/>
        </w:rPr>
        <w:t xml:space="preserve">. </w:t>
      </w:r>
      <w:r>
        <w:rPr>
          <w:rStyle w:val="FootnoteAnchor"/>
          <w:rtl w:val="true"/>
        </w:rPr>
        <w:footnoteReference w:id="1042"/>
      </w:r>
      <w:bookmarkStart w:id="2171" w:name="pg5240_59560"/>
    </w:p>
    <w:p>
      <w:pPr>
        <w:pStyle w:val="Heading4"/>
        <w:numPr>
          <w:ilvl w:val="3"/>
          <w:numId w:val="1"/>
        </w:numPr>
        <w:rPr/>
      </w:pPr>
      <w:bookmarkStart w:id="2172" w:name="__RefHeading___Toc364110_581953129"/>
      <w:bookmarkStart w:id="2173" w:name="_Toc909"/>
      <w:bookmarkEnd w:id="2171"/>
      <w:bookmarkEnd w:id="2172"/>
      <w:r>
        <w:rPr>
          <w:rtl w:val="true"/>
        </w:rPr>
        <w:t>منشأ الاختلاف</w:t>
      </w:r>
      <w:bookmarkEnd w:id="2173"/>
    </w:p>
    <w:p>
      <w:pPr>
        <w:pStyle w:val="BookText"/>
        <w:rPr/>
      </w:pPr>
      <w:r>
        <w:rPr>
          <w:rFonts w:ascii="IRNazanin" w:hAnsi="IRNazanin" w:eastAsia="IRNazanin"/>
          <w:color w:val="111111"/>
          <w:sz w:val="28"/>
          <w:sz w:val="28"/>
          <w:szCs w:val="28"/>
          <w:rtl w:val="true"/>
          <w:lang w:bidi="fa-IR"/>
        </w:rPr>
        <w:t>تبین لنا أنّ الاختلاف هنا ناشئ عن الاختلاف فی الاجتهاد ولم یرد فی المسألة نصّ معتبر نعتمد علیه،والأحوط فی الدین هو الاجتناب،نتیجة للتحریم</w:t>
      </w:r>
      <w:r>
        <w:rPr>
          <w:rFonts w:eastAsia="IRNazanin" w:cs="IRNazanin"/>
          <w:color w:val="111111"/>
          <w:sz w:val="28"/>
          <w:szCs w:val="28"/>
          <w:rtl w:val="true"/>
          <w:lang w:bidi="fa-IR"/>
        </w:rPr>
        <w:t>.</w:t>
      </w:r>
    </w:p>
    <w:p>
      <w:pPr>
        <w:pStyle w:val="Heading3"/>
        <w:numPr>
          <w:ilvl w:val="2"/>
          <w:numId w:val="1"/>
        </w:numPr>
        <w:rPr/>
      </w:pPr>
      <w:bookmarkStart w:id="2174" w:name="__RefHeading___Toc364112_581953129"/>
      <w:bookmarkStart w:id="2175" w:name="_Toc910"/>
      <w:bookmarkEnd w:id="2174"/>
      <w:r>
        <w:rPr>
          <w:rtl w:val="true"/>
        </w:rPr>
        <w:t>مناکحة الزانی و الزانیة</w:t>
      </w:r>
      <w:bookmarkEnd w:id="2175"/>
    </w:p>
    <w:p>
      <w:pPr>
        <w:pStyle w:val="Heading4"/>
        <w:numPr>
          <w:ilvl w:val="3"/>
          <w:numId w:val="1"/>
        </w:numPr>
        <w:rPr/>
      </w:pPr>
      <w:bookmarkStart w:id="2176" w:name="__RefHeading___Toc364114_581953129"/>
      <w:bookmarkStart w:id="2177" w:name="_Toc911"/>
      <w:bookmarkEnd w:id="2176"/>
      <w:r>
        <w:rPr>
          <w:rtl w:val="true"/>
        </w:rPr>
        <w:t>اشارة</w:t>
      </w:r>
      <w:bookmarkEnd w:id="2177"/>
    </w:p>
    <w:p>
      <w:pPr>
        <w:pStyle w:val="BookText"/>
        <w:rPr/>
      </w:pPr>
      <w:r>
        <w:rPr>
          <w:rFonts w:ascii="IRNazanin" w:hAnsi="IRNazanin" w:eastAsia="IRNazanin"/>
          <w:color w:val="111111"/>
          <w:sz w:val="28"/>
          <w:sz w:val="28"/>
          <w:szCs w:val="28"/>
          <w:rtl w:val="true"/>
          <w:lang w:bidi="fa-IR"/>
        </w:rPr>
        <w:t>اختلفت الآراء بالنسبة إلی جواز مناکحة الزانی مع من زنی بها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178" w:name="__RefHeading___Toc364116_581953129"/>
      <w:bookmarkStart w:id="2179" w:name="_Toc912"/>
      <w:bookmarkEnd w:id="2178"/>
      <w:r>
        <w:rPr>
          <w:rtl w:val="true"/>
        </w:rPr>
        <w:t>المذاهب الأربعة</w:t>
      </w:r>
      <w:bookmarkEnd w:id="2179"/>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 الزنا تحریم الزانیة علی الزانی بها خلیة أو غیر خلیة علی المذاهب الأربعة</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 الشرطان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انقضاء العدّة و التوبة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نکاحها للزانی وغیره فی قول أکثر أهل العلم منهم أبوبکر وعمر وابنه وابن‌عبّاس وجابربن زید وروی عن ابن‌مسعود و البرّاءبن عازب وعائشة أنّها لاتحلّ للزانی بحال</w:t>
      </w:r>
      <w:r>
        <w:rPr>
          <w:rFonts w:eastAsia="IRNazanin" w:cs="IRNazanin"/>
          <w:color w:val="111111"/>
          <w:sz w:val="28"/>
          <w:szCs w:val="28"/>
          <w:rtl w:val="true"/>
          <w:lang w:bidi="fa-IR"/>
        </w:rPr>
        <w:t xml:space="preserve">. </w:t>
      </w:r>
      <w:r>
        <w:rPr>
          <w:rStyle w:val="FootnoteAnchor"/>
          <w:rtl w:val="true"/>
        </w:rPr>
        <w:footnoteReference w:id="1044"/>
      </w:r>
    </w:p>
    <w:p>
      <w:pPr>
        <w:pStyle w:val="Heading4"/>
        <w:numPr>
          <w:ilvl w:val="3"/>
          <w:numId w:val="1"/>
        </w:numPr>
        <w:rPr/>
      </w:pPr>
      <w:bookmarkStart w:id="2180" w:name="__RefHeading___Toc364118_581953129"/>
      <w:bookmarkStart w:id="2181" w:name="_Toc913"/>
      <w:bookmarkEnd w:id="2180"/>
      <w:r>
        <w:rPr>
          <w:rtl w:val="true"/>
        </w:rPr>
        <w:t>المذهب الجعفری</w:t>
      </w:r>
      <w:bookmarkEnd w:id="218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زنی بذات بعل أو فی عدّة رجعّیة حرّمت علیه أبداً فی قول مشهور</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ذلک للنصوص الواردة فی المقام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المرأة فی عدّتها ودخل بها لم تحلّ له أبداً عالماً کان أو جاهلاً،و إن لم یدخل بها حلّت للجاهل ولم تحلّ للآخر</w:t>
      </w:r>
      <w:r>
        <w:rPr>
          <w:rFonts w:eastAsia="IRNazanin" w:cs="IRNazanin"/>
          <w:color w:val="111111"/>
          <w:sz w:val="28"/>
          <w:szCs w:val="28"/>
          <w:rtl w:val="true"/>
          <w:lang w:bidi="fa-IR"/>
        </w:rPr>
        <w:t xml:space="preserve">». </w:t>
      </w:r>
      <w:r>
        <w:rPr>
          <w:rStyle w:val="FootnoteAnchor"/>
          <w:rtl w:val="true"/>
        </w:rPr>
        <w:footnoteReference w:id="1046"/>
      </w:r>
      <w:r>
        <w:rPr>
          <w:rFonts w:ascii="Amiri" w:hAnsi="Amiri" w:eastAsia="Amiri" w:cs="Amiri"/>
          <w:color w:val="111111"/>
          <w:sz w:val="28"/>
          <w:sz w:val="28"/>
          <w:szCs w:val="28"/>
          <w:rtl w:val="true"/>
          <w:lang w:bidi="ar-SA"/>
        </w:rPr>
        <w:t>والدلالة تامّة</w:t>
      </w:r>
      <w:r>
        <w:rPr>
          <w:rFonts w:eastAsia="Amiri" w:cs="Amiri" w:ascii="Amiri" w:hAnsi="Amiri"/>
          <w:color w:val="111111"/>
          <w:sz w:val="28"/>
          <w:szCs w:val="28"/>
          <w:rtl w:val="true"/>
          <w:lang w:bidi="ar-SA"/>
        </w:rPr>
        <w:t>.</w:t>
      </w:r>
      <w:bookmarkStart w:id="2182" w:name="pg5240_59561"/>
    </w:p>
    <w:p>
      <w:pPr>
        <w:pStyle w:val="Heading4"/>
        <w:numPr>
          <w:ilvl w:val="3"/>
          <w:numId w:val="1"/>
        </w:numPr>
        <w:rPr/>
      </w:pPr>
      <w:bookmarkStart w:id="2183" w:name="__RefHeading___Toc364120_581953129"/>
      <w:bookmarkStart w:id="2184" w:name="_Toc914"/>
      <w:bookmarkEnd w:id="2182"/>
      <w:bookmarkEnd w:id="2183"/>
      <w:r>
        <w:rPr>
          <w:rtl w:val="true"/>
        </w:rPr>
        <w:t>منشأ الاختلاف</w:t>
      </w:r>
      <w:bookmarkEnd w:id="2184"/>
    </w:p>
    <w:p>
      <w:pPr>
        <w:pStyle w:val="BookText"/>
        <w:rPr/>
      </w:pPr>
      <w:r>
        <w:rPr>
          <w:rFonts w:ascii="IRNazanin" w:hAnsi="IRNazanin" w:eastAsia="IRNazanin"/>
          <w:color w:val="111111"/>
          <w:sz w:val="28"/>
          <w:sz w:val="28"/>
          <w:szCs w:val="28"/>
          <w:rtl w:val="true"/>
          <w:lang w:bidi="fa-IR"/>
        </w:rPr>
        <w:t>إنّ الاختلاف هنا ناشئ عن‌الاختلاف فی الاستنباط نصّاًواجتهاداً فبما أنّه وردالنصّ المعتبر من طریق آل البیت علیهم السلام دالّاً علی أنّ الزنا یوجب التحریم المؤبّد أصبح الحکم کذلک علی المذهب الجعفری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أنّه لم یرد نصّ معتبر موحّد من طریق الصحابة اختلفت الأقوال تجاه الحکم علی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الرغم من ذلک لا تختلف الفتوی عندهم هناک</w:t>
      </w:r>
      <w:r>
        <w:rPr>
          <w:rFonts w:eastAsia="IRNazanin" w:cs="IRNazanin"/>
          <w:color w:val="111111"/>
          <w:sz w:val="28"/>
          <w:szCs w:val="28"/>
          <w:rtl w:val="true"/>
          <w:lang w:bidi="fa-IR"/>
        </w:rPr>
        <w:t>.</w:t>
      </w:r>
    </w:p>
    <w:p>
      <w:pPr>
        <w:pStyle w:val="Heading3"/>
        <w:numPr>
          <w:ilvl w:val="2"/>
          <w:numId w:val="1"/>
        </w:numPr>
        <w:rPr/>
      </w:pPr>
      <w:bookmarkStart w:id="2185" w:name="__RefHeading___Toc364122_581953129"/>
      <w:bookmarkStart w:id="2186" w:name="_Toc915"/>
      <w:bookmarkEnd w:id="2185"/>
      <w:r>
        <w:rPr>
          <w:rtl w:val="true"/>
        </w:rPr>
        <w:t>التحقیق</w:t>
      </w:r>
      <w:bookmarkEnd w:id="2186"/>
    </w:p>
    <w:p>
      <w:pPr>
        <w:pStyle w:val="BookText"/>
        <w:rPr/>
      </w:pPr>
      <w:r>
        <w:rPr>
          <w:rFonts w:ascii="IRNazanin" w:hAnsi="IRNazanin" w:eastAsia="IRNazanin"/>
          <w:color w:val="111111"/>
          <w:sz w:val="28"/>
          <w:sz w:val="28"/>
          <w:szCs w:val="28"/>
          <w:rtl w:val="true"/>
          <w:lang w:bidi="fa-IR"/>
        </w:rPr>
        <w:t>إنّ ما یقول به المذهب الجعفری هو المتیقّن و هو الأحوط</w:t>
      </w:r>
      <w:r>
        <w:rPr>
          <w:rFonts w:eastAsia="IRNazanin" w:cs="IRNazanin"/>
          <w:color w:val="111111"/>
          <w:sz w:val="28"/>
          <w:szCs w:val="28"/>
          <w:rtl w:val="true"/>
          <w:lang w:bidi="fa-IR"/>
        </w:rPr>
        <w:t>.</w:t>
      </w:r>
    </w:p>
    <w:p>
      <w:pPr>
        <w:pStyle w:val="Heading3"/>
        <w:numPr>
          <w:ilvl w:val="2"/>
          <w:numId w:val="1"/>
        </w:numPr>
        <w:rPr/>
      </w:pPr>
      <w:bookmarkStart w:id="2187" w:name="__RefHeading___Toc364124_581953129"/>
      <w:bookmarkStart w:id="2188" w:name="_Toc916"/>
      <w:bookmarkEnd w:id="2187"/>
      <w:r>
        <w:rPr>
          <w:rtl w:val="true"/>
        </w:rPr>
        <w:t>الرضاع</w:t>
      </w:r>
      <w:bookmarkEnd w:id="2188"/>
    </w:p>
    <w:p>
      <w:pPr>
        <w:pStyle w:val="Heading3"/>
        <w:numPr>
          <w:ilvl w:val="2"/>
          <w:numId w:val="1"/>
        </w:numPr>
        <w:rPr/>
      </w:pPr>
      <w:bookmarkStart w:id="2189" w:name="__RefHeading___Toc364126_581953129"/>
      <w:bookmarkStart w:id="2190" w:name="_Toc917"/>
      <w:bookmarkEnd w:id="2189"/>
      <w:r>
        <w:rPr>
          <w:rtl w:val="true"/>
        </w:rPr>
        <w:t>کمّیة الرضاع</w:t>
      </w:r>
      <w:bookmarkEnd w:id="2190"/>
    </w:p>
    <w:p>
      <w:pPr>
        <w:pStyle w:val="Heading4"/>
        <w:numPr>
          <w:ilvl w:val="3"/>
          <w:numId w:val="1"/>
        </w:numPr>
        <w:rPr/>
      </w:pPr>
      <w:bookmarkStart w:id="2191" w:name="__RefHeading___Toc364128_581953129"/>
      <w:bookmarkStart w:id="2192" w:name="_Toc918"/>
      <w:bookmarkEnd w:id="2191"/>
      <w:r>
        <w:rPr>
          <w:rtl w:val="true"/>
        </w:rPr>
        <w:t>اشارة</w:t>
      </w:r>
      <w:bookmarkEnd w:id="2192"/>
    </w:p>
    <w:p>
      <w:pPr>
        <w:pStyle w:val="BookText"/>
        <w:rPr/>
      </w:pPr>
      <w:r>
        <w:rPr>
          <w:rFonts w:ascii="IRNazanin" w:hAnsi="IRNazanin" w:eastAsia="IRNazanin"/>
          <w:color w:val="111111"/>
          <w:sz w:val="28"/>
          <w:sz w:val="28"/>
          <w:szCs w:val="28"/>
          <w:rtl w:val="true"/>
          <w:lang w:bidi="fa-IR"/>
        </w:rPr>
        <w:t>اختلفت الآراء بالنسبة إلی تحدید الرضاع ومقداره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193" w:name="__RefHeading___Toc364130_581953129"/>
      <w:bookmarkStart w:id="2194" w:name="_Toc919"/>
      <w:bookmarkEnd w:id="2193"/>
      <w:r>
        <w:rPr>
          <w:rtl w:val="true"/>
        </w:rPr>
        <w:t>المذهب الجعفری</w:t>
      </w:r>
      <w:bookmarkEnd w:id="2194"/>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الحرمة بالرضاع یتوقّف علی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اللبن عن نکاح</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الکمّیة،و هو ما أنبت اللحم وشدّ العظم،وینشر الحرمة إن بلغ خمس عشرة رضعة،أو رضع یوماً ولیلة</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یکتفی فی التحریم مسمّی الرضاع إجماعاً بقسمیه ونصوصاً مستفیضة أو متواترة،والأصل فیه بعد الإجماع النبوی المروی فی کتب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ما أنبت</w:t>
      </w:r>
      <w:bookmarkStart w:id="2195" w:name="pg5240_59562"/>
    </w:p>
    <w:p>
      <w:pPr>
        <w:pStyle w:val="BookText"/>
        <w:rPr/>
      </w:pPr>
      <w:bookmarkEnd w:id="2195"/>
      <w:r>
        <w:rPr>
          <w:rFonts w:ascii="IRNazanin" w:hAnsi="IRNazanin" w:eastAsia="IRNazanin"/>
          <w:color w:val="111111"/>
          <w:sz w:val="28"/>
          <w:sz w:val="28"/>
          <w:szCs w:val="28"/>
          <w:rtl w:val="true"/>
          <w:lang w:bidi="fa-IR"/>
        </w:rPr>
        <w:t>اللحم وشدّ العظم،وما استفاض عن الإمام الصادق علیه السلام من التحدید بذلک ففی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من الرضاع؟قال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أنبت اللحم وشدّ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فالمراد بإنبات اللحم وشدّ العظم ما کان مسبّباً عن الرضاع التامّ بحیث یستقلّ فی حصول الأمرین لدی أهل الخبرة فلا یتحقّق بالمسمّی؛لوقوع التصریح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التحدید الوارد فی النصوص المستفیضة المعتبرة من أقوی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 زیادبن سوقة </w:t>
      </w:r>
      <w:r>
        <w:rPr>
          <w:rStyle w:val="FootnoteAnchor"/>
          <w:rtl w:val="true"/>
        </w:rPr>
        <w:footnoteReference w:id="1048"/>
      </w:r>
      <w:r>
        <w:rPr>
          <w:rFonts w:ascii="IRNazanin" w:hAnsi="IRNazanin" w:eastAsia="IRNazanin"/>
          <w:color w:val="111111"/>
          <w:sz w:val="28"/>
          <w:sz w:val="28"/>
          <w:szCs w:val="28"/>
          <w:rtl w:val="true"/>
          <w:lang w:bidi="fa-IR"/>
        </w:rPr>
        <w:t>قلت لأبی جعفر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للرضاع حدّ یؤخذ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لایحرم الرضاع أقلّ من رضاع یوم ولیلة أو خمس عشرة رضعة متوالیات من امرأة واحدة من لبن فحل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یحرم من الرضاع إلاّ ما أنبت اللحم وشدّ العظم وسئل الإمام الصادق علیه السلام</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هل لذلک 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لایحرم من الرضاع إلاّ رضاع یوم ولیلة،أو خمس عشرة رضعة متوالیات لایفصل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المؤیدة بالأصل وعمومات النکاح</w:t>
      </w:r>
      <w:r>
        <w:rPr>
          <w:rFonts w:eastAsia="IRNazanin" w:cs="IRNazanin"/>
          <w:color w:val="111111"/>
          <w:sz w:val="28"/>
          <w:szCs w:val="28"/>
          <w:rtl w:val="true"/>
          <w:lang w:bidi="fa-IR"/>
        </w:rPr>
        <w:t xml:space="preserve">. </w:t>
      </w:r>
      <w:r>
        <w:rPr>
          <w:rStyle w:val="FootnoteAnchor"/>
          <w:rtl w:val="true"/>
        </w:rPr>
        <w:footnoteReference w:id="1050"/>
      </w:r>
    </w:p>
    <w:p>
      <w:pPr>
        <w:pStyle w:val="Heading4"/>
        <w:numPr>
          <w:ilvl w:val="3"/>
          <w:numId w:val="1"/>
        </w:numPr>
        <w:rPr/>
      </w:pPr>
      <w:bookmarkStart w:id="2196" w:name="__RefHeading___Toc364132_581953129"/>
      <w:bookmarkStart w:id="2197" w:name="_Toc920"/>
      <w:bookmarkEnd w:id="2196"/>
      <w:r>
        <w:rPr>
          <w:rtl w:val="true"/>
        </w:rPr>
        <w:t>المذاهب الأربعة</w:t>
      </w:r>
      <w:bookmarkEnd w:id="219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الشافعیة و الحنابلة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الرضاع لایحرم إلاّ إذا کان خمس مرّات،والمالکیة و الحنفیة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یحرم مطلقاً قلیلاً کان أو کثیراً ولو قطرة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للصدق وتحقّق الموضوع للحرمة ولا دلیل علی التحدید بحدّ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الشافعیة و الحنابلة بما رواه مسلم،عن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أنزل الله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فتوفّی رسول‌الله صلی الله علیه و آله وهنّ فیما یقرأ من القرآن وأیضاً روی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لاتحرم الرضعة ولاالرضعتان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ویردّ علی هذا أن</w:t>
      </w:r>
      <w:bookmarkStart w:id="2198" w:name="pg5240_59563"/>
    </w:p>
    <w:p>
      <w:pPr>
        <w:pStyle w:val="BookText"/>
        <w:rPr/>
      </w:pPr>
      <w:bookmarkEnd w:id="2198"/>
      <w:r>
        <w:rPr>
          <w:rFonts w:ascii="IRNazanin" w:hAnsi="IRNazanin" w:eastAsia="IRNazanin"/>
          <w:color w:val="111111"/>
          <w:sz w:val="28"/>
          <w:sz w:val="28"/>
          <w:szCs w:val="28"/>
          <w:rtl w:val="true"/>
          <w:lang w:bidi="fa-IR"/>
        </w:rPr>
        <w:t>المسلمین قد أجمعوا علی أنّ‌القرآن هو ما تواتر نقله عن رسول الله صلی الله علیه و آله عن ربّ العزّة وعلی هذا فمن المشکل الواضح ما یذکره المحدّثون من روایات الآحاد المشتملة علی أنّ آیة کذا کانت قرآناً ونسخت،فمن ذلک ما روی عن ابن‌مسعود من أنّ المعوذتین لیستا من کتاب الله،فإنّ معنی هذا،التشکیک فی الکتاب المتواتر کلمة کلمة وحرفاً حرفاً،ولهذا جزم الفخر الرازی بکذب هذه الروایة،ومن ذلک ما قیل من أنّ آیة القنوت کانت موجودة فی مصحف ابی ثمّ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وأمثاله من الروایات الّتی فیها الحکم علی القرآن المتواتر بأخبار الآحاد فضلاً عن کونه ضارّاً بالدین،فیه تناقض</w:t>
      </w:r>
      <w:r>
        <w:rPr>
          <w:rFonts w:eastAsia="IRNazanin" w:cs="IRNazanin"/>
          <w:color w:val="111111"/>
          <w:sz w:val="28"/>
          <w:szCs w:val="28"/>
          <w:rtl w:val="true"/>
          <w:lang w:bidi="fa-IR"/>
        </w:rPr>
        <w:t xml:space="preserve">. </w:t>
      </w:r>
      <w:r>
        <w:rPr>
          <w:rStyle w:val="FootnoteAnchor"/>
          <w:rtl w:val="true"/>
        </w:rPr>
        <w:footnoteReference w:id="1051"/>
      </w:r>
    </w:p>
    <w:p>
      <w:pPr>
        <w:pStyle w:val="Heading4"/>
        <w:numPr>
          <w:ilvl w:val="3"/>
          <w:numId w:val="1"/>
        </w:numPr>
        <w:rPr/>
      </w:pPr>
      <w:bookmarkStart w:id="2199" w:name="__RefHeading___Toc364134_581953129"/>
      <w:bookmarkStart w:id="2200" w:name="_Toc921"/>
      <w:bookmarkEnd w:id="2199"/>
      <w:r>
        <w:rPr>
          <w:rtl w:val="true"/>
        </w:rPr>
        <w:t>منشأ الاختلاف</w:t>
      </w:r>
      <w:bookmarkEnd w:id="2200"/>
    </w:p>
    <w:p>
      <w:pPr>
        <w:pStyle w:val="BookText"/>
        <w:rPr/>
      </w:pPr>
      <w:r>
        <w:rPr>
          <w:rFonts w:ascii="IRNazanin" w:hAnsi="IRNazanin" w:eastAsia="IRNazanin"/>
          <w:color w:val="111111"/>
          <w:sz w:val="28"/>
          <w:sz w:val="28"/>
          <w:szCs w:val="28"/>
          <w:rtl w:val="true"/>
          <w:lang w:bidi="fa-IR"/>
        </w:rPr>
        <w:t>تبین لنا أنّ الاختلاف فی الحکم هنا ناشئ عن ورود النصّ وعدمه و قد ورد من طریق آل‌البیت علیهم السلام نصّ معتبر أصبح مدرکاً للحکم،ولم یرد من طریق الصحابة نصّ معتبر عدا ما نقل عن عائشة و هو خالف أصل القرآن</w:t>
      </w:r>
      <w:r>
        <w:rPr>
          <w:rFonts w:eastAsia="IRNazanin" w:cs="IRNazanin"/>
          <w:color w:val="111111"/>
          <w:sz w:val="28"/>
          <w:szCs w:val="28"/>
          <w:rtl w:val="true"/>
          <w:lang w:bidi="fa-IR"/>
        </w:rPr>
        <w:t>.</w:t>
      </w:r>
    </w:p>
    <w:p>
      <w:pPr>
        <w:pStyle w:val="Heading3"/>
        <w:numPr>
          <w:ilvl w:val="2"/>
          <w:numId w:val="1"/>
        </w:numPr>
        <w:rPr/>
      </w:pPr>
      <w:bookmarkStart w:id="2201" w:name="__RefHeading___Toc364136_581953129"/>
      <w:bookmarkStart w:id="2202" w:name="_Toc922"/>
      <w:bookmarkEnd w:id="2201"/>
      <w:r>
        <w:rPr>
          <w:rtl w:val="true"/>
        </w:rPr>
        <w:t>جواز نکاح الکافرة للمسلم</w:t>
      </w:r>
      <w:bookmarkEnd w:id="2202"/>
    </w:p>
    <w:p>
      <w:pPr>
        <w:pStyle w:val="Heading4"/>
        <w:numPr>
          <w:ilvl w:val="3"/>
          <w:numId w:val="1"/>
        </w:numPr>
        <w:rPr/>
      </w:pPr>
      <w:bookmarkStart w:id="2203" w:name="__RefHeading___Toc364138_581953129"/>
      <w:bookmarkStart w:id="2204" w:name="_Toc923"/>
      <w:bookmarkEnd w:id="2203"/>
      <w:r>
        <w:rPr>
          <w:rtl w:val="true"/>
        </w:rPr>
        <w:t>اشارة</w:t>
      </w:r>
      <w:bookmarkEnd w:id="2204"/>
    </w:p>
    <w:p>
      <w:pPr>
        <w:pStyle w:val="BookText"/>
        <w:rPr/>
      </w:pPr>
      <w:r>
        <w:rPr>
          <w:rFonts w:ascii="IRNazanin" w:hAnsi="IRNazanin" w:eastAsia="IRNazanin"/>
          <w:color w:val="111111"/>
          <w:sz w:val="28"/>
          <w:sz w:val="28"/>
          <w:szCs w:val="28"/>
          <w:rtl w:val="true"/>
          <w:lang w:bidi="fa-IR"/>
        </w:rPr>
        <w:t>اختلفت الآراء بالنسبة إلی صحّة تزویج المسلم من الکافرة وعدم صحّته،وتفصیل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2205" w:name="__RefHeading___Toc364140_581953129"/>
      <w:bookmarkStart w:id="2206" w:name="_Toc924"/>
      <w:bookmarkEnd w:id="2205"/>
      <w:r>
        <w:rPr>
          <w:rtl w:val="true"/>
        </w:rPr>
        <w:t>المذاهب الأربعة</w:t>
      </w:r>
      <w:bookmarkEnd w:id="220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یزوّج کافر،مسلمة بحال ولا مسلم الکافرة إلاّ أن یکون المسلم سلطاناً أو سید أمة وقال ابن‌قدامة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الکافر فلا ولایة له علی مسلمة بحال بإجماع أهل العلم</w:t>
      </w:r>
      <w:r>
        <w:rPr>
          <w:rFonts w:eastAsia="IRNazanin" w:cs="IRNazanin"/>
          <w:color w:val="111111"/>
          <w:sz w:val="28"/>
          <w:szCs w:val="28"/>
          <w:rtl w:val="true"/>
          <w:lang w:bidi="fa-IR"/>
        </w:rPr>
        <w:t>.</w:t>
      </w:r>
      <w:bookmarkStart w:id="2207" w:name="pg5240_59564"/>
    </w:p>
    <w:p>
      <w:pPr>
        <w:pStyle w:val="BookText"/>
        <w:rPr/>
      </w:pPr>
      <w:bookmarkEnd w:id="2207"/>
      <w:r>
        <w:rPr>
          <w:rFonts w:ascii="IRNazanin" w:hAnsi="IRNazanin" w:eastAsia="IRNazanin"/>
          <w:color w:val="111111"/>
          <w:sz w:val="28"/>
          <w:sz w:val="28"/>
          <w:szCs w:val="28"/>
          <w:rtl w:val="true"/>
          <w:lang w:bidi="fa-IR"/>
        </w:rPr>
        <w:t>و أمّا المسلم فلاولایة له علی الکافرة فی غیر السید و السلطان</w:t>
      </w:r>
      <w:r>
        <w:rPr>
          <w:rFonts w:eastAsia="IRNazanin" w:cs="IRNazanin"/>
          <w:color w:val="111111"/>
          <w:sz w:val="28"/>
          <w:szCs w:val="28"/>
          <w:rtl w:val="true"/>
          <w:lang w:bidi="fa-IR"/>
        </w:rPr>
        <w:t xml:space="preserve">. </w:t>
      </w:r>
      <w:r>
        <w:rPr>
          <w:rStyle w:val="FootnoteAnchor"/>
          <w:rtl w:val="true"/>
        </w:rPr>
        <w:footnoteReference w:id="1052"/>
      </w:r>
      <w:r>
        <w:rPr>
          <w:rFonts w:ascii="Amiri" w:hAnsi="Amiri" w:eastAsia="Amiri" w:cs="Amiri"/>
          <w:color w:val="111111"/>
          <w:sz w:val="28"/>
          <w:sz w:val="28"/>
          <w:szCs w:val="28"/>
          <w:rtl w:val="true"/>
          <w:lang w:bidi="ar-SA"/>
        </w:rPr>
        <w:t>قال الکاشانی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لایجوز للمسلم أن ینکح المشرکة؛لقوله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ویجوز أن ینکح الکتابیة؛لقوله‌تعالی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بأنّ‌الأصل هناک عدم حصول السکن و المودة مع قیام العداوة الدینیة،إلا أنّه جوّز نکاح الکتابیة لرجاء إسلامها؛لأنّها آمنت بکتب الأنبیاء و الرسل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نکاح الأمة الکتابیة ویحل وطؤها بملک الیمین،واحتج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الْمُشْرِکاتِ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والکتابیة مشرکة علی الحقیقة؛لأنّ الشرک من یشرک بالله تعالی فی الألوهیة وأهل الکتاب کذلک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الْیَهُودُ عُزَیْرٌ ابْنُ اللّهِ</w:t>
      </w:r>
      <w:r>
        <w:rPr>
          <w:rFonts w:eastAsia="IRNazanin" w:cs="IRNazanin"/>
          <w:color w:val="111111"/>
          <w:sz w:val="28"/>
          <w:szCs w:val="28"/>
          <w:rtl w:val="true"/>
          <w:lang w:bidi="fa-IR"/>
        </w:rPr>
        <w:t xml:space="preserve">... </w:t>
      </w:r>
      <w:r>
        <w:rPr>
          <w:rStyle w:val="FootnoteAnchor"/>
          <w:rtl w:val="true"/>
        </w:rPr>
        <w:footnoteReference w:id="1055"/>
      </w:r>
      <w:r>
        <w:rPr>
          <w:rFonts w:ascii="Amiri" w:hAnsi="Amiri" w:eastAsia="Amiri" w:cs="Amiri"/>
          <w:color w:val="111111"/>
          <w:sz w:val="28"/>
          <w:sz w:val="28"/>
          <w:szCs w:val="28"/>
          <w:rtl w:val="true"/>
          <w:lang w:bidi="ar-SA"/>
        </w:rPr>
        <w:t>فعموم النصّ یقتضی حرمة جمیع المشرکات إلاّ أنّه خصّ منه الحرائر من الکتابیات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فبقیت الإماء</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Heading4"/>
        <w:numPr>
          <w:ilvl w:val="3"/>
          <w:numId w:val="1"/>
        </w:numPr>
        <w:rPr/>
      </w:pPr>
      <w:bookmarkStart w:id="2208" w:name="__RefHeading___Toc364142_581953129"/>
      <w:bookmarkStart w:id="2209" w:name="_Toc925"/>
      <w:bookmarkEnd w:id="2208"/>
      <w:r>
        <w:rPr>
          <w:rtl w:val="true"/>
        </w:rPr>
        <w:t>المذهب الجعفری</w:t>
      </w:r>
      <w:bookmarkEnd w:id="220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للمسلم نکاح غیر الکتابیة إجماعاً وفی تحریم الکتابیة من الیهود و النصاری روایتان،أشهرهما المنع فی النکاح الدائم،والجواز فی المؤجّل</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و هو مقتضی الجمع بین روایتی المنع و الجواز</w:t>
      </w:r>
      <w:r>
        <w:rPr>
          <w:rFonts w:eastAsia="IRNazanin" w:cs="IRNazanin"/>
          <w:color w:val="111111"/>
          <w:sz w:val="28"/>
          <w:szCs w:val="28"/>
          <w:rtl w:val="true"/>
          <w:lang w:bidi="fa-IR"/>
        </w:rPr>
        <w:t>.</w:t>
      </w:r>
      <w:bookmarkStart w:id="2210" w:name="pg5240_59565"/>
    </w:p>
    <w:p>
      <w:pPr>
        <w:pStyle w:val="BookText"/>
        <w:rPr/>
      </w:pPr>
      <w:bookmarkEnd w:id="2210"/>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للمسلم أن ینکح غیرالکتابیة إجماعاً،لادواماً ولا انقطاعاً،وفی الکتابیة قولان أظهرهما الجواز فی المنقطع بل فی الدائم أیضاً و إن کان الاحتیاط لاینبغی ترکه</w:t>
      </w:r>
      <w:r>
        <w:rPr>
          <w:rFonts w:eastAsia="IRNazanin" w:cs="IRNazanin"/>
          <w:color w:val="111111"/>
          <w:sz w:val="28"/>
          <w:szCs w:val="28"/>
          <w:rtl w:val="true"/>
          <w:lang w:bidi="fa-IR"/>
        </w:rPr>
        <w:t xml:space="preserve">. </w:t>
      </w:r>
      <w:r>
        <w:rPr>
          <w:rStyle w:val="FootnoteAnchor"/>
          <w:rtl w:val="true"/>
        </w:rPr>
        <w:footnoteReference w:id="1058"/>
      </w:r>
    </w:p>
    <w:p>
      <w:pPr>
        <w:pStyle w:val="Heading4"/>
        <w:numPr>
          <w:ilvl w:val="3"/>
          <w:numId w:val="1"/>
        </w:numPr>
        <w:rPr/>
      </w:pPr>
      <w:bookmarkStart w:id="2211" w:name="__RefHeading___Toc364144_581953129"/>
      <w:bookmarkStart w:id="2212" w:name="_Toc926"/>
      <w:bookmarkEnd w:id="2211"/>
      <w:r>
        <w:rPr>
          <w:rtl w:val="true"/>
        </w:rPr>
        <w:t>منشأ الاختلاف</w:t>
      </w:r>
      <w:bookmarkEnd w:id="2212"/>
    </w:p>
    <w:p>
      <w:pPr>
        <w:pStyle w:val="BookText"/>
        <w:rPr/>
      </w:pPr>
      <w:r>
        <w:rPr>
          <w:rFonts w:ascii="IRNazanin" w:hAnsi="IRNazanin" w:eastAsia="IRNazanin"/>
          <w:color w:val="111111"/>
          <w:sz w:val="28"/>
          <w:sz w:val="28"/>
          <w:szCs w:val="28"/>
          <w:rtl w:val="true"/>
          <w:lang w:bidi="fa-IR"/>
        </w:rPr>
        <w:t>إنّ الاختلاف هنا ناشئ عن الاختلاف بین الفریقین بالنسبة إلی النکاح الموقّت ومن الاختلاف فی الاجتهاد و هو خلاف جزئی</w:t>
      </w:r>
      <w:r>
        <w:rPr>
          <w:rFonts w:eastAsia="IRNazanin" w:cs="IRNazanin"/>
          <w:color w:val="111111"/>
          <w:sz w:val="28"/>
          <w:szCs w:val="28"/>
          <w:rtl w:val="true"/>
          <w:lang w:bidi="fa-IR"/>
        </w:rPr>
        <w:t>.</w:t>
      </w:r>
    </w:p>
    <w:p>
      <w:pPr>
        <w:pStyle w:val="Heading3"/>
        <w:numPr>
          <w:ilvl w:val="2"/>
          <w:numId w:val="1"/>
        </w:numPr>
        <w:rPr/>
      </w:pPr>
      <w:bookmarkStart w:id="2213" w:name="__RefHeading___Toc364146_581953129"/>
      <w:bookmarkStart w:id="2214" w:name="_Toc927"/>
      <w:bookmarkEnd w:id="2213"/>
      <w:r>
        <w:rPr>
          <w:rtl w:val="true"/>
        </w:rPr>
        <w:t>معنی الکفائة فی التزویج</w:t>
      </w:r>
      <w:bookmarkEnd w:id="2214"/>
    </w:p>
    <w:p>
      <w:pPr>
        <w:pStyle w:val="Heading4"/>
        <w:numPr>
          <w:ilvl w:val="3"/>
          <w:numId w:val="1"/>
        </w:numPr>
        <w:rPr/>
      </w:pPr>
      <w:bookmarkStart w:id="2215" w:name="__RefHeading___Toc364148_581953129"/>
      <w:bookmarkStart w:id="2216" w:name="_Toc928"/>
      <w:bookmarkEnd w:id="2215"/>
      <w:r>
        <w:rPr>
          <w:rtl w:val="true"/>
        </w:rPr>
        <w:t>اشارة</w:t>
      </w:r>
      <w:bookmarkEnd w:id="2216"/>
    </w:p>
    <w:p>
      <w:pPr>
        <w:pStyle w:val="BookText"/>
        <w:rPr/>
      </w:pPr>
      <w:r>
        <w:rPr>
          <w:rFonts w:ascii="IRNazanin" w:hAnsi="IRNazanin" w:eastAsia="IRNazanin"/>
          <w:color w:val="111111"/>
          <w:sz w:val="28"/>
          <w:sz w:val="28"/>
          <w:szCs w:val="28"/>
          <w:rtl w:val="true"/>
          <w:lang w:bidi="fa-IR"/>
        </w:rPr>
        <w:t>اختلفت الآراء بالنسبة إلی معنی الکفائة المعتبرة فی النکاح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217" w:name="__RefHeading___Toc364150_581953129"/>
      <w:bookmarkStart w:id="2218" w:name="_Toc929"/>
      <w:bookmarkEnd w:id="2217"/>
      <w:r>
        <w:rPr>
          <w:rtl w:val="true"/>
        </w:rPr>
        <w:t>المذهب الجعفری</w:t>
      </w:r>
      <w:bookmarkEnd w:id="2218"/>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الکفائة شرط فی النکاح،وهی التساوی فی الإسلام،وهل یشترط التساوی فی الإیمان؟فیه روایتان أظهرهما الاکتفاء بالإسلام،و إن تأکّد استحباب الإیمان </w:t>
      </w:r>
      <w:r>
        <w:rPr>
          <w:rStyle w:val="FootnoteAnchor"/>
          <w:rtl w:val="true"/>
        </w:rPr>
        <w:footnoteReference w:id="1059"/>
      </w:r>
      <w:r>
        <w:rPr>
          <w:rFonts w:ascii="IRNazanin" w:hAnsi="IRNazanin" w:eastAsia="IRNazanin"/>
          <w:color w:val="111111"/>
          <w:sz w:val="28"/>
          <w:sz w:val="28"/>
          <w:szCs w:val="28"/>
          <w:rtl w:val="true"/>
          <w:lang w:bidi="fa-IR"/>
        </w:rPr>
        <w:t>وقال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الکفائة المعتبرة فی النکاح هی الإسلام أو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الأدلّة الدالّة علی تکافؤ المؤمنین بعضهم ببعض،وخالف ابن‌الجنید منّا فاعتبر فیمن تحرم علیهم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یتزوّج فیهم إلاّ منهم،لئلّا یستحلّ بذلک الصدقة من حرمت علیه</w:t>
      </w:r>
      <w:r>
        <w:rPr>
          <w:rFonts w:eastAsia="IRNazanin" w:cs="IRNazanin"/>
          <w:color w:val="111111"/>
          <w:sz w:val="28"/>
          <w:szCs w:val="28"/>
          <w:rtl w:val="true"/>
          <w:lang w:bidi="fa-IR"/>
        </w:rPr>
        <w:t xml:space="preserve">. </w:t>
      </w:r>
      <w:r>
        <w:rPr>
          <w:rStyle w:val="FootnoteAnchor"/>
          <w:rtl w:val="true"/>
        </w:rPr>
        <w:footnoteReference w:id="106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علی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نکاح الحرّة بالعبد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إلاّمن الإسکافی فاعتبر فیمن یحرم علیهم الصدقة‌ألاّیتزوج فیهم إلاّمنهم؛والروایة قاصرة السند</w:t>
      </w:r>
      <w:bookmarkStart w:id="2219" w:name="pg5240_59566"/>
    </w:p>
    <w:p>
      <w:pPr>
        <w:pStyle w:val="BookText"/>
        <w:rPr/>
      </w:pPr>
      <w:bookmarkEnd w:id="2219"/>
      <w:r>
        <w:rPr>
          <w:rFonts w:ascii="IRNazanin" w:hAnsi="IRNazanin" w:eastAsia="IRNazanin"/>
          <w:color w:val="111111"/>
          <w:sz w:val="28"/>
          <w:sz w:val="28"/>
          <w:szCs w:val="28"/>
          <w:rtl w:val="true"/>
          <w:lang w:bidi="fa-IR"/>
        </w:rPr>
        <w:t>وضعیفة الدلالة</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ولعلّ المقصود من الروایة هنا هو ما روی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تخالطنّ أحداً من العلویین فإنّک إن خالطتهم مقت الجمیع ولکن أحبّهم بقلبک ولتکن محبّتک من بعید</w:t>
      </w:r>
      <w:r>
        <w:rPr>
          <w:rFonts w:eastAsia="IRNazanin" w:cs="IRNazanin"/>
          <w:color w:val="111111"/>
          <w:sz w:val="28"/>
          <w:szCs w:val="28"/>
          <w:rtl w:val="true"/>
          <w:lang w:bidi="fa-IR"/>
        </w:rPr>
        <w:t xml:space="preserve">. </w:t>
      </w:r>
      <w:r>
        <w:rPr>
          <w:rStyle w:val="FootnoteAnchor"/>
          <w:rtl w:val="true"/>
        </w:rPr>
        <w:footnoteReference w:id="1062"/>
      </w:r>
    </w:p>
    <w:p>
      <w:pPr>
        <w:pStyle w:val="Heading4"/>
        <w:numPr>
          <w:ilvl w:val="3"/>
          <w:numId w:val="1"/>
        </w:numPr>
        <w:rPr/>
      </w:pPr>
      <w:bookmarkStart w:id="2220" w:name="__RefHeading___Toc364152_581953129"/>
      <w:bookmarkStart w:id="2221" w:name="_Toc930"/>
      <w:bookmarkEnd w:id="2220"/>
      <w:r>
        <w:rPr>
          <w:rtl w:val="true"/>
        </w:rPr>
        <w:t>المذهب الحنبلی</w:t>
      </w:r>
      <w:bookmarkEnd w:id="2221"/>
    </w:p>
    <w:p>
      <w:pPr>
        <w:pStyle w:val="BookText"/>
        <w:rPr/>
      </w:pPr>
      <w:r>
        <w:rPr>
          <w:rFonts w:ascii="IRNazanin" w:hAnsi="IRNazanin" w:eastAsia="IRNazanin"/>
          <w:color w:val="111111"/>
          <w:sz w:val="28"/>
          <w:sz w:val="28"/>
          <w:szCs w:val="28"/>
          <w:rtl w:val="true"/>
          <w:lang w:bidi="fa-IR"/>
        </w:rPr>
        <w:t>الکفائة هی المساواة فی خمسة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الفاجر الفاسق کفوؤاً للصالحة العدل العفیفة؛لأنّه مردود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صاحب الصناعة الدنیئة کفؤاً لبنت صاحب الصناعة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الیسار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المعسر کفؤاً للموسرة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العجمی کفؤاً للعربیة</w:t>
      </w:r>
      <w:r>
        <w:rPr>
          <w:rFonts w:eastAsia="IRNazanin" w:cs="IRNazanin"/>
          <w:color w:val="111111"/>
          <w:sz w:val="28"/>
          <w:szCs w:val="28"/>
          <w:rtl w:val="true"/>
          <w:lang w:bidi="fa-IR"/>
        </w:rPr>
        <w:t xml:space="preserve">. </w:t>
      </w:r>
      <w:r>
        <w:rPr>
          <w:rStyle w:val="FootnoteAnchor"/>
          <w:rtl w:val="true"/>
        </w:rPr>
        <w:footnoteReference w:id="1063"/>
      </w:r>
    </w:p>
    <w:p>
      <w:pPr>
        <w:pStyle w:val="Heading4"/>
        <w:numPr>
          <w:ilvl w:val="3"/>
          <w:numId w:val="1"/>
        </w:numPr>
        <w:rPr/>
      </w:pPr>
      <w:bookmarkStart w:id="2222" w:name="__RefHeading___Toc364154_581953129"/>
      <w:bookmarkStart w:id="2223" w:name="_Toc931"/>
      <w:bookmarkEnd w:id="2222"/>
      <w:r>
        <w:rPr>
          <w:rtl w:val="true"/>
        </w:rPr>
        <w:t>المذهب الحنفی</w:t>
      </w:r>
      <w:bookmarkEnd w:id="2223"/>
    </w:p>
    <w:p>
      <w:pPr>
        <w:pStyle w:val="BookText"/>
        <w:rPr/>
      </w:pPr>
      <w:r>
        <w:rPr>
          <w:rFonts w:ascii="IRNazanin" w:hAnsi="IRNazanin" w:eastAsia="IRNazanin"/>
          <w:color w:val="111111"/>
          <w:sz w:val="28"/>
          <w:sz w:val="28"/>
          <w:szCs w:val="28"/>
          <w:rtl w:val="true"/>
          <w:lang w:bidi="fa-IR"/>
        </w:rPr>
        <w:t>إنّ الکفائة هی مساواة الرجل للمرأة فی امور مخصوصة وهی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و الإسلام و الحرفة و الحرّیة و الدیانة 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نعلم أنّ العجمی لیس کفوؤاً للقرشیة ولا للعربیة علی أی حال و أنّ العربی من غیر قریش لیس کفؤاً للقریشیة علی أی حال</w:t>
      </w:r>
      <w:r>
        <w:rPr>
          <w:rFonts w:eastAsia="IRNazanin" w:cs="IRNazanin"/>
          <w:color w:val="111111"/>
          <w:sz w:val="28"/>
          <w:szCs w:val="28"/>
          <w:rtl w:val="true"/>
          <w:lang w:bidi="fa-IR"/>
        </w:rPr>
        <w:t>.</w:t>
      </w:r>
    </w:p>
    <w:p>
      <w:pPr>
        <w:pStyle w:val="Heading4"/>
        <w:numPr>
          <w:ilvl w:val="3"/>
          <w:numId w:val="1"/>
        </w:numPr>
        <w:rPr/>
      </w:pPr>
      <w:bookmarkStart w:id="2224" w:name="__RefHeading___Toc364156_581953129"/>
      <w:bookmarkStart w:id="2225" w:name="_Toc932"/>
      <w:bookmarkEnd w:id="2224"/>
      <w:r>
        <w:rPr>
          <w:rtl w:val="true"/>
        </w:rPr>
        <w:t>المذهب الشافعی</w:t>
      </w:r>
      <w:bookmarkEnd w:id="222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الکفائة أمر یوجب عدمه عاراً،وتعتبر الکفائة فی أنواع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النسب،والدین و الحرّیة و الحرفة،فأمّا النسب فالناس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وغیر عربی و العربی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 وغیر</w:t>
      </w:r>
      <w:bookmarkStart w:id="2226" w:name="pg5240_59567"/>
    </w:p>
    <w:p>
      <w:pPr>
        <w:pStyle w:val="BookText"/>
        <w:rPr/>
      </w:pPr>
      <w:bookmarkEnd w:id="2226"/>
      <w:r>
        <w:rPr>
          <w:rFonts w:ascii="IRNazanin" w:hAnsi="IRNazanin" w:eastAsia="IRNazanin"/>
          <w:color w:val="111111"/>
          <w:sz w:val="28"/>
          <w:sz w:val="28"/>
          <w:szCs w:val="28"/>
          <w:rtl w:val="true"/>
          <w:lang w:bidi="fa-IR"/>
        </w:rPr>
        <w:t>قریشی فالقریشیون أفضلهم،علی أنّ بینهما تفاوتاً أیضاً و هو أنّ بنی‌هاشم و المطّلب أفضل من الباقین،والعبرة فی النسب للآباء لا للاُمّهات إلاّفی بنات فاطمة رضی‌الله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 منسوبات إلی النبی صلی الله علیه و آله وهنّ أرقی الأنواع من عرب وعجم</w:t>
      </w:r>
      <w:r>
        <w:rPr>
          <w:rFonts w:eastAsia="IRNazanin" w:cs="IRNazanin"/>
          <w:color w:val="111111"/>
          <w:sz w:val="28"/>
          <w:szCs w:val="28"/>
          <w:rtl w:val="true"/>
          <w:lang w:bidi="fa-IR"/>
        </w:rPr>
        <w:t xml:space="preserve">. </w:t>
      </w:r>
      <w:r>
        <w:rPr>
          <w:rStyle w:val="FootnoteAnchor"/>
          <w:rtl w:val="true"/>
        </w:rPr>
        <w:footnoteReference w:id="1064"/>
      </w:r>
    </w:p>
    <w:p>
      <w:pPr>
        <w:pStyle w:val="Heading4"/>
        <w:numPr>
          <w:ilvl w:val="3"/>
          <w:numId w:val="1"/>
        </w:numPr>
        <w:rPr/>
      </w:pPr>
      <w:bookmarkStart w:id="2227" w:name="__RefHeading___Toc364158_581953129"/>
      <w:bookmarkStart w:id="2228" w:name="_Toc933"/>
      <w:bookmarkEnd w:id="2227"/>
      <w:r>
        <w:rPr>
          <w:rtl w:val="true"/>
        </w:rPr>
        <w:t>المذهب المالکی</w:t>
      </w:r>
      <w:bookmarkEnd w:id="2228"/>
    </w:p>
    <w:p>
      <w:pPr>
        <w:pStyle w:val="BookText"/>
        <w:rPr/>
      </w:pPr>
      <w:r>
        <w:rPr>
          <w:rFonts w:ascii="IRNazanin" w:hAnsi="IRNazanin" w:eastAsia="IRNazanin"/>
          <w:color w:val="111111"/>
          <w:sz w:val="28"/>
          <w:sz w:val="28"/>
          <w:szCs w:val="28"/>
          <w:rtl w:val="true"/>
          <w:lang w:bidi="fa-IR"/>
        </w:rPr>
        <w:t>الکفائة فی النکاح المماثلة فی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التدّین،ثانیهما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من العیوب،أمّا الکفائة فی المال و الحرّیة و النسب و الحرفة فهی معتبرة</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 اعتبار النسب فی الکفائة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لأمنعنّ فروج ذوات الأحساب إلاّ من الأکفاء،ولأنّ العرب یعدّون الکفائة فی النسب،ولأنّ فی فقد ذلک عاراً ونقصاً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واختلفت الروایة عن أحمد فروی عنه أنّ بنی‌هاشم لایکافئهم،و هذا قول بعض أصحاب‌الشافعی؛لما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کنانة من ولد إسماعیل واصطفی من کنانة قریشاً واصطفی من قریش بنی‌هاشم واصطفانی من بنی‌هاشم</w:t>
      </w:r>
      <w:r>
        <w:rPr>
          <w:rFonts w:eastAsia="IRNazanin" w:cs="IRNazanin"/>
          <w:color w:val="111111"/>
          <w:sz w:val="28"/>
          <w:szCs w:val="28"/>
          <w:rtl w:val="true"/>
          <w:lang w:bidi="fa-IR"/>
        </w:rPr>
        <w:t xml:space="preserve">». </w:t>
      </w:r>
      <w:r>
        <w:rPr>
          <w:rStyle w:val="FootnoteAnchor"/>
          <w:rtl w:val="true"/>
        </w:rPr>
        <w:footnoteReference w:id="106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الکفائة‌النسب،والأصل فیه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بعضهم أکفاء بعض وقریش تشتمل علی بنی‌هاشم ولا تکون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والقریشی الّذی لیس بهاشمی کالیتمی والاُموی و 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کفؤاً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لفضیلة قریش علی سائر العرب ولذلک اختصّت الإمامة بهم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هاشمی عمر</w:t>
      </w:r>
      <w:bookmarkStart w:id="2229" w:name="pg5240_59568"/>
    </w:p>
    <w:p>
      <w:pPr>
        <w:pStyle w:val="BookText"/>
        <w:rPr/>
      </w:pPr>
      <w:bookmarkEnd w:id="2229"/>
      <w:r>
        <w:rPr>
          <w:rFonts w:ascii="IRNazanin" w:hAnsi="IRNazanin" w:eastAsia="IRNazanin"/>
          <w:color w:val="111111"/>
          <w:sz w:val="28"/>
          <w:sz w:val="28"/>
          <w:szCs w:val="28"/>
          <w:rtl w:val="true"/>
          <w:lang w:bidi="fa-IR"/>
        </w:rPr>
        <w:t>عدوی عثمان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مفاخرة العجم بالإسلام لابالنسب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الدین و الإقتصار علیه</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اتّفق المذاهب الأربعة علی أنّ الکفائة شرط لزوم ولیست شرط فی صحّة النکاح فإذا تزوّجت المرأة غیر کفؤ کان العقد صحیحاً وکان لأولیائها حق الإعتراض علیه وطلب فسخه؛دفعاً لضرر العار علی أنفسهم</w:t>
      </w:r>
      <w:r>
        <w:rPr>
          <w:rFonts w:eastAsia="IRNazanin" w:cs="IRNazanin"/>
          <w:color w:val="111111"/>
          <w:sz w:val="28"/>
          <w:szCs w:val="28"/>
          <w:rtl w:val="true"/>
          <w:lang w:bidi="fa-IR"/>
        </w:rPr>
        <w:t xml:space="preserve">. </w:t>
      </w:r>
      <w:r>
        <w:rPr>
          <w:rStyle w:val="FootnoteAnchor"/>
          <w:rtl w:val="true"/>
        </w:rPr>
        <w:footnoteReference w:id="1068"/>
      </w:r>
    </w:p>
    <w:p>
      <w:pPr>
        <w:pStyle w:val="Heading4"/>
        <w:numPr>
          <w:ilvl w:val="3"/>
          <w:numId w:val="1"/>
        </w:numPr>
        <w:rPr/>
      </w:pPr>
      <w:bookmarkStart w:id="2230" w:name="__RefHeading___Toc364160_581953129"/>
      <w:bookmarkStart w:id="2231" w:name="_Toc934"/>
      <w:bookmarkEnd w:id="2230"/>
      <w:r>
        <w:rPr>
          <w:rtl w:val="true"/>
        </w:rPr>
        <w:t>منشأ الاختلاف</w:t>
      </w:r>
      <w:bookmarkEnd w:id="223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هنا ناشئ عن الاختلاف فی المبانی الاجتهادیة إلاّ أنّ نظریة التکافوء فی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وترجیح العرب علی‌العجم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تنطبق علی العصبیة الجاهلیة الّتی یستنکرها الکتاب و السنّة و العقل الضروری و أمّا الرأی علی عدم اشتراط التکافؤ بالنسب فی التزویج فهو مقتضی عموم أدلّة النکاح وینطبق علی ما هو ظاهر الکتاب</w:t>
      </w:r>
      <w:r>
        <w:rPr>
          <w:rFonts w:eastAsia="IRNazanin" w:cs="IRNazanin"/>
          <w:color w:val="111111"/>
          <w:sz w:val="28"/>
          <w:szCs w:val="28"/>
          <w:rtl w:val="true"/>
          <w:lang w:bidi="fa-IR"/>
        </w:rPr>
        <w:t>.</w:t>
      </w:r>
      <w:bookmarkStart w:id="2232" w:name="pg5240_59569"/>
    </w:p>
    <w:p>
      <w:pPr>
        <w:pStyle w:val="Heading3"/>
        <w:numPr>
          <w:ilvl w:val="2"/>
          <w:numId w:val="1"/>
        </w:numPr>
        <w:rPr/>
      </w:pPr>
      <w:bookmarkStart w:id="2233" w:name="__RefHeading___Toc364162_581953129"/>
      <w:bookmarkStart w:id="2234" w:name="_Toc935"/>
      <w:bookmarkEnd w:id="2232"/>
      <w:bookmarkEnd w:id="2233"/>
      <w:r>
        <w:rPr>
          <w:rtl w:val="true"/>
        </w:rPr>
        <w:t>الخلاصة</w:t>
      </w:r>
      <w:bookmarkEnd w:id="2234"/>
    </w:p>
    <w:p>
      <w:pPr>
        <w:pStyle w:val="BookText"/>
        <w:rPr/>
      </w:pPr>
      <w:r>
        <w:rPr>
          <w:rFonts w:ascii="IRNazanin" w:hAnsi="IRNazanin" w:eastAsia="IRNazanin"/>
          <w:color w:val="111111"/>
          <w:sz w:val="28"/>
          <w:sz w:val="28"/>
          <w:szCs w:val="28"/>
          <w:rtl w:val="true"/>
          <w:lang w:bidi="fa-IR"/>
        </w:rPr>
        <w:t>الزنا،یوجب حرمة المصاهرة علی مذهبی الحنبلی و الحنفی ولا یوجب الحرمة علی مذهبی الشفعی و المالکی و أمّا علی المذهب الجعفری فإن کان الزنا بعد التزویج لایوجب تحریم المصاهرة و إن کان قبل التزویج یوجب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اللمس و النظر عن شهوة لایوجبان تحریم المصاهرة علی المذهب الجعفری و الحنبلی و الشافعی،ویوجبان الحرمة علی مذهبی الحنفی و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تزویج ما یتولّد من الزنا علی الزانی و الزانیة علی المذهب الجعفری و الحنبلی و الحنفی ولا یحرم ذلک علی مذهبی الشافعی و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لایوجب الزنا تحریم الزانیة علی الزانی مؤبّداً علی المذاهب الأربعة ویوجب التحریم المؤبّد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 ذات البعل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الرضاع الموجب للنسبة،تحدید خاص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ولیلة عُدّةً أو خمس عشرة رضعة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الجعفری وخمس رضعات علی مذهبی الشافعی و الحنبلی ویکفی مسمّی الرضاع علی مذهبی الحنفی و المالکی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تشترط فی النکاح الکفائة فی الإسلام علی المذهب الجعفری ویشترط التکافؤ فی النسب أیضاً علی المذاهب الأربعة ویجوز نکاح الکافرة للمسلم متعة علی المذهب الجعفری ولا یجوز ذلک علی المذاهب الأربعة</w:t>
      </w:r>
      <w:r>
        <w:rPr>
          <w:rFonts w:eastAsia="IRNazanin" w:cs="IRNazanin"/>
          <w:color w:val="111111"/>
          <w:sz w:val="28"/>
          <w:szCs w:val="28"/>
          <w:rtl w:val="true"/>
          <w:lang w:bidi="fa-IR"/>
        </w:rPr>
        <w:t>.</w:t>
      </w:r>
      <w:bookmarkStart w:id="2235" w:name="pg5240_59570"/>
    </w:p>
    <w:p>
      <w:pPr>
        <w:pStyle w:val="Heading3"/>
        <w:numPr>
          <w:ilvl w:val="2"/>
          <w:numId w:val="1"/>
        </w:numPr>
        <w:rPr/>
      </w:pPr>
      <w:bookmarkStart w:id="2236" w:name="__RefHeading___Toc364164_581953129"/>
      <w:bookmarkStart w:id="2237" w:name="_Toc936"/>
      <w:bookmarkEnd w:id="2235"/>
      <w:bookmarkEnd w:id="2236"/>
      <w:r>
        <w:rPr>
          <w:rtl w:val="true"/>
        </w:rPr>
        <w:t>الأسئلة</w:t>
      </w:r>
      <w:bookmarkEnd w:id="2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أنّ الزنا یوجب حرمة المصاهرة؟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اللمس عن شهوة وکذا النظر یوجب حرمة المصاهرة؟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للزانی مناکحة بنته من الزنا؟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یوجب الزنا تحریم الزانیة علی الزانی مؤبّداً؟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یکفی فی تحقّق الرضاع مسمّی الارتضاع؟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جواز تزویج المسلم مع الکافرة؟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الکفائة فی التزویج؟</w:t>
      </w:r>
      <w:bookmarkStart w:id="2238" w:name="pg5240_59571"/>
    </w:p>
    <w:p>
      <w:pPr>
        <w:pStyle w:val="Heading2"/>
        <w:numPr>
          <w:ilvl w:val="1"/>
          <w:numId w:val="1"/>
        </w:numPr>
        <w:rPr/>
      </w:pPr>
      <w:bookmarkStart w:id="2239" w:name="__RefHeading___Toc364166_581953129"/>
      <w:bookmarkStart w:id="2240" w:name="_Toc937"/>
      <w:bookmarkEnd w:id="2238"/>
      <w:bookmarkEnd w:id="2239"/>
      <w:r>
        <w:rPr/>
        <w:t>32</w:t>
      </w:r>
      <w:r>
        <w:rPr>
          <w:rtl w:val="true"/>
        </w:rPr>
        <w:t xml:space="preserve">- </w:t>
      </w:r>
      <w:r>
        <w:rPr>
          <w:rtl w:val="true"/>
        </w:rPr>
        <w:t xml:space="preserve">الطلاق </w:t>
      </w:r>
      <w:r>
        <w:rPr>
          <w:rtl w:val="true"/>
        </w:rPr>
        <w:t>(</w:t>
      </w:r>
      <w:r>
        <w:rPr/>
        <w:t>1</w:t>
      </w:r>
      <w:r>
        <w:rPr>
          <w:rtl w:val="true"/>
        </w:rPr>
        <w:t>)</w:t>
      </w:r>
      <w:bookmarkEnd w:id="2240"/>
    </w:p>
    <w:p>
      <w:pPr>
        <w:pStyle w:val="Heading3"/>
        <w:numPr>
          <w:ilvl w:val="2"/>
          <w:numId w:val="1"/>
        </w:numPr>
        <w:rPr/>
      </w:pPr>
      <w:bookmarkStart w:id="2241" w:name="__RefHeading___Toc364168_581953129"/>
      <w:bookmarkStart w:id="2242" w:name="_Toc938"/>
      <w:bookmarkEnd w:id="2241"/>
      <w:r>
        <w:rPr>
          <w:rtl w:val="true"/>
        </w:rPr>
        <w:t>صیغة الطلاق</w:t>
      </w:r>
      <w:bookmarkEnd w:id="2242"/>
    </w:p>
    <w:p>
      <w:pPr>
        <w:pStyle w:val="Heading4"/>
        <w:numPr>
          <w:ilvl w:val="3"/>
          <w:numId w:val="1"/>
        </w:numPr>
        <w:rPr/>
      </w:pPr>
      <w:bookmarkStart w:id="2243" w:name="__RefHeading___Toc364170_581953129"/>
      <w:bookmarkStart w:id="2244" w:name="_Toc939"/>
      <w:bookmarkEnd w:id="2243"/>
      <w:r>
        <w:rPr>
          <w:rtl w:val="true"/>
        </w:rPr>
        <w:t>اشارة</w:t>
      </w:r>
      <w:bookmarkEnd w:id="2244"/>
    </w:p>
    <w:p>
      <w:pPr>
        <w:pStyle w:val="BookText"/>
        <w:rPr/>
      </w:pPr>
      <w:r>
        <w:rPr>
          <w:rFonts w:ascii="IRNazanin" w:hAnsi="IRNazanin" w:eastAsia="IRNazanin"/>
          <w:color w:val="111111"/>
          <w:sz w:val="28"/>
          <w:sz w:val="28"/>
          <w:szCs w:val="28"/>
          <w:rtl w:val="true"/>
          <w:lang w:bidi="fa-IR"/>
        </w:rPr>
        <w:t>اختلفت الآراء بالنسبة إلی ألفاظ الطلاق صیغة ومادّة 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2245" w:name="__RefHeading___Toc364172_581953129"/>
      <w:bookmarkStart w:id="2246" w:name="_Toc940"/>
      <w:bookmarkEnd w:id="2245"/>
      <w:r>
        <w:rPr>
          <w:rtl w:val="true"/>
        </w:rPr>
        <w:t>المذهب الجعفری</w:t>
      </w:r>
      <w:bookmarkEnd w:id="224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الّتی یقع بها الطلاق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وهی طالق أو فلانة طالق،وفی وقوعه بمثل طلّقت فلانة أو طلّقتک أو أنت مطلّقة أو فلانة مطلّقة،إشکال،الأظهر البطلان ولا یقع الطلاق بالکتابة ولا بالإشارة للقادر علی النطق ویقع بهما للعاجز عنه،ولو خیر زوجته وقصد تفویض الطلاق إلیها فاختارت نفسها بقصد الطلاق،لایقع علی الأقوی ولو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طلّقت زوجتک فلانة؟فقال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بقصد إنشاء الطلاق لا یقع علی الأقوی</w:t>
      </w:r>
      <w:r>
        <w:rPr>
          <w:rFonts w:eastAsia="IRNazanin" w:cs="IRNazanin"/>
          <w:color w:val="111111"/>
          <w:sz w:val="28"/>
          <w:szCs w:val="28"/>
          <w:rtl w:val="true"/>
          <w:lang w:bidi="fa-IR"/>
        </w:rPr>
        <w:t xml:space="preserve">. </w:t>
      </w:r>
      <w:r>
        <w:rPr>
          <w:rStyle w:val="FootnoteAnchor"/>
          <w:rtl w:val="true"/>
        </w:rPr>
        <w:footnoteReference w:id="1069"/>
      </w:r>
      <w:r>
        <w:rPr>
          <w:rFonts w:ascii="Amiri" w:hAnsi="Amiri" w:eastAsia="Amiri" w:cs="Amiri"/>
          <w:color w:val="111111"/>
          <w:sz w:val="28"/>
          <w:sz w:val="28"/>
          <w:szCs w:val="28"/>
          <w:rtl w:val="true"/>
          <w:lang w:bidi="ar-SA"/>
        </w:rPr>
        <w:t>ذلک لأنّ النکاح هو المیثاق الغلیظ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أَفْضی بَعْضُکُمْ إِلی بَعْضٍ وَ أَخَذْنَ مِنْکُمْ مِیثاقاً غَلِیظاً </w:t>
      </w:r>
      <w:r>
        <w:rPr>
          <w:rFonts w:eastAsia="Amiri" w:cs="Amiri" w:ascii="Amiri" w:hAnsi="Amiri"/>
          <w:color w:val="111111"/>
          <w:sz w:val="28"/>
          <w:szCs w:val="28"/>
          <w:rtl w:val="true"/>
          <w:lang w:bidi="ar-SA"/>
        </w:rPr>
        <w:t xml:space="preserve">. </w:t>
      </w:r>
      <w:r>
        <w:rPr>
          <w:rStyle w:val="FootnoteAnchor"/>
          <w:rtl w:val="true"/>
        </w:rPr>
        <w:footnoteReference w:id="1070"/>
      </w:r>
      <w:bookmarkStart w:id="2247" w:name="pg5240_59572"/>
    </w:p>
    <w:p>
      <w:pPr>
        <w:pStyle w:val="BookText"/>
        <w:rPr/>
      </w:pPr>
      <w:bookmarkEnd w:id="2247"/>
      <w:r>
        <w:rPr>
          <w:rFonts w:ascii="IRNazanin" w:hAnsi="IRNazanin" w:eastAsia="IRNazanin"/>
          <w:color w:val="111111"/>
          <w:sz w:val="28"/>
          <w:sz w:val="28"/>
          <w:szCs w:val="28"/>
          <w:rtl w:val="true"/>
          <w:lang w:bidi="fa-IR"/>
        </w:rPr>
        <w:t>فلا یتحقّق نقض ذلک المیثاق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سهولة ورخاء ویدلّنا علی ذلک‌کلّه النصوص الواردة فی المقام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محمّدبن مسلم عن الإمام‌الباقر علیه السلام سأله عن رجل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 أو بائنة أو بتة أو بریة أو خلیة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لیس بشیء إنّما الطلاق أن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قبل العدّة‌بعدما تطهر من محیضها قبل أن یجامعها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طالق،یرید بذلک الطلاق،ویشهدعلی ذلک رجلین عدلین</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والدلالة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قال لإمرأته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خلیة أو بریة أو بتة أو بائن أو حرام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دلّت علی المطلوب دلالة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الکافی عن الحسن‌بن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الطلاق إلاّ کما روی بکیربن أعین أن یقول لها وهی طاهر من غیر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ویشهد شاهدی عدل وکلّ ماسوی ذلک فهی ملغی</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وفی الانتصار إجماع الإمامیة علی ذلک</w:t>
      </w:r>
      <w:r>
        <w:rPr>
          <w:rFonts w:eastAsia="IRNazanin" w:cs="IRNazanin"/>
          <w:color w:val="111111"/>
          <w:sz w:val="28"/>
          <w:szCs w:val="28"/>
          <w:rtl w:val="true"/>
          <w:lang w:bidi="fa-IR"/>
        </w:rPr>
        <w:t xml:space="preserve">. </w:t>
      </w:r>
      <w:r>
        <w:rPr>
          <w:rStyle w:val="FootnoteAnchor"/>
          <w:rtl w:val="true"/>
        </w:rPr>
        <w:footnoteReference w:id="1074"/>
      </w:r>
    </w:p>
    <w:p>
      <w:pPr>
        <w:pStyle w:val="Heading4"/>
        <w:numPr>
          <w:ilvl w:val="3"/>
          <w:numId w:val="1"/>
        </w:numPr>
        <w:rPr/>
      </w:pPr>
      <w:bookmarkStart w:id="2248" w:name="__RefHeading___Toc364174_581953129"/>
      <w:bookmarkStart w:id="2249" w:name="_Toc941"/>
      <w:bookmarkEnd w:id="2248"/>
      <w:r>
        <w:rPr>
          <w:rtl w:val="true"/>
        </w:rPr>
        <w:t>المذاهب الأربعة</w:t>
      </w:r>
      <w:bookmarkEnd w:id="224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الطلاق هی اللفظ الدالّ علی حلّ عقدة النکاح صریحاً کان أو کنایة</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إجماعاً وقال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المفهمة الدالّة علی الطلاق تقوم مقام اللفظ من الأخرس ومن السلیم القادر علی النطق علی المعتمد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یقول به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ألفاظ،الطلاق و الفراق و السراح وما تصرّف منهنّ و هذا مذهب الشافعی وذهب أبو عبد الله‌بن حامد إلی أنّ صریح الطلاق لفظ الطلاق وحده وما تصرّف منه لاغیر و هو مذهب أبی‌حنیفة ومالک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کلا القولین إذا قال طلّقتک أو أنت طالق أو مطلّقة وقع الطلاق من غیر نیة،و إن قال فارقتک أو قال أنت مفارقة أو سرّحتک أو أنت مسرّحة فمن یراه صریحاً أوقع به الطلاق من غیر نیة ومن لم یره صریحاً لم یوقعه به إلاّ أن ینویه</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قال ذحیلی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ویقع الطلاق الصریح ولو بالالفاظ المصحفة نحو تلاغ وتلاک أو بأحرف الهجاء ط،ل،ا،ق،یقع الطلاق الصریح بدون حاجة إلی نیة ودالّة</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والتحقیق أنّه لایمکن‌الالتزام بأنّ الحروف الّتی لایفهم منها معنی،تکون صریحة فی الطلاق علی خلاف المعائیر الادبیة و البلاغیة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والکنایة ثلاثة أقسام ظاهرة وهی ستّة بألفاظ خلیة وبریة وبائن وبتة وبتلة وأمرُک بیدک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ومختلف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اخرجی واذهبی وسائر مایدلّ علی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واحدة فهی کنایة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لاتقع بها إلاّ واحدة</w:t>
      </w:r>
      <w:r>
        <w:rPr>
          <w:rFonts w:eastAsia="IRNazanin" w:cs="IRNazanin"/>
          <w:color w:val="111111"/>
          <w:sz w:val="28"/>
          <w:szCs w:val="28"/>
          <w:rtl w:val="true"/>
          <w:lang w:bidi="fa-IR"/>
        </w:rPr>
        <w:t xml:space="preserve">. </w:t>
      </w:r>
      <w:r>
        <w:rPr>
          <w:rStyle w:val="FootnoteAnchor"/>
          <w:rtl w:val="true"/>
        </w:rPr>
        <w:footnoteReference w:id="107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ممّا تقدّم أنّ الطلاق یتحقّق بالکنایات بشتّی أنواعها،وعلیه إذا قال الزوج لزوجته أنتِ واحدة،یقع الطلاق،ویتحقّق الافتراق بین الزوجین،وبما أنّ الکنایة تکفی فی إنشاء الطلاق وصیغته،لم تکن الصیغة بحاجة إلی الدلالة علی المعنی،ومن ثمّ إذا لم یتبین المعنی من لفظ الطلاق الکنائی ولم یخطر ببال أحد معنی الافتراق عند سماع ذلک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لایضرّ بتحقّق الطلاق؛ذلک لکفایة الکنایة الخفیة فی إنشاء الطلاق ولا دلالة ظاهرة لتلک الکنایة علی المعنی بحسب صیاغتها الکنائیة</w:t>
      </w:r>
      <w:r>
        <w:rPr>
          <w:rFonts w:eastAsia="IRNazanin" w:cs="IRNazanin"/>
          <w:color w:val="111111"/>
          <w:sz w:val="28"/>
          <w:szCs w:val="28"/>
          <w:rtl w:val="true"/>
          <w:lang w:bidi="fa-IR"/>
        </w:rPr>
        <w:t>.</w:t>
      </w:r>
      <w:bookmarkStart w:id="2250" w:name="pg5240_59574"/>
    </w:p>
    <w:p>
      <w:pPr>
        <w:pStyle w:val="Heading4"/>
        <w:numPr>
          <w:ilvl w:val="3"/>
          <w:numId w:val="1"/>
        </w:numPr>
        <w:rPr/>
      </w:pPr>
      <w:bookmarkStart w:id="2251" w:name="__RefHeading___Toc364176_581953129"/>
      <w:bookmarkStart w:id="2252" w:name="_Toc942"/>
      <w:bookmarkEnd w:id="2250"/>
      <w:bookmarkEnd w:id="2251"/>
      <w:r>
        <w:rPr>
          <w:rtl w:val="true"/>
        </w:rPr>
        <w:t>منشأ الاختلاف</w:t>
      </w:r>
      <w:bookmarkEnd w:id="2252"/>
    </w:p>
    <w:p>
      <w:pPr>
        <w:pStyle w:val="BookText"/>
        <w:rPr/>
      </w:pPr>
      <w:r>
        <w:rPr>
          <w:rFonts w:ascii="IRNazanin" w:hAnsi="IRNazanin" w:eastAsia="IRNazanin"/>
          <w:color w:val="111111"/>
          <w:sz w:val="28"/>
          <w:sz w:val="28"/>
          <w:szCs w:val="28"/>
          <w:rtl w:val="true"/>
          <w:lang w:bidi="fa-IR"/>
        </w:rPr>
        <w:t>تبین لنا أنّ الاختلاف هنا ناشئ عن الاختلاف فی مستند الحکم فإنّ الحکم بکفایة الکنایة فی إنشاء الطلاق علی المذاهب الأربعة هو الإجماع المتحقّق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والحکم بعدم کفایة الإنشاء الکنائی علی المذهب الجعفری هو النصّ الوارد هناک</w:t>
      </w:r>
      <w:r>
        <w:rPr>
          <w:rFonts w:eastAsia="IRNazanin" w:cs="IRNazanin"/>
          <w:color w:val="111111"/>
          <w:sz w:val="28"/>
          <w:szCs w:val="28"/>
          <w:rtl w:val="true"/>
          <w:lang w:bidi="fa-IR"/>
        </w:rPr>
        <w:t>.</w:t>
      </w:r>
    </w:p>
    <w:p>
      <w:pPr>
        <w:pStyle w:val="Heading3"/>
        <w:numPr>
          <w:ilvl w:val="2"/>
          <w:numId w:val="1"/>
        </w:numPr>
        <w:rPr/>
      </w:pPr>
      <w:bookmarkStart w:id="2253" w:name="__RefHeading___Toc364178_581953129"/>
      <w:bookmarkStart w:id="2254" w:name="_Toc943"/>
      <w:bookmarkEnd w:id="2253"/>
      <w:r>
        <w:rPr>
          <w:rtl w:val="true"/>
        </w:rPr>
        <w:t>الشروط</w:t>
      </w:r>
      <w:bookmarkEnd w:id="2254"/>
    </w:p>
    <w:p>
      <w:pPr>
        <w:pStyle w:val="Heading4"/>
        <w:numPr>
          <w:ilvl w:val="3"/>
          <w:numId w:val="1"/>
        </w:numPr>
        <w:rPr/>
      </w:pPr>
      <w:bookmarkStart w:id="2255" w:name="__RefHeading___Toc364180_581953129"/>
      <w:bookmarkStart w:id="2256" w:name="_Toc944"/>
      <w:bookmarkEnd w:id="2255"/>
      <w:r>
        <w:rPr>
          <w:rtl w:val="true"/>
        </w:rPr>
        <w:t>اشارة</w:t>
      </w:r>
      <w:bookmarkEnd w:id="2256"/>
    </w:p>
    <w:p>
      <w:pPr>
        <w:pStyle w:val="BookText"/>
        <w:rPr/>
      </w:pPr>
      <w:r>
        <w:rPr>
          <w:rFonts w:ascii="IRNazanin" w:hAnsi="IRNazanin" w:eastAsia="IRNazanin"/>
          <w:color w:val="111111"/>
          <w:sz w:val="28"/>
          <w:sz w:val="28"/>
          <w:szCs w:val="28"/>
          <w:rtl w:val="true"/>
          <w:lang w:bidi="fa-IR"/>
        </w:rPr>
        <w:t>اختلفت الآراء بالنسبة إلی اشتراط القصد والاختیار و العربیة و التنجیز فی الطلاق،وتفصیل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257" w:name="__RefHeading___Toc364182_581953129"/>
      <w:bookmarkStart w:id="2258" w:name="_Toc945"/>
      <w:bookmarkEnd w:id="2257"/>
      <w:r>
        <w:rPr>
          <w:rtl w:val="true"/>
        </w:rPr>
        <w:t>القصد</w:t>
      </w:r>
      <w:bookmarkEnd w:id="2258"/>
    </w:p>
    <w:p>
      <w:pPr>
        <w:pStyle w:val="Heading5"/>
        <w:numPr>
          <w:ilvl w:val="4"/>
          <w:numId w:val="1"/>
        </w:numPr>
        <w:rPr/>
      </w:pPr>
      <w:bookmarkStart w:id="2259" w:name="__RefHeading___Toc364184_581953129"/>
      <w:bookmarkStart w:id="2260" w:name="_Toc946"/>
      <w:bookmarkEnd w:id="2259"/>
      <w:r>
        <w:rPr>
          <w:rtl w:val="true"/>
        </w:rPr>
        <w:t>المذهب الجعفری</w:t>
      </w:r>
      <w:bookmarkEnd w:id="2260"/>
    </w:p>
    <w:p>
      <w:pPr>
        <w:pStyle w:val="BookText"/>
        <w:rPr/>
      </w:pPr>
      <w:r>
        <w:rPr>
          <w:rFonts w:ascii="IRNazanin" w:hAnsi="IRNazanin" w:eastAsia="IRNazanin"/>
          <w:color w:val="111111"/>
          <w:sz w:val="28"/>
          <w:sz w:val="28"/>
          <w:szCs w:val="28"/>
          <w:rtl w:val="true"/>
          <w:lang w:bidi="fa-IR"/>
        </w:rPr>
        <w:t xml:space="preserve">الشرط الرابع القصد،و هو شرط فی الصحّة مع اشتراط النطق بالصریح،فلو لم ینو الطلاق لم‌یقع کالساهی و النائم و الغالط </w:t>
      </w:r>
      <w:r>
        <w:rPr>
          <w:rStyle w:val="FootnoteAnchor"/>
          <w:rtl w:val="true"/>
        </w:rPr>
        <w:footnoteReference w:id="1080"/>
      </w: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أجده فیه بیننا،بل‌الإجماع بقسمیه علیه مضافاً إلی الخبرالمستفیض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 إلاّ لمن أراد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علی سنّة وعلی طهر بغیر جماع إلاّ 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وتحقّقت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استفاضة النصوص فی خصوص المقام</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أضف إلی ذلک أنّ الطلاق من الإنشاءات الّتی تتقوّم بالقصد بحسب الذات</w:t>
      </w:r>
      <w:r>
        <w:rPr>
          <w:rFonts w:eastAsia="IRNazanin" w:cs="IRNazanin"/>
          <w:color w:val="111111"/>
          <w:sz w:val="28"/>
          <w:szCs w:val="28"/>
          <w:rtl w:val="true"/>
          <w:lang w:bidi="fa-IR"/>
        </w:rPr>
        <w:t>.</w:t>
      </w:r>
    </w:p>
    <w:p>
      <w:pPr>
        <w:pStyle w:val="Heading5"/>
        <w:numPr>
          <w:ilvl w:val="4"/>
          <w:numId w:val="1"/>
        </w:numPr>
        <w:rPr/>
      </w:pPr>
      <w:bookmarkStart w:id="2261" w:name="__RefHeading___Toc364186_581953129"/>
      <w:bookmarkStart w:id="2262" w:name="_Toc947"/>
      <w:bookmarkEnd w:id="2261"/>
      <w:r>
        <w:rPr>
          <w:rtl w:val="true"/>
        </w:rPr>
        <w:t>المذاهب الأربعة</w:t>
      </w:r>
      <w:bookmarkEnd w:id="226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صریح الطلاق لایحتاج إلی نیة بل یقع من غیر قصد ولا خلاف فی ذلک؛</w:t>
      </w:r>
      <w:bookmarkStart w:id="2263" w:name="pg5240_59575"/>
    </w:p>
    <w:p>
      <w:pPr>
        <w:pStyle w:val="BookText"/>
        <w:rPr/>
      </w:pPr>
      <w:bookmarkEnd w:id="2263"/>
      <w:r>
        <w:rPr>
          <w:rFonts w:ascii="IRNazanin" w:hAnsi="IRNazanin" w:eastAsia="IRNazanin"/>
          <w:color w:val="111111"/>
          <w:sz w:val="28"/>
          <w:sz w:val="28"/>
          <w:szCs w:val="28"/>
          <w:rtl w:val="true"/>
          <w:lang w:bidi="fa-IR"/>
        </w:rPr>
        <w:t>ولأنّ ما یعتبر له القول یکتفی فیه به من غیر نیة إذا کانت صریحاً فیه،وسواء قصدالمزح أوالجد؛لقول النبی صلی الله علیه و آله ثلاث جدّهنّ وهزلهنّ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 الطلاق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أبوداود و الترمذی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 قال ابن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من أحفظ عنه من أهل العلم علی أنّ جدّ الطلاق وهزله سواء و أمّا غیر الصریح فلا یقع الطلاق به إلاّ بنیة أو دلالة حال</w:t>
      </w:r>
      <w:r>
        <w:rPr>
          <w:rFonts w:eastAsia="IRNazanin" w:cs="IRNazanin"/>
          <w:color w:val="111111"/>
          <w:sz w:val="28"/>
          <w:szCs w:val="28"/>
          <w:rtl w:val="true"/>
          <w:lang w:bidi="fa-IR"/>
        </w:rPr>
        <w:t xml:space="preserve">. </w:t>
      </w:r>
      <w:r>
        <w:rPr>
          <w:rStyle w:val="FootnoteAnchor"/>
          <w:rtl w:val="true"/>
        </w:rPr>
        <w:footnoteReference w:id="1082"/>
      </w:r>
    </w:p>
    <w:p>
      <w:pPr>
        <w:pStyle w:val="Heading4"/>
        <w:numPr>
          <w:ilvl w:val="3"/>
          <w:numId w:val="1"/>
        </w:numPr>
        <w:rPr/>
      </w:pPr>
      <w:bookmarkStart w:id="2264" w:name="__RefHeading___Toc364188_581953129"/>
      <w:bookmarkStart w:id="2265" w:name="_Toc948"/>
      <w:bookmarkEnd w:id="2264"/>
      <w:r>
        <w:rPr>
          <w:rtl w:val="true"/>
        </w:rPr>
        <w:t>الاختیار</w:t>
      </w:r>
      <w:bookmarkEnd w:id="2265"/>
    </w:p>
    <w:p>
      <w:pPr>
        <w:pStyle w:val="Heading5"/>
        <w:numPr>
          <w:ilvl w:val="4"/>
          <w:numId w:val="1"/>
        </w:numPr>
        <w:rPr/>
      </w:pPr>
      <w:bookmarkStart w:id="2266" w:name="__RefHeading___Toc364190_581953129"/>
      <w:bookmarkStart w:id="2267" w:name="_Toc949"/>
      <w:bookmarkEnd w:id="2266"/>
      <w:r>
        <w:rPr>
          <w:rtl w:val="true"/>
        </w:rPr>
        <w:t>المذهب الجعفری</w:t>
      </w:r>
      <w:bookmarkEnd w:id="2267"/>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الاختیار فلا یصحّ طلاق المکره، </w:t>
      </w:r>
      <w:r>
        <w:rPr>
          <w:rStyle w:val="FootnoteAnchor"/>
          <w:rtl w:val="true"/>
        </w:rPr>
        <w:footnoteReference w:id="1083"/>
      </w: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فیه عندنا بل الإجماع بقسمیه علیه؛مضافاً إلی‌النصوص العامّة‌مثل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استکرهوا علیه</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والخاصّة کحسن زرارة </w:t>
      </w:r>
      <w:r>
        <w:rPr>
          <w:rStyle w:val="FootnoteAnchor"/>
          <w:rtl w:val="true"/>
        </w:rPr>
        <w:footnoteReference w:id="1085"/>
      </w:r>
      <w:r>
        <w:rPr>
          <w:rFonts w:ascii="IRNazanin" w:hAnsi="IRNazanin" w:eastAsia="IRNazanin"/>
          <w:color w:val="111111"/>
          <w:sz w:val="28"/>
          <w:sz w:val="28"/>
          <w:szCs w:val="28"/>
          <w:rtl w:val="true"/>
          <w:lang w:bidi="fa-IR"/>
        </w:rPr>
        <w:t>عن الإمام الباقر علیه السلام سألته عن طلاق المکره وعتقه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طلاقه بطلاق</w:t>
      </w:r>
      <w:r>
        <w:rPr>
          <w:rFonts w:eastAsia="IRNazanin" w:cs="IRNazanin"/>
          <w:color w:val="111111"/>
          <w:sz w:val="28"/>
          <w:szCs w:val="28"/>
          <w:rtl w:val="true"/>
          <w:lang w:bidi="fa-IR"/>
        </w:rPr>
        <w:t xml:space="preserve">». </w:t>
      </w:r>
      <w:r>
        <w:rPr>
          <w:rStyle w:val="FootnoteAnchor"/>
          <w:rtl w:val="true"/>
        </w:rPr>
        <w:footnoteReference w:id="1086"/>
      </w:r>
    </w:p>
    <w:p>
      <w:pPr>
        <w:pStyle w:val="Heading5"/>
        <w:numPr>
          <w:ilvl w:val="4"/>
          <w:numId w:val="1"/>
        </w:numPr>
        <w:rPr/>
      </w:pPr>
      <w:bookmarkStart w:id="2268" w:name="__RefHeading___Toc364192_581953129"/>
      <w:bookmarkStart w:id="2269" w:name="_Toc950"/>
      <w:bookmarkEnd w:id="2268"/>
      <w:r>
        <w:rPr>
          <w:rtl w:val="true"/>
        </w:rPr>
        <w:t>المذهب الحنفی</w:t>
      </w:r>
      <w:bookmarkEnd w:id="226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المکره یقع خلافاً للأئمّة الثلاثة،فلو أکره شخص آخر علی تطلیق زوجته بالضرب،أو السجن،أو أخذ المال وقع طلاقه </w:t>
      </w:r>
      <w:r>
        <w:rPr>
          <w:rStyle w:val="FootnoteAnchor"/>
          <w:rtl w:val="true"/>
        </w:rPr>
        <w:footnoteReference w:id="1087"/>
      </w:r>
      <w:r>
        <w:rPr>
          <w:rFonts w:ascii="IRNazanin" w:hAnsi="IRNazanin" w:eastAsia="IRNazanin"/>
          <w:color w:val="111111"/>
          <w:sz w:val="28"/>
          <w:sz w:val="28"/>
          <w:szCs w:val="28"/>
          <w:rtl w:val="true"/>
          <w:lang w:bidi="fa-IR"/>
        </w:rPr>
        <w:t>و هذا الحکم علی أساس الاجتهاد الخاص</w:t>
      </w:r>
      <w:r>
        <w:rPr>
          <w:rFonts w:eastAsia="IRNazanin" w:cs="IRNazanin"/>
          <w:color w:val="111111"/>
          <w:sz w:val="28"/>
          <w:szCs w:val="28"/>
          <w:rtl w:val="true"/>
          <w:lang w:bidi="fa-IR"/>
        </w:rPr>
        <w:t>.</w:t>
      </w:r>
      <w:bookmarkStart w:id="2270" w:name="pg5240_59576"/>
    </w:p>
    <w:p>
      <w:pPr>
        <w:pStyle w:val="Heading4"/>
        <w:numPr>
          <w:ilvl w:val="3"/>
          <w:numId w:val="1"/>
        </w:numPr>
        <w:rPr/>
      </w:pPr>
      <w:bookmarkStart w:id="2271" w:name="__RefHeading___Toc364194_581953129"/>
      <w:bookmarkStart w:id="2272" w:name="_Toc951"/>
      <w:bookmarkEnd w:id="2270"/>
      <w:bookmarkEnd w:id="2271"/>
      <w:r>
        <w:rPr>
          <w:rtl w:val="true"/>
        </w:rPr>
        <w:t>العربیة</w:t>
      </w:r>
      <w:bookmarkEnd w:id="2272"/>
    </w:p>
    <w:p>
      <w:pPr>
        <w:pStyle w:val="Heading5"/>
        <w:numPr>
          <w:ilvl w:val="4"/>
          <w:numId w:val="1"/>
        </w:numPr>
        <w:rPr/>
      </w:pPr>
      <w:bookmarkStart w:id="2273" w:name="__RefHeading___Toc364196_581953129"/>
      <w:bookmarkStart w:id="2274" w:name="_Toc952"/>
      <w:bookmarkEnd w:id="2273"/>
      <w:r>
        <w:rPr>
          <w:rtl w:val="true"/>
        </w:rPr>
        <w:t>المذهب الجعفری</w:t>
      </w:r>
      <w:bookmarkEnd w:id="2274"/>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یقع الطلاق بالکنایة ولا بغیر العربیة مع القدرة علی التلفّظ باللفظة المخصوصة ولا بالإشارة إلاّ مع العجز عن النطق،ویقع طلاق الأخرس بالإشارة الدالّة </w:t>
      </w:r>
      <w:r>
        <w:rPr>
          <w:rStyle w:val="FootnoteAnchor"/>
          <w:rtl w:val="true"/>
        </w:rPr>
        <w:footnoteReference w:id="1088"/>
      </w:r>
      <w:r>
        <w:rPr>
          <w:rFonts w:ascii="IRNazanin" w:hAnsi="IRNazanin" w:eastAsia="IRNazanin"/>
          <w:color w:val="111111"/>
          <w:sz w:val="28"/>
          <w:sz w:val="28"/>
          <w:szCs w:val="28"/>
          <w:rtl w:val="true"/>
          <w:lang w:bidi="fa-IR"/>
        </w:rPr>
        <w:t>وقال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اللفظ العربی،هو الوارد فی القرآن،والمتکرّر فی لسان الشرع</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أضف إلی ذلک أنّ الطلاق بالعربی هو المتیقّن من الأدلّة و هو الأحوط</w:t>
      </w:r>
      <w:r>
        <w:rPr>
          <w:rFonts w:eastAsia="IRNazanin" w:cs="IRNazanin"/>
          <w:color w:val="111111"/>
          <w:sz w:val="28"/>
          <w:szCs w:val="28"/>
          <w:rtl w:val="true"/>
          <w:lang w:bidi="fa-IR"/>
        </w:rPr>
        <w:t>.</w:t>
      </w:r>
    </w:p>
    <w:p>
      <w:pPr>
        <w:pStyle w:val="Heading5"/>
        <w:numPr>
          <w:ilvl w:val="4"/>
          <w:numId w:val="1"/>
        </w:numPr>
        <w:rPr/>
      </w:pPr>
      <w:bookmarkStart w:id="2275" w:name="__RefHeading___Toc364198_581953129"/>
      <w:bookmarkStart w:id="2276" w:name="_Toc953"/>
      <w:bookmarkEnd w:id="2275"/>
      <w:r>
        <w:rPr>
          <w:rtl w:val="true"/>
        </w:rPr>
        <w:t>المذاهب الأربعة</w:t>
      </w:r>
      <w:bookmarkEnd w:id="227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وصریح الطلاق بالعجمیة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أتی بها العجمی وقع الطلاق منه بغیر نیة </w:t>
      </w:r>
      <w:r>
        <w:rPr>
          <w:rStyle w:val="FootnoteAnchor"/>
          <w:rtl w:val="true"/>
        </w:rPr>
        <w:footnoteReference w:id="1090"/>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بهشتم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امرأته ثلاثاً نصّ علیه أحمد؛لأنّ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کثیراً 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واحدة إلاّ أن ینوی ثلاثاً فتکون ثلاثاً</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یتبین لنابکلّ وضوح أنّ الطلاق لم یشترط بالعربیة علی المذاهب الأربعة وأقوی شاهد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الإشتراط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بصحّة الطلاق باللغة الفارسیة بدون تقییده بالعجز عن التلفّظ باللغة العربیة ولم نعثر علی خلاف فی ذلک بین فقهاء المذاهب الأربعة وعلیه،یمکننا أن نقول أنّ الحکم هنا ممّا تسالم علیه هؤلاء الفقهاء و هو کإرسال المسلّمات عندهم،ویمکن الاستدلال علیه بعدم الدلیل علی الإشتراط من جانب وبعموم أدلّة‌الطلاق من جانب آخر،أضف إلی ذلک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رهط نکاحاً وطلاقاً</w:t>
      </w:r>
      <w:r>
        <w:rPr>
          <w:rFonts w:eastAsia="IRNazanin" w:cs="IRNazanin"/>
          <w:color w:val="111111"/>
          <w:sz w:val="28"/>
          <w:szCs w:val="28"/>
          <w:rtl w:val="true"/>
          <w:lang w:bidi="fa-IR"/>
        </w:rPr>
        <w:t>.</w:t>
      </w:r>
      <w:bookmarkStart w:id="2277" w:name="pg5240_59577"/>
    </w:p>
    <w:p>
      <w:pPr>
        <w:pStyle w:val="Heading4"/>
        <w:numPr>
          <w:ilvl w:val="3"/>
          <w:numId w:val="1"/>
        </w:numPr>
        <w:rPr/>
      </w:pPr>
      <w:bookmarkStart w:id="2278" w:name="__RefHeading___Toc364200_581953129"/>
      <w:bookmarkStart w:id="2279" w:name="_Toc954"/>
      <w:bookmarkEnd w:id="2277"/>
      <w:bookmarkEnd w:id="2278"/>
      <w:r>
        <w:rPr>
          <w:rtl w:val="true"/>
        </w:rPr>
        <w:t>اشتراط التنجیز</w:t>
      </w:r>
      <w:bookmarkEnd w:id="2279"/>
    </w:p>
    <w:p>
      <w:pPr>
        <w:pStyle w:val="Heading5"/>
        <w:numPr>
          <w:ilvl w:val="4"/>
          <w:numId w:val="1"/>
        </w:numPr>
        <w:rPr/>
      </w:pPr>
      <w:bookmarkStart w:id="2280" w:name="__RefHeading___Toc364202_581953129"/>
      <w:bookmarkStart w:id="2281" w:name="_Toc955"/>
      <w:bookmarkEnd w:id="2280"/>
      <w:r>
        <w:rPr>
          <w:rtl w:val="true"/>
        </w:rPr>
        <w:t>المذهب الجعفری</w:t>
      </w:r>
      <w:bookmarkEnd w:id="2281"/>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صحّة الطلاق عدم تعلیقه علی الشرط المحتمل الحصول أو الصفة المعلومة الحصول متأخّراً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زید فأنت طالق،أو إذا طلعت الشمس فأنت طالق بطل</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تجرّد الصیغة عن التعلیق ممّا تحقّق الإجماع علیه،و هو الحجّة بعد ظهور نصوص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الطلاق أن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ومنافاته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عدم تأخّر المعلول عن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السبب الشرعی کالسبب العقلّی بالنسبة إلی ذلک إلاّ ما خرج بالدلیل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من الشرائط المخالفة للکتاب و السنّة و المحلّلة حراماً؛ضرورة أنّه بعد ظهور الأدلّة فی ترتّب الأثر علی السبب الّذی هو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فاشتراط تأخّره إلی حصول المعلّق علیه شرع جدید،مؤیداً ذلک کلّه باستصحاب بقاء النکاح</w:t>
      </w:r>
      <w:r>
        <w:rPr>
          <w:rFonts w:eastAsia="IRNazanin" w:cs="IRNazanin"/>
          <w:color w:val="111111"/>
          <w:sz w:val="28"/>
          <w:szCs w:val="28"/>
          <w:rtl w:val="true"/>
          <w:lang w:bidi="fa-IR"/>
        </w:rPr>
        <w:t xml:space="preserve">. </w:t>
      </w:r>
      <w:r>
        <w:rPr>
          <w:rStyle w:val="FootnoteAnchor"/>
          <w:rtl w:val="true"/>
        </w:rPr>
        <w:footnoteReference w:id="1094"/>
      </w:r>
    </w:p>
    <w:p>
      <w:pPr>
        <w:pStyle w:val="Heading5"/>
        <w:numPr>
          <w:ilvl w:val="4"/>
          <w:numId w:val="1"/>
        </w:numPr>
        <w:rPr/>
      </w:pPr>
      <w:bookmarkStart w:id="2282" w:name="__RefHeading___Toc364204_581953129"/>
      <w:bookmarkStart w:id="2283" w:name="_Toc956"/>
      <w:bookmarkEnd w:id="2282"/>
      <w:r>
        <w:rPr>
          <w:rtl w:val="true"/>
        </w:rPr>
        <w:t>المذاهب الأربعة</w:t>
      </w:r>
      <w:bookmarkEnd w:id="228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أوقع الطلاق فی زمن أو علّقه بصفة تعلّق بها،لم یقع حتّی تأتی الصفة و الزمن،و هذا قول 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 کان یقول فی الرجل یقول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إلی رأس السنة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یطأ فیما بینه وبین رأس السنة،ولأنّه إزالة ملک یصحّ تعلیقه بالصفات فمتی علّقه بصفة لم یقع قبلها،کما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طالق إذا قدم الحاجّ و الطلاق یجوز فیه التعلیق </w:t>
      </w:r>
      <w:r>
        <w:rPr>
          <w:rStyle w:val="FootnoteAnchor"/>
          <w:rtl w:val="true"/>
        </w:rPr>
        <w:footnoteReference w:id="1095"/>
      </w:r>
      <w:r>
        <w:rPr>
          <w:rFonts w:ascii="IRNazanin" w:hAnsi="IRNazanin" w:eastAsia="IRNazanin"/>
          <w:color w:val="111111"/>
          <w:sz w:val="28"/>
          <w:sz w:val="28"/>
          <w:szCs w:val="28"/>
          <w:rtl w:val="true"/>
          <w:lang w:bidi="fa-IR"/>
        </w:rPr>
        <w:t>وما عثرنا علی خلاف فیه بین أبناء السنّة</w:t>
      </w:r>
      <w:r>
        <w:rPr>
          <w:rFonts w:eastAsia="IRNazanin" w:cs="IRNazanin"/>
          <w:color w:val="111111"/>
          <w:sz w:val="28"/>
          <w:szCs w:val="28"/>
          <w:rtl w:val="true"/>
          <w:lang w:bidi="fa-IR"/>
        </w:rPr>
        <w:t>.</w:t>
      </w:r>
      <w:bookmarkStart w:id="2284" w:name="pg5240_59578"/>
    </w:p>
    <w:p>
      <w:pPr>
        <w:pStyle w:val="Heading3"/>
        <w:numPr>
          <w:ilvl w:val="2"/>
          <w:numId w:val="1"/>
        </w:numPr>
        <w:rPr/>
      </w:pPr>
      <w:bookmarkStart w:id="2285" w:name="__RefHeading___Toc364206_581953129"/>
      <w:bookmarkStart w:id="2286" w:name="_Toc957"/>
      <w:bookmarkEnd w:id="2284"/>
      <w:bookmarkEnd w:id="2285"/>
      <w:r>
        <w:rPr>
          <w:rtl w:val="true"/>
        </w:rPr>
        <w:t>الحلف بالطلاق</w:t>
      </w:r>
      <w:bookmarkEnd w:id="2286"/>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الطلاق علی شرط یمکن فعله وترکه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فأنت طالق</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وفرّعوا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الحلف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فروعاً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لامرأته إن خرجت إلی غیر الحمّام فأنت طالق فخرجت إلی غیر الحمّام 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إلی الحمّام ثمّ عدلت إلی غیره فقیاس المذهب أنّه یحنث؛لأنّ ظاهر الیمین المنع من غیر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إمرأتی طالق إن کنت أملک إلاّ مائة وکان یملک أکثر من مائة أو أقلّ،حنث</w:t>
      </w:r>
      <w:r>
        <w:rPr>
          <w:rFonts w:eastAsia="IRNazanin" w:cs="IRNazanin"/>
          <w:color w:val="111111"/>
          <w:sz w:val="28"/>
          <w:szCs w:val="28"/>
          <w:rtl w:val="true"/>
          <w:lang w:bidi="fa-IR"/>
        </w:rPr>
        <w:t xml:space="preserve">. </w:t>
      </w:r>
      <w:r>
        <w:rPr>
          <w:rStyle w:val="FootnoteAnchor"/>
          <w:rtl w:val="true"/>
        </w:rPr>
        <w:footnoteReference w:id="1097"/>
      </w:r>
    </w:p>
    <w:p>
      <w:pPr>
        <w:pStyle w:val="Heading3"/>
        <w:numPr>
          <w:ilvl w:val="2"/>
          <w:numId w:val="1"/>
        </w:numPr>
        <w:rPr/>
      </w:pPr>
      <w:bookmarkStart w:id="2287" w:name="__RefHeading___Toc364208_581953129"/>
      <w:bookmarkStart w:id="2288" w:name="_Toc958"/>
      <w:bookmarkEnd w:id="2287"/>
      <w:r>
        <w:rPr>
          <w:rtl w:val="true"/>
        </w:rPr>
        <w:t>الإشهاد فی الطلاق</w:t>
      </w:r>
      <w:bookmarkEnd w:id="2288"/>
    </w:p>
    <w:p>
      <w:pPr>
        <w:pStyle w:val="Heading4"/>
        <w:numPr>
          <w:ilvl w:val="3"/>
          <w:numId w:val="1"/>
        </w:numPr>
        <w:rPr/>
      </w:pPr>
      <w:bookmarkStart w:id="2289" w:name="__RefHeading___Toc364210_581953129"/>
      <w:bookmarkStart w:id="2290" w:name="_Toc959"/>
      <w:bookmarkEnd w:id="2289"/>
      <w:r>
        <w:rPr>
          <w:rtl w:val="true"/>
        </w:rPr>
        <w:t>اشارة</w:t>
      </w:r>
      <w:bookmarkEnd w:id="2290"/>
    </w:p>
    <w:p>
      <w:pPr>
        <w:pStyle w:val="BookText"/>
        <w:rPr/>
      </w:pPr>
      <w:r>
        <w:rPr>
          <w:rFonts w:ascii="IRNazanin" w:hAnsi="IRNazanin" w:eastAsia="IRNazanin"/>
          <w:color w:val="111111"/>
          <w:sz w:val="28"/>
          <w:sz w:val="28"/>
          <w:szCs w:val="28"/>
          <w:rtl w:val="true"/>
          <w:lang w:bidi="fa-IR"/>
        </w:rPr>
        <w:t>اختلفت الآراء بالنسبة إلی اشتراط الطلاق بحضور الشهود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291" w:name="__RefHeading___Toc364212_581953129"/>
      <w:bookmarkStart w:id="2292" w:name="_Toc960"/>
      <w:bookmarkEnd w:id="2291"/>
      <w:r>
        <w:rPr>
          <w:rtl w:val="true"/>
        </w:rPr>
        <w:t>المذهب الجعفری</w:t>
      </w:r>
      <w:bookmarkEnd w:id="2292"/>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من حضور شاهدین یسمعان الإنشاء،وسماعهما التلفّظ شرط فی صحّة الطلاق،ولا یقع بشاهد واحد ولو کان عدلاً،ولا بشهادة فاسقین،بل لابدّ من حضور شاهدین ظاهرهما العدالة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تقبل شهادة النساءفی الطلاق لا منفردات ولا منضمّات إلی الرجال </w:t>
      </w:r>
      <w:r>
        <w:rPr>
          <w:rStyle w:val="FootnoteAnchor"/>
          <w:rtl w:val="true"/>
        </w:rPr>
        <w:footnoteReference w:id="1098"/>
      </w:r>
      <w:r>
        <w:rPr>
          <w:rFonts w:ascii="Amiri" w:hAnsi="Amiri" w:eastAsia="Amiri" w:cs="Amiri"/>
          <w:color w:val="111111"/>
          <w:sz w:val="28"/>
          <w:sz w:val="28"/>
          <w:szCs w:val="28"/>
          <w:rtl w:val="true"/>
          <w:lang w:bidi="ar-SA"/>
        </w:rPr>
        <w:t>ذلک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فَأَمْسِکُوهُنَّ بِمَعْرُوفٍ أَوْ فارِقُوهُنَّ بِمَعْرُوفٍ وَ أَشْهِدُوا ذَوَیْ عَدْلٍ مِنْکُمْ</w:t>
      </w:r>
      <w:r>
        <w:rPr>
          <w:rFonts w:eastAsia="Amiri" w:cs="Amiri" w:ascii="Amiri" w:hAnsi="Amiri"/>
          <w:color w:val="111111"/>
          <w:sz w:val="28"/>
          <w:szCs w:val="28"/>
          <w:rtl w:val="true"/>
          <w:lang w:bidi="ar-SA"/>
        </w:rPr>
        <w:t xml:space="preserve">... . </w:t>
      </w:r>
      <w:r>
        <w:rPr>
          <w:rStyle w:val="FootnoteAnchor"/>
          <w:rtl w:val="true"/>
        </w:rPr>
        <w:footnoteReference w:id="1099"/>
      </w:r>
      <w:r>
        <w:rPr>
          <w:rFonts w:ascii="IRNazanin" w:hAnsi="IRNazanin" w:eastAsia="IRNazanin"/>
          <w:color w:val="111111"/>
          <w:sz w:val="28"/>
          <w:sz w:val="28"/>
          <w:szCs w:val="28"/>
          <w:rtl w:val="true"/>
          <w:lang w:bidi="fa-IR"/>
        </w:rPr>
        <w:t>إنّ التنسیق القائم بین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یتصل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یرشدنا بکلّ وضوح إلی أن الإشهاد کاُمور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العدة،الخروج من البیت،انتظار الاصلاح،الامساک،الفرقة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تتعلق بالطلاق کلّها وثیقة الصلة بالطلاق،علی الاُسلوب البلاغی،واحتمال تعلق الإشهاد علی الرجعة خلاف الظاهر وخلاف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تقارب الإشهاد مع الامساک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لایصح؛لأنّ الفراق أقرب إلیه لأنّه قال‌تعال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بَلَغْنَ أَجَلَهُنَّ فَأَمْسِکُوهُنَّ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فارِقُوهُنَّ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الطلاق</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وعلیه فلا أرضیة لما یستدل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تعلق الإشهاد بالرجعة،ومن حسن الحظ أنّه صرّح جمع من المحققین من أبناء السنة علی أنّ الإشهاد یتعلق بالطلاق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الفخر 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أمر الله أن یشهدوا عند الطلاق</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القرطبی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بالإشهاد علی الطلاق</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الإشهاد واجب بنصّ الآیة المذکورة ومن طلق ولم یشهد فهو متعدّ لحدود الله عزوجل</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وبالتالی فالإشهاد علی الطلاق واجب علی أساس کتاب الله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ذلک‌کلّه أنّ الإشهاد لایمکن أن یکون متصلاً بالرجعة من ناحیة عملیة؛ذلک لأنّ الرجعة هی الوطی </w:t>
      </w:r>
      <w:r>
        <w:rPr>
          <w:rStyle w:val="FootnoteAnchor"/>
          <w:rtl w:val="true"/>
        </w:rPr>
        <w:footnoteReference w:id="1104"/>
      </w:r>
      <w:r>
        <w:rPr>
          <w:rFonts w:ascii="IRNazanin" w:hAnsi="IRNazanin" w:eastAsia="IRNazanin"/>
          <w:color w:val="111111"/>
          <w:sz w:val="28"/>
          <w:sz w:val="28"/>
          <w:szCs w:val="28"/>
          <w:rtl w:val="true"/>
          <w:lang w:bidi="fa-IR"/>
        </w:rPr>
        <w:t>والتقبیل و اللمس و النظر إلی فرج الزوجة المطلقة،</w:t>
      </w:r>
      <w:bookmarkStart w:id="2293" w:name="pg5240_59580"/>
    </w:p>
    <w:p>
      <w:pPr>
        <w:pStyle w:val="BookText"/>
        <w:rPr/>
      </w:pPr>
      <w:bookmarkEnd w:id="2293"/>
      <w:r>
        <w:rPr>
          <w:rFonts w:ascii="Amiri" w:hAnsi="Amiri" w:eastAsia="Amiri" w:cs="Amiri"/>
          <w:color w:val="111111"/>
          <w:sz w:val="28"/>
          <w:sz w:val="28"/>
          <w:szCs w:val="28"/>
          <w:rtl w:val="true"/>
          <w:lang w:bidi="ar-SA"/>
        </w:rPr>
        <w:t xml:space="preserve">والخلوة </w:t>
      </w:r>
      <w:r>
        <w:rPr>
          <w:rStyle w:val="FootnoteAnchor"/>
          <w:rtl w:val="true"/>
        </w:rPr>
        <w:footnoteReference w:id="1105"/>
      </w:r>
      <w:r>
        <w:rPr>
          <w:rFonts w:ascii="IRNazanin" w:hAnsi="IRNazanin" w:eastAsia="IRNazanin"/>
          <w:color w:val="111111"/>
          <w:sz w:val="28"/>
          <w:sz w:val="28"/>
          <w:szCs w:val="28"/>
          <w:rtl w:val="true"/>
          <w:lang w:bidi="fa-IR"/>
        </w:rPr>
        <w:t>فهل یمکن أن یشهد شاهدان عدلان وط‌ء الزوج زوجته المطلقة أو نظره إلی فرجها؟وعلیه فلا یمکن الإشهاد علی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وللنصوص الواردة فی الباب الّتی بلغت حدّ التواتر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ومحمّدبن مسلم عن الإمام الباقر و الإمام الصادق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طلّقها فی استقبال عدّتها طاهراً من غیر جماع ولم یشهدعلی ذلک رجلین عدلین فلیس طلاقه إیاها بطلاق</w:t>
      </w:r>
      <w:r>
        <w:rPr>
          <w:rFonts w:eastAsia="IRNazanin" w:cs="IRNazanin"/>
          <w:color w:val="111111"/>
          <w:sz w:val="28"/>
          <w:szCs w:val="28"/>
          <w:rtl w:val="true"/>
          <w:lang w:bidi="fa-IR"/>
        </w:rPr>
        <w:t xml:space="preserve">». </w:t>
      </w:r>
      <w:r>
        <w:rPr>
          <w:rStyle w:val="FootnoteAnchor"/>
          <w:rtl w:val="true"/>
        </w:rPr>
        <w:footnoteReference w:id="1106"/>
      </w:r>
      <w:r>
        <w:rPr>
          <w:rFonts w:ascii="Amiri" w:hAnsi="Amiri" w:eastAsia="Amiri" w:cs="Amiri"/>
          <w:color w:val="111111"/>
          <w:sz w:val="28"/>
          <w:sz w:val="28"/>
          <w:szCs w:val="28"/>
          <w:rtl w:val="true"/>
          <w:lang w:bidi="ar-SA"/>
        </w:rPr>
        <w:t>والدلالة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یکون‌کذلک کتاباً وسنّة وإجماعاً بقسمیه</w:t>
      </w:r>
      <w:r>
        <w:rPr>
          <w:rFonts w:eastAsia="IRNazanin" w:cs="IRNazanin"/>
          <w:color w:val="111111"/>
          <w:sz w:val="28"/>
          <w:szCs w:val="28"/>
          <w:rtl w:val="true"/>
          <w:lang w:bidi="fa-IR"/>
        </w:rPr>
        <w:t xml:space="preserve">. </w:t>
      </w:r>
      <w:r>
        <w:rPr>
          <w:rStyle w:val="FootnoteAnchor"/>
          <w:rtl w:val="true"/>
        </w:rPr>
        <w:footnoteReference w:id="1107"/>
      </w:r>
    </w:p>
    <w:p>
      <w:pPr>
        <w:pStyle w:val="Heading4"/>
        <w:numPr>
          <w:ilvl w:val="3"/>
          <w:numId w:val="1"/>
        </w:numPr>
        <w:rPr/>
      </w:pPr>
      <w:bookmarkStart w:id="2294" w:name="__RefHeading___Toc364214_581953129"/>
      <w:bookmarkStart w:id="2295" w:name="_Toc961"/>
      <w:bookmarkEnd w:id="2294"/>
      <w:r>
        <w:rPr>
          <w:rtl w:val="true"/>
        </w:rPr>
        <w:t>المذاهب الأربعة</w:t>
      </w:r>
      <w:bookmarkEnd w:id="229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لایعتبر الإشهاد فی الطلاق بلا خلاف بینهم قال الشیخ جواد مغنیة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أحسنت الحکومة المصریة بأخذها فی کثیر من شؤون الطلاق بالمذهب 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أنّ المذاهب الأربعة لم تشترط الإشهاد لصحّة الطلاق بخلاف الإمامیة </w:t>
      </w:r>
      <w:r>
        <w:rPr>
          <w:rStyle w:val="FootnoteAnchor"/>
          <w:rtl w:val="true"/>
        </w:rPr>
        <w:footnoteReference w:id="1108"/>
      </w:r>
      <w:r>
        <w:rPr>
          <w:rFonts w:ascii="Amiri" w:hAnsi="Amiri" w:eastAsia="Amiri" w:cs="Amiri"/>
          <w:color w:val="111111"/>
          <w:sz w:val="28"/>
          <w:sz w:val="28"/>
          <w:szCs w:val="28"/>
          <w:rtl w:val="true"/>
          <w:lang w:bidi="ar-SA"/>
        </w:rPr>
        <w:t>قال الشیخ أبوزهرة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فقهاء الشیعة الإمامیة الاثناعشریة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الطلاق لایقع من غیر إشهاد عدلین،لقوله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ذَوَیْ عَدْلٍ مِنْکُمْ وَ أَقِیمُوا الشَّهادَةَ لِلّهِ ذلِکُمْ یُوعَظُ بِهِ مَنْ کانَ یُؤْمِنُ بِاللّهِ وَ الْیَوْمِ الْآخِرِ 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1109"/>
      </w:r>
      <w:r>
        <w:rPr>
          <w:rFonts w:ascii="IRNazanin" w:hAnsi="IRNazanin" w:eastAsia="IRNazanin"/>
          <w:color w:val="111111"/>
          <w:sz w:val="28"/>
          <w:sz w:val="28"/>
          <w:szCs w:val="28"/>
          <w:rtl w:val="true"/>
          <w:lang w:bidi="fa-IR"/>
        </w:rPr>
        <w:t>فهذا الأمر بالشهادة جاء بعد ذکرإنشاء الطلاق وجواز الرجعة فکان المناسب أن یکون راجعاً إلیه،و إنّ تعلیل الإشهاد بأنّه یوعظ به من کان یؤمن بالله و الیوم الآخر،یرشّح ذلک ویقوّیه؛لأنّ حضور الشهود العدول</w:t>
      </w:r>
      <w:bookmarkStart w:id="2296" w:name="pg5240_59581"/>
    </w:p>
    <w:p>
      <w:pPr>
        <w:pStyle w:val="BookText"/>
        <w:rPr/>
      </w:pPr>
      <w:bookmarkEnd w:id="2296"/>
      <w:r>
        <w:rPr>
          <w:rFonts w:ascii="IRNazanin" w:hAnsi="IRNazanin" w:eastAsia="IRNazanin"/>
          <w:color w:val="111111"/>
          <w:sz w:val="28"/>
          <w:sz w:val="28"/>
          <w:szCs w:val="28"/>
          <w:rtl w:val="true"/>
          <w:lang w:bidi="fa-IR"/>
        </w:rPr>
        <w:t>لایخلو من موعظة حسنة یرجونها إلی الزوجین،فیکون لهما مخرج من الطلاق الّذی هو أبغض الحلال إلی الله سبحانه وتعالی وأنّه لو کان لنا أن نختار المعمول به فی مصر لاخترنا هذا الرأی</w:t>
      </w:r>
      <w:r>
        <w:rPr>
          <w:rFonts w:eastAsia="IRNazanin" w:cs="IRNazanin"/>
          <w:color w:val="111111"/>
          <w:sz w:val="28"/>
          <w:szCs w:val="28"/>
          <w:rtl w:val="true"/>
          <w:lang w:bidi="fa-IR"/>
        </w:rPr>
        <w:t xml:space="preserve">. </w:t>
      </w:r>
      <w:r>
        <w:rPr>
          <w:rStyle w:val="FootnoteAnchor"/>
          <w:rtl w:val="true"/>
        </w:rPr>
        <w:footnoteReference w:id="1110"/>
      </w:r>
    </w:p>
    <w:p>
      <w:pPr>
        <w:pStyle w:val="Heading4"/>
        <w:numPr>
          <w:ilvl w:val="3"/>
          <w:numId w:val="1"/>
        </w:numPr>
        <w:rPr/>
      </w:pPr>
      <w:bookmarkStart w:id="2297" w:name="__RefHeading___Toc364216_581953129"/>
      <w:bookmarkStart w:id="2298" w:name="_Toc962"/>
      <w:bookmarkEnd w:id="2297"/>
      <w:r>
        <w:rPr>
          <w:rtl w:val="true"/>
        </w:rPr>
        <w:t>منشأ الاختلاف فی الشروط</w:t>
      </w:r>
      <w:bookmarkEnd w:id="229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المهمّ حول الشروط بین المذهب الجعفری و المذاهب الأربعة ناشئ عن الاختلاف فی النصّ الوارد من الطریقین فإنّ أوّل شرط اختلفت فیه الآراء إثباتاً ونفیاً هو القصد فی صیغة الطلاق و قد ورد من طریق الصحابة نصّ یدلّنا علی عدم اشتراط القصد و هو الحدیث الّذی مرّ بنا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جدّهن جدّ،وهزلهنّ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 الطلاق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عدم اشتراط القصد فی إنشاء الطلاق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أوجب التساهل تجاه الشروط وعلیه یفسح المجال للحکم بعدم الإشتراط فیتحقّق الطلاق بما هو مسمّی الطلاق بلا حاجة إلی القصد و العربیة و التنجیز وما شاکلها،وعلی عکس من ذلک‌کلّه ورد النصّ الصحیح من طریق آل‌البیت علیهم السلام الّذی یدلّ علی اشتراط الطلاق بالشروط المذکورة کلّها،وأقوی النصّ هناک کما مرّ بنا ما روی 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الطلاق أن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طالق،یرید بذلک الطلاق ویشهد علی ذلک رجلین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الروایة تدلّنا علی أنّ الطلاق میثاق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ورد فی الکتاب‌الکریم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فلامجال للتساهل هنا ولیکن‌الطلاق واجداً للشروط المذکورة حتّی یصبح مؤثّراً ولو لم تتحقّق الشروط لا یتمّ الطلاق؛للشکّ فی وقوع الطلاق وعند فقد الشروط یستصحب النکاح؛لعدم العلم بالنقض و هو الأحوط فی الدین و الأوثق فی العهود،والأوفق بالقواعد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الإشهاد فی الطلاق ورد فی الکتاب الکریم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مرّ بنا بیانه آنفاً وعلیه قال بعض الأفاضل من أتباع العامّة الشیخ أبوزهرة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الصحیح هو إشهاد عدلین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أفتی به فقهاء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یستفاد من ظاهر الکتاب،ولو کان لنا المجال لاخترنا هذا الرأی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اشتراط الاختیار وعدم صحّة طلاق المکره فلاخلاف إلاّ عن الحنفی قائلاً بصحّة طلاق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وتفرّده ناشئ عن اجتهاده الخاصّ</w:t>
      </w:r>
      <w:r>
        <w:rPr>
          <w:rFonts w:eastAsia="IRNazanin" w:cs="IRNazanin"/>
          <w:color w:val="111111"/>
          <w:sz w:val="28"/>
          <w:szCs w:val="28"/>
          <w:rtl w:val="true"/>
          <w:lang w:bidi="fa-IR"/>
        </w:rPr>
        <w:t>.</w:t>
      </w:r>
      <w:bookmarkStart w:id="2299" w:name="pg5240_59583"/>
    </w:p>
    <w:p>
      <w:pPr>
        <w:pStyle w:val="Heading3"/>
        <w:numPr>
          <w:ilvl w:val="2"/>
          <w:numId w:val="1"/>
        </w:numPr>
        <w:rPr/>
      </w:pPr>
      <w:bookmarkStart w:id="2300" w:name="__RefHeading___Toc364218_581953129"/>
      <w:bookmarkStart w:id="2301" w:name="_Toc963"/>
      <w:bookmarkEnd w:id="2299"/>
      <w:bookmarkEnd w:id="2300"/>
      <w:r>
        <w:rPr>
          <w:rtl w:val="true"/>
        </w:rPr>
        <w:t>الخلاصة</w:t>
      </w:r>
      <w:bookmarkEnd w:id="2301"/>
    </w:p>
    <w:p>
      <w:pPr>
        <w:pStyle w:val="BookText"/>
        <w:rPr/>
      </w:pPr>
      <w:r>
        <w:rPr>
          <w:rFonts w:ascii="IRNazanin" w:hAnsi="IRNazanin" w:eastAsia="IRNazanin"/>
          <w:color w:val="111111"/>
          <w:sz w:val="28"/>
          <w:sz w:val="28"/>
          <w:szCs w:val="28"/>
          <w:rtl w:val="true"/>
          <w:lang w:bidi="fa-IR"/>
        </w:rPr>
        <w:t>الطلاق بحاجة ماسّة إلی اللفظ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الجعفری،و أمّا علی المذاهب الأربعة لاحاجة إلیه بل یقع الطلاق بالکنایة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الطلاق قصده ولا یقع هزلاً علی المذهب الجعفری ولا یشترط القصد فی الطلاق بل یقع هزلاً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یشترط‌العربیة فی الطلاق علی المذهب الجعفری ولایشترط ذلک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التنجیز فی إنشاء الطلاق علی المذهب الجعفری ولا یشترط ذلک بل یقع معلّقاً علی أمر مستقبل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الإشهاد فی الطلاق علی المذهب الجعفری ولا یشترط الإشهاد علی المذاهب الأربعة بلا خلاف بینهم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یصحّ طلاق المکره إلاّ علی المذهب الحنفی</w:t>
      </w:r>
      <w:r>
        <w:rPr>
          <w:rFonts w:eastAsia="IRNazanin" w:cs="IRNazanin"/>
          <w:color w:val="111111"/>
          <w:sz w:val="28"/>
          <w:szCs w:val="28"/>
          <w:rtl w:val="true"/>
          <w:lang w:bidi="fa-IR"/>
        </w:rPr>
        <w:t>.</w:t>
      </w:r>
      <w:bookmarkStart w:id="2302" w:name="pg5240_59584"/>
    </w:p>
    <w:p>
      <w:pPr>
        <w:pStyle w:val="Heading3"/>
        <w:numPr>
          <w:ilvl w:val="2"/>
          <w:numId w:val="1"/>
        </w:numPr>
        <w:rPr/>
      </w:pPr>
      <w:bookmarkStart w:id="2303" w:name="__RefHeading___Toc364220_581953129"/>
      <w:bookmarkStart w:id="2304" w:name="_Toc964"/>
      <w:bookmarkEnd w:id="2302"/>
      <w:bookmarkEnd w:id="2303"/>
      <w:r>
        <w:rPr>
          <w:rtl w:val="true"/>
        </w:rPr>
        <w:t>الأسئلة</w:t>
      </w:r>
      <w:bookmarkEnd w:id="2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صریح الطلاق وما هی الکنایة عن 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القصد فی إنشاء الطلاق؟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التنجیز فی الطلاق؟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صحّة طلاق المکره؟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یستفاد وجوب الإشهاد فی الطلاق من الکتاب الکریم؟</w:t>
      </w:r>
      <w:bookmarkStart w:id="2305" w:name="pg5240_59585"/>
    </w:p>
    <w:p>
      <w:pPr>
        <w:pStyle w:val="Heading2"/>
        <w:numPr>
          <w:ilvl w:val="1"/>
          <w:numId w:val="1"/>
        </w:numPr>
        <w:rPr/>
      </w:pPr>
      <w:bookmarkStart w:id="2306" w:name="__RefHeading___Toc364222_581953129"/>
      <w:bookmarkStart w:id="2307" w:name="_Toc965"/>
      <w:bookmarkEnd w:id="2305"/>
      <w:bookmarkEnd w:id="2306"/>
      <w:r>
        <w:rPr/>
        <w:t>33</w:t>
      </w:r>
      <w:r>
        <w:rPr>
          <w:rtl w:val="true"/>
        </w:rPr>
        <w:t xml:space="preserve">- </w:t>
      </w:r>
      <w:r>
        <w:rPr>
          <w:rtl w:val="true"/>
        </w:rPr>
        <w:t xml:space="preserve">الطلاق </w:t>
      </w:r>
      <w:r>
        <w:rPr>
          <w:rtl w:val="true"/>
        </w:rPr>
        <w:t>(</w:t>
      </w:r>
      <w:r>
        <w:rPr/>
        <w:t>2</w:t>
      </w:r>
      <w:r>
        <w:rPr>
          <w:rtl w:val="true"/>
        </w:rPr>
        <w:t>)</w:t>
      </w:r>
      <w:bookmarkEnd w:id="2307"/>
    </w:p>
    <w:p>
      <w:pPr>
        <w:pStyle w:val="Heading3"/>
        <w:numPr>
          <w:ilvl w:val="2"/>
          <w:numId w:val="1"/>
        </w:numPr>
        <w:rPr/>
      </w:pPr>
      <w:bookmarkStart w:id="2308" w:name="__RefHeading___Toc364224_581953129"/>
      <w:bookmarkStart w:id="2309" w:name="_Toc966"/>
      <w:bookmarkEnd w:id="2308"/>
      <w:r>
        <w:rPr>
          <w:rtl w:val="true"/>
        </w:rPr>
        <w:t>کیفیة الرجعة</w:t>
      </w:r>
      <w:bookmarkEnd w:id="2309"/>
    </w:p>
    <w:p>
      <w:pPr>
        <w:pStyle w:val="Heading4"/>
        <w:numPr>
          <w:ilvl w:val="3"/>
          <w:numId w:val="1"/>
        </w:numPr>
        <w:rPr/>
      </w:pPr>
      <w:bookmarkStart w:id="2310" w:name="__RefHeading___Toc364226_581953129"/>
      <w:bookmarkStart w:id="2311" w:name="_Toc967"/>
      <w:bookmarkEnd w:id="2310"/>
      <w:r>
        <w:rPr>
          <w:rtl w:val="true"/>
        </w:rPr>
        <w:t>اشارة</w:t>
      </w:r>
      <w:bookmarkEnd w:id="2311"/>
    </w:p>
    <w:p>
      <w:pPr>
        <w:pStyle w:val="BookText"/>
        <w:rPr/>
      </w:pPr>
      <w:r>
        <w:rPr>
          <w:rFonts w:ascii="IRNazanin" w:hAnsi="IRNazanin" w:eastAsia="IRNazanin"/>
          <w:color w:val="111111"/>
          <w:sz w:val="28"/>
          <w:sz w:val="28"/>
          <w:szCs w:val="28"/>
          <w:rtl w:val="true"/>
          <w:lang w:bidi="fa-IR"/>
        </w:rPr>
        <w:t>اختلفت الآراءبالنسبة إلی تحقّق الرجوع فی الطلاق الرجعی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312" w:name="__RefHeading___Toc364228_581953129"/>
      <w:bookmarkStart w:id="2313" w:name="_Toc968"/>
      <w:bookmarkEnd w:id="2312"/>
      <w:r>
        <w:rPr>
          <w:rtl w:val="true"/>
        </w:rPr>
        <w:t>المذهب الجعفری</w:t>
      </w:r>
      <w:bookmarkEnd w:id="2313"/>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المراجعة نطقاً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 کالوط‌ء ولو قبّل أو لامس بشهوة کان ذلک رجعة،ولم یفتقر استباحته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الرجوع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تقدم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الرجعیة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 xml:space="preserve">. </w:t>
      </w:r>
      <w:r>
        <w:rPr>
          <w:rStyle w:val="FootnoteAnchor"/>
          <w:rtl w:val="true"/>
        </w:rPr>
        <w:footnoteReference w:id="111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للنصوص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محمّدبن القاسم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غشیها قبل انقضاء العدّة،غشیانه إیاها رجعة</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ولا خلاف</w:t>
      </w:r>
      <w:bookmarkStart w:id="2314" w:name="pg5240_59586"/>
    </w:p>
    <w:p>
      <w:pPr>
        <w:pStyle w:val="BookText"/>
        <w:rPr/>
      </w:pPr>
      <w:bookmarkEnd w:id="2314"/>
      <w:r>
        <w:rPr>
          <w:rFonts w:ascii="IRNazanin" w:hAnsi="IRNazanin" w:eastAsia="IRNazanin"/>
          <w:color w:val="111111"/>
          <w:sz w:val="28"/>
          <w:sz w:val="28"/>
          <w:szCs w:val="28"/>
          <w:rtl w:val="true"/>
          <w:lang w:bidi="fa-IR"/>
        </w:rPr>
        <w:t>فیه 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تحقّق الإجماع بقسمیه علیه بل عن بعض العامّة موافقتنا علیه </w:t>
      </w:r>
      <w:r>
        <w:rPr>
          <w:rStyle w:val="FootnoteAnchor"/>
          <w:rtl w:val="true"/>
        </w:rPr>
        <w:footnoteReference w:id="1113"/>
      </w:r>
      <w:r>
        <w:rPr>
          <w:rFonts w:ascii="IRNazanin" w:hAnsi="IRNazanin" w:eastAsia="IRNazanin"/>
          <w:color w:val="111111"/>
          <w:sz w:val="28"/>
          <w:sz w:val="28"/>
          <w:szCs w:val="28"/>
          <w:rtl w:val="true"/>
          <w:lang w:bidi="fa-IR"/>
        </w:rPr>
        <w:t>و هو نفس الرأی علی المذهب الحنفی تماماً</w:t>
      </w:r>
      <w:r>
        <w:rPr>
          <w:rFonts w:eastAsia="IRNazanin" w:cs="IRNazanin"/>
          <w:color w:val="111111"/>
          <w:sz w:val="28"/>
          <w:szCs w:val="28"/>
          <w:rtl w:val="true"/>
          <w:lang w:bidi="fa-IR"/>
        </w:rPr>
        <w:t xml:space="preserve">. </w:t>
      </w:r>
      <w:r>
        <w:rPr>
          <w:rStyle w:val="FootnoteAnchor"/>
          <w:rtl w:val="true"/>
        </w:rPr>
        <w:footnoteReference w:id="1114"/>
      </w:r>
    </w:p>
    <w:p>
      <w:pPr>
        <w:pStyle w:val="Heading4"/>
        <w:numPr>
          <w:ilvl w:val="3"/>
          <w:numId w:val="1"/>
        </w:numPr>
        <w:rPr/>
      </w:pPr>
      <w:bookmarkStart w:id="2315" w:name="__RefHeading___Toc364230_581953129"/>
      <w:bookmarkStart w:id="2316" w:name="_Toc969"/>
      <w:bookmarkEnd w:id="2315"/>
      <w:r>
        <w:rPr>
          <w:rtl w:val="true"/>
        </w:rPr>
        <w:t>المذهب الحنبلی</w:t>
      </w:r>
      <w:bookmarkEnd w:id="2316"/>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الرجعة علی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فلفظ وفعل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اللفظ هو رجعتک ورجعت زوجتی،و أمّا الفعل فهو الوط‌ء فیحلّ للمطلّق رجعیاً أن یطأ زوجته،و إذا فعل فقد رجعت بذلک ولو لم ینو به الرجعة،أمّا غیر الوط‌ء فلا تحصل به الرجعة فلو قبّلها أو لمسها أو باشرها،فإنّ ذلک لایکون رجعة</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و هو نفس الرأی علی المذهب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وإسحاق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رجعة إذا أراد به الرجعة؛لأنّ هذه مدّة تفضی إلی بینونة فترتفع بالوط‌ء کمدّة الإیلاء،ولأنّ الطلاق سبب لزوال الملک ومعه خیار فتصرّف المالک بالوط‌ء یمنع عمله،کوط‌ء البائع الأمة المبیعة فی مدّة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قبّلها أو لمسها لشهوة،فالمنصوص عن أحمد أنّه لیس برجعة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حامد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رجعة و هذا قول الثوری وأصحاب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استمتاع بالزوجة فحصلت الرجعة به کالوط‌ء</w:t>
      </w:r>
      <w:r>
        <w:rPr>
          <w:rFonts w:eastAsia="IRNazanin" w:cs="IRNazanin"/>
          <w:color w:val="111111"/>
          <w:sz w:val="28"/>
          <w:szCs w:val="28"/>
          <w:rtl w:val="true"/>
          <w:lang w:bidi="fa-IR"/>
        </w:rPr>
        <w:t xml:space="preserve">. </w:t>
      </w:r>
      <w:r>
        <w:rPr>
          <w:rStyle w:val="FootnoteAnchor"/>
          <w:rtl w:val="true"/>
        </w:rPr>
        <w:footnoteReference w:id="1116"/>
      </w:r>
    </w:p>
    <w:p>
      <w:pPr>
        <w:pStyle w:val="Heading4"/>
        <w:numPr>
          <w:ilvl w:val="3"/>
          <w:numId w:val="1"/>
        </w:numPr>
        <w:rPr/>
      </w:pPr>
      <w:bookmarkStart w:id="2317" w:name="__RefHeading___Toc364232_581953129"/>
      <w:bookmarkStart w:id="2318" w:name="_Toc970"/>
      <w:bookmarkEnd w:id="2317"/>
      <w:r>
        <w:rPr>
          <w:rtl w:val="true"/>
        </w:rPr>
        <w:t>المذهب الشافعی</w:t>
      </w:r>
      <w:bookmarkEnd w:id="231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الرجعة لاتحصل إلاّ بالقول و هذا مذهب الشافعی؛لأنّها استباحة بضع مقصود امر بالإشهاد فیه فلم یحصل من القادر بغیر قول کالنکاح،فلم تحصل به الرجعة کالإشارة من الناطق</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الفعل کوط‌ء وغیره فلا تحصل به</w:t>
      </w:r>
      <w:bookmarkStart w:id="2319" w:name="pg5240_59587"/>
    </w:p>
    <w:p>
      <w:pPr>
        <w:pStyle w:val="BookText"/>
        <w:rPr/>
      </w:pPr>
      <w:bookmarkEnd w:id="2319"/>
      <w:r>
        <w:rPr>
          <w:rFonts w:ascii="IRNazanin" w:hAnsi="IRNazanin" w:eastAsia="IRNazanin"/>
          <w:color w:val="111111"/>
          <w:sz w:val="28"/>
          <w:sz w:val="28"/>
          <w:szCs w:val="28"/>
          <w:rtl w:val="true"/>
          <w:lang w:bidi="fa-IR"/>
        </w:rPr>
        <w:t>الرجعة عند الشافعیة؛لأنّه حرام و الحرام لا تصح الرجعة به وتحصل الرجعة عند الجمهور بالقول أو بالفعل ومنه الخلوة</w:t>
      </w:r>
      <w:r>
        <w:rPr>
          <w:rFonts w:eastAsia="IRNazanin" w:cs="IRNazanin"/>
          <w:color w:val="111111"/>
          <w:sz w:val="28"/>
          <w:szCs w:val="28"/>
          <w:rtl w:val="true"/>
          <w:lang w:bidi="fa-IR"/>
        </w:rPr>
        <w:t xml:space="preserve">. </w:t>
      </w:r>
      <w:r>
        <w:rPr>
          <w:rStyle w:val="FootnoteAnchor"/>
          <w:rtl w:val="true"/>
        </w:rPr>
        <w:footnoteReference w:id="1118"/>
      </w:r>
    </w:p>
    <w:p>
      <w:pPr>
        <w:pStyle w:val="Heading4"/>
        <w:numPr>
          <w:ilvl w:val="3"/>
          <w:numId w:val="1"/>
        </w:numPr>
        <w:rPr/>
      </w:pPr>
      <w:bookmarkStart w:id="2320" w:name="__RefHeading___Toc364234_581953129"/>
      <w:bookmarkStart w:id="2321" w:name="_Toc971"/>
      <w:bookmarkEnd w:id="2320"/>
      <w:r>
        <w:rPr>
          <w:rtl w:val="true"/>
        </w:rPr>
        <w:t>منشأ الاختلاف</w:t>
      </w:r>
      <w:bookmarkEnd w:id="2321"/>
    </w:p>
    <w:p>
      <w:pPr>
        <w:pStyle w:val="BookText"/>
        <w:rPr/>
      </w:pPr>
      <w:r>
        <w:rPr>
          <w:rFonts w:ascii="IRNazanin" w:hAnsi="IRNazanin" w:eastAsia="IRNazanin"/>
          <w:color w:val="111111"/>
          <w:sz w:val="28"/>
          <w:sz w:val="28"/>
          <w:szCs w:val="28"/>
          <w:rtl w:val="true"/>
          <w:lang w:bidi="fa-IR"/>
        </w:rPr>
        <w:t>تبین لنا أنّ الرأی الّذی یخالف الآراء تمام المخالفة هو الرأی الشافعی،فإنّ الرجعة علی رأیه عهد جدید نتیجتها استباحة البضع کعقد النکاح تماماً،فکما أنّ النکاح لایقع إلاّ بلفظ خاصّ کذلک الرجعة‌لاتقع إلاّ باللفظ فلا أثرللفعل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استباحة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بشتّی مصادیقه،و قد مرّ بنا أنّ المذاهب الأربعة الاُخری اتّفقت علی أنّ الرجعة تتحقّق بالفعل أیضاً،إلاّ أنّهم اختلفوا فی سببیة التقبیل و اللمس للرجعة‌اختلافاً من حیث المصداق،الناشئ عن اجتهادهم فالحکم علی المذهب الجعفری و الحنفی هو تحقّق الرجعة بواسطة التقبیل وما یشاکله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لأنّ الزوجیة باقیة فترة العدّة وعلیه لاحاجة إلی عقد النکاح،فتتحقّق الرجعة‌بکلّ مایصدق علیه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أنّه ورد نصّ من طریق آل‌البیت علیهم السلام یدلّنا علی المطلوب،و أمّا حصر الفعل بالوط‌ء ناشئ عن الاجتهاد</w:t>
      </w:r>
      <w:r>
        <w:rPr>
          <w:rFonts w:eastAsia="IRNazanin" w:cs="IRNazanin"/>
          <w:color w:val="111111"/>
          <w:sz w:val="28"/>
          <w:szCs w:val="28"/>
          <w:rtl w:val="true"/>
          <w:lang w:bidi="fa-IR"/>
        </w:rPr>
        <w:t>.</w:t>
      </w:r>
    </w:p>
    <w:p>
      <w:pPr>
        <w:pStyle w:val="Heading3"/>
        <w:numPr>
          <w:ilvl w:val="2"/>
          <w:numId w:val="1"/>
        </w:numPr>
        <w:rPr/>
      </w:pPr>
      <w:bookmarkStart w:id="2322" w:name="__RefHeading___Toc364236_581953129"/>
      <w:bookmarkStart w:id="2323" w:name="_Toc972"/>
      <w:bookmarkEnd w:id="2322"/>
      <w:r>
        <w:rPr>
          <w:rtl w:val="true"/>
        </w:rPr>
        <w:t>تجزئة الطلاق</w:t>
      </w:r>
      <w:bookmarkEnd w:id="2323"/>
    </w:p>
    <w:p>
      <w:pPr>
        <w:pStyle w:val="Heading4"/>
        <w:numPr>
          <w:ilvl w:val="3"/>
          <w:numId w:val="1"/>
        </w:numPr>
        <w:rPr/>
      </w:pPr>
      <w:bookmarkStart w:id="2324" w:name="__RefHeading___Toc364238_581953129"/>
      <w:bookmarkStart w:id="2325" w:name="_Toc973"/>
      <w:bookmarkEnd w:id="2324"/>
      <w:r>
        <w:rPr>
          <w:rtl w:val="true"/>
        </w:rPr>
        <w:t>اشارة</w:t>
      </w:r>
      <w:bookmarkEnd w:id="2325"/>
    </w:p>
    <w:p>
      <w:pPr>
        <w:pStyle w:val="BookText"/>
        <w:rPr/>
      </w:pPr>
      <w:r>
        <w:rPr>
          <w:rFonts w:ascii="IRNazanin" w:hAnsi="IRNazanin" w:eastAsia="IRNazanin"/>
          <w:color w:val="111111"/>
          <w:sz w:val="28"/>
          <w:sz w:val="28"/>
          <w:szCs w:val="28"/>
          <w:rtl w:val="true"/>
          <w:lang w:bidi="fa-IR"/>
        </w:rPr>
        <w:t>اختلفت الآراء بالنسبة إلی صحّة الطلاق مع التجزئة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326" w:name="__RefHeading___Toc364240_581953129"/>
      <w:bookmarkStart w:id="2327" w:name="_Toc974"/>
      <w:bookmarkEnd w:id="2326"/>
      <w:r>
        <w:rPr>
          <w:rtl w:val="true"/>
        </w:rPr>
        <w:t>المذهب الجعفری</w:t>
      </w:r>
      <w:bookmarkEnd w:id="232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طالق،نصف طلقة،لم‌یقع؛لأنّه لم یقصد الطلقة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 طالق لم یقع</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وقال 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یکون</w:t>
      </w:r>
      <w:bookmarkStart w:id="2328" w:name="pg5240_59588"/>
    </w:p>
    <w:p>
      <w:pPr>
        <w:pStyle w:val="BookText"/>
        <w:rPr/>
      </w:pPr>
      <w:bookmarkEnd w:id="2328"/>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 وظهور الأدلّة فی أنّ محلّ الطلاق ذات الزوجة المدلول علیها بقول أنت وما شاکل ذلک</w:t>
      </w:r>
      <w:r>
        <w:rPr>
          <w:rFonts w:eastAsia="IRNazanin" w:cs="IRNazanin"/>
          <w:color w:val="111111"/>
          <w:sz w:val="28"/>
          <w:szCs w:val="28"/>
          <w:rtl w:val="true"/>
          <w:lang w:bidi="fa-IR"/>
        </w:rPr>
        <w:t xml:space="preserve">. </w:t>
      </w:r>
      <w:r>
        <w:rPr>
          <w:rStyle w:val="FootnoteAnchor"/>
          <w:rtl w:val="true"/>
        </w:rPr>
        <w:footnoteReference w:id="1120"/>
      </w:r>
    </w:p>
    <w:p>
      <w:pPr>
        <w:pStyle w:val="Heading4"/>
        <w:numPr>
          <w:ilvl w:val="3"/>
          <w:numId w:val="1"/>
        </w:numPr>
        <w:rPr/>
      </w:pPr>
      <w:bookmarkStart w:id="2329" w:name="__RefHeading___Toc364242_581953129"/>
      <w:bookmarkStart w:id="2330" w:name="_Toc975"/>
      <w:bookmarkEnd w:id="2329"/>
      <w:r>
        <w:rPr>
          <w:rtl w:val="true"/>
        </w:rPr>
        <w:t>المذاهب الأربعة</w:t>
      </w:r>
      <w:bookmarkEnd w:id="233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جزّأ الطلاق کأن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بعض طلقة أو نصف 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 لأنّ الطلاق لا یتجزّأ فذکر بعضه ذکر لجمیعه</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جزءاً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أجزائها الثابتة طلّقت کلّها سواء کان جزءاً شائعاً کنصفها،أو جزءاً من ألف جزء منها؛لأنّها جملة لاتتبعّض فی الحلّ و الحرمة فغلب فیها حکم التحریم</w:t>
      </w:r>
      <w:r>
        <w:rPr>
          <w:rFonts w:eastAsia="IRNazanin" w:cs="IRNazanin"/>
          <w:color w:val="111111"/>
          <w:sz w:val="28"/>
          <w:szCs w:val="28"/>
          <w:rtl w:val="true"/>
          <w:lang w:bidi="fa-IR"/>
        </w:rPr>
        <w:t xml:space="preserve">. </w:t>
      </w:r>
      <w:r>
        <w:rPr>
          <w:rStyle w:val="FootnoteAnchor"/>
          <w:rtl w:val="true"/>
        </w:rPr>
        <w:footnoteReference w:id="1122"/>
      </w:r>
    </w:p>
    <w:p>
      <w:pPr>
        <w:pStyle w:val="Heading3"/>
        <w:numPr>
          <w:ilvl w:val="2"/>
          <w:numId w:val="1"/>
        </w:numPr>
        <w:rPr/>
      </w:pPr>
      <w:bookmarkStart w:id="2331" w:name="__RefHeading___Toc364244_581953129"/>
      <w:bookmarkStart w:id="2332" w:name="_Toc976"/>
      <w:bookmarkEnd w:id="2331"/>
      <w:r>
        <w:rPr>
          <w:rtl w:val="true"/>
        </w:rPr>
        <w:t>دور الوصف فی الطلاق</w:t>
      </w:r>
      <w:bookmarkEnd w:id="2332"/>
    </w:p>
    <w:p>
      <w:pPr>
        <w:pStyle w:val="Heading4"/>
        <w:numPr>
          <w:ilvl w:val="3"/>
          <w:numId w:val="1"/>
        </w:numPr>
        <w:rPr/>
      </w:pPr>
      <w:bookmarkStart w:id="2333" w:name="__RefHeading___Toc364246_581953129"/>
      <w:bookmarkStart w:id="2334" w:name="_Toc977"/>
      <w:bookmarkEnd w:id="2333"/>
      <w:r>
        <w:rPr>
          <w:rtl w:val="true"/>
        </w:rPr>
        <w:t>اشارة</w:t>
      </w:r>
      <w:bookmarkEnd w:id="2334"/>
    </w:p>
    <w:p>
      <w:pPr>
        <w:pStyle w:val="BookText"/>
        <w:rPr/>
      </w:pPr>
      <w:r>
        <w:rPr>
          <w:rFonts w:ascii="IRNazanin" w:hAnsi="IRNazanin" w:eastAsia="IRNazanin"/>
          <w:color w:val="111111"/>
          <w:sz w:val="28"/>
          <w:sz w:val="28"/>
          <w:szCs w:val="28"/>
          <w:rtl w:val="true"/>
          <w:lang w:bidi="fa-IR"/>
        </w:rPr>
        <w:t>اختلفت‌الآراء بالنسبة إلی إنشاء الطلاق متّصفاً بوصف خاصّ وتفصیل الاختلاف بمایلی</w:t>
      </w:r>
      <w:r>
        <w:rPr>
          <w:rFonts w:eastAsia="IRNazanin" w:cs="IRNazanin"/>
          <w:color w:val="111111"/>
          <w:sz w:val="28"/>
          <w:szCs w:val="28"/>
          <w:rtl w:val="true"/>
          <w:lang w:bidi="fa-IR"/>
        </w:rPr>
        <w:t>:</w:t>
      </w:r>
    </w:p>
    <w:p>
      <w:pPr>
        <w:pStyle w:val="Heading4"/>
        <w:numPr>
          <w:ilvl w:val="3"/>
          <w:numId w:val="1"/>
        </w:numPr>
        <w:rPr/>
      </w:pPr>
      <w:bookmarkStart w:id="2335" w:name="__RefHeading___Toc364248_581953129"/>
      <w:bookmarkStart w:id="2336" w:name="_Toc978"/>
      <w:bookmarkEnd w:id="2335"/>
      <w:r>
        <w:rPr>
          <w:rtl w:val="true"/>
        </w:rPr>
        <w:t>المذهب الجعفری</w:t>
      </w:r>
      <w:bookmarkEnd w:id="233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أعدل طلاق أو أکمله،أو ملء الدنیا،صحّ ولم تضرّ الضمائم</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لتعدّد الدالّ و المدلول،فالصیغة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دلّت علی مدلولها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تامّة وضمّ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لا یضرّ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أنّ هذا الطلاق لم یکن إلاّ رجعیاً؛لکون الصیغة رجعیة</w:t>
      </w:r>
      <w:r>
        <w:rPr>
          <w:rFonts w:eastAsia="IRNazanin" w:cs="IRNazanin"/>
          <w:color w:val="111111"/>
          <w:sz w:val="28"/>
          <w:szCs w:val="28"/>
          <w:rtl w:val="true"/>
          <w:lang w:bidi="fa-IR"/>
        </w:rPr>
        <w:t>.</w:t>
      </w:r>
      <w:bookmarkStart w:id="2337" w:name="pg5240_59589"/>
    </w:p>
    <w:p>
      <w:pPr>
        <w:pStyle w:val="Heading4"/>
        <w:numPr>
          <w:ilvl w:val="3"/>
          <w:numId w:val="1"/>
        </w:numPr>
        <w:rPr/>
      </w:pPr>
      <w:bookmarkStart w:id="2338" w:name="__RefHeading___Toc364250_581953129"/>
      <w:bookmarkStart w:id="2339" w:name="_Toc979"/>
      <w:bookmarkEnd w:id="2337"/>
      <w:bookmarkEnd w:id="2338"/>
      <w:r>
        <w:rPr>
          <w:rtl w:val="true"/>
        </w:rPr>
        <w:t>المذاهب الأربعة</w:t>
      </w:r>
      <w:bookmarkEnd w:id="2339"/>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طلاقاً کعظم الجبل وقع بائناً باتّفاق</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و إذا قال لها أنت طالق طلاق الشیطان طلّقت منه بائنة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الحنفی</w:t>
      </w:r>
      <w:r>
        <w:rPr>
          <w:rFonts w:eastAsia="IRNazanin" w:cs="IRNazanin"/>
          <w:color w:val="111111"/>
          <w:sz w:val="28"/>
          <w:szCs w:val="28"/>
          <w:rtl w:val="true"/>
          <w:lang w:bidi="fa-IR"/>
        </w:rPr>
        <w:t xml:space="preserve">. </w:t>
      </w:r>
      <w:r>
        <w:rPr>
          <w:rStyle w:val="FootnoteAnchor"/>
          <w:rtl w:val="true"/>
        </w:rPr>
        <w:footnoteReference w:id="1125"/>
      </w:r>
    </w:p>
    <w:p>
      <w:pPr>
        <w:pStyle w:val="Heading4"/>
        <w:numPr>
          <w:ilvl w:val="3"/>
          <w:numId w:val="1"/>
        </w:numPr>
        <w:rPr/>
      </w:pPr>
      <w:bookmarkStart w:id="2340" w:name="__RefHeading___Toc364252_581953129"/>
      <w:bookmarkStart w:id="2341" w:name="_Toc980"/>
      <w:bookmarkEnd w:id="2340"/>
      <w:r>
        <w:rPr>
          <w:rtl w:val="true"/>
        </w:rPr>
        <w:t>منشأ الاختلاف</w:t>
      </w:r>
      <w:bookmarkEnd w:id="2341"/>
    </w:p>
    <w:p>
      <w:pPr>
        <w:pStyle w:val="BookText"/>
        <w:rPr/>
      </w:pPr>
      <w:r>
        <w:rPr>
          <w:rFonts w:ascii="IRNazanin" w:hAnsi="IRNazanin" w:eastAsia="IRNazanin"/>
          <w:color w:val="111111"/>
          <w:sz w:val="28"/>
          <w:sz w:val="28"/>
          <w:szCs w:val="28"/>
          <w:rtl w:val="true"/>
          <w:lang w:bidi="fa-IR"/>
        </w:rPr>
        <w:t>تبین لنا أنّ الاختلاف فی تجزئة الطلاق وتوصیفه ناشئ عن الاختلاف فی الاجتهاد کما مرّ بنا بیان أدلّة الطرفین المتخالفین،والّذی أصبح العامل الرئیسی هناک هو اختلاف النظر تجاه الطلاق بین الفریقین فإنّ الطلاق علی المذهب الجعفری أمر خطیر وعلی المذاهب الأربعة سهل یسیر</w:t>
      </w:r>
      <w:r>
        <w:rPr>
          <w:rFonts w:eastAsia="IRNazanin" w:cs="IRNazanin"/>
          <w:color w:val="111111"/>
          <w:sz w:val="28"/>
          <w:szCs w:val="28"/>
          <w:rtl w:val="true"/>
          <w:lang w:bidi="fa-IR"/>
        </w:rPr>
        <w:t>.</w:t>
      </w:r>
    </w:p>
    <w:p>
      <w:pPr>
        <w:pStyle w:val="Heading3"/>
        <w:numPr>
          <w:ilvl w:val="2"/>
          <w:numId w:val="1"/>
        </w:numPr>
        <w:rPr/>
      </w:pPr>
      <w:bookmarkStart w:id="2342" w:name="__RefHeading___Toc364254_581953129"/>
      <w:bookmarkStart w:id="2343" w:name="_Toc981"/>
      <w:bookmarkEnd w:id="2342"/>
      <w:r>
        <w:rPr>
          <w:rtl w:val="true"/>
        </w:rPr>
        <w:t>تحقّق العدّة</w:t>
      </w:r>
      <w:bookmarkEnd w:id="2343"/>
    </w:p>
    <w:p>
      <w:pPr>
        <w:pStyle w:val="Heading4"/>
        <w:numPr>
          <w:ilvl w:val="3"/>
          <w:numId w:val="1"/>
        </w:numPr>
        <w:rPr/>
      </w:pPr>
      <w:bookmarkStart w:id="2344" w:name="__RefHeading___Toc364256_581953129"/>
      <w:bookmarkStart w:id="2345" w:name="_Toc982"/>
      <w:bookmarkEnd w:id="2344"/>
      <w:r>
        <w:rPr>
          <w:rtl w:val="true"/>
        </w:rPr>
        <w:t>اشارة</w:t>
      </w:r>
      <w:bookmarkEnd w:id="2345"/>
    </w:p>
    <w:p>
      <w:pPr>
        <w:pStyle w:val="BookText"/>
        <w:rPr/>
      </w:pPr>
      <w:r>
        <w:rPr>
          <w:rFonts w:ascii="IRNazanin" w:hAnsi="IRNazanin" w:eastAsia="IRNazanin"/>
          <w:color w:val="111111"/>
          <w:sz w:val="28"/>
          <w:sz w:val="28"/>
          <w:szCs w:val="28"/>
          <w:rtl w:val="true"/>
          <w:lang w:bidi="fa-IR"/>
        </w:rPr>
        <w:t>اختلفت الآراء بالنسبة إلی تحقّق العدّة فی موارد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346" w:name="__RefHeading___Toc364258_581953129"/>
      <w:bookmarkStart w:id="2347" w:name="_Toc983"/>
      <w:bookmarkEnd w:id="2346"/>
      <w:r>
        <w:rPr>
          <w:rtl w:val="true"/>
        </w:rPr>
        <w:t>عدّة الصغیرة</w:t>
      </w:r>
      <w:bookmarkEnd w:id="2347"/>
    </w:p>
    <w:p>
      <w:pPr>
        <w:pStyle w:val="Heading5"/>
        <w:numPr>
          <w:ilvl w:val="4"/>
          <w:numId w:val="1"/>
        </w:numPr>
        <w:rPr/>
      </w:pPr>
      <w:bookmarkStart w:id="2348" w:name="__RefHeading___Toc364260_581953129"/>
      <w:bookmarkStart w:id="2349" w:name="_Toc984"/>
      <w:bookmarkEnd w:id="2348"/>
      <w:r>
        <w:rPr>
          <w:rtl w:val="true"/>
        </w:rPr>
        <w:t>المذهب الحنفی</w:t>
      </w:r>
      <w:bookmarkEnd w:id="2349"/>
    </w:p>
    <w:p>
      <w:pPr>
        <w:pStyle w:val="BookText"/>
        <w:rPr/>
      </w:pPr>
      <w:r>
        <w:rPr>
          <w:rFonts w:ascii="IRNazanin" w:hAnsi="IRNazanin" w:eastAsia="IRNazanin"/>
          <w:color w:val="111111"/>
          <w:sz w:val="28"/>
          <w:sz w:val="28"/>
          <w:szCs w:val="28"/>
          <w:rtl w:val="true"/>
          <w:lang w:bidi="fa-IR"/>
        </w:rPr>
        <w:t>العدّة تجب علی الصغیرة ولو طفلة</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ذلک لإطلاق دلیل العدّة وتحقّق الموضوع</w:t>
      </w:r>
      <w:r>
        <w:rPr>
          <w:rFonts w:eastAsia="IRNazanin" w:cs="IRNazanin"/>
          <w:color w:val="111111"/>
          <w:sz w:val="28"/>
          <w:szCs w:val="28"/>
          <w:rtl w:val="true"/>
          <w:lang w:bidi="fa-IR"/>
        </w:rPr>
        <w:t>.</w:t>
      </w:r>
    </w:p>
    <w:p>
      <w:pPr>
        <w:pStyle w:val="Heading5"/>
        <w:numPr>
          <w:ilvl w:val="4"/>
          <w:numId w:val="1"/>
        </w:numPr>
        <w:rPr/>
      </w:pPr>
      <w:bookmarkStart w:id="2350" w:name="__RefHeading___Toc364262_581953129"/>
      <w:bookmarkStart w:id="2351" w:name="_Toc985"/>
      <w:bookmarkEnd w:id="2350"/>
      <w:r>
        <w:rPr>
          <w:rtl w:val="true"/>
        </w:rPr>
        <w:t>المذاهب الاُخری</w:t>
      </w:r>
      <w:bookmarkEnd w:id="235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لاعدّة علی الصغیرة،والمقصود من الصغیرة الّتی لاعدّة علیها هی الّتی لم تبلغ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الجعفری و الحنبلی،ذلک؛لأنّها قبل إکمال التسع تکون مرفوعة</w:t>
      </w:r>
      <w:bookmarkStart w:id="2352" w:name="pg5240_59590"/>
    </w:p>
    <w:p>
      <w:pPr>
        <w:pStyle w:val="BookText"/>
        <w:rPr/>
      </w:pPr>
      <w:bookmarkEnd w:id="2352"/>
      <w:r>
        <w:rPr>
          <w:rFonts w:ascii="IRNazanin" w:hAnsi="IRNazanin" w:eastAsia="IRNazanin"/>
          <w:color w:val="111111"/>
          <w:sz w:val="28"/>
          <w:sz w:val="28"/>
          <w:szCs w:val="28"/>
          <w:rtl w:val="true"/>
          <w:lang w:bidi="fa-IR"/>
        </w:rPr>
        <w:t>القلم؛لحدیث الرفع المشهور بین الفریقین،والمقصود من الصغیرة علی المذهب الشافعی و المالکی هی الّتی لاتطیق و إن طاقت الوط‌ء تجب علیها العدّة و إن کانت دون التسع</w:t>
      </w:r>
      <w:r>
        <w:rPr>
          <w:rFonts w:eastAsia="IRNazanin" w:cs="IRNazanin"/>
          <w:color w:val="111111"/>
          <w:sz w:val="28"/>
          <w:szCs w:val="28"/>
          <w:rtl w:val="true"/>
          <w:lang w:bidi="fa-IR"/>
        </w:rPr>
        <w:t xml:space="preserve">. </w:t>
      </w:r>
      <w:r>
        <w:rPr>
          <w:rStyle w:val="FootnoteAnchor"/>
          <w:rtl w:val="true"/>
        </w:rPr>
        <w:footnoteReference w:id="1127"/>
      </w:r>
    </w:p>
    <w:p>
      <w:pPr>
        <w:pStyle w:val="Heading5"/>
        <w:numPr>
          <w:ilvl w:val="4"/>
          <w:numId w:val="1"/>
        </w:numPr>
        <w:rPr/>
      </w:pPr>
      <w:bookmarkStart w:id="2353" w:name="__RefHeading___Toc364264_581953129"/>
      <w:bookmarkStart w:id="2354" w:name="_Toc986"/>
      <w:bookmarkEnd w:id="2353"/>
      <w:r>
        <w:rPr>
          <w:rtl w:val="true"/>
        </w:rPr>
        <w:t>منشأ الاختلاف</w:t>
      </w:r>
      <w:bookmarkEnd w:id="2354"/>
    </w:p>
    <w:p>
      <w:pPr>
        <w:pStyle w:val="BookText"/>
        <w:rPr/>
      </w:pPr>
      <w:r>
        <w:rPr>
          <w:rFonts w:ascii="IRNazanin" w:hAnsi="IRNazanin" w:eastAsia="IRNazanin"/>
          <w:color w:val="111111"/>
          <w:sz w:val="28"/>
          <w:sz w:val="28"/>
          <w:szCs w:val="28"/>
          <w:rtl w:val="true"/>
          <w:lang w:bidi="fa-IR"/>
        </w:rPr>
        <w:t>لاخلاف هنا إلاّ عن الحنفی،وتفرّده فی الحکم بوجوب العدّة علی الصغیرة ناشئ عن اجتهاده‌الخاصّ</w:t>
      </w:r>
      <w:r>
        <w:rPr>
          <w:rFonts w:eastAsia="IRNazanin" w:cs="IRNazanin"/>
          <w:color w:val="111111"/>
          <w:sz w:val="28"/>
          <w:szCs w:val="28"/>
          <w:rtl w:val="true"/>
          <w:lang w:bidi="fa-IR"/>
        </w:rPr>
        <w:t>.</w:t>
      </w:r>
    </w:p>
    <w:p>
      <w:pPr>
        <w:pStyle w:val="Heading4"/>
        <w:numPr>
          <w:ilvl w:val="3"/>
          <w:numId w:val="1"/>
        </w:numPr>
        <w:rPr/>
      </w:pPr>
      <w:bookmarkStart w:id="2355" w:name="__RefHeading___Toc364266_581953129"/>
      <w:bookmarkStart w:id="2356" w:name="_Toc987"/>
      <w:bookmarkEnd w:id="2355"/>
      <w:r>
        <w:rPr>
          <w:rtl w:val="true"/>
        </w:rPr>
        <w:t>عدّة الزانیة</w:t>
      </w:r>
      <w:bookmarkEnd w:id="2356"/>
    </w:p>
    <w:p>
      <w:pPr>
        <w:pStyle w:val="Heading5"/>
        <w:numPr>
          <w:ilvl w:val="4"/>
          <w:numId w:val="1"/>
        </w:numPr>
        <w:rPr/>
      </w:pPr>
      <w:bookmarkStart w:id="2357" w:name="__RefHeading___Toc364268_581953129"/>
      <w:bookmarkStart w:id="2358" w:name="_Toc988"/>
      <w:bookmarkEnd w:id="2357"/>
      <w:r>
        <w:rPr>
          <w:rtl w:val="true"/>
        </w:rPr>
        <w:t>المذهب الجعفری</w:t>
      </w:r>
      <w:bookmarkEnd w:id="2358"/>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لاعدّة علی المزنی بها من الزنا لکنّ الأحوط لزوماً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یتزوج بها إلاّ بعد استبرائها بحیضة</w:t>
      </w:r>
      <w:r>
        <w:rPr>
          <w:rFonts w:eastAsia="IRNazanin" w:cs="IRNazanin"/>
          <w:color w:val="111111"/>
          <w:sz w:val="28"/>
          <w:szCs w:val="28"/>
          <w:rtl w:val="true"/>
          <w:lang w:bidi="fa-IR"/>
        </w:rPr>
        <w:t xml:space="preserve">. </w:t>
      </w:r>
      <w:r>
        <w:rPr>
          <w:rStyle w:val="FootnoteAnchor"/>
          <w:rtl w:val="true"/>
        </w:rPr>
        <w:footnoteReference w:id="112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نفی العدّة فهو؛لعدم الحرمة للماء الزانی؛ولعدم تحقّق الموضوع شرعاً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الرأی علی مذهبی الحنفی و الشافعی</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و أمّا وجوب الاستبراء فهو علی ما قال المحقّق صاحب الجواهر لإطلاق ما دلّ علی‌العدّة بالدخول و الماء و إنّ الحکمة فیها اختلاط الأنساب</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ویؤیده خبر إسحاق‌بن جریر عن الإمام الصادق علیه السلام 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یفجر بالمرأة ثمّ یبدو له فی تزویجها هل یحلّ له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هو اجتنبها حتّی تنقضی عدّتها باستبراء رحمها من ماء الفجور</w:t>
      </w:r>
      <w:r>
        <w:rPr>
          <w:rFonts w:eastAsia="IRNazanin" w:cs="IRNazanin"/>
          <w:color w:val="111111"/>
          <w:sz w:val="28"/>
          <w:szCs w:val="28"/>
          <w:rtl w:val="true"/>
          <w:lang w:bidi="fa-IR"/>
        </w:rPr>
        <w:t xml:space="preserve">». </w:t>
      </w:r>
      <w:r>
        <w:rPr>
          <w:rStyle w:val="FootnoteAnchor"/>
          <w:rtl w:val="true"/>
        </w:rPr>
        <w:footnoteReference w:id="1131"/>
      </w:r>
      <w:bookmarkStart w:id="2359" w:name="pg5240_59591"/>
    </w:p>
    <w:p>
      <w:pPr>
        <w:pStyle w:val="BookText"/>
        <w:rPr/>
      </w:pPr>
      <w:bookmarkEnd w:id="2359"/>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أبی‌بکر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عدّة علیها و هو قول الشافعی؛لأنّ العدّة لحفظ النسب ولایلحقه نسب،وعن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تستبرأ بحیضة؛ذکرها ابن أبی‌موسی و هذا قول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وط‌ء یقتضی شغل الرحم فوجبت العدّة کعدّة المطلّقة </w:t>
      </w:r>
      <w:r>
        <w:rPr>
          <w:rStyle w:val="FootnoteAnchor"/>
          <w:rtl w:val="true"/>
        </w:rPr>
        <w:footnoteReference w:id="1132"/>
      </w:r>
      <w:r>
        <w:rPr>
          <w:rFonts w:ascii="IRNazanin" w:hAnsi="IRNazanin" w:eastAsia="IRNazanin"/>
          <w:color w:val="111111"/>
          <w:sz w:val="28"/>
          <w:sz w:val="28"/>
          <w:szCs w:val="28"/>
          <w:rtl w:val="true"/>
          <w:lang w:bidi="fa-IR"/>
        </w:rPr>
        <w:t>وعلیه فلا خلاف إلاّ عن ابن قدامة الناشئ من اجتهاده القیاسی</w:t>
      </w:r>
      <w:r>
        <w:rPr>
          <w:rFonts w:eastAsia="IRNazanin" w:cs="IRNazanin"/>
          <w:color w:val="111111"/>
          <w:sz w:val="28"/>
          <w:szCs w:val="28"/>
          <w:rtl w:val="true"/>
          <w:lang w:bidi="fa-IR"/>
        </w:rPr>
        <w:t>.</w:t>
      </w:r>
    </w:p>
    <w:p>
      <w:pPr>
        <w:pStyle w:val="Heading4"/>
        <w:numPr>
          <w:ilvl w:val="3"/>
          <w:numId w:val="1"/>
        </w:numPr>
        <w:rPr/>
      </w:pPr>
      <w:bookmarkStart w:id="2360" w:name="__RefHeading___Toc364270_581953129"/>
      <w:bookmarkStart w:id="2361" w:name="_Toc989"/>
      <w:bookmarkEnd w:id="2360"/>
      <w:r>
        <w:rPr>
          <w:rtl w:val="true"/>
        </w:rPr>
        <w:t>تحقّق العدّة بواسطة الخلوة</w:t>
      </w:r>
      <w:bookmarkEnd w:id="2361"/>
    </w:p>
    <w:p>
      <w:pPr>
        <w:pStyle w:val="Heading5"/>
        <w:numPr>
          <w:ilvl w:val="4"/>
          <w:numId w:val="1"/>
        </w:numPr>
        <w:rPr/>
      </w:pPr>
      <w:bookmarkStart w:id="2362" w:name="__RefHeading___Toc364272_581953129"/>
      <w:bookmarkStart w:id="2363" w:name="_Toc990"/>
      <w:bookmarkEnd w:id="2362"/>
      <w:r>
        <w:rPr>
          <w:rtl w:val="true"/>
        </w:rPr>
        <w:t>المذهب الجعفری</w:t>
      </w:r>
      <w:bookmarkEnd w:id="2363"/>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لایجب العدّة بالخلوة منفردة عن الوط‌ء؛ </w:t>
      </w:r>
      <w:r>
        <w:rPr>
          <w:rStyle w:val="FootnoteAnchor"/>
          <w:rtl w:val="true"/>
        </w:rPr>
        <w:footnoteReference w:id="1133"/>
      </w:r>
      <w:r>
        <w:rPr>
          <w:rFonts w:ascii="IRNazanin" w:hAnsi="IRNazanin" w:eastAsia="IRNazanin"/>
          <w:color w:val="111111"/>
          <w:sz w:val="28"/>
          <w:sz w:val="28"/>
          <w:szCs w:val="28"/>
          <w:rtl w:val="true"/>
          <w:lang w:bidi="fa-IR"/>
        </w:rPr>
        <w:t>ذلک لعدم تحقّق الموضوع للعدّة ویؤکّده صحیحة محمّدبن مسلم عن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أو الإمام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وأقوی الحجج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نَکَحْتُمُ الْمُؤْمِناتِ ثُمَّ طَلَّقْتُمُوهُنَّ مِنْ قَبْلِ أَنْ تَمَسُّوهُنَّ فَما لَکُمْ عَلَیْهِنَّ مِنْ عِدَّةٍ تَعْتَدُّونَها</w:t>
      </w:r>
      <w:r>
        <w:rPr>
          <w:rFonts w:eastAsia="Amiri" w:cs="Amiri" w:ascii="Amiri" w:hAnsi="Amiri"/>
          <w:color w:val="111111"/>
          <w:sz w:val="28"/>
          <w:szCs w:val="28"/>
          <w:rtl w:val="true"/>
          <w:lang w:bidi="ar-SA"/>
        </w:rPr>
        <w:t xml:space="preserve">... . </w:t>
      </w:r>
      <w:r>
        <w:rPr>
          <w:rStyle w:val="FootnoteAnchor"/>
          <w:rtl w:val="true"/>
        </w:rPr>
        <w:footnoteReference w:id="1135"/>
      </w:r>
      <w:r>
        <w:rPr>
          <w:rFonts w:ascii="IRNazanin" w:hAnsi="IRNazanin" w:eastAsia="IRNazanin"/>
          <w:color w:val="111111"/>
          <w:sz w:val="28"/>
          <w:sz w:val="28"/>
          <w:szCs w:val="28"/>
          <w:rtl w:val="true"/>
          <w:lang w:bidi="fa-IR"/>
        </w:rPr>
        <w:t>و هذا نصّ علی المطلوب و هو نفس الرأی علی المذهب الشافعی فی رأیه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فی الحکم عند فقهاء الإمامیة</w:t>
      </w:r>
      <w:r>
        <w:rPr>
          <w:rFonts w:eastAsia="IRNazanin" w:cs="IRNazanin"/>
          <w:color w:val="111111"/>
          <w:sz w:val="28"/>
          <w:szCs w:val="28"/>
          <w:rtl w:val="true"/>
          <w:lang w:bidi="fa-IR"/>
        </w:rPr>
        <w:t>.</w:t>
      </w:r>
    </w:p>
    <w:p>
      <w:pPr>
        <w:pStyle w:val="Heading5"/>
        <w:numPr>
          <w:ilvl w:val="4"/>
          <w:numId w:val="1"/>
        </w:numPr>
        <w:rPr/>
      </w:pPr>
      <w:bookmarkStart w:id="2364" w:name="__RefHeading___Toc364274_581953129"/>
      <w:bookmarkStart w:id="2365" w:name="_Toc991"/>
      <w:bookmarkEnd w:id="2364"/>
      <w:r>
        <w:rPr>
          <w:rtl w:val="true"/>
        </w:rPr>
        <w:t>المذهب الحنبلی</w:t>
      </w:r>
      <w:bookmarkEnd w:id="2365"/>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خَلی بها ولم یصبها ثمّ طلّقها فإنّ مذهب أحمد وجوب العدّة علیها وقال الشافعی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لاعدّة علیها؛لقوله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الآیة المذکورة؛ولأنّها مطلّقة لم تمسّ</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الصحابة،روی الإمام أحمد عن زرارة‌بن أوفی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bookmarkStart w:id="2366" w:name="pg5240_59592"/>
    </w:p>
    <w:p>
      <w:pPr>
        <w:pStyle w:val="BookText"/>
        <w:rPr/>
      </w:pPr>
      <w:bookmarkEnd w:id="2366"/>
      <w:r>
        <w:rPr>
          <w:rFonts w:ascii="IRNazanin" w:hAnsi="IRNazanin" w:eastAsia="IRNazanin"/>
          <w:color w:val="111111"/>
          <w:sz w:val="28"/>
          <w:sz w:val="28"/>
          <w:szCs w:val="28"/>
          <w:rtl w:val="true"/>
          <w:lang w:bidi="fa-IR"/>
        </w:rPr>
        <w:t>الخلفاءالراشدون أنّ من أرخی ستراً أو أغلق باباً فقد وجب المهر ووجبت العدّة؛ولأنّه عقد علی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فالتمکین فیه یجری مجری الاستیفاء فی الأحکام المتعلّقة،کعقد الإجارة و الآیة مخصوصة بما ذکرناه</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و هو نفس الرأی علی المذهب الحنفی و المالکی</w:t>
      </w:r>
      <w:r>
        <w:rPr>
          <w:rFonts w:eastAsia="IRNazanin" w:cs="IRNazanin"/>
          <w:color w:val="111111"/>
          <w:sz w:val="28"/>
          <w:szCs w:val="28"/>
          <w:rtl w:val="true"/>
          <w:lang w:bidi="fa-IR"/>
        </w:rPr>
        <w:t>.</w:t>
      </w:r>
    </w:p>
    <w:p>
      <w:pPr>
        <w:pStyle w:val="Heading4"/>
        <w:numPr>
          <w:ilvl w:val="3"/>
          <w:numId w:val="1"/>
        </w:numPr>
        <w:rPr/>
      </w:pPr>
      <w:bookmarkStart w:id="2367" w:name="__RefHeading___Toc364276_581953129"/>
      <w:bookmarkStart w:id="2368" w:name="_Toc992"/>
      <w:bookmarkEnd w:id="2367"/>
      <w:r>
        <w:rPr>
          <w:rtl w:val="true"/>
        </w:rPr>
        <w:t>عدّة زوجة المفقود</w:t>
      </w:r>
      <w:bookmarkEnd w:id="2368"/>
    </w:p>
    <w:p>
      <w:pPr>
        <w:pStyle w:val="Heading5"/>
        <w:numPr>
          <w:ilvl w:val="4"/>
          <w:numId w:val="1"/>
        </w:numPr>
        <w:rPr/>
      </w:pPr>
      <w:bookmarkStart w:id="2369" w:name="__RefHeading___Toc364278_581953129"/>
      <w:bookmarkStart w:id="2370" w:name="_Toc993"/>
      <w:bookmarkEnd w:id="2369"/>
      <w:r>
        <w:rPr>
          <w:rtl w:val="true"/>
        </w:rPr>
        <w:t>اشارة</w:t>
      </w:r>
      <w:bookmarkEnd w:id="2370"/>
    </w:p>
    <w:p>
      <w:pPr>
        <w:pStyle w:val="BookText"/>
        <w:rPr/>
      </w:pPr>
      <w:r>
        <w:rPr>
          <w:rFonts w:ascii="IRNazanin" w:hAnsi="IRNazanin" w:eastAsia="IRNazanin"/>
          <w:color w:val="111111"/>
          <w:sz w:val="28"/>
          <w:sz w:val="28"/>
          <w:szCs w:val="28"/>
          <w:rtl w:val="true"/>
          <w:lang w:bidi="fa-IR"/>
        </w:rPr>
        <w:t>اختلفت الآراءبالنسبة إلی أحکام الزوجة الّتی غاب عنها زوجها وتفصیل الاختلاف بما یلی</w:t>
      </w:r>
      <w:r>
        <w:rPr>
          <w:rFonts w:eastAsia="IRNazanin" w:cs="IRNazanin"/>
          <w:color w:val="111111"/>
          <w:sz w:val="28"/>
          <w:szCs w:val="28"/>
          <w:rtl w:val="true"/>
          <w:lang w:bidi="fa-IR"/>
        </w:rPr>
        <w:t>:</w:t>
      </w:r>
    </w:p>
    <w:p>
      <w:pPr>
        <w:pStyle w:val="Heading5"/>
        <w:numPr>
          <w:ilvl w:val="4"/>
          <w:numId w:val="1"/>
        </w:numPr>
        <w:rPr/>
      </w:pPr>
      <w:bookmarkStart w:id="2371" w:name="__RefHeading___Toc364280_581953129"/>
      <w:bookmarkStart w:id="2372" w:name="_Toc994"/>
      <w:bookmarkEnd w:id="2371"/>
      <w:r>
        <w:rPr>
          <w:rtl w:val="true"/>
        </w:rPr>
        <w:t>المذهب الجعفری</w:t>
      </w:r>
      <w:bookmarkEnd w:id="2372"/>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إن جهل خبره ولم یکن للغائب مال ولم ینفق الولی،إن لم تصبر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أنّها ترفع أمرها إلی الحاکم الشرعی فیؤجّلها أربع سنین ثمّ یفحص عنه،و إن جهل حاله وانقضت الأربع سنین أمر الحاکم ولیه بأن یطلّقها،ثمّ اعتدّت عدّة الوفاة،فإذا خرجت من العدّة صارت أجنبیة وجاز لها أن تتزوّج،و إذا جاء زوجها فلیس له علیها سبیل</w:t>
      </w:r>
      <w:r>
        <w:rPr>
          <w:rFonts w:eastAsia="IRNazanin" w:cs="IRNazanin"/>
          <w:color w:val="111111"/>
          <w:sz w:val="28"/>
          <w:szCs w:val="28"/>
          <w:rtl w:val="true"/>
          <w:lang w:bidi="fa-IR"/>
        </w:rPr>
        <w:t xml:space="preserve">. </w:t>
      </w:r>
      <w:r>
        <w:rPr>
          <w:rStyle w:val="FootnoteAnchor"/>
          <w:rtl w:val="true"/>
        </w:rPr>
        <w:footnoteReference w:id="113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یکون کذلک؛إجماعاً،للحکم شرعاً ببینونتها شرعاً منه</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والأصل فی الحکم هو النصوص الواردة فی الباب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بریدبن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المفقود کیف تصنع امرأته؟فقال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سکتت عنه وصبرت فخلّ عنها،و إن هی رفعت أمرها إلی الوالی أجّلها أربع سنین،ثمّ یکتب</w:t>
      </w:r>
      <w:bookmarkStart w:id="2373" w:name="pg5240_59593"/>
    </w:p>
    <w:p>
      <w:pPr>
        <w:pStyle w:val="BookText"/>
        <w:rPr/>
      </w:pPr>
      <w:bookmarkEnd w:id="2373"/>
      <w:r>
        <w:rPr>
          <w:rFonts w:ascii="IRNazanin" w:hAnsi="IRNazanin" w:eastAsia="IRNazanin"/>
          <w:color w:val="111111"/>
          <w:sz w:val="28"/>
          <w:sz w:val="28"/>
          <w:szCs w:val="28"/>
          <w:rtl w:val="true"/>
          <w:lang w:bidi="fa-IR"/>
        </w:rPr>
        <w:t>إلی الصقع الّذی فقد فیه،فلیسأل عنه فإن خبّر عنه بحیاة صبرت و إن لم یخبر عنه بحیاة حتّی تمضی الأربع سنین،دعا ولی الزوج المفقود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للمفقود مال؟فإن کان للمفقود مال أنفق علیها حتّی یعلم حیاته من موته،و إن لم یکن له مال قیل للولی أنفق علیها،فإن فعل فلا سبیل لها إلی أن تتزوّج ما أنفق علیها،و إن أبی أن ینفق علیها أجبره الوالی علی أن یطلّق تطلیقة فی استقبال العدّة وهی طاهر،فیصیرطلاق الولی طلاق الزوج فإن جاء زوجها قبل أن تنقضی عدّتها من یوم طلّقها الولی فبدا له أن یراجعها فهی امرأته وهی عنده علی تطلیقتین،و إن انقضت العدّة قبل أن یجیء ویراجع فقد حلّت للأزواج ولاسبیل للأوّل علیها</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و هونفس‌الرأی علی المذهب الشافعی و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و الشافعی فی القدیم تتربّص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زوجة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سنین وتعتدّ للوفاة أربعة أشهر وعشراً وتحلّ للأزواج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لما روی الجوزجانی وغیره بإسنادهم عن علی علیه السلام فی امرأة 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أربع سنین ثم یطلّقها ولی زوجها وتعتدّ بعد ذلک أربعة أشهر وعشراً</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المذهب الحنبلی</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وینقطع خبره فلا تزول الزوجیة ما لم یثبت موته،وإلیه ذهب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والشافعی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المفقود امرأته حتّی یأتی زوجها؛ولأنّه شکّ فی زوال الزوجیة‌فلم تثبت به الفرقة</w:t>
      </w:r>
      <w:r>
        <w:rPr>
          <w:rFonts w:eastAsia="IRNazanin" w:cs="IRNazanin"/>
          <w:color w:val="111111"/>
          <w:sz w:val="28"/>
          <w:szCs w:val="28"/>
          <w:rtl w:val="true"/>
          <w:lang w:bidi="fa-IR"/>
        </w:rPr>
        <w:t xml:space="preserve">». </w:t>
      </w:r>
      <w:r>
        <w:rPr>
          <w:rStyle w:val="FootnoteAnchor"/>
          <w:rtl w:val="true"/>
        </w:rPr>
        <w:footnoteReference w:id="1141"/>
      </w:r>
    </w:p>
    <w:p>
      <w:pPr>
        <w:pStyle w:val="Heading5"/>
        <w:numPr>
          <w:ilvl w:val="4"/>
          <w:numId w:val="1"/>
        </w:numPr>
        <w:rPr/>
      </w:pPr>
      <w:bookmarkStart w:id="2374" w:name="__RefHeading___Toc364282_581953129"/>
      <w:bookmarkStart w:id="2375" w:name="_Toc995"/>
      <w:bookmarkEnd w:id="2374"/>
      <w:r>
        <w:rPr>
          <w:rtl w:val="true"/>
        </w:rPr>
        <w:t>منشأ الاختلاف</w:t>
      </w:r>
      <w:bookmarkEnd w:id="237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بکلّ وضوح أنّ الاختلاف هنا ناشئ عن الاختلاف فی النصوص الوارد عن الطریقین،إلاّ أنّ النصّ الوارد من طریق الصحابة صرّح بأنّ زوجة المفقود زوجته بعد</w:t>
      </w:r>
      <w:bookmarkStart w:id="2376" w:name="pg5240_59594"/>
    </w:p>
    <w:p>
      <w:pPr>
        <w:pStyle w:val="BookText"/>
        <w:rPr/>
      </w:pPr>
      <w:bookmarkEnd w:id="2376"/>
      <w:r>
        <w:rPr>
          <w:rFonts w:ascii="IRNazanin" w:hAnsi="IRNazanin" w:eastAsia="IRNazanin"/>
          <w:color w:val="111111"/>
          <w:sz w:val="28"/>
          <w:sz w:val="28"/>
          <w:szCs w:val="28"/>
          <w:rtl w:val="true"/>
          <w:lang w:bidi="fa-IR"/>
        </w:rPr>
        <w:t>الفقد ولم یصرّح علی التأبید وعلیه یمکن حمله علی بقاء الزوجیة إلی أربع سنین و قد صرّح النصّ الوارد من طریق آل البیت علیهم السلام إنّ عدّة‌المفقود عنها زوجها أربع سنین وساعده ما روی الجوزجانی عن طریق الصحابة بنفس المضمون؛أضف إلی ذلک أنّ البقاء إلی ثبوت الموت ربما ینتهی إلی الحرج</w:t>
      </w:r>
      <w:r>
        <w:rPr>
          <w:rFonts w:eastAsia="IRNazanin" w:cs="IRNazanin"/>
          <w:color w:val="111111"/>
          <w:sz w:val="28"/>
          <w:szCs w:val="28"/>
          <w:rtl w:val="true"/>
          <w:lang w:bidi="fa-IR"/>
        </w:rPr>
        <w:t>.</w:t>
      </w:r>
    </w:p>
    <w:p>
      <w:pPr>
        <w:pStyle w:val="Heading5"/>
        <w:numPr>
          <w:ilvl w:val="4"/>
          <w:numId w:val="1"/>
        </w:numPr>
        <w:rPr/>
      </w:pPr>
      <w:bookmarkStart w:id="2377" w:name="__RefHeading___Toc364284_581953129"/>
      <w:bookmarkStart w:id="2378" w:name="_Toc996"/>
      <w:bookmarkEnd w:id="2377"/>
      <w:r>
        <w:rPr>
          <w:rtl w:val="true"/>
        </w:rPr>
        <w:t>منشأ الاختلاف</w:t>
      </w:r>
      <w:bookmarkEnd w:id="2378"/>
    </w:p>
    <w:p>
      <w:pPr>
        <w:pStyle w:val="BookText"/>
        <w:rPr/>
      </w:pPr>
      <w:r>
        <w:rPr>
          <w:rFonts w:ascii="IRNazanin" w:hAnsi="IRNazanin" w:eastAsia="IRNazanin"/>
          <w:color w:val="111111"/>
          <w:sz w:val="28"/>
          <w:sz w:val="28"/>
          <w:szCs w:val="28"/>
          <w:rtl w:val="true"/>
          <w:lang w:bidi="fa-IR"/>
        </w:rPr>
        <w:t>إنّ الاختلاف هنا ناشئ من المناشئ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الإجماع حیث یوجد من الفریقن ادّعاء الإجماع کما ألمحنا إلیه أنّ الإجماع من الإمامیة تامّ ومن غیر الإمامیة لم یکن تامّاً،ذلک لمخالفة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النصّ الوارد من الطریقین کان متضارباً تجاه الحکم هناک فإذا تمّ النصّان سنداً ودلالة ینتهی إلی التعارض الّذی نتیجته التساقط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فی فهم المعنی من الآیة الکریمة سعةً وضیقاً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أنّ الآیة صرّحت علی عدم العدّة عند عدم المساس قال ابن قدامة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نَکَحْتُمُ الْمُؤْمِناتِ ثُمَّ طَلَّقْتُمُوهُنَّ مِنْ قَبْلِ أَنْ تَمَسُّوهُنَّ فَما لَکُمْ عَلَیْهِنَّ مِنْ عِدَّةٍ تَعْتَدُّونَها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فی غیر مورد الخلوة فإنّ ذلک المورد مخصّص بالنسبة إلی‌مدلول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علی المذهب الجعفری لم یکن هناک تخصیص و الآیه‌بظاهرها دلّت علی المطلوب دلالة تامّة،والحکم الّذی وافق الکتاب هوالأوثق</w:t>
      </w:r>
      <w:r>
        <w:rPr>
          <w:rFonts w:eastAsia="Amiri" w:cs="Amiri" w:ascii="Amiri" w:hAnsi="Amiri"/>
          <w:color w:val="111111"/>
          <w:sz w:val="28"/>
          <w:szCs w:val="28"/>
          <w:rtl w:val="true"/>
          <w:lang w:bidi="ar-SA"/>
        </w:rPr>
        <w:t>.</w:t>
      </w:r>
    </w:p>
    <w:p>
      <w:pPr>
        <w:pStyle w:val="Heading4"/>
        <w:numPr>
          <w:ilvl w:val="3"/>
          <w:numId w:val="1"/>
        </w:numPr>
        <w:rPr/>
      </w:pPr>
      <w:bookmarkStart w:id="2379" w:name="__RefHeading___Toc364286_581953129"/>
      <w:bookmarkStart w:id="2380" w:name="_Toc997"/>
      <w:bookmarkEnd w:id="2379"/>
      <w:r>
        <w:rPr>
          <w:rtl w:val="true"/>
        </w:rPr>
        <w:t>أطول عدّة</w:t>
      </w:r>
      <w:bookmarkEnd w:id="2380"/>
    </w:p>
    <w:p>
      <w:pPr>
        <w:pStyle w:val="Heading5"/>
        <w:numPr>
          <w:ilvl w:val="4"/>
          <w:numId w:val="1"/>
        </w:numPr>
        <w:rPr/>
      </w:pPr>
      <w:bookmarkStart w:id="2381" w:name="__RefHeading___Toc364288_581953129"/>
      <w:bookmarkStart w:id="2382" w:name="_Toc998"/>
      <w:bookmarkEnd w:id="2381"/>
      <w:r>
        <w:rPr>
          <w:rtl w:val="true"/>
        </w:rPr>
        <w:t>اشارة</w:t>
      </w:r>
      <w:bookmarkEnd w:id="238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بالنسبة إلی کمّیة عدّة من تحیض مرّة ثمّ انقطع عنها الحیض وتفصیل الاختلاف بمایلی</w:t>
      </w:r>
      <w:r>
        <w:rPr>
          <w:rFonts w:eastAsia="IRNazanin" w:cs="IRNazanin"/>
          <w:color w:val="111111"/>
          <w:sz w:val="28"/>
          <w:szCs w:val="28"/>
          <w:rtl w:val="true"/>
          <w:lang w:bidi="fa-IR"/>
        </w:rPr>
        <w:t>:</w:t>
      </w:r>
      <w:bookmarkStart w:id="2383" w:name="pg5240_59595"/>
    </w:p>
    <w:p>
      <w:pPr>
        <w:pStyle w:val="Heading5"/>
        <w:numPr>
          <w:ilvl w:val="4"/>
          <w:numId w:val="1"/>
        </w:numPr>
        <w:rPr/>
      </w:pPr>
      <w:bookmarkStart w:id="2384" w:name="__RefHeading___Toc364290_581953129"/>
      <w:bookmarkStart w:id="2385" w:name="_Toc999"/>
      <w:bookmarkEnd w:id="2383"/>
      <w:bookmarkEnd w:id="2384"/>
      <w:r>
        <w:rPr>
          <w:rtl w:val="true"/>
        </w:rPr>
        <w:t>المذهب الجعفری</w:t>
      </w:r>
      <w:bookmarkEnd w:id="2385"/>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حیضاً وتأخّرت الثانیة أو الثالثة صبرت تسعة أشهر لاحتمال الحمل ثمّ اعتدّت بعد ذلک بثلاثة أشهر،وهی أطول عدّة وفی روایة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سنة</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و هو نفس الرأی علی المذهب الحنبلی و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إذا طلّق امرأته وهی من ذوات الأقراء فلم تر الحیض فی عادتها،فإنّها تعتدّ سنة؛تسعة أشهر منها تتربّص فیها لتعلم برائة رحمها؛لأنّ هذه المدّة هی غالب مدّة الحمل،فتعتدّ بعد ذلک ثلاثة أشهر،وبه قال مالک و قد قال 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لاتطوّلوا علیها الشقّة کفاها تسعة أشهر</w:t>
      </w:r>
      <w:r>
        <w:rPr>
          <w:rFonts w:eastAsia="IRNazanin" w:cs="IRNazanin"/>
          <w:color w:val="111111"/>
          <w:sz w:val="28"/>
          <w:szCs w:val="28"/>
          <w:rtl w:val="true"/>
          <w:lang w:bidi="fa-IR"/>
        </w:rPr>
        <w:t xml:space="preserve">. </w:t>
      </w:r>
      <w:r>
        <w:rPr>
          <w:rStyle w:val="FootnoteAnchor"/>
          <w:rtl w:val="true"/>
        </w:rPr>
        <w:footnoteReference w:id="1143"/>
      </w:r>
    </w:p>
    <w:p>
      <w:pPr>
        <w:pStyle w:val="Heading5"/>
        <w:numPr>
          <w:ilvl w:val="4"/>
          <w:numId w:val="1"/>
        </w:numPr>
        <w:rPr/>
      </w:pPr>
      <w:bookmarkStart w:id="2386" w:name="__RefHeading___Toc364292_581953129"/>
      <w:bookmarkStart w:id="2387" w:name="_Toc1000"/>
      <w:bookmarkEnd w:id="2386"/>
      <w:r>
        <w:rPr>
          <w:rtl w:val="true"/>
        </w:rPr>
        <w:t>المذهب الحنفی و الشافعی</w:t>
      </w:r>
      <w:bookmarkEnd w:id="2387"/>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حاضت ولو فی عمرها مرّة ثمّ انقطع حیضها بسبب معروف من رضاع أو مرض،فإنّ عدّتها لاتنقضی حتّی یعود الحیض،فإن لم یأتها الحیض فلا تنقضی عدّتها حتّی تبلغ من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للشافعیة و الحنفیة،و قد استدلّوا علی ذلک بما رواه‌الشافعی‌عن سعیدبن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عثمان أنّه أفتی أنّ المرأة المنقطعة حیضها تصبر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 عدّة حیضها ما کان من قلیل أو کثیر</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وعلیه یمکن أن یکون أطول عدّة أربعین سنة</w:t>
      </w:r>
      <w:r>
        <w:rPr>
          <w:rFonts w:eastAsia="IRNazanin" w:cs="IRNazanin"/>
          <w:color w:val="111111"/>
          <w:sz w:val="28"/>
          <w:szCs w:val="28"/>
          <w:rtl w:val="true"/>
          <w:lang w:bidi="fa-IR"/>
        </w:rPr>
        <w:t>.</w:t>
      </w:r>
    </w:p>
    <w:p>
      <w:pPr>
        <w:pStyle w:val="Heading5"/>
        <w:numPr>
          <w:ilvl w:val="4"/>
          <w:numId w:val="1"/>
        </w:numPr>
        <w:rPr/>
      </w:pPr>
      <w:bookmarkStart w:id="2388" w:name="__RefHeading___Toc364294_581953129"/>
      <w:bookmarkStart w:id="2389" w:name="_Toc1001"/>
      <w:bookmarkEnd w:id="2388"/>
      <w:r>
        <w:rPr>
          <w:rtl w:val="true"/>
        </w:rPr>
        <w:t>منشأ الاختلاف</w:t>
      </w:r>
      <w:bookmarkEnd w:id="238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أنّ الاختلاف هنا ناشئ عن الاختلاف فی النصّ والاجتهاد،إلاّ أنّ الأوفق بالقواعد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قاعدتی لا ضرر ولا حرج،واطلاقات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الاعتداد بسنة کاملة و هذا ما أفتی به أکثر المذاهب الإسلامیة</w:t>
      </w:r>
      <w:r>
        <w:rPr>
          <w:rFonts w:eastAsia="IRNazanin" w:cs="IRNazanin"/>
          <w:color w:val="111111"/>
          <w:sz w:val="28"/>
          <w:szCs w:val="28"/>
          <w:rtl w:val="true"/>
          <w:lang w:bidi="fa-IR"/>
        </w:rPr>
        <w:t>.</w:t>
      </w:r>
      <w:bookmarkStart w:id="2390" w:name="pg5240_59596"/>
    </w:p>
    <w:p>
      <w:pPr>
        <w:pStyle w:val="Heading3"/>
        <w:numPr>
          <w:ilvl w:val="2"/>
          <w:numId w:val="1"/>
        </w:numPr>
        <w:rPr/>
      </w:pPr>
      <w:bookmarkStart w:id="2391" w:name="__RefHeading___Toc364296_581953129"/>
      <w:bookmarkStart w:id="2392" w:name="_Toc1002"/>
      <w:bookmarkEnd w:id="2390"/>
      <w:bookmarkEnd w:id="2391"/>
      <w:r>
        <w:rPr>
          <w:rtl w:val="true"/>
        </w:rPr>
        <w:t>الخلاصة</w:t>
      </w:r>
      <w:bookmarkEnd w:id="2392"/>
    </w:p>
    <w:p>
      <w:pPr>
        <w:pStyle w:val="BookText"/>
        <w:rPr/>
      </w:pPr>
      <w:r>
        <w:rPr>
          <w:rFonts w:ascii="IRNazanin" w:hAnsi="IRNazanin" w:eastAsia="IRNazanin"/>
          <w:color w:val="111111"/>
          <w:sz w:val="28"/>
          <w:sz w:val="28"/>
          <w:szCs w:val="28"/>
          <w:rtl w:val="true"/>
          <w:lang w:bidi="fa-IR"/>
        </w:rPr>
        <w:t>یتحقّق الرجوع فی الطلاق الرجعی بالقول فحسب علی المذهب الشافعی ویتحقّق بالقول و الفعل علی المذاهب الاُخری إلاّ أنّ المقصود من الفعل هو الوط‌ء فقط علی المذهب الحنبلی و المالکی،والمقصود من الفعل فی الرجوع أعمّ من الوط‌ء ومن اللمس و التقبیل علی المذهب الجعفری و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تعلّق الطلاق بجزء من أجزاء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 طلّقت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الطلاق علی المذهب الجعفری ویقع الطلاق صحیحاً مع تجزئة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أثر للوصف فی‌الطلاق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 طلاق بعظم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المذهب الجعفری وللوصف هناک أثر مهمّ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عدّة علی الصغیرة إلاّ علی 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عدّة علی الزانیة وعلیها الاستبراء بحیضة وخالف فی الحکم ابن قدامة قائلاً بوجوب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تتحقّق العدّة بواسطة الخلوة علی المذهب الجعفری و الشافعی وتتحقّق العدّة نتیجة للخلوة علی المذاهب الثلاثة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زوجة المفقود تعتدّ أربع سنین علی‌المذهب الجعفری و الشافعی و المالکی وتبقی الزوجیة إلی أن یثبت موت المفقود،علی المذهب الحنبلی و الحنفی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أطول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الّتی ینقطع حیضها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کاملة علی المذهب الجعفری و الحنبلی و المالکی و هو علی مذهبی الحنفی و الشافعی،قد یکون أربعین سنة</w:t>
      </w:r>
      <w:r>
        <w:rPr>
          <w:rFonts w:eastAsia="IRNazanin" w:cs="IRNazanin"/>
          <w:color w:val="111111"/>
          <w:sz w:val="28"/>
          <w:szCs w:val="28"/>
          <w:rtl w:val="true"/>
          <w:lang w:bidi="fa-IR"/>
        </w:rPr>
        <w:t>.</w:t>
      </w:r>
      <w:bookmarkStart w:id="2393" w:name="pg5240_59597"/>
    </w:p>
    <w:p>
      <w:pPr>
        <w:pStyle w:val="Heading3"/>
        <w:numPr>
          <w:ilvl w:val="2"/>
          <w:numId w:val="1"/>
        </w:numPr>
        <w:rPr/>
      </w:pPr>
      <w:bookmarkStart w:id="2394" w:name="__RefHeading___Toc364298_581953129"/>
      <w:bookmarkStart w:id="2395" w:name="_Toc1003"/>
      <w:bookmarkEnd w:id="2393"/>
      <w:bookmarkEnd w:id="2394"/>
      <w:r>
        <w:rPr>
          <w:rtl w:val="true"/>
        </w:rPr>
        <w:t>الأسئلة</w:t>
      </w:r>
      <w:bookmarkEnd w:id="2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یتحقّق الرجوع فی الطلاق الرجعی باللمس؟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التجزئة فی الطلاق؟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للوصف أثر فی نوعیة الطلاق؟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وجوب العدّة علی الصغیرة؟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العدّة علی الزانیة؟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وجوب العدّة بواسطة الخلوة؟</w:t>
      </w:r>
      <w:bookmarkStart w:id="2396" w:name="pg5240_59599"/>
    </w:p>
    <w:p>
      <w:pPr>
        <w:pStyle w:val="Heading2"/>
        <w:numPr>
          <w:ilvl w:val="1"/>
          <w:numId w:val="1"/>
        </w:numPr>
        <w:rPr/>
      </w:pPr>
      <w:bookmarkStart w:id="2397" w:name="__RefHeading___Toc364300_581953129"/>
      <w:bookmarkStart w:id="2398" w:name="_Toc1004"/>
      <w:bookmarkEnd w:id="2396"/>
      <w:bookmarkEnd w:id="2397"/>
      <w:r>
        <w:rPr/>
        <w:t>34</w:t>
      </w:r>
      <w:r>
        <w:rPr>
          <w:rtl w:val="true"/>
        </w:rPr>
        <w:t xml:space="preserve">- </w:t>
      </w:r>
      <w:r>
        <w:rPr>
          <w:rtl w:val="true"/>
        </w:rPr>
        <w:t>الطلاق الثلاث فی فقه السنة</w:t>
      </w:r>
      <w:bookmarkEnd w:id="2398"/>
    </w:p>
    <w:p>
      <w:pPr>
        <w:pStyle w:val="Heading3"/>
        <w:numPr>
          <w:ilvl w:val="2"/>
          <w:numId w:val="1"/>
        </w:numPr>
        <w:rPr/>
      </w:pPr>
      <w:bookmarkStart w:id="2399" w:name="__RefHeading___Toc364302_581953129"/>
      <w:bookmarkStart w:id="2400" w:name="_Toc1005"/>
      <w:bookmarkEnd w:id="2399"/>
      <w:r>
        <w:rPr>
          <w:rtl w:val="true"/>
        </w:rPr>
        <w:t>اشارة</w:t>
      </w:r>
      <w:bookmarkEnd w:id="240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طلق الرجل زوجته ثلاثاً لزمه ما نطق به من العدد فی المذاهب الأربعة،و هو رأی الجمهور</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 ثلاثاً بکلمة واحدة وقع الثلاث وحرمت علیه حتّی تنکح زوجاً غیره،ولا فرق بین قبل الدخول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عن ابن عبّاس وأبی هریرة وعبدالله‌بن عمر وابن مسعود وأنس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أکثر أهل العلم من التابعین و الأئمّة بعدهم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الدارقطنی بإسناده عن عبادة‌بن الصامت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بعض آبائی امرأته ألفاً،فانطلق بنوه إلی رسول الله صلی الله علیه و آله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أبانا طلّق امّنا ألفاً فهل له مخرج؟فقال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أباکم لم یتّق الله فیجعل له من أمره مخرجاً،بانت منه بثلاث علی غیر السنّة وتسعمائة وسبعة وتسعون إثم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النکاح ملک یصحّ إزالته متفرقاً فصحّ مجتمعاً کسائر الأملاک</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جمع الثلاث فی طهر واحد جاز؛لما روی أن عویمر العجلانی قال عند رسول الله صلی الله علیه و آله حین لاعَنَ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علیها إن امسکتها فهی طالق ثلاثاً،فقال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لاسبیل لک علیها،ولو کان جمع الثلاث محرّماً لأنکر علیه</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وقال الماوردی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ودلیلنا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w:t>
      </w:r>
      <w:r>
        <w:rPr>
          <w:rFonts w:eastAsia="Amiri" w:cs="Amiri" w:ascii="Amiri" w:hAnsi="Amiri"/>
          <w:color w:val="111111"/>
          <w:sz w:val="28"/>
          <w:szCs w:val="28"/>
          <w:rtl w:val="true"/>
          <w:lang w:bidi="ar-SA"/>
        </w:rPr>
        <w:t xml:space="preserve">... </w:t>
      </w:r>
      <w:r>
        <w:rPr>
          <w:rStyle w:val="FootnoteAnchor"/>
          <w:rtl w:val="true"/>
        </w:rPr>
        <w:footnoteReference w:id="1148"/>
      </w:r>
      <w:r>
        <w:rPr>
          <w:rFonts w:ascii="IRNazanin" w:hAnsi="IRNazanin" w:eastAsia="IRNazanin"/>
          <w:color w:val="111111"/>
          <w:sz w:val="28"/>
          <w:sz w:val="28"/>
          <w:szCs w:val="28"/>
          <w:rtl w:val="true"/>
          <w:lang w:bidi="fa-IR"/>
        </w:rPr>
        <w:t>فکان رفع الجناح عنه من غیر تمییز لعدد یوجب التسویة بین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رکانة‌بن عبدالعزیز طلق امرأته البتة،فأخبر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بألبتة؟قال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واحدة،فأحلفه أنه ما أراد أکثر منها فدلّ علی وقوع الثلاث لو أرادها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القیاس أنّه طلاق وقع فی طهر لم یجامعها فیه فوجب أن یکون کالطلقة الاُولی،ولأن‌کلّ طلاق جاز تفریقه جاز جمعه،أصله طلاق الزوجات یجوز أن یجمعهنّ فی الطلاق وأن یفرقهنّ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ولأنّ‌کلّ طلاق جاز تفریقه فی الأطهار جاز إیقاعه فی طهر،أصله إذا طلّق فی طهر ثم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الثلاث لفظ یقطع الرجعة فجاز إیقاعه فی طهر لا جماع فیه کالواحدة بعد اثنتین أو کالخلع</w:t>
      </w:r>
      <w:r>
        <w:rPr>
          <w:rFonts w:eastAsia="IRNazanin" w:cs="IRNazanin"/>
          <w:color w:val="111111"/>
          <w:sz w:val="28"/>
          <w:szCs w:val="28"/>
          <w:rtl w:val="true"/>
          <w:lang w:bidi="fa-IR"/>
        </w:rPr>
        <w:t xml:space="preserve">. </w:t>
      </w:r>
      <w:r>
        <w:rPr>
          <w:rStyle w:val="FootnoteAnchor"/>
          <w:rtl w:val="true"/>
        </w:rPr>
        <w:footnoteReference w:id="114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النصوص هناک ما روی ابن‌عباس عن عمربن الخطاب أنّه لمّا شاهد طلاق الثلاث بإنشاء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استعجلتم فی أمر کان لکم فیه أناة،وجعله ثلاثاً </w:t>
      </w:r>
      <w:r>
        <w:rPr>
          <w:rStyle w:val="FootnoteAnchor"/>
          <w:rtl w:val="true"/>
        </w:rPr>
        <w:footnoteReference w:id="1150"/>
      </w:r>
      <w:r>
        <w:rPr>
          <w:rFonts w:ascii="IRNazanin" w:hAnsi="IRNazanin" w:eastAsia="IRNazanin"/>
          <w:color w:val="111111"/>
          <w:sz w:val="28"/>
          <w:sz w:val="28"/>
          <w:szCs w:val="28"/>
          <w:rtl w:val="true"/>
          <w:lang w:bidi="fa-IR"/>
        </w:rPr>
        <w:t>أی جعل عمر ذاک الطلاق برأیه طلاقاً ثلاثاً</w:t>
      </w:r>
      <w:r>
        <w:rPr>
          <w:rFonts w:eastAsia="IRNazanin" w:cs="IRNazanin"/>
          <w:color w:val="111111"/>
          <w:sz w:val="28"/>
          <w:szCs w:val="28"/>
          <w:rtl w:val="true"/>
          <w:lang w:bidi="fa-IR"/>
        </w:rPr>
        <w:t>.</w:t>
      </w:r>
      <w:bookmarkStart w:id="2401" w:name="pg5240_59601"/>
    </w:p>
    <w:p>
      <w:pPr>
        <w:pStyle w:val="BookText"/>
        <w:rPr/>
      </w:pPr>
      <w:bookmarkEnd w:id="2401"/>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النصوص الّتی استند الحکم إلیها هناک مع الشک فی صحّة سندها،تکون معارضة مع النصوص الاُخری،وتکون مخالفة للکتاب،کما قال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 الخلاف معارضته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العجلانی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لمفهوم الکتاب فی حکم الطلقة الثالثة</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قیاس الطلاق ببیع‌الأموال مما لا یمکن الالتزام به؛لأنّ البیع من المعاملات المالیة العقلائیة،والطلاق من الأحوال الشخصیة الشرعیة وتملک المال یمتاز عن تملک البضع بکل وضوح،وعلیه یجوز لمالک المال أن یهب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للزوج أن یهب بضع زوجته لغیره بضرورة من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الظنّی علی أساس رأی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الأساس لا أساس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استناد الحکم إلی إطلاق دلیل التشریع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یمکن المساعدة علیه؛ذلک لأن الآیة المتلوة إنّما تبین شرعیة الطلاق ولا صلة لها بنوعیة الطلاق</w:t>
      </w:r>
      <w:r>
        <w:rPr>
          <w:rFonts w:eastAsia="Amiri" w:cs="Amiri" w:ascii="Amiri" w:hAnsi="Amiri"/>
          <w:color w:val="111111"/>
          <w:sz w:val="28"/>
          <w:szCs w:val="28"/>
          <w:rtl w:val="true"/>
          <w:lang w:bidi="ar-SA"/>
        </w:rPr>
        <w:t>.</w:t>
      </w:r>
    </w:p>
    <w:p>
      <w:pPr>
        <w:pStyle w:val="Heading3"/>
        <w:numPr>
          <w:ilvl w:val="2"/>
          <w:numId w:val="1"/>
        </w:numPr>
        <w:rPr/>
      </w:pPr>
      <w:bookmarkStart w:id="2402" w:name="__RefHeading___Toc364304_581953129"/>
      <w:bookmarkStart w:id="2403" w:name="_Toc1006"/>
      <w:bookmarkEnd w:id="2402"/>
      <w:r>
        <w:rPr>
          <w:rtl w:val="true"/>
        </w:rPr>
        <w:t>تصریحات الفقهاء</w:t>
      </w:r>
      <w:bookmarkEnd w:id="240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الماوردی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أن یطلّق ثلاثاً فالأولی و المستحب أن یفرقها فی ثلاثة أطهار،فیطلّق فی کلّ طهر واحدة،ولایجمعهن فی طهر لیخرج بذلک عن الخلاف ولیأمن به ما یخافه من ندمه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من منع من وقوع الطلاق الثلاث بأن الله تعالی فرّق طلاق الثلاث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Style w:val="FootnoteAnchor"/>
          <w:rtl w:val="true"/>
        </w:rPr>
        <w:footnoteReference w:id="1152"/>
      </w:r>
      <w:r>
        <w:rPr>
          <w:rFonts w:ascii="IRNazanin" w:hAnsi="IRNazanin" w:eastAsia="IRNazanin"/>
          <w:color w:val="111111"/>
          <w:sz w:val="28"/>
          <w:sz w:val="28"/>
          <w:szCs w:val="28"/>
          <w:rtl w:val="true"/>
          <w:lang w:bidi="fa-IR"/>
        </w:rPr>
        <w:t>فلم یجزأن‌یجمع ما أمر بتفریقه؛لأنّه ارتکاب ما 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حرّم من الطلاق لا یقع کالمراجعة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رواه عبدالله‌بن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الطلاق الثلاث علی عهد رسول الله صلی الله علیه و آله وأیام أبی‌بکر،وصدر من أیام عمر واحدة،فقال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استعجلتم فی أمر کان لکم فیه أناةٌ وجعله ثلاثاً</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فلایجوز لعمر أن یخالف شرعاً،ما ثبت علی عهد رسول الله صلی الله علیه و آله،و قد ارتفع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عمر علی خلاف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رووه عن معاویة‌بن عمار عن أبی‌الزبیر عن إبن عمر أنّه طلّق امرأته ثلاثاً فی الحیض فاستفتی رسول الله صلی الله علیه و آله فأمره أن یراجعها،فإذا طهرت فلتسقبل بها العدّة إن شاء طلّق و إن شاء أمسک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 إجماع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عمربن الخطاب کان إذا اتی برجل طلّق امرأته ثلاثاً أوجع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رجلاً أتی عبدالله‌بن 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عمی طلّق امرأته ثلاثاً فقال 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عمّک عصی الله فأندمه،وأطاع الشیطان فلم یجعل له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علیاً وابن عباس أنکراه فکان إجماعاً،لعدم المخالف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عدد یتعلّق به البینونة فوجب أن یتکرّر کاللعان</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مسعود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الحسن فی الحرّة الّتی هی ذات القرء،أن یطلقها ثلاثاً فی ثلاثة أطهار لا جماع فیها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Style w:val="FootnoteAnchor"/>
          <w:rtl w:val="true"/>
        </w:rPr>
        <w:footnoteReference w:id="1156"/>
      </w:r>
      <w:r>
        <w:rPr>
          <w:rFonts w:ascii="IRNazanin" w:hAnsi="IRNazanin" w:eastAsia="IRNazanin"/>
          <w:color w:val="111111"/>
          <w:sz w:val="28"/>
          <w:sz w:val="28"/>
          <w:szCs w:val="28"/>
          <w:rtl w:val="true"/>
          <w:lang w:bidi="fa-IR"/>
        </w:rPr>
        <w:t>أی ثلاثاً فی ثلاثة أطهار،کذا فسّره رسول الله صلی الله علیه و آله فإنّه روی أن عبدالله‌بن عمر طلّق امرأته حالة الحیض فسأل</w:t>
      </w:r>
    </w:p>
    <w:p>
      <w:pPr>
        <w:pStyle w:val="BookText"/>
        <w:rPr/>
      </w:pPr>
      <w:r>
        <w:rPr>
          <w:rFonts w:ascii="IRNazanin" w:hAnsi="IRNazanin" w:eastAsia="IRNazanin"/>
          <w:color w:val="111111"/>
          <w:sz w:val="28"/>
          <w:sz w:val="28"/>
          <w:szCs w:val="28"/>
          <w:rtl w:val="true"/>
          <w:lang w:bidi="fa-IR"/>
        </w:rPr>
        <w:t>عن ذلک رسول الله صلی الله علیه و آله،فقال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اخطأت السنّة ما هکذا أمرک ربّک إنّ من السنّة أن تستقبل الطهر استقبالاً فتطلّقها لکل طهر تطلیقة،فتلک العدّة التی أمر الله تعالی أن یطلّق لها النساء،فسّر رسول الله صلی الله علیه و آله الطلاق للعدّة‌بالثلاث فی ثلاثة أطهار</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المجتهدین،کطاووس،وعکرمة وابن إسحق،وعلی رأسهم ابن عباس رضی‌الله عنهم،فقالوا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یقع به واحدة لاثلاثاً،دلیل ذلک ما رواه مسلم عن ابن‌عباس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الطلاق علی عهد رسول‌الله صلی الله علیه و آله،وأبی بکر،وسنتین من خلافة عمر طلاق الثلاث واحدة،فقال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قد استعجلوا فی أمر کان لهم فیه أناة فلو أمضیناه علیهم،فأمضاه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صریح فی أنّ المسألة لیست اجماعیة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فإنّ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الطلاق الثلاث بلفظ واحد یقع به واحدة لا ثلاث،لهم وجه سدید و هو أنّ ذلک هو الواقع فی عهد الرسول،وعهد أبی‌بکر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وسنتین من خلافة عمر واجتهاد عمر بعد ذلک خالفه فیه غیره،فیصحّ تقلید المخالف،کما یصحّ تقلید عمر،والله تعالی لم یکلّفنا البحث عن الیقین فی أعمال الفرعیة؛لأنّه یکاد یکون مستحیلاً</w:t>
      </w:r>
      <w:r>
        <w:rPr>
          <w:rFonts w:eastAsia="IRNazanin" w:cs="IRNazanin"/>
          <w:color w:val="111111"/>
          <w:sz w:val="28"/>
          <w:szCs w:val="28"/>
          <w:rtl w:val="true"/>
          <w:lang w:bidi="fa-IR"/>
        </w:rPr>
        <w:t xml:space="preserve">. </w:t>
      </w:r>
      <w:r>
        <w:rPr>
          <w:rStyle w:val="FootnoteAnchor"/>
          <w:rtl w:val="true"/>
        </w:rPr>
        <w:footnoteReference w:id="1158"/>
      </w:r>
      <w:bookmarkStart w:id="2404" w:name="pg5240_59604"/>
    </w:p>
    <w:p>
      <w:pPr>
        <w:pStyle w:val="Heading3"/>
        <w:numPr>
          <w:ilvl w:val="2"/>
          <w:numId w:val="1"/>
        </w:numPr>
        <w:rPr/>
      </w:pPr>
      <w:bookmarkStart w:id="2405" w:name="__RefHeading___Toc364306_581953129"/>
      <w:bookmarkStart w:id="2406" w:name="_Toc1007"/>
      <w:bookmarkEnd w:id="2404"/>
      <w:bookmarkEnd w:id="2405"/>
      <w:r>
        <w:rPr>
          <w:rtl w:val="true"/>
        </w:rPr>
        <w:t>الخلاصة</w:t>
      </w:r>
      <w:bookmarkEnd w:id="2406"/>
    </w:p>
    <w:p>
      <w:pPr>
        <w:pStyle w:val="BookText"/>
        <w:rPr/>
      </w:pPr>
      <w:r>
        <w:rPr>
          <w:rFonts w:ascii="IRNazanin" w:hAnsi="IRNazanin" w:eastAsia="IRNazanin"/>
          <w:color w:val="111111"/>
          <w:sz w:val="28"/>
          <w:sz w:val="28"/>
          <w:szCs w:val="28"/>
          <w:rtl w:val="true"/>
          <w:lang w:bidi="fa-IR"/>
        </w:rPr>
        <w:t>إنّ تلک التصریحات السامیة الّتی سطّرت فی الکتب القیمة عند أبناء السنّة ترشدنا إلی أنّ طلاق الثلاث علی أساس الکتاب و السنّة و الإجماع و العقل،هو فی ثلاثة 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ذلک الاستنباط جیداً جداً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الحکم عن الجمهور علی صحّة طلاق الثلاث بلفظ واحد فهو علی أساس رأی عمربن الخطاب الّذی صدر منه علی خلاف الکتاب و السنّة،وبما أنّه خالف هذا الرأی جمع من الفقهاء لم یکن الحکم مجمعاً علیه،فما بقی مستند للحکم هناک إلاّ التقلید من عمر،فالحکم عمری تام</w:t>
      </w:r>
      <w:r>
        <w:rPr>
          <w:rFonts w:eastAsia="IRNazanin" w:cs="IRNazanin"/>
          <w:color w:val="111111"/>
          <w:sz w:val="28"/>
          <w:szCs w:val="28"/>
          <w:rtl w:val="true"/>
          <w:lang w:bidi="fa-IR"/>
        </w:rPr>
        <w:t>!</w:t>
      </w:r>
      <w:bookmarkStart w:id="2407" w:name="pg5240_59605"/>
    </w:p>
    <w:p>
      <w:pPr>
        <w:pStyle w:val="Heading3"/>
        <w:numPr>
          <w:ilvl w:val="2"/>
          <w:numId w:val="1"/>
        </w:numPr>
        <w:rPr/>
      </w:pPr>
      <w:bookmarkStart w:id="2408" w:name="__RefHeading___Toc364308_581953129"/>
      <w:bookmarkStart w:id="2409" w:name="_Toc1008"/>
      <w:bookmarkEnd w:id="2407"/>
      <w:bookmarkEnd w:id="2408"/>
      <w:r>
        <w:rPr>
          <w:rtl w:val="true"/>
        </w:rPr>
        <w:t>الأسئلة</w:t>
      </w:r>
      <w:bookmarkEnd w:id="2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صحّة طلاق الثلاث مرّة واحدة؟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إنشاء الطلاق الثلاث بالإشارة؟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الطلاق الثلاث بإنشاء واحد متسالم علیه عند فقهاء السنة؟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الطلاق الثلاث بإنشاء واحد موافقاً للکتاب؟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کیفیة الطلاق الثلاث فی زمن رسول الله صلی الله علیه و آله؟</w:t>
      </w:r>
      <w:bookmarkStart w:id="2410" w:name="pg5240_59607"/>
    </w:p>
    <w:p>
      <w:pPr>
        <w:pStyle w:val="Heading2"/>
        <w:numPr>
          <w:ilvl w:val="1"/>
          <w:numId w:val="1"/>
        </w:numPr>
        <w:rPr/>
      </w:pPr>
      <w:bookmarkStart w:id="2411" w:name="__RefHeading___Toc364310_581953129"/>
      <w:bookmarkStart w:id="2412" w:name="_Toc1009"/>
      <w:bookmarkEnd w:id="2410"/>
      <w:bookmarkEnd w:id="2411"/>
      <w:r>
        <w:rPr/>
        <w:t>35</w:t>
      </w:r>
      <w:r>
        <w:rPr>
          <w:rtl w:val="true"/>
        </w:rPr>
        <w:t xml:space="preserve">- </w:t>
      </w:r>
      <w:r>
        <w:rPr>
          <w:rtl w:val="true"/>
        </w:rPr>
        <w:t>الطلاق الثلاث فی فقه أهل البیت علیهم السلام</w:t>
      </w:r>
      <w:bookmarkEnd w:id="2412"/>
    </w:p>
    <w:p>
      <w:pPr>
        <w:pStyle w:val="Heading3"/>
        <w:numPr>
          <w:ilvl w:val="2"/>
          <w:numId w:val="1"/>
        </w:numPr>
        <w:rPr/>
      </w:pPr>
      <w:bookmarkStart w:id="2413" w:name="__RefHeading___Toc364312_581953129"/>
      <w:bookmarkStart w:id="2414" w:name="_Toc1010"/>
      <w:bookmarkEnd w:id="2413"/>
      <w:r>
        <w:rPr>
          <w:rtl w:val="true"/>
        </w:rPr>
        <w:t>اشارة</w:t>
      </w:r>
      <w:bookmarkEnd w:id="2414"/>
    </w:p>
    <w:p>
      <w:pPr>
        <w:pStyle w:val="BookText"/>
        <w:rPr/>
      </w:pPr>
      <w:r>
        <w:rPr>
          <w:rFonts w:ascii="IRNazanin" w:hAnsi="IRNazanin" w:eastAsia="IRNazanin"/>
          <w:color w:val="111111"/>
          <w:sz w:val="28"/>
          <w:sz w:val="28"/>
          <w:szCs w:val="28"/>
          <w:rtl w:val="true"/>
          <w:lang w:bidi="fa-IR"/>
        </w:rPr>
        <w:t>قال شیخ الطائفة الشیخ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الطلقة الثالثة هی المذکورة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إلی آخر،وبعدها قوله‌تعالی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 </w:t>
      </w:r>
      <w:r>
        <w:rPr>
          <w:rStyle w:val="FootnoteAnchor"/>
          <w:rtl w:val="true"/>
        </w:rPr>
        <w:footnoteReference w:id="1160"/>
      </w:r>
      <w:r>
        <w:rPr>
          <w:rFonts w:ascii="Amiri" w:hAnsi="Amiri" w:eastAsia="Amiri" w:cs="Amiri"/>
          <w:color w:val="111111"/>
          <w:sz w:val="28"/>
          <w:sz w:val="28"/>
          <w:szCs w:val="28"/>
          <w:rtl w:val="true"/>
          <w:lang w:bidi="ar-SA"/>
        </w:rPr>
        <w:t>دون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 xml:space="preserve">... . </w:t>
      </w:r>
      <w:r>
        <w:rPr>
          <w:rStyle w:val="FootnoteAnchor"/>
          <w:rtl w:val="true"/>
        </w:rPr>
        <w:footnoteReference w:id="1161"/>
      </w:r>
      <w:r>
        <w:rPr>
          <w:rFonts w:ascii="IRNazanin" w:hAnsi="IRNazanin" w:eastAsia="IRNazanin"/>
          <w:color w:val="111111"/>
          <w:sz w:val="28"/>
          <w:sz w:val="28"/>
          <w:szCs w:val="28"/>
          <w:rtl w:val="true"/>
          <w:lang w:bidi="fa-IR"/>
        </w:rPr>
        <w:t>وبه قال جماعة من التابعین،وحکی ذلک عن الشافعی</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وروی عن ابن‌عباس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الطلقة الثالثة،و هو الّذی اختاره الشافعی وأصحابه</w:t>
      </w:r>
      <w:r>
        <w:rPr>
          <w:rFonts w:eastAsia="Amiri" w:cs="Amiri" w:ascii="Amiri" w:hAnsi="Amiri"/>
          <w:color w:val="111111"/>
          <w:sz w:val="28"/>
          <w:szCs w:val="28"/>
          <w:rtl w:val="true"/>
          <w:lang w:bidi="ar-SA"/>
        </w:rPr>
        <w:t xml:space="preserve">. </w:t>
      </w:r>
      <w:r>
        <w:rPr>
          <w:rStyle w:val="FootnoteAnchor"/>
          <w:rtl w:val="true"/>
        </w:rPr>
        <w:footnoteReference w:id="1163"/>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لیس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w:t>
      </w:r>
    </w:p>
    <w:p>
      <w:pPr>
        <w:pStyle w:val="BookText"/>
        <w:rPr/>
      </w:pPr>
      <w:r>
        <w:rPr>
          <w:rFonts w:ascii="Amiri" w:hAnsi="Amiri" w:eastAsia="Amiri" w:cs="Amiri"/>
          <w:color w:val="111111"/>
          <w:sz w:val="28"/>
          <w:sz w:val="28"/>
          <w:szCs w:val="28"/>
          <w:rtl w:val="true"/>
          <w:lang w:bidi="ar-SA"/>
        </w:rPr>
        <w:t>لانقول بالکنایات،وقوله تعالی بعد ذلک فَإِنْ طَلَّقَها فَلا تَحِلُّ لَهُ مِنْ بَعْدُ حَتّی 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صریح فی الطلاق،فوجب حمله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حملنا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الطلقة الثالثة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ذلک،تکراراً لا فائدة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طلّقها طلقتین فالتسریح بالإحسان الترک حتّی تنقضی عدّتها،وقوله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فَإِمْساکٌ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الرجعة،بلا خلاف</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وقال المحقّق الحلّی فی تبیین الطلاق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یطلّق علی الشرائط ثمّ یراجعها قبل خروجها من عدّتها ویواقعها،ثم یطلّقها فی طهر المواقعة،ثمّ یراجعها ویواقعها ثمّ یطلّقها فی طهر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تحرم علیه حتّی تنکح زوجاً غیره</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ویدلّنا علی ذلک النصوص‌الواردة فی الباب،منها صحیحة زرارة‌عن الإمام‌الصادق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طلاق الرجعة فإن یدعها حتّی تحیض وتطهر،ثمّ یطلّقها بشهادة شاهدین ثمّ یراجعها ویواقعها،ثم ینتظر بها الطهر،فإذا حاضت وطهرت أشهد شاهدین علی تطلیقة اخری،ثمّ یراجعها ویواقعها،ثمّ ینتظر بها الطهر،فإذا حاضت وطهرت أشهد شاهدین علی التطلیقة الثالثة ثمّ لاتحلّ له ابداًحتی تَنکح زوجاًغیره</w:t>
      </w:r>
      <w:r>
        <w:rPr>
          <w:rFonts w:eastAsia="IRNazanin" w:cs="IRNazanin"/>
          <w:color w:val="111111"/>
          <w:sz w:val="28"/>
          <w:szCs w:val="28"/>
          <w:rtl w:val="true"/>
          <w:lang w:bidi="fa-IR"/>
        </w:rPr>
        <w:t xml:space="preserve">» </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علی‌المطلوب دلالة تامّة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فاستبان لنا بکلّ وضوح أنّ‌الطلاق الثلاث هو إیقاع الطلاق ثلاث مرّات علی أساس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هو المنهج الّذی لاخلاف فی صحّته بین علماءالمسلمین،وفی أنّه أجود المناهج وأحسنها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مایدّعی من‌کونه طلاقاً ثلاثاً علی خلاف المنهج المتلو،فهو علی خلاف‌الکتاب و السنّة،وعلیه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علماء السنّة أفتوا علی خلاف ذلک فهو من البدعة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المؤسف أن ذلک الحکم لیس علی خلاف الکتاب و السنّة فحسب،بل هو علی خلاف الواقع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الطائفة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طلّقها ثلاثاً بلفظ واحد،کان مُبدعاً،ووقعت واحدة عند تکامل الشروط عند أکثر أصحابنا، </w:t>
      </w:r>
      <w:r>
        <w:rPr>
          <w:rStyle w:val="FootnoteAnchor"/>
          <w:rtl w:val="true"/>
        </w:rPr>
        <w:footnoteReference w:id="1167"/>
      </w:r>
      <w:r>
        <w:rPr>
          <w:rFonts w:ascii="IRNazanin" w:hAnsi="IRNazanin" w:eastAsia="IRNazanin"/>
          <w:color w:val="111111"/>
          <w:sz w:val="28"/>
          <w:sz w:val="28"/>
          <w:szCs w:val="28"/>
          <w:rtl w:val="true"/>
          <w:lang w:bidi="fa-IR"/>
        </w:rPr>
        <w:t>وفیهم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الفرقة،و أنّ الأصل بقاء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طَلَّقْتُمُ النِّساءَ فَطَلِّقُوهُنَّ لِعِدَّتِهِنَّ وَ أَحْصُوا الْعِدَّةَ</w:t>
      </w:r>
      <w:r>
        <w:rPr>
          <w:rFonts w:eastAsia="Amiri" w:cs="Amiri" w:ascii="Amiri" w:hAnsi="Amiri"/>
          <w:color w:val="111111"/>
          <w:sz w:val="28"/>
          <w:szCs w:val="28"/>
          <w:rtl w:val="true"/>
          <w:lang w:bidi="ar-SA"/>
        </w:rPr>
        <w:t xml:space="preserve">... .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فأمر بإحصاء العدّة،ثبت أنّه أراد فی کلّ قرء تطلیقة؛لأنّه لو أمکن الجمع بین الثلاث لما احتاج إلی إحصاء العدّة فی غیر المدخول بها،وذلک خلاف الظاهر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دفعتان،ثمّ قال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w:t>
      </w:r>
      <w:r>
        <w:rPr>
          <w:rStyle w:val="FootnoteAnchor"/>
          <w:rtl w:val="true"/>
        </w:rPr>
        <w:footnoteReference w:id="1170"/>
      </w:r>
      <w:r>
        <w:rPr>
          <w:rFonts w:ascii="IRNazanin" w:hAnsi="IRNazanin" w:eastAsia="IRNazanin"/>
          <w:color w:val="111111"/>
          <w:sz w:val="28"/>
          <w:sz w:val="28"/>
          <w:szCs w:val="28"/>
          <w:rtl w:val="true"/>
          <w:lang w:bidi="fa-IR"/>
        </w:rPr>
        <w:t>ومن جمع بین الثلاث ما طلّق مرّتین ولا الثالثة،وذلک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إذا ذکر عقیب الاسم لم یقتض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 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مائة درهم 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 عقیب فعل اقتضی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الدار مرّتین،أو ضربت مرّتین،والعدد فی الآیة عقیب الاسم لا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طلّقوا مرّتین؛لأنّه لو کان خبراً لکان کذباً فالعدد مذکور عقب فعل لا إسم</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الطلاق الثلاث دفعة واحدة،مثلما یقول الزوج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ثلاثاً،لایکون بحسب الواقع وبحسب فهم العرف وبحسب الصیاغة الأدبیة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ثلاث طلقات،لایمکن المساعدة علیه؛لأنّه إنشاء واحد بلفظ واحد،وضمّ عدد الثلاث إلیه لا یغیر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اخبار عن وقوع ثلاث طلقات فهو اخبارکاذب؛لأنّه علی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وأوهن من ذلک صحّة الطلاق الثلاث بالمناهج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یقول الزوج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ویشیر لها بثلاثة أصابع فانّه یقع ثلاثاً</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وقال ابن مسعود الکاشانی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هذه الجملة إلاّ حنطة فامرأته طالق ثلاثاً،فکانت تمراً وحنطة یحنث فی قول أبی‌یوسف</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وقال فی البحث عن طلاق البدعة،بأنّ الزوج لو یقول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طالق طلاق الشیطان فإن نوی ثلاثاً فهو ثلاث </w:t>
      </w:r>
      <w:r>
        <w:rPr>
          <w:rStyle w:val="FootnoteAnchor"/>
          <w:rtl w:val="true"/>
        </w:rPr>
        <w:footnoteReference w:id="1174"/>
      </w:r>
      <w:r>
        <w:rPr>
          <w:rFonts w:ascii="IRNazanin" w:hAnsi="IRNazanin" w:eastAsia="IRNazanin"/>
          <w:color w:val="111111"/>
          <w:sz w:val="28"/>
          <w:sz w:val="28"/>
          <w:szCs w:val="28"/>
          <w:rtl w:val="true"/>
          <w:lang w:bidi="fa-IR"/>
        </w:rPr>
        <w:t>کلّ ذلک بحسب الصیاغة یعلن بالبطلان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یستشکل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تلک الفروع ربما یوجب وهناً فی الفقه الإسلامی</w:t>
      </w:r>
    </w:p>
    <w:p>
      <w:pPr>
        <w:pStyle w:val="BookText"/>
        <w:rPr/>
      </w:pPr>
      <w:r>
        <w:rPr>
          <w:rFonts w:ascii="IRNazanin" w:hAnsi="IRNazanin" w:eastAsia="IRNazanin"/>
          <w:color w:val="111111"/>
          <w:sz w:val="28"/>
          <w:sz w:val="28"/>
          <w:szCs w:val="28"/>
          <w:rtl w:val="true"/>
          <w:lang w:bidi="fa-IR"/>
        </w:rPr>
        <w:t>واستهزاءً فی الدین الحنیف</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لاینتهی الأمر إلی ذلک عند المحقّقین البارزین؛لأنّ هناک مذهب أهل البیت علیهم السلام و هو یستنکر مثل تلک المقولات الّتی لا أساس لها فی الکتاب و السنّة ویراها بدعة منکرة،فإنّ تلک الفروع المتلوّة کلّها باطلة،وتکون خارجة عن حدود الفقه،وتشبه أن تکون کملاعبة الأطفال بالخیالات</w:t>
      </w:r>
      <w:r>
        <w:rPr>
          <w:rFonts w:eastAsia="IRNazanin" w:cs="IRNazanin"/>
          <w:color w:val="111111"/>
          <w:sz w:val="28"/>
          <w:szCs w:val="28"/>
          <w:rtl w:val="true"/>
          <w:lang w:bidi="fa-IR"/>
        </w:rPr>
        <w:t>.</w:t>
      </w:r>
      <w:bookmarkStart w:id="2415" w:name="pg5240_59612"/>
    </w:p>
    <w:p>
      <w:pPr>
        <w:pStyle w:val="Heading3"/>
        <w:numPr>
          <w:ilvl w:val="2"/>
          <w:numId w:val="1"/>
        </w:numPr>
        <w:rPr/>
      </w:pPr>
      <w:bookmarkStart w:id="2416" w:name="__RefHeading___Toc364314_581953129"/>
      <w:bookmarkStart w:id="2417" w:name="_Toc1011"/>
      <w:bookmarkEnd w:id="2415"/>
      <w:bookmarkEnd w:id="2416"/>
      <w:r>
        <w:rPr>
          <w:rtl w:val="true"/>
        </w:rPr>
        <w:t>الخلاصة</w:t>
      </w:r>
      <w:bookmarkEnd w:id="2417"/>
    </w:p>
    <w:p>
      <w:pPr>
        <w:pStyle w:val="BookText"/>
        <w:rPr/>
      </w:pPr>
      <w:r>
        <w:rPr>
          <w:rFonts w:ascii="IRNazanin" w:hAnsi="IRNazanin" w:eastAsia="IRNazanin"/>
          <w:color w:val="111111"/>
          <w:sz w:val="28"/>
          <w:sz w:val="28"/>
          <w:szCs w:val="28"/>
          <w:rtl w:val="true"/>
          <w:lang w:bidi="fa-IR"/>
        </w:rPr>
        <w:t>إنّ الطلاق الثلاث هو ثلاث طلقات کما هو واقعه وها هو الّذی یساعده الشرع و العرف و هو متسالم علیه عند الفریقین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یقول به جمهور فقهاء السنة من صحّة الطلاق الثلاث بإنشاء واحد لا أساس له فی الشرع وخالف الجمهور عدة من فقهاء السنّة</w:t>
      </w:r>
      <w:r>
        <w:rPr>
          <w:rFonts w:eastAsia="IRNazanin" w:cs="IRNazanin"/>
          <w:color w:val="111111"/>
          <w:sz w:val="28"/>
          <w:szCs w:val="28"/>
          <w:rtl w:val="true"/>
          <w:lang w:bidi="fa-IR"/>
        </w:rPr>
        <w:t>.</w:t>
      </w:r>
      <w:bookmarkStart w:id="2418" w:name="pg5240_59613"/>
    </w:p>
    <w:p>
      <w:pPr>
        <w:pStyle w:val="Heading3"/>
        <w:numPr>
          <w:ilvl w:val="2"/>
          <w:numId w:val="1"/>
        </w:numPr>
        <w:rPr/>
      </w:pPr>
      <w:bookmarkStart w:id="2419" w:name="__RefHeading___Toc364316_581953129"/>
      <w:bookmarkStart w:id="2420" w:name="_Toc1012"/>
      <w:bookmarkEnd w:id="2418"/>
      <w:bookmarkEnd w:id="2419"/>
      <w:r>
        <w:rPr>
          <w:rtl w:val="true"/>
        </w:rPr>
        <w:t>الأسئلة</w:t>
      </w:r>
      <w:bookmarkEnd w:id="2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هوکیفیة الطلاق الثلاث عند فقهاء أهل البیت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صحّة الطلقة الثالثة بإنشاء واحد؟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المستفاد من الآیات الواردة حول الطلاق تجاه الطلاق الثلاث؟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هناک قول بصحّة الطلاق الثلاث بعد الإنشاء؟</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الطلاق الثلاث فی ثلاثة أطهار متسالم علیه عند الفریقین؟</w:t>
      </w:r>
      <w:bookmarkStart w:id="2421" w:name="pg5240_59615"/>
    </w:p>
    <w:p>
      <w:pPr>
        <w:pStyle w:val="Heading2"/>
        <w:numPr>
          <w:ilvl w:val="1"/>
          <w:numId w:val="1"/>
        </w:numPr>
        <w:rPr/>
      </w:pPr>
      <w:bookmarkStart w:id="2422" w:name="__RefHeading___Toc364318_581953129"/>
      <w:bookmarkStart w:id="2423" w:name="_Toc1013"/>
      <w:bookmarkEnd w:id="2421"/>
      <w:bookmarkEnd w:id="2422"/>
      <w:r>
        <w:rPr/>
        <w:t>36</w:t>
      </w:r>
      <w:r>
        <w:rPr>
          <w:rtl w:val="true"/>
        </w:rPr>
        <w:t xml:space="preserve">- </w:t>
      </w:r>
      <w:r>
        <w:rPr>
          <w:rtl w:val="true"/>
        </w:rPr>
        <w:t>طلاق البدعة</w:t>
      </w:r>
      <w:bookmarkEnd w:id="2423"/>
    </w:p>
    <w:p>
      <w:pPr>
        <w:pStyle w:val="Heading3"/>
        <w:numPr>
          <w:ilvl w:val="2"/>
          <w:numId w:val="1"/>
        </w:numPr>
        <w:rPr/>
      </w:pPr>
      <w:bookmarkStart w:id="2424" w:name="__RefHeading___Toc364320_581953129"/>
      <w:bookmarkStart w:id="2425" w:name="_Toc1014"/>
      <w:bookmarkEnd w:id="2424"/>
      <w:r>
        <w:rPr>
          <w:rtl w:val="true"/>
        </w:rPr>
        <w:t>ما هو طلاق البدعة ؟</w:t>
      </w:r>
      <w:bookmarkEnd w:id="2425"/>
    </w:p>
    <w:p>
      <w:pPr>
        <w:pStyle w:val="BookText"/>
        <w:rPr/>
      </w:pPr>
      <w:r>
        <w:rPr>
          <w:rFonts w:ascii="IRNazanin" w:hAnsi="IRNazanin" w:eastAsia="IRNazanin"/>
          <w:color w:val="111111"/>
          <w:sz w:val="28"/>
          <w:sz w:val="28"/>
          <w:szCs w:val="28"/>
          <w:rtl w:val="true"/>
          <w:lang w:bidi="fa-IR"/>
        </w:rPr>
        <w:t>إنّ البدعة بحسب الاصطلاح الفقهی خلاف السنّة،وعلیه فالطلاق المنبثق عن البدعة هو الطلاق المتحقّق علی خلاف ما هو المشروع سنّةً،فبطلانه یستبین من مضادته للحق،فهناک طلاق مشروع وفقاً للسنّة یسمّی بطلاق السنّة وطلاق باطل و هو طلاق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طلاق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الحائض وبعد الدخول،وکذا النفساء أو فی طهر قربها فیه،وطلاق الثلاث من غیر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ونأخذ بالتمثیل طلاق الحائض الّذی هو أبرز مصادیق البدعة و هو باطل کتاباً وسنّةً وإجماعاً</w:t>
      </w:r>
      <w:r>
        <w:rPr>
          <w:rFonts w:eastAsia="IRNazanin" w:cs="IRNazanin"/>
          <w:color w:val="111111"/>
          <w:sz w:val="28"/>
          <w:szCs w:val="28"/>
          <w:rtl w:val="true"/>
          <w:lang w:bidi="fa-IR"/>
        </w:rPr>
        <w:t>.</w:t>
      </w:r>
    </w:p>
    <w:p>
      <w:pPr>
        <w:pStyle w:val="Heading3"/>
        <w:numPr>
          <w:ilvl w:val="2"/>
          <w:numId w:val="1"/>
        </w:numPr>
        <w:rPr/>
      </w:pPr>
      <w:bookmarkStart w:id="2426" w:name="__RefHeading___Toc364322_581953129"/>
      <w:bookmarkStart w:id="2427" w:name="_Toc1015"/>
      <w:bookmarkEnd w:id="2426"/>
      <w:r>
        <w:rPr>
          <w:rtl w:val="true"/>
        </w:rPr>
        <w:t>صحّة البدعة فی فقه السنّة</w:t>
      </w:r>
      <w:bookmarkEnd w:id="2427"/>
    </w:p>
    <w:p>
      <w:pPr>
        <w:pStyle w:val="BookText"/>
        <w:rPr/>
      </w:pPr>
      <w:r>
        <w:rPr>
          <w:rFonts w:ascii="IRNazanin" w:hAnsi="IRNazanin" w:eastAsia="IRNazanin"/>
          <w:color w:val="111111"/>
          <w:sz w:val="28"/>
          <w:sz w:val="28"/>
          <w:szCs w:val="28"/>
          <w:rtl w:val="true"/>
          <w:lang w:bidi="fa-IR"/>
        </w:rPr>
        <w:t>قال ابن مسعود الکاشانی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والطلاق فی حالة الحیض بدعة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طلاق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أنّه واقع عند عامة العلماء وقال بعض الناس أنّه</w:t>
      </w:r>
      <w:bookmarkStart w:id="2428" w:name="pg5240_59616"/>
    </w:p>
    <w:p>
      <w:pPr>
        <w:pStyle w:val="BookText"/>
        <w:rPr/>
      </w:pPr>
      <w:bookmarkEnd w:id="2428"/>
      <w:r>
        <w:rPr>
          <w:rFonts w:ascii="IRNazanin" w:hAnsi="IRNazanin" w:eastAsia="IRNazanin"/>
          <w:color w:val="111111"/>
          <w:sz w:val="28"/>
          <w:sz w:val="28"/>
          <w:szCs w:val="28"/>
          <w:rtl w:val="true"/>
          <w:lang w:bidi="fa-IR"/>
        </w:rPr>
        <w:t>لا یقع،و هو مذهب الشیعة أیضاً،وجه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الطلاق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من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عقد النکاح فی وقت تحریمه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یکون الطلاق بمثابة إذا وقع فی وقت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لو وکّل وکیلاً فی طلاق زوجته فی الطهر وطلّقها فی الحیض لم تطلّق؛لأجل مخالفته وإیقاع الطلاق فی غیر وقته مخالفة الله تعالی فی وقت الطلاق أولی أن لاتقع بها طلاق،و هذا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ودلیلنا ما رواه‌الشافعی عن‌مالک عن نافع عن ابن عمر أنّه طلّق امرأته وهی حائض فی عهد رسول الله صلی الله علیه و آله فسأل عمربن الخطاب رسول الله صلی الله علیه و آله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فلیراجعها ثمّ یمسکها حتّی تطهر ثمّ تحیض ثمّ تطهر ثمّ إن شاء أمسک بعد و إن شاء طلّق قبل أن یمس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العدّة الّتی أمر الله تعالی أن یطلّق لها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فموضع الدلیل منه أنّه أمره بالرجعة موجب لوقوع الطلاق؛لأنّ الرجعة لا تکون إلاّ بعد الطلاق</w:t>
      </w:r>
      <w:r>
        <w:rPr>
          <w:rFonts w:eastAsia="IRNazanin" w:cs="IRNazanin"/>
          <w:color w:val="111111"/>
          <w:sz w:val="28"/>
          <w:szCs w:val="28"/>
          <w:rtl w:val="true"/>
          <w:lang w:bidi="fa-IR"/>
        </w:rPr>
        <w:t xml:space="preserve">. </w:t>
      </w:r>
      <w:r>
        <w:rPr>
          <w:rStyle w:val="FootnoteAnchor"/>
          <w:rtl w:val="true"/>
        </w:rPr>
        <w:footnoteReference w:id="1175"/>
      </w:r>
    </w:p>
    <w:p>
      <w:pPr>
        <w:pStyle w:val="Heading3"/>
        <w:numPr>
          <w:ilvl w:val="2"/>
          <w:numId w:val="1"/>
        </w:numPr>
        <w:rPr/>
      </w:pPr>
      <w:bookmarkStart w:id="2429" w:name="__RefHeading___Toc364324_581953129"/>
      <w:bookmarkStart w:id="2430" w:name="_Toc1016"/>
      <w:bookmarkEnd w:id="2429"/>
      <w:r>
        <w:rPr>
          <w:rtl w:val="true"/>
        </w:rPr>
        <w:t>بطلان البدعة فی فقه السنّة</w:t>
      </w:r>
      <w:bookmarkEnd w:id="243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الحدیث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الطلاق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المرأة حائض</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طاهرة من الحیض ولکن زوجها أتاها فی هذا الطهر؛لأنّه علیه الصلاة و السلام خیره بین إمساکها وبین طلاقها فی الطهر قبل أن یمسّها،و قد جاء فی بعض الروایات أنّه علیه الصلاة و السلام قد غضب من تطلیق عبدالله زوجته حال حیضها،وسبب غضبه فیما یظهر أن الطلاق حال الحیض قد نهی الله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bookmarkStart w:id="2431" w:name="pg5240_59617"/>
    </w:p>
    <w:p>
      <w:pPr>
        <w:pStyle w:val="BookText"/>
        <w:rPr/>
      </w:pPr>
      <w:bookmarkEnd w:id="2431"/>
      <w:r>
        <w:rPr>
          <w:rFonts w:ascii="Amiri" w:hAnsi="Amiri" w:eastAsia="Amiri" w:cs="Amiri"/>
          <w:color w:val="111111"/>
          <w:sz w:val="28"/>
          <w:sz w:val="28"/>
          <w:szCs w:val="28"/>
          <w:rtl w:val="true"/>
          <w:lang w:bidi="ar-SA"/>
        </w:rPr>
        <w:t>أَیُّهَا النَّبِیُّ 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لعمر وابنه أن یخفی علیهما ذلک الحکم مع ما لهما من المنزلة العلمیة الرفعیة فی الدین،أمّا کون عبدالله قد فعل ذلک عمداً لعدم استطاعته ضبط نفسه و هو عالم بالحکم فهو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کان،فإنّ الکلّ متّفقون علی أنّه لا یجوز للرجل أن یطلّق زوجته وهی حائض،أو نفساء،کما لا یجوز له أن یطلّقها وهی طاهرة من الحیض و النفاس إذا جامعها فی هذا الطهر،و هذا صریح حدیث ابن عمر الّذی بین به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قد اصطلحوا علی تسمیة الطلاق فی هذه الحالة بدعیاً،وتسمیة ما یقابله،و هو ما إذا طلّقها فی طهر لا وط‌ء فیه،ولافی حیض قبله سنّیاً</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فاستبان لنا بکلّ وضوح أن طلاق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الحائض وطلاق المرأة فی طهر جامعها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 محرّمة باتفاق من الفقهاء و البدعة باطلة بالضرورة وعلی المبدع عقوبة وتمّ المطلوب</w:t>
      </w:r>
      <w:r>
        <w:rPr>
          <w:rFonts w:eastAsia="IRNazanin" w:cs="IRNazanin"/>
          <w:color w:val="111111"/>
          <w:sz w:val="28"/>
          <w:szCs w:val="28"/>
          <w:rtl w:val="true"/>
          <w:lang w:bidi="fa-IR"/>
        </w:rPr>
        <w:t>.</w:t>
      </w:r>
    </w:p>
    <w:p>
      <w:pPr>
        <w:pStyle w:val="Heading3"/>
        <w:numPr>
          <w:ilvl w:val="2"/>
          <w:numId w:val="1"/>
        </w:numPr>
        <w:rPr/>
      </w:pPr>
      <w:bookmarkStart w:id="2432" w:name="__RefHeading___Toc364326_581953129"/>
      <w:bookmarkStart w:id="2433" w:name="_Toc1017"/>
      <w:bookmarkEnd w:id="2432"/>
      <w:r>
        <w:rPr>
          <w:rtl w:val="true"/>
        </w:rPr>
        <w:t>البدعة منکرة فی فقه أهل البیت علیهم السلام</w:t>
      </w:r>
      <w:bookmarkEnd w:id="2433"/>
    </w:p>
    <w:p>
      <w:pPr>
        <w:pStyle w:val="BookText"/>
        <w:rPr/>
      </w:pPr>
      <w:r>
        <w:rPr>
          <w:rFonts w:ascii="IRNazanin" w:hAnsi="IRNazanin" w:eastAsia="IRNazanin"/>
          <w:color w:val="111111"/>
          <w:sz w:val="28"/>
          <w:sz w:val="28"/>
          <w:szCs w:val="28"/>
          <w:rtl w:val="true"/>
          <w:lang w:bidi="fa-IR"/>
        </w:rPr>
        <w:t>قال شیخ الفقهاء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الرجل بالمرأة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أراد طلاقها لم یجز له حتّی یستبرأها بحیضة،فإذا طهرت من دمها طلّقها بلفظ الطلاق</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علماء الأصحاب وغیرهم علی تحریم طلاق الحائض وفی معناها النفساء</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 أصحابنا علی بطلان الطلاق علی تقدیر وقوعه</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وقال المحقّق صاحب الجواهر بأنّ الحکم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فیه نصاً وفتوی،بل الإجماع بقسمیه علیه،بل النصوص فیه مستفیضة إن لم تکن متواترة</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مضافاً إلی عدم کونه طلاقاً للعدّة المأمور بها فی الکتاب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استفاضت النصوص فی کون المراد به الطلاق فی مستقبل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وتدلّنا علی اشتراط الطهارة فی الطلاق النصوص الواردة فی الباب الّتی تکاد أن تبلغ حدّ التواتر لکثرتها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الحلبی،قال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طلّق امرأته وهی حائض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لغیر السنّة باطل</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دلّت علی المطلوب دلالة تامّة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رواه علی‌بن إبراهیم فی تفسیره عن أبی‌الجارود عن الإمام 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والعدّة الطهر من الحیض</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أَحْصُوا الْعِدَّةَ</w:t>
      </w:r>
      <w:r>
        <w:rPr>
          <w:rFonts w:eastAsia="Amiri" w:cs="Amiri" w:ascii="Amiri" w:hAnsi="Amiri"/>
          <w:color w:val="111111"/>
          <w:sz w:val="28"/>
          <w:szCs w:val="28"/>
          <w:rtl w:val="true"/>
          <w:lang w:bidi="ar-SA"/>
        </w:rPr>
        <w:t xml:space="preserve">... . </w:t>
      </w:r>
      <w:r>
        <w:rPr>
          <w:rStyle w:val="FootnoteAnchor"/>
          <w:rtl w:val="true"/>
        </w:rPr>
        <w:footnoteReference w:id="1182"/>
      </w:r>
      <w:bookmarkStart w:id="2434" w:name="pg5240_59619"/>
    </w:p>
    <w:p>
      <w:pPr>
        <w:pStyle w:val="Heading3"/>
        <w:numPr>
          <w:ilvl w:val="2"/>
          <w:numId w:val="1"/>
        </w:numPr>
        <w:rPr/>
      </w:pPr>
      <w:bookmarkStart w:id="2435" w:name="__RefHeading___Toc364328_581953129"/>
      <w:bookmarkStart w:id="2436" w:name="_Toc1018"/>
      <w:bookmarkEnd w:id="2434"/>
      <w:bookmarkEnd w:id="2435"/>
      <w:r>
        <w:rPr>
          <w:rtl w:val="true"/>
        </w:rPr>
        <w:t>الخلاصة</w:t>
      </w:r>
      <w:bookmarkEnd w:id="2436"/>
    </w:p>
    <w:p>
      <w:pPr>
        <w:pStyle w:val="BookText"/>
        <w:rPr/>
      </w:pPr>
      <w:r>
        <w:rPr>
          <w:rFonts w:ascii="IRNazanin" w:hAnsi="IRNazanin" w:eastAsia="IRNazanin"/>
          <w:color w:val="111111"/>
          <w:sz w:val="28"/>
          <w:sz w:val="28"/>
          <w:szCs w:val="28"/>
          <w:rtl w:val="true"/>
          <w:lang w:bidi="fa-IR"/>
        </w:rPr>
        <w:t>أنّ للطهارة عن الدمین دور موضوعی فی صحّة الطلاق وطلاق الحائض باطل من الأساس،لأنّه غیر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وترتیب الأثر علیه بدعة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رأی جمهور الفقهاء من أبناء السنّة علی صحّة طلاق البدعة لا یوجب الإشکال فی الفقه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لأنّ مذهب أهل البیت علیهم السلام یستنکر البدعة من الأساس</w:t>
      </w:r>
      <w:r>
        <w:rPr>
          <w:rFonts w:eastAsia="IRNazanin" w:cs="IRNazanin"/>
          <w:color w:val="111111"/>
          <w:sz w:val="28"/>
          <w:szCs w:val="28"/>
          <w:rtl w:val="true"/>
          <w:lang w:bidi="fa-IR"/>
        </w:rPr>
        <w:t>.</w:t>
      </w:r>
      <w:bookmarkStart w:id="2437" w:name="pg5240_59620"/>
    </w:p>
    <w:p>
      <w:pPr>
        <w:pStyle w:val="Heading3"/>
        <w:numPr>
          <w:ilvl w:val="2"/>
          <w:numId w:val="1"/>
        </w:numPr>
        <w:rPr/>
      </w:pPr>
      <w:bookmarkStart w:id="2438" w:name="__RefHeading___Toc364330_581953129"/>
      <w:bookmarkStart w:id="2439" w:name="_Toc1019"/>
      <w:bookmarkEnd w:id="2437"/>
      <w:bookmarkEnd w:id="2438"/>
      <w:r>
        <w:rPr>
          <w:rtl w:val="true"/>
        </w:rPr>
        <w:t>الأسئلة</w:t>
      </w:r>
      <w:bookmarkEnd w:id="2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طلاق البدعة؟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صحّة طلاق البدعة؟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عدم صحّة طلاق البدعة؟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المقصود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مکانة طلاق البدعة فی فقه السنّة؟</w:t>
      </w:r>
      <w:bookmarkStart w:id="2440" w:name="pg5240_59621"/>
    </w:p>
    <w:p>
      <w:pPr>
        <w:pStyle w:val="Heading2"/>
        <w:numPr>
          <w:ilvl w:val="1"/>
          <w:numId w:val="1"/>
        </w:numPr>
        <w:rPr/>
      </w:pPr>
      <w:bookmarkStart w:id="2441" w:name="__RefHeading___Toc364332_581953129"/>
      <w:bookmarkStart w:id="2442" w:name="_Toc1020"/>
      <w:bookmarkEnd w:id="2440"/>
      <w:bookmarkEnd w:id="2441"/>
      <w:r>
        <w:rPr/>
        <w:t>37</w:t>
      </w:r>
      <w:r>
        <w:rPr>
          <w:rtl w:val="true"/>
        </w:rPr>
        <w:t xml:space="preserve">- </w:t>
      </w:r>
      <w:r>
        <w:rPr>
          <w:rtl w:val="true"/>
        </w:rPr>
        <w:t>المیراث</w:t>
      </w:r>
      <w:bookmarkEnd w:id="2442"/>
    </w:p>
    <w:p>
      <w:pPr>
        <w:pStyle w:val="Heading3"/>
        <w:numPr>
          <w:ilvl w:val="2"/>
          <w:numId w:val="1"/>
        </w:numPr>
        <w:rPr/>
      </w:pPr>
      <w:bookmarkStart w:id="2443" w:name="__RefHeading___Toc364334_581953129"/>
      <w:bookmarkStart w:id="2444" w:name="_Toc1021"/>
      <w:bookmarkEnd w:id="2443"/>
      <w:r>
        <w:rPr>
          <w:rtl w:val="true"/>
        </w:rPr>
        <w:t>المیراث بالتعصیب</w:t>
      </w:r>
      <w:bookmarkEnd w:id="2444"/>
    </w:p>
    <w:p>
      <w:pPr>
        <w:pStyle w:val="Heading4"/>
        <w:numPr>
          <w:ilvl w:val="3"/>
          <w:numId w:val="1"/>
        </w:numPr>
        <w:rPr/>
      </w:pPr>
      <w:bookmarkStart w:id="2445" w:name="__RefHeading___Toc364336_581953129"/>
      <w:bookmarkStart w:id="2446" w:name="_Toc1022"/>
      <w:bookmarkEnd w:id="2445"/>
      <w:r>
        <w:rPr>
          <w:rtl w:val="true"/>
        </w:rPr>
        <w:t>اشارة</w:t>
      </w:r>
      <w:bookmarkEnd w:id="2446"/>
    </w:p>
    <w:p>
      <w:pPr>
        <w:pStyle w:val="BookText"/>
        <w:rPr/>
      </w:pPr>
      <w:r>
        <w:rPr>
          <w:rFonts w:ascii="IRNazanin" w:hAnsi="IRNazanin" w:eastAsia="IRNazanin"/>
          <w:color w:val="111111"/>
          <w:sz w:val="28"/>
          <w:sz w:val="28"/>
          <w:szCs w:val="28"/>
          <w:rtl w:val="true"/>
          <w:lang w:bidi="fa-IR"/>
        </w:rPr>
        <w:t>اختلفت الآراء بالنسبة إلی تحقّق الإرث بواسطة التعصیب و المقصود من التعصیب هنا توریث العصبة مع ذوی الفروض کما 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التعصیب هو توریث العصبة مع ذوی الفروض القریب،إذا لم یحط الفرض مجموع الترکة،کما لو خلّف واحدة أو بنتین فصاعداً مع أخ أو خلّف اختاً أو اختین فصاعداً مع عمّ</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وقال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 هو الوارث بغیر تقدیر و إذا کان معه ذو فرض أخذ ما فضل عنه قلّ أو کثر و إن انفرد أخذ الکلّ و إن استغرقت الفروض المال سقط</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وهناک اختلاف جوهری بین الفریقین حول الإرث بالتعصیب إثباتاً ونفیاً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447" w:name="__RefHeading___Toc364338_581953129"/>
      <w:bookmarkStart w:id="2448" w:name="_Toc1023"/>
      <w:bookmarkEnd w:id="2447"/>
      <w:r>
        <w:rPr>
          <w:rtl w:val="true"/>
        </w:rPr>
        <w:t>المذهب الجعفری</w:t>
      </w:r>
      <w:bookmarkEnd w:id="2448"/>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لایثبت المیراث عندنا بالتعصیب و إذا أبقت الفریضة فإذا کان</w:t>
      </w:r>
    </w:p>
    <w:p>
      <w:pPr>
        <w:pStyle w:val="BookText"/>
        <w:rPr/>
      </w:pPr>
      <w:r>
        <w:rPr>
          <w:rFonts w:ascii="IRNazanin" w:hAnsi="IRNazanin" w:eastAsia="IRNazanin"/>
          <w:color w:val="111111"/>
          <w:sz w:val="28"/>
          <w:sz w:val="28"/>
          <w:szCs w:val="28"/>
          <w:rtl w:val="true"/>
          <w:lang w:bidi="fa-IR"/>
        </w:rPr>
        <w:t>هناک مساوٍ لافرض له،فالفاضل له بالقرابة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أبوین وزوج أو زوجة،للاُمّ ثلث الأصل وللزوج أو الزوجة نصیبهما وللأب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إخوة کان للاُمّ السدس وللزوج النصف وللأب الباقی وکذا أبوان وابن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زوج إخوان من امّ،وأخ أو إخوة من أب واُمّ،أو من أب و إن کان بعیداً لم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الفاضل علی ذوی الفروض عدا الزوج و الزوجة،مثل أبوین أو إحداهما وبنت وأخ أو عمّ</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وقال الشهیدان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میراث عندنا للعصبة علی تقدیر زیادة الفریضة عن السهام،إلاّ مع عدم القریب أی الأقرب منهم؛لعموم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أَوْلی بِبَعْضٍ فِی کِتابِ اللّهِ</w:t>
      </w:r>
      <w:r>
        <w:rPr>
          <w:rFonts w:eastAsia="Amiri" w:cs="Amiri" w:ascii="Amiri" w:hAnsi="Amiri"/>
          <w:color w:val="111111"/>
          <w:sz w:val="28"/>
          <w:szCs w:val="28"/>
          <w:rtl w:val="true"/>
          <w:lang w:bidi="ar-SA"/>
        </w:rPr>
        <w:t xml:space="preserve">... .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وإجماع أهل‌البیت علیهم السلام،تواترأخبارهم بذلک</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حسین الرزّاز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من یسأل أبا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لمن هو؟للأقرب؟أو العصبة؟فقال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للأقرب و العصبة فی فیه التراب</w:t>
      </w:r>
      <w:r>
        <w:rPr>
          <w:rFonts w:eastAsia="IRNazanin" w:cs="IRNazanin"/>
          <w:color w:val="111111"/>
          <w:sz w:val="28"/>
          <w:szCs w:val="28"/>
          <w:rtl w:val="true"/>
          <w:lang w:bidi="fa-IR"/>
        </w:rPr>
        <w:t xml:space="preserve">». </w:t>
      </w:r>
      <w:r>
        <w:rPr>
          <w:rStyle w:val="FootnoteAnchor"/>
          <w:rtl w:val="true"/>
        </w:rPr>
        <w:footnoteReference w:id="1188"/>
      </w:r>
      <w:r>
        <w:rPr>
          <w:rFonts w:ascii="Amiri" w:hAnsi="Amiri" w:eastAsia="Amiri" w:cs="Amiri"/>
          <w:color w:val="111111"/>
          <w:sz w:val="28"/>
          <w:sz w:val="28"/>
          <w:szCs w:val="28"/>
          <w:rtl w:val="true"/>
          <w:lang w:bidi="ar-SA"/>
        </w:rPr>
        <w:t>والدلالة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والروایات مستفیضة قال الشهید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أصحابنا الإمامیة فاحتجّوا علی بطلان التعصیب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Fonts w:eastAsia="Amiri" w:cs="Amiri" w:ascii="Amiri" w:hAnsi="Amiri"/>
          <w:color w:val="111111"/>
          <w:sz w:val="28"/>
          <w:szCs w:val="28"/>
          <w:rtl w:val="true"/>
          <w:lang w:bidi="ar-SA"/>
        </w:rPr>
        <w:t xml:space="preserve">. </w:t>
      </w:r>
      <w:r>
        <w:rPr>
          <w:rStyle w:val="FootnoteAnchor"/>
          <w:rtl w:val="true"/>
        </w:rPr>
        <w:footnoteReference w:id="118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 أنّه إن وجب توریث جمیع النساء و الأقربین بطل القول بالتعصیب،بیان المطلوب أنّه تعالی حکم فی الآیة بالنصیب للنساء کما حکم به للرجال فلو جاز حرمان النساء لجاز حرمان الرجال؛لأنّ المقتضی لتوریثهم واحد و هو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والآیة عامّة؛للأصل وعدم ثبوت التخصیص،و إذا کان الأصل فیها العموم لم‌یکف</w:t>
      </w:r>
      <w:bookmarkStart w:id="2449" w:name="pg5240_59623"/>
    </w:p>
    <w:p>
      <w:pPr>
        <w:pStyle w:val="BookText"/>
        <w:rPr/>
      </w:pPr>
      <w:bookmarkEnd w:id="2449"/>
      <w:r>
        <w:rPr>
          <w:rFonts w:ascii="IRNazanin" w:hAnsi="IRNazanin" w:eastAsia="IRNazanin"/>
          <w:color w:val="111111"/>
          <w:sz w:val="28"/>
          <w:sz w:val="28"/>
          <w:szCs w:val="28"/>
          <w:rtl w:val="true"/>
          <w:lang w:bidi="fa-IR"/>
        </w:rPr>
        <w:t>الحکم بتوریث بعض النساء وإلاّ لجاز مثله فی الرجال،ویؤید عمومها فی توریث النساء أنّها نزلت ردّاً علی الجاهلیة،حیث کانوا لایورّثون النساء شیئاً کما رواه حکیم‌بن جابر عن زیدبن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قضاء الجاهلیة أن یورّث الرجال دون النساء وبدونها لا یتمّ الردّ</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أَوْلی بِبَعْضٍ فِی کِتابِ اللّهِ</w:t>
      </w:r>
      <w:r>
        <w:rPr>
          <w:rFonts w:eastAsia="Amiri" w:cs="Amiri" w:ascii="Amiri" w:hAnsi="Amiri"/>
          <w:color w:val="111111"/>
          <w:sz w:val="28"/>
          <w:szCs w:val="28"/>
          <w:rtl w:val="true"/>
          <w:lang w:bidi="ar-SA"/>
        </w:rPr>
        <w:t xml:space="preserve">... . </w:t>
      </w:r>
      <w:r>
        <w:rPr>
          <w:rStyle w:val="FootnoteAnchor"/>
          <w:rtl w:val="true"/>
        </w:rPr>
        <w:footnoteReference w:id="1191"/>
      </w:r>
      <w:r>
        <w:rPr>
          <w:rFonts w:ascii="IRNazanin" w:hAnsi="IRNazanin" w:eastAsia="IRNazanin"/>
          <w:color w:val="111111"/>
          <w:sz w:val="28"/>
          <w:sz w:val="28"/>
          <w:szCs w:val="28"/>
          <w:rtl w:val="true"/>
          <w:lang w:bidi="fa-IR"/>
        </w:rPr>
        <w:t>والاستدلال بها،أنّه تعالی حکم بأولویة بعض الأرحام ببعض وأراد به الأقرب فالأقرب،قطعاً بموافقة الخصم؛لأنّهم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العصبة،الأقرب یمنع الأبعد ویقولون فی الوارث بآیة أولی الأرحام إنّ الأقرب یمنع الأبعد،ولاشبهة فی أنّ البنت أقرب إلی المیت من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البنت تتقرّب إلی‌المیت بنفسها و الأخ إنّما یتقرّب إلیه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وعموم الآیة مطابق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عدم التخصیص و 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منه،فی حکم کتاب الله،ولا یخصّص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المقتضی</w:t>
      </w:r>
      <w:r>
        <w:rPr>
          <w:rFonts w:eastAsia="IRNazanin" w:cs="IRNazanin"/>
          <w:color w:val="111111"/>
          <w:sz w:val="28"/>
          <w:szCs w:val="28"/>
          <w:rtl w:val="true"/>
          <w:lang w:bidi="fa-IR"/>
        </w:rPr>
        <w:t xml:space="preserve">. </w:t>
      </w:r>
      <w:r>
        <w:rPr>
          <w:rStyle w:val="FootnoteAnchor"/>
          <w:rtl w:val="true"/>
        </w:rPr>
        <w:footnoteReference w:id="1192"/>
      </w:r>
    </w:p>
    <w:p>
      <w:pPr>
        <w:pStyle w:val="Heading4"/>
        <w:numPr>
          <w:ilvl w:val="3"/>
          <w:numId w:val="1"/>
        </w:numPr>
        <w:rPr/>
      </w:pPr>
      <w:bookmarkStart w:id="2450" w:name="__RefHeading___Toc364340_581953129"/>
      <w:bookmarkStart w:id="2451" w:name="_Toc1024"/>
      <w:bookmarkEnd w:id="2450"/>
      <w:r>
        <w:rPr>
          <w:rtl w:val="true"/>
        </w:rPr>
        <w:t>المذاهب الأربعة</w:t>
      </w:r>
      <w:bookmarkEnd w:id="245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 وهم الذکور من ولد المیت وآبائه وأولادهم ولیس میراثهم مقدّراً بل یأخذون المال‌کلّه إذا لم‌یکن معهم ذوفرض فإن‌کان معهم ذو فروض لایسقط بهم،أخذوا الفاضل عن میراثه کلّه،وأولادهم بالمیراث أقربهم،ویسقط به من بعد؛لقول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الفرائض بأهلها فما بقی فهو لأولی رجل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وأقربهم البنون‌ثمّ بنوهم</w:t>
      </w:r>
      <w:bookmarkStart w:id="2452" w:name="pg5240_59624"/>
    </w:p>
    <w:p>
      <w:pPr>
        <w:pStyle w:val="BookText"/>
        <w:rPr/>
      </w:pPr>
      <w:bookmarkEnd w:id="2452"/>
      <w:r>
        <w:rPr>
          <w:rFonts w:ascii="IRNazanin" w:hAnsi="IRNazanin" w:eastAsia="IRNazanin"/>
          <w:color w:val="111111"/>
          <w:sz w:val="28"/>
          <w:sz w:val="28"/>
          <w:szCs w:val="28"/>
          <w:rtl w:val="true"/>
          <w:lang w:bidi="fa-IR"/>
        </w:rPr>
        <w:t>و إن سفلوا،یسقط قریبهم ببعیدهم،ثمّ الأب ثمّ آبائه و إن علوا الأقرب منهم فالأقرب ثمّ بنو الأب وهم الإخوة للابوین،أو للأب،ثمّ بنوهم و إن سفلوا الآقرب منهم فالأقرب،ویسقط البعید بالقریب سواء کان القریب من ولد الأبوین أو من ولد الأب وجدّه فإن اجتمعوا فی درجة واحدة فولد الأبوین أولی لقوّة قرابته بالاُمّ،فلهذا 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الأخ للأب والاُمّ أولی من ابن الأخ للأب؛لأنّها فی درجة واحدة،وابن الأخ للأب أولی من ابن ابن الأخ للأب والاُمّ،وعیل هذا أبداً ومهما بقی من بنی الأخ أحد و إن سفل فهو أولی من العمّ؛لأنّه من ولد الأب و العمّ من ولد الجدّ،فإذا انقرض الإخوة وبنوهم فالمیراث للأعمام ثمّ بنیهم علی هذا النسق،و إن استوت درجتهم قدّم من هو لأبوین،فإن اختلفت قدّم الأعلی و إن کان لأب،منهما بقی منهم أحد و إن سفل فهو أولی من عمّ الأب؛لأنّ الأعمام من ولد الجدّ،وأعمام الأب من ولد أب الجدّ،فإذا انقرضوا فالمیراث لأعمام الأب علی هذا النسق،ثمّ لأعمام الجدّ ثمّ بنیهم،وعلی هذا أبداً،لایرث بنو أب أعلی مع بنی أب أقرب منه و إن نزلت درجتهم لما مرّ فی الحدیث،و هذا کلّه مجمع علیه بحمد الله ومنّه</w:t>
      </w:r>
      <w:r>
        <w:rPr>
          <w:rFonts w:eastAsia="IRNazanin" w:cs="IRNazanin"/>
          <w:color w:val="111111"/>
          <w:sz w:val="28"/>
          <w:szCs w:val="28"/>
          <w:rtl w:val="true"/>
          <w:lang w:bidi="fa-IR"/>
        </w:rPr>
        <w:t xml:space="preserve">. </w:t>
      </w:r>
      <w:r>
        <w:rPr>
          <w:rStyle w:val="FootnoteAnchor"/>
          <w:rtl w:val="true"/>
        </w:rPr>
        <w:footnoteReference w:id="1193"/>
      </w:r>
    </w:p>
    <w:p>
      <w:pPr>
        <w:pStyle w:val="Heading4"/>
        <w:numPr>
          <w:ilvl w:val="3"/>
          <w:numId w:val="1"/>
        </w:numPr>
        <w:rPr/>
      </w:pPr>
      <w:bookmarkStart w:id="2453" w:name="__RefHeading___Toc364342_581953129"/>
      <w:bookmarkStart w:id="2454" w:name="_Toc1025"/>
      <w:bookmarkEnd w:id="2453"/>
      <w:r>
        <w:rPr>
          <w:rtl w:val="true"/>
        </w:rPr>
        <w:t>منشأ الاختلاف</w:t>
      </w:r>
      <w:bookmarkEnd w:id="245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الاختلاف ناشئ عن الاختلاف فی النصوص کما 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الحقیقة مرجع الجمعهور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خبر واحد و هو أنّهم رووا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أبقت الفرائض فلأولی عصبة ذکراً،ومرجع الإمامیة إلی خبر واحد و هو أنّهم رووا عن‌أئمّتهم عن الإمام الباقر و الإمام الصادق إنکار ذلک و التصریح بردّ الباقی علی ذوی الفروض </w:t>
      </w:r>
      <w:r>
        <w:rPr>
          <w:rStyle w:val="FootnoteAnchor"/>
          <w:rtl w:val="true"/>
        </w:rPr>
        <w:footnoteReference w:id="1194"/>
      </w:r>
      <w:r>
        <w:rPr>
          <w:rFonts w:ascii="IRNazanin" w:hAnsi="IRNazanin" w:eastAsia="IRNazanin"/>
          <w:color w:val="111111"/>
          <w:sz w:val="28"/>
          <w:sz w:val="28"/>
          <w:szCs w:val="28"/>
          <w:rtl w:val="true"/>
          <w:lang w:bidi="fa-IR"/>
        </w:rPr>
        <w:t>وعلیه کان الاختلاف ناشئاً عن الاختلاف فی النصّ،إلاّ أن الالتزام بالتعصیب ینطبق علی عادة التوریث فی الجاهلیة،واستنکار التعصیب یتوافق مع ظاهر کتاب الله</w:t>
      </w:r>
      <w:r>
        <w:rPr>
          <w:rFonts w:eastAsia="IRNazanin" w:cs="IRNazanin"/>
          <w:color w:val="111111"/>
          <w:sz w:val="28"/>
          <w:szCs w:val="28"/>
          <w:rtl w:val="true"/>
          <w:lang w:bidi="fa-IR"/>
        </w:rPr>
        <w:t>.</w:t>
      </w:r>
      <w:bookmarkStart w:id="2455" w:name="pg5240_59625"/>
    </w:p>
    <w:p>
      <w:pPr>
        <w:pStyle w:val="Heading3"/>
        <w:numPr>
          <w:ilvl w:val="2"/>
          <w:numId w:val="1"/>
        </w:numPr>
        <w:rPr/>
      </w:pPr>
      <w:bookmarkStart w:id="2456" w:name="__RefHeading___Toc364344_581953129"/>
      <w:bookmarkStart w:id="2457" w:name="_Toc1026"/>
      <w:bookmarkEnd w:id="2455"/>
      <w:bookmarkEnd w:id="2456"/>
      <w:r>
        <w:rPr>
          <w:rtl w:val="true"/>
        </w:rPr>
        <w:t>العول</w:t>
      </w:r>
      <w:bookmarkEnd w:id="2457"/>
    </w:p>
    <w:p>
      <w:pPr>
        <w:pStyle w:val="Heading4"/>
        <w:numPr>
          <w:ilvl w:val="3"/>
          <w:numId w:val="1"/>
        </w:numPr>
        <w:rPr/>
      </w:pPr>
      <w:bookmarkStart w:id="2458" w:name="__RefHeading___Toc364346_581953129"/>
      <w:bookmarkStart w:id="2459" w:name="_Toc1027"/>
      <w:bookmarkEnd w:id="2458"/>
      <w:r>
        <w:rPr>
          <w:rtl w:val="true"/>
        </w:rPr>
        <w:t>اشارة</w:t>
      </w:r>
      <w:bookmarkEnd w:id="2459"/>
    </w:p>
    <w:p>
      <w:pPr>
        <w:pStyle w:val="BookText"/>
        <w:rPr/>
      </w:pPr>
      <w:r>
        <w:rPr>
          <w:rFonts w:ascii="IRNazanin" w:hAnsi="IRNazanin" w:eastAsia="IRNazanin"/>
          <w:color w:val="111111"/>
          <w:sz w:val="28"/>
          <w:sz w:val="28"/>
          <w:szCs w:val="28"/>
          <w:rtl w:val="true"/>
          <w:lang w:bidi="fa-IR"/>
        </w:rPr>
        <w:t>اختلفت الآراء بالنسبة إلی جواز العول وبطلانه إثباتاً ونفیاً و المقصود من العول هو قلّة المیراث وکثرة السهام‌کما 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بالعول أن تزاد الفریضة لقصورها عن سهام الورثة علی وجه یحصل النقص علی الجمیع بالنسبة،سمّی عولاً من الزیادة،أو من عال إذا کثر عیاله؛لکثرة السهام فیها</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هناک اختلاف جوهری بین الفریقین،وتفصیل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460" w:name="__RefHeading___Toc364348_581953129"/>
      <w:bookmarkStart w:id="2461" w:name="_Toc1028"/>
      <w:bookmarkEnd w:id="2460"/>
      <w:r>
        <w:rPr>
          <w:rtl w:val="true"/>
        </w:rPr>
        <w:t>المذهب الجعفری</w:t>
      </w:r>
      <w:bookmarkEnd w:id="2461"/>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باطل؛لاستحالة أن یفرض الله سبحانه فی مال ما لایقوم به ولا یکون العول إلاّ بمزاحمة الزوج أو الزوجة،فیکون النقص داخلاً علی الأب أو البنت أو البنتین،أو من یتقرّب الأب والاُمّ أو بالأب من الاُخت أو الأخوات،دون من یتقرّب بالاُمّ مثل زوج وأبوین وبنت أو زوج وأحد الأبوین وبنتین فصاعداً أو زوجة وأبوین وبنتین أو زوج مع کلالة الاُمّ واُخت أو أخوات لأب واُمّ،أو لأب</w:t>
      </w:r>
      <w:r>
        <w:rPr>
          <w:rFonts w:eastAsia="IRNazanin" w:cs="IRNazanin"/>
          <w:color w:val="111111"/>
          <w:sz w:val="28"/>
          <w:szCs w:val="28"/>
          <w:rtl w:val="true"/>
          <w:lang w:bidi="fa-IR"/>
        </w:rPr>
        <w:t xml:space="preserve">. </w:t>
      </w:r>
      <w:r>
        <w:rPr>
          <w:rStyle w:val="FootnoteAnchor"/>
          <w:rtl w:val="true"/>
        </w:rPr>
        <w:footnoteReference w:id="119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وقالالمحقّق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بطلان 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أمیرالمؤمنین علیه السلام </w:t>
      </w:r>
      <w:r>
        <w:rPr>
          <w:rStyle w:val="FootnoteAnchor"/>
          <w:rtl w:val="true"/>
        </w:rPr>
        <w:footnoteReference w:id="1197"/>
      </w:r>
      <w:r>
        <w:rPr>
          <w:rFonts w:ascii="IRNazanin" w:hAnsi="IRNazanin" w:eastAsia="IRNazanin"/>
          <w:color w:val="111111"/>
          <w:sz w:val="28"/>
          <w:sz w:val="28"/>
          <w:szCs w:val="28"/>
          <w:rtl w:val="true"/>
          <w:lang w:bidi="fa-IR"/>
        </w:rPr>
        <w:t>کما حکاه عنه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لامقدّم لما أخّر ولا مؤخّر لما قدّم ثمّ ضرب إحدی یدیه علی الاُخری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الاُمّة المتحیرة بعد نبیها لو کنتم قدّمتم من قدّم الله وأخّرتم من أخّر الله وجعلتم الولایة و الوراثة لمن جعلها الله ما عال ولی الله ولاطاش سهم عن فرائض</w:t>
      </w:r>
    </w:p>
    <w:p>
      <w:pPr>
        <w:pStyle w:val="BookText"/>
        <w:rPr/>
      </w:pPr>
      <w:r>
        <w:rPr>
          <w:rFonts w:ascii="IRNazanin" w:hAnsi="IRNazanin" w:eastAsia="IRNazanin"/>
          <w:color w:val="111111"/>
          <w:sz w:val="28"/>
          <w:sz w:val="28"/>
          <w:szCs w:val="28"/>
          <w:rtl w:val="true"/>
          <w:lang w:bidi="fa-IR"/>
        </w:rPr>
        <w:t>الله ولا اختلف اثنان فی حکم الله ولا تنازعت الاُمّة فی شیء من أمرالله إلاّ وعند علی علمه من کتاب الله فذوقوا وبال أمرکم وما فرّطتم فیما قدّمت أیدیکم وما الله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الروایات المتواترة عن الأئمّة الهداة علیهم السلام فی بطلان العول و الإنکار علیهم فیه و التشنیع به علیهم،فإنّه مستلزم لجعل الله تعالی المال نصفین وثلثاً وثلثین ونصفاً ونحو ذلک ممّا لا یصدر من جاهل فضلاً عن ربّ العزّة المتعال عن الجهل و العبث وعمّا یقول الظالمون علوّاً کبیراً،ضرورة ذهاب النصفین بالمال،فأین موضع الثلث؟بل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لکون الفرائض علی غیر ما فرضها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فرض الوارث أبوین وبنتین وزوجاً وکانت الفریضة اثنی عشر،وأعلناها إلی خمسة عشر فأعطینا الأبوین منها أربعة‌أسهم من خمسة عشر فلیست سدسین،بل خمس،وأعطینا الزوج ثلاثاً فلیست ربعاً بل خمس،وأعطینا البنتین ثمانیة فلیست ثلث بل ثلث وخمس</w:t>
      </w:r>
      <w:r>
        <w:rPr>
          <w:rFonts w:eastAsia="IRNazanin" w:cs="IRNazanin"/>
          <w:color w:val="111111"/>
          <w:sz w:val="28"/>
          <w:szCs w:val="28"/>
          <w:rtl w:val="true"/>
          <w:lang w:bidi="fa-IR"/>
        </w:rPr>
        <w:t xml:space="preserve">. </w:t>
      </w:r>
      <w:r>
        <w:rPr>
          <w:rStyle w:val="FootnoteAnchor"/>
          <w:rtl w:val="true"/>
        </w:rPr>
        <w:footnoteReference w:id="119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نصوص کثیرة،منها ما نقله عبیدالله‌بن عبدالله‌بن عتبة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جالست ابن‌عبّاس فعرض ذکر الفرائض فی المواریث 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 أترون أنّ الّذی أحصی رمل عالج عدداً جعل فی مال نصفاً ونصفاً وثلثاً،فهذان النصفان قد ذهبا بالمال فأین موضع الثلث؟فقال له زفربن أوس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أوّل من أعال الفرائض؟فقال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الخطّاب،لمّا التفّت الفرائض عنده ودفع بعضها بعضاً،فقال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أدری أیکم قدّم الله وأیکم أخّر،وما أجد شیئاً هو أوسع من أن أقسّم علیکم هذا المال بالحصص،فأدخل علی ذی سهم ما دخل علیه من عول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 الله لو قدّم من قدّم الله وأخّر من أخّر الله ما عالت فریضة،فقال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وأیها قدّم وأیها أخّر؟فقال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فریضة لم یهبطها الله عن فریضة إلاّ إلی فریضة فهذا ما قدّم الله</w:t>
      </w:r>
      <w:bookmarkStart w:id="2462" w:name="pg5240_59627"/>
    </w:p>
    <w:p>
      <w:pPr>
        <w:pStyle w:val="BookText"/>
        <w:rPr/>
      </w:pPr>
      <w:bookmarkEnd w:id="2462"/>
      <w:r>
        <w:rPr>
          <w:rFonts w:ascii="IRNazanin" w:hAnsi="IRNazanin" w:eastAsia="IRNazanin"/>
          <w:color w:val="111111"/>
          <w:sz w:val="28"/>
          <w:sz w:val="28"/>
          <w:szCs w:val="28"/>
          <w:rtl w:val="true"/>
          <w:lang w:bidi="fa-IR"/>
        </w:rPr>
        <w:t>و أمّا ما أخّر فلکلّ فریضة إذا زالت عن فرضها لم یبق لها إلاّ ما بقی،فتلک الّتی أخّر،فأمّا الّذی قدّم فالزوج له النصف فإذا دخل علیه ما یزیله عنه رجع إلی الربع،لا یزیله عنه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والزوجة لها الربع فإذا دخل علیها ما یزیلها عنه صارت إلی الثمن لایزیلها عنه شیء،والاُمّ لها الثلث فإذا زالت عنه صارت إلی السدس ولا یزیدها عنه شیء فهذه الفرائض الّتی قدّم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أخّر ففریضة البنات و الأخوات لها النصف و الثلثان فإذا أزالتهنّ الفرائض عن ذلک لم یکن لهنّ إلاّ ما بقی،فتلک الّتی أخّر،فإذا اجتمع ما قدّم الله وما أخّر بدئ بما قدّم الله فأعطی حقّه کاملاً،فإن بقی شیء کان لمن أخّر و إن لم یبق شیء فلا شیء له</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أبی‌بصیر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لا یدخل علیهم ضرر فی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الوالدان،والزوج و المرأة</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بهذا یتمّ المطلوب</w:t>
      </w:r>
      <w:r>
        <w:rPr>
          <w:rFonts w:eastAsia="IRNazanin" w:cs="IRNazanin"/>
          <w:color w:val="111111"/>
          <w:sz w:val="28"/>
          <w:szCs w:val="28"/>
          <w:rtl w:val="true"/>
          <w:lang w:bidi="fa-IR"/>
        </w:rPr>
        <w:t>.</w:t>
      </w:r>
    </w:p>
    <w:p>
      <w:pPr>
        <w:pStyle w:val="Heading4"/>
        <w:numPr>
          <w:ilvl w:val="3"/>
          <w:numId w:val="1"/>
        </w:numPr>
        <w:rPr/>
      </w:pPr>
      <w:bookmarkStart w:id="2463" w:name="__RefHeading___Toc364350_581953129"/>
      <w:bookmarkStart w:id="2464" w:name="_Toc1029"/>
      <w:bookmarkEnd w:id="2463"/>
      <w:r>
        <w:rPr>
          <w:rtl w:val="true"/>
        </w:rPr>
        <w:t>المذاهب الأربعة</w:t>
      </w:r>
      <w:bookmarkEnd w:id="246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العول أن تزدحم فروض لا یتّسع المال لهاکهذه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توریث الزوج والاُخت والاُمّ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النقص علیهم کلّهم،ویقسّم المال بینهم علی قدر فروضهم‌کمایقسّم مال المفلس بین غرمائه بالحصص لضیق ماله عن وفائهم ومال المیت بین أرباب الدیون إذا لم یفها،والثلث بین أرباب الوصایا إذا عجز عنها،و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عامّة الصحابة ومن تبعهم من العلماء،یروی ذلک عن عمر و العبّاس وابن مسعود وبه قال مالک و الشافعی،وإسحق وسائرأهل العلم إلاّ ابن‌عبّاس وطائفة شذّت یقلّ عددها،نقل ذلک عن محمّدبن الحنفیة،ومحمّدبن علی‌بن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وعطاء وداود،فإنّهم قالوا لا تعول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زوج واُخت 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باهلته أنّ المسائل لا تعول؛إنّ الّذی أحصی رمل عالج عدداً أعدل من أن یجعل فی مال نصفاً ونصفاً وثلثاً هذان نصفان ذهبا بالمال،فأین موضع الثلث؟فسمّیت هذه المسألة مسألة المباهلة لذلک،وهی أوّل مسألة عائلة حدثت فی زمن عمربن الخطّاب،فجمع الصحابة للمشورة فیها فقال العبّاس أری أن تقسّم المال بینهم علی قدر سهامهم فأخذ به عمر،واتّبعه الناس علی ذلک حتّی خالفهم ابن عبّاس فروی الزهری عن عبیدالله ابن عبدالله‌بن عتبة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زفربن أوس البصری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نمضی إلی عبدالله‌بن عبّاس نتحدّث عنده،فأتیناه فتحدّثنا عنده فکان من حدیثه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أحصی رمل عالج عدداً ثمّ یجعل فی مال نصفاً ونصفاً وثلثاً ذهب النصفان بالمال فأین موضع الثلث؟وأیم الله لو قدّموا من قدّم الله وأخّروا من أخّر الله ما عالت فریضة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زفر فمن الّذی قدّمه الله ومن الّذی أخّره الله؟فقال الّذی أهبطه من فرض إلی فرض فذلک الّذی قدّمه و الّذی أهبطه من فرض إلی ما بقی فذلک الّذی أخّره الله،فقال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أوّل من أعال الفرائض؟قال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الخطّاب،فکان مذهبه أنّ الفروض إذا ازدحمت النقص علی البنات و الأخوات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واحد من هؤلاء لو انفردت أخذ فرضه فإذا ازدحموا وجب أن یقتسموا علی قدر الحقوق‌کأصحاب الدیون و الوصایا؛ولأنّ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للاُخت النصف کما فرض للزوج النصف وفرض للاُختین الثلثین کما فرض الثلث للاُختین من الاُمّ،فلا یجوز إسقاط فرض بعضهم من نصّ تعالی بالرأی و التحکّم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 الوفاء بها فوجب أن یتساووا،فی النقص علی قدر الحقوق کالوصایا و الدیون،ولا نعلم الیوم قائلاً بمذهب ابن عبّاس ولا نعلم خلافاً بین فقهاء الأمصار فی القول بالعول بحمد الله ومنّه</w:t>
      </w:r>
      <w:r>
        <w:rPr>
          <w:rFonts w:eastAsia="IRNazanin" w:cs="IRNazanin"/>
          <w:color w:val="111111"/>
          <w:sz w:val="28"/>
          <w:szCs w:val="28"/>
          <w:rtl w:val="true"/>
          <w:lang w:bidi="fa-IR"/>
        </w:rPr>
        <w:t xml:space="preserve">. </w:t>
      </w:r>
      <w:r>
        <w:rPr>
          <w:rStyle w:val="FootnoteAnchor"/>
          <w:rtl w:val="true"/>
        </w:rPr>
        <w:footnoteReference w:id="1201"/>
      </w:r>
      <w:bookmarkStart w:id="2465" w:name="pg5240_59629"/>
    </w:p>
    <w:p>
      <w:pPr>
        <w:pStyle w:val="Heading4"/>
        <w:numPr>
          <w:ilvl w:val="3"/>
          <w:numId w:val="1"/>
        </w:numPr>
        <w:rPr/>
      </w:pPr>
      <w:bookmarkStart w:id="2466" w:name="__RefHeading___Toc364352_581953129"/>
      <w:bookmarkStart w:id="2467" w:name="_Toc1030"/>
      <w:bookmarkEnd w:id="2465"/>
      <w:bookmarkEnd w:id="2466"/>
      <w:r>
        <w:rPr>
          <w:rtl w:val="true"/>
        </w:rPr>
        <w:t>منشأ الاختلاف</w:t>
      </w:r>
      <w:bookmarkEnd w:id="2467"/>
    </w:p>
    <w:p>
      <w:pPr>
        <w:pStyle w:val="BookText"/>
        <w:rPr/>
      </w:pPr>
      <w:r>
        <w:rPr>
          <w:rFonts w:ascii="IRNazanin" w:hAnsi="IRNazanin" w:eastAsia="IRNazanin"/>
          <w:color w:val="111111"/>
          <w:sz w:val="28"/>
          <w:sz w:val="28"/>
          <w:szCs w:val="28"/>
          <w:rtl w:val="true"/>
          <w:lang w:bidi="fa-IR"/>
        </w:rPr>
        <w:t>تبین لنا أنّ القول بالعول ناشئ عن رأی عمربن الخطّاب علی أساس الشوری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ببطلان العول ناشئ عن‌کلام أمیرالمؤمنین علی علیه السلام موافقاً لما هو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 وسنّة نبیه</w:t>
      </w:r>
      <w:r>
        <w:rPr>
          <w:rFonts w:eastAsia="IRNazanin" w:cs="IRNazanin"/>
          <w:color w:val="111111"/>
          <w:sz w:val="28"/>
          <w:szCs w:val="28"/>
          <w:rtl w:val="true"/>
          <w:lang w:bidi="fa-IR"/>
        </w:rPr>
        <w:t>.</w:t>
      </w:r>
    </w:p>
    <w:p>
      <w:pPr>
        <w:pStyle w:val="Heading3"/>
        <w:numPr>
          <w:ilvl w:val="2"/>
          <w:numId w:val="1"/>
        </w:numPr>
        <w:rPr/>
      </w:pPr>
      <w:bookmarkStart w:id="2468" w:name="__RefHeading___Toc364354_581953129"/>
      <w:bookmarkStart w:id="2469" w:name="_Toc1031"/>
      <w:bookmarkEnd w:id="2468"/>
      <w:r>
        <w:rPr>
          <w:rtl w:val="true"/>
        </w:rPr>
        <w:t>الأحکام</w:t>
      </w:r>
      <w:bookmarkEnd w:id="2469"/>
    </w:p>
    <w:p>
      <w:pPr>
        <w:pStyle w:val="Heading4"/>
        <w:numPr>
          <w:ilvl w:val="3"/>
          <w:numId w:val="1"/>
        </w:numPr>
        <w:rPr/>
      </w:pPr>
      <w:bookmarkStart w:id="2470" w:name="__RefHeading___Toc364356_581953129"/>
      <w:bookmarkStart w:id="2471" w:name="_Toc1032"/>
      <w:bookmarkEnd w:id="2470"/>
      <w:r>
        <w:rPr>
          <w:rtl w:val="true"/>
        </w:rPr>
        <w:t>اشارة</w:t>
      </w:r>
      <w:bookmarkEnd w:id="2471"/>
    </w:p>
    <w:p>
      <w:pPr>
        <w:pStyle w:val="BookText"/>
        <w:rPr/>
      </w:pPr>
      <w:r>
        <w:rPr>
          <w:rFonts w:ascii="IRNazanin" w:hAnsi="IRNazanin" w:eastAsia="IRNazanin"/>
          <w:color w:val="111111"/>
          <w:sz w:val="28"/>
          <w:sz w:val="28"/>
          <w:szCs w:val="28"/>
          <w:rtl w:val="true"/>
          <w:lang w:bidi="fa-IR"/>
        </w:rPr>
        <w:t>بعد ما تحدّثنا عن شأن الاختلاف بالنسبة إلی مسألة التعصیب ومسألة العول وتبین لنا أنّ الاختلاف هنا مبدأی بین الفریقین نشیر إلی‌الاختلاف بالنسبة إلی أحکام المیراث بینهما بشکل متمایز،نتیجة لذلک الافتراق المهمّ فی مأخذ الأحکام أساساً،وجدول الاختلاف فی الأحکام علی مادوّنه الشیخ جواد مغنیة علی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ویتّضح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الأمثلة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بنتاً وأخاً لأبوین أو 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و الأخ</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للبنت ولا شیء للأخ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بنتاً واُمّاً،لاُمّ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الاُمّ،البنت یبقی سهمان یأخذهما الجدّ لأب إن کان،وإلاّ فالإخوة لأبوین،وإلاّ فالإخوة لأب علی ترتیب العصبات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البنت ولا شیء للعصبات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أباً واُمّا وأولاد بنت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مع عدم الحاجب الأب ولا شیء لأولاد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الأب أولاد البنت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 امّاً وأباً وزوجاً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الاُمّ الأب</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الاُمّ الأب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أباً واُمّاً وزوجة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الاُمّ الأب</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الاُمّ الأب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أباً وبنتاً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البنت</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البنت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بنتاً وجدّاً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الجدّ</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للبنت ولا شیء للجدّ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زوجة واُمّاً وجدّاً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الاُمّ الجدّ</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الاُمّ ولا شیء للجدّ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جدّاً لأب وجدّاً لاُمّ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لأب الأب ولا شیء لأب الاُمّ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المذهب الجعفری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لأب الجدّ الاُمّ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جدّة لاُمّ وجدّاً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کلّه لاُمّ الاُمّ ولا شیء لأب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الجعفری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الاُمّ أب الاُمّ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جدّة لاُمّ وجدّة 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معاً السدس یقسّمونه بالسویة،والفاضل لأولی عصبة ذکر،فإن لم یکن،ردّ علی الجدّتین عند الحنفیة و الحنابلة وأعطی لبیت المال عند المالکیة و الشافعیة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المذهب الجعفری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الاُمّ امّ الأب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بنت ابن،وبنت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لبنت الابن النصف،والفاضل یعطی لذی عصبته،ولا شیء لبنت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کلّ واحدة نصیب من تقرّبت به،بنت الابن بنت البنت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ابن بنت وبنت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لبنت الابن،والفاضل لذی عصبته ولا شیء لابن‌البنت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البنت بنت الابن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بنتاً وبنت ابن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 بنت الابن و الباقی لذی عصبته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للبنت ولا شیء لبنت الابن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بنتین وبنت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للبنتین فأکثر الثلثان،والفاضل لذی عصبة،ولا شیء لبنت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للبنتین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بنتین وبنات ابن وابن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للبنتین الثلثان،والثلث الباقی لبنات الابن،ابن الابن یقتسمونه 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للبنتین ولا شیء لأولاد الابن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بنتاً واُختاً لأبوین أو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الاُخت</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للبنت ولا شیء للاُخت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عشر بنات واُختاً لأبوین أو 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 البنات العشر</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للبنات ولا شیء للاُخت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بنتاً وأخاً 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للبنت بالفرض و الفاضل یعطی للعصبة،ولا شیء للأخ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للبنت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بنتاً واُختاً لأبوین أو لأب،وعمّاً کذلک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الاُخت</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للبنت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بنتاً وعمّاً لأبوین أو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العمّ</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للبنت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عمّاً لأبوین أو لأب وعمّة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للعمّ ولا شیء للعمّة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 العمّة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بنتاً وابن عمّ لأبوین أو لأب وعمّاً 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 ابن العمّ ولاشیء للعمّ من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للبنت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أخوالاً وخالات وابن عمّ لأبوین أو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لابن العمّ،ولا شیء للأخوال و الخالات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للأخوال و الخالات،ولا شیء لابن العمّ،یقسّم بینهم علی منهج توریثهم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بنت عمّ وابن عمّ لأبوین أو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لابن العمّ،ولا شیء لبنت العمّ،حتّی ولو کانت اختاً لابن العمّ من امّه وأبیه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العمّ ابن العمّ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جدّاً لاُمّ وعمّاً لأبوین أو لأب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للعمّ،ولا شیء للجدّ</w:t>
      </w:r>
      <w:r>
        <w:rPr>
          <w:rFonts w:eastAsia="IRNazanin" w:cs="IRNazanin"/>
          <w:color w:val="111111"/>
          <w:sz w:val="28"/>
          <w:szCs w:val="28"/>
          <w:rtl w:val="true"/>
          <w:lang w:bidi="fa-IR"/>
        </w:rPr>
        <w:t>.</w:t>
      </w:r>
      <w:bookmarkStart w:id="2472" w:name="pg5240_59636"/>
    </w:p>
    <w:p>
      <w:pPr>
        <w:pStyle w:val="BookText"/>
        <w:rPr/>
      </w:pPr>
      <w:bookmarkEnd w:id="2472"/>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للجدّ ولا شیء للعمّ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ابن أخ لأبوین أو لأب،وخمسة أبناء أخ آخر لأبوین أو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المال علی عدد رؤوسهم،لا علی عدد آبائهم وتکون الفریضة من ستّة،لکلّ واحد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المال علی عدد آبائهم لا علی عدد رؤوسهم ویأخذ کلّ نصیب من یتقرّب به،فلابن الأخ الواحد خمسة من عشرة وللخمسة الآخرین خمسة أسهم لکلّ واحد منهم سهم من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ابن أخ وبنت أخ لأبوین أو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الذکر دون الاُنثی مع أنّها اخته لاُمّه وأبیه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یرثان معاً 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نکتفی بهذا القدر من الأمثلة وهی کافیة وافیة لتقدیم صورة کاملة عن أنّ المیراث عند الإمامیة یختلف اختلافاً جوهریاً عنه عند مذاهب السنّة</w:t>
      </w:r>
      <w:r>
        <w:rPr>
          <w:rFonts w:eastAsia="IRNazanin" w:cs="IRNazanin"/>
          <w:color w:val="111111"/>
          <w:sz w:val="28"/>
          <w:szCs w:val="28"/>
          <w:rtl w:val="true"/>
          <w:lang w:bidi="fa-IR"/>
        </w:rPr>
        <w:t xml:space="preserve">. </w:t>
      </w:r>
      <w:r>
        <w:rPr>
          <w:rStyle w:val="FootnoteAnchor"/>
          <w:rtl w:val="true"/>
        </w:rPr>
        <w:footnoteReference w:id="1202"/>
      </w:r>
    </w:p>
    <w:p>
      <w:pPr>
        <w:pStyle w:val="Heading4"/>
        <w:numPr>
          <w:ilvl w:val="3"/>
          <w:numId w:val="1"/>
        </w:numPr>
        <w:rPr/>
      </w:pPr>
      <w:bookmarkStart w:id="2473" w:name="__RefHeading___Toc364358_581953129"/>
      <w:bookmarkStart w:id="2474" w:name="_Toc1033"/>
      <w:bookmarkEnd w:id="2473"/>
      <w:r>
        <w:rPr>
          <w:rtl w:val="true"/>
        </w:rPr>
        <w:t>منشأ الاختلاف</w:t>
      </w:r>
      <w:bookmarkEnd w:id="247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بکلّ وضوح أنّ الاختلاف فی التوریث بین الفریقین ناشئ عن الاختلاف بینهما فی مسألتی التعصیب و العول و قد أشبعنا الکلام فی هاتین المسألتین بحمد الله وحسن منّه</w:t>
      </w:r>
      <w:r>
        <w:rPr>
          <w:rFonts w:eastAsia="IRNazanin" w:cs="IRNazanin"/>
          <w:color w:val="111111"/>
          <w:sz w:val="28"/>
          <w:szCs w:val="28"/>
          <w:rtl w:val="true"/>
          <w:lang w:bidi="fa-IR"/>
        </w:rPr>
        <w:t>.</w:t>
      </w:r>
      <w:bookmarkStart w:id="2475" w:name="pg5240_59639"/>
    </w:p>
    <w:p>
      <w:pPr>
        <w:pStyle w:val="Heading3"/>
        <w:numPr>
          <w:ilvl w:val="2"/>
          <w:numId w:val="1"/>
        </w:numPr>
        <w:rPr/>
      </w:pPr>
      <w:bookmarkStart w:id="2476" w:name="__RefHeading___Toc364360_581953129"/>
      <w:bookmarkStart w:id="2477" w:name="_Toc1034"/>
      <w:bookmarkEnd w:id="2475"/>
      <w:bookmarkEnd w:id="2476"/>
      <w:r>
        <w:rPr>
          <w:rtl w:val="true"/>
        </w:rPr>
        <w:t>الخلاصة</w:t>
      </w:r>
      <w:bookmarkEnd w:id="2477"/>
    </w:p>
    <w:p>
      <w:pPr>
        <w:pStyle w:val="BookText"/>
        <w:rPr/>
      </w:pPr>
      <w:r>
        <w:rPr>
          <w:rFonts w:ascii="IRNazanin" w:hAnsi="IRNazanin" w:eastAsia="IRNazanin"/>
          <w:color w:val="111111"/>
          <w:sz w:val="28"/>
          <w:sz w:val="28"/>
          <w:szCs w:val="28"/>
          <w:rtl w:val="true"/>
          <w:lang w:bidi="fa-IR"/>
        </w:rPr>
        <w:t>التعصیب عبارة عن توریث العصبة مع ذوی الفروض القریب إذا لم یحط الفرض مجموع الترکة،فیأخذ الفاضل علی أساس الإرث بالتعصیب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التعصیب باطل علی المذهب الجعفری،کتاباً وسنّة وإجماعاً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للتوریث صلة وثیقة بالتعصیب علی المذاهب الأربعة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 عبارة عن تقسیم الترکة للورّاث بأقلّ ما هو المقرّر فرضاً،لأجل کثرة السهام وقلّة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العول فی التوریث،علی المذهب الجعفری کتاباً وسنّة وإجماعاً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العول علی المذاهب الأربعة عملاً بما شرّعه عمربن الخطّاب</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تختلف أحکام الإرث بین الفریقین اختلافاًکبعد المشرقین علی أساس الاختلاف المبدأی بینهما فی مأخذ الأحکام</w:t>
      </w:r>
      <w:r>
        <w:rPr>
          <w:rFonts w:eastAsia="IRNazanin" w:cs="IRNazanin"/>
          <w:color w:val="111111"/>
          <w:sz w:val="28"/>
          <w:szCs w:val="28"/>
          <w:rtl w:val="true"/>
          <w:lang w:bidi="fa-IR"/>
        </w:rPr>
        <w:t>.</w:t>
      </w:r>
      <w:bookmarkStart w:id="2478" w:name="pg5240_59641"/>
    </w:p>
    <w:p>
      <w:pPr>
        <w:pStyle w:val="Heading3"/>
        <w:numPr>
          <w:ilvl w:val="2"/>
          <w:numId w:val="1"/>
        </w:numPr>
        <w:rPr/>
      </w:pPr>
      <w:bookmarkStart w:id="2479" w:name="__RefHeading___Toc364362_581953129"/>
      <w:bookmarkStart w:id="2480" w:name="_Toc1035"/>
      <w:bookmarkEnd w:id="2478"/>
      <w:bookmarkEnd w:id="2479"/>
      <w:r>
        <w:rPr>
          <w:rtl w:val="true"/>
        </w:rPr>
        <w:t>الأسئلة</w:t>
      </w:r>
      <w:bookmarkEnd w:id="2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بطلان التعصیب؟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التعصیب یوافق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بطلان العول؟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العول یمکن أو یستحیل؟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تختلف الآراء حول العول علی المذاهب الأربعة أم لا؟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نتیجة اختلاف الفریقین بالنسبة إلی التعصیب و العول؟</w:t>
      </w:r>
      <w:bookmarkStart w:id="2481" w:name="pg5240_59643"/>
    </w:p>
    <w:p>
      <w:pPr>
        <w:pStyle w:val="Heading2"/>
        <w:numPr>
          <w:ilvl w:val="1"/>
          <w:numId w:val="1"/>
        </w:numPr>
        <w:rPr/>
      </w:pPr>
      <w:bookmarkStart w:id="2482" w:name="__RefHeading___Toc364364_581953129"/>
      <w:bookmarkStart w:id="2483" w:name="_Toc1036"/>
      <w:bookmarkEnd w:id="2481"/>
      <w:bookmarkEnd w:id="2482"/>
      <w:r>
        <w:rPr/>
        <w:t>38</w:t>
      </w:r>
      <w:r>
        <w:rPr>
          <w:rtl w:val="true"/>
        </w:rPr>
        <w:t xml:space="preserve">- </w:t>
      </w:r>
      <w:r>
        <w:rPr>
          <w:rtl w:val="true"/>
        </w:rPr>
        <w:t>حوار حول التعصیب</w:t>
      </w:r>
      <w:bookmarkEnd w:id="2483"/>
    </w:p>
    <w:p>
      <w:pPr>
        <w:pStyle w:val="Heading3"/>
        <w:numPr>
          <w:ilvl w:val="2"/>
          <w:numId w:val="1"/>
        </w:numPr>
        <w:rPr/>
      </w:pPr>
      <w:bookmarkStart w:id="2484" w:name="__RefHeading___Toc364366_581953129"/>
      <w:bookmarkStart w:id="2485" w:name="_Toc1037"/>
      <w:bookmarkEnd w:id="2484"/>
      <w:r>
        <w:rPr>
          <w:rtl w:val="true"/>
        </w:rPr>
        <w:t>الاستدلال علی اثبات التعصیب</w:t>
      </w:r>
      <w:bookmarkEnd w:id="2485"/>
    </w:p>
    <w:p>
      <w:pPr>
        <w:pStyle w:val="BookText"/>
        <w:rPr/>
      </w:pPr>
      <w:r>
        <w:rPr>
          <w:rFonts w:ascii="IRNazanin" w:hAnsi="IRNazanin" w:eastAsia="IRNazanin"/>
          <w:color w:val="111111"/>
          <w:sz w:val="28"/>
          <w:sz w:val="28"/>
          <w:szCs w:val="28"/>
          <w:rtl w:val="true"/>
          <w:lang w:bidi="fa-IR"/>
        </w:rPr>
        <w:t>ما یستدل به فی الفقه السنّی علی استحقاق العصبة ما بقی من المال هو 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رووه عن طاوس مرسلاً عن رسول‌الله صلی الله علیه و آله وعن ابن‌عبّاس مسنداً بألفاظ مختلفة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ویناقش فیه أوّلاً بضعفه؛لإرساله فی بعض طرقه کما فی الترمذی،واختلاف الطرق فی لفظ الحدیث ففی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الفرائض بأهلها فما بقی فهو لاُولی رجل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أقسموا المال بین اهل الفرائض علی‌کتاب الله فما ترکت الفرائض فلاُولی رجل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ذلک علی عدم ضبط‌الخبر سنداًومتناً وعلی وقوع الإشتباه أمّا فی الطریق المرسل بوقوع النقص فیه أو الزیادة فی الطریق المسند،ولا ترجیح لأحدهما علی الآخر ولا یرجح الطریق المسند علی المرسل؛لتقدم أصالة عدم الزیادة علی أصالة عدم النقیصة لعدم تقدم الأصل الاُولی علی الثانی مطلقاً سیما إذا کان الطریق الّذی یجری فیه أصالة عدم النقیصة أضبط وأحفظ وتمام الکلام فی ذلک یطلب من کتب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بضعفه من حیث السند؛لأنّ راویة عبدالله‌بن طاوس و هو ضعیف مجروح؛بأنّه کان علی خاتم سلیمان‌بن عبدالملک الاموی المروانی قاتل أبی‌هاشم عبدالله‌بن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بالسم ظلماً وخداعاً وکان ابن طاوس کما هو شأن کل من یوالی بنی امیة کثیر الحمل علی أهل البیت علیه السلام</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ابن عبّاس وطاوس و الد عبدالله تکذیبه وتبرّیهما من هذا الخبر،روی ذلک أبوطالب الأنباری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محمّدبن أحمد البربری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الحمیدی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سفیان عن أبی‌إسحاق عن قاریة‌بن مضرب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عند ابن عبّاس و هو بمکّة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عبّاس حدیث یرویه أهل العراق عنک وطاوس مولاک یرویه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أبقت الفرائض فلاُولی عصبة ذکر؟قال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أهل العراق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من وراءک أنّی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آباؤُکُمْ وَ أَبْناؤُکُمْ لا تَدْرُونَ أَیُّهُمْ أَقْرَبُ لَکُمْ نَفْعاً فَرِیضَةً مِنَ اللّهِ</w:t>
      </w:r>
      <w:r>
        <w:rPr>
          <w:rFonts w:eastAsia="Amiri" w:cs="Amiri" w:ascii="Amiri" w:hAnsi="Amiri"/>
          <w:color w:val="111111"/>
          <w:sz w:val="28"/>
          <w:szCs w:val="28"/>
          <w:rtl w:val="true"/>
          <w:lang w:bidi="ar-SA"/>
        </w:rPr>
        <w:t xml:space="preserve">... </w:t>
      </w:r>
      <w:r>
        <w:rPr>
          <w:rStyle w:val="FootnoteAnchor"/>
          <w:rtl w:val="true"/>
        </w:rPr>
        <w:footnoteReference w:id="120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هذه إلاّ فریضتان وهل أبقتا شیئاً،ما قلت هذا ولا طاوس یرویه علیّ،قال قاریة‌بن مضرب فلقیت طاوس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لاوالله ما رویت هذا علی ابن عبّاس قط،و إنّما الشیطان ألقاه علی ألسنتهم،قال سفیان أراه من إبنه عبدالله‌بن طاوس فإنّه کان علی خاتم سلیمان‌بن عبدالملک وکان یحمل علی هولاء القوم حملاً شدیداً یعنی بنی هاشم</w:t>
      </w:r>
      <w:r>
        <w:rPr>
          <w:rFonts w:eastAsia="IRNazanin" w:cs="IRNazanin"/>
          <w:color w:val="111111"/>
          <w:sz w:val="28"/>
          <w:szCs w:val="28"/>
          <w:rtl w:val="true"/>
          <w:lang w:bidi="fa-IR"/>
        </w:rPr>
        <w:t xml:space="preserve">. </w:t>
      </w:r>
      <w:r>
        <w:rPr>
          <w:rStyle w:val="FootnoteAnchor"/>
          <w:rtl w:val="true"/>
        </w:rPr>
        <w:footnoteReference w:id="1205"/>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لایتمّ الاعتماد علی الخبر المتلو من جهة دلالته،وأنّه لا یثبت به ضابطة عامّة ونظاماً جامعاً کلیاً ولم یثبت إرادة العموم من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صلی الله علیه و آله أمر بذلک فی مورد خاص وواقعة خاصة،وأراد بالمال ماکان معهوداً بین المتکلم و المخاطب أی مال میت خاص،وبالفرائض أیضاً فرائض أهلها فی مورد خاص خفی علینا وطرء علیه الإجمال؛لتقطیع الخبر وحذف السبب الّذی اقتضی صدور هذا الکلام،وکم لذلک من نظیر فی الأحادیث،ویؤید ذلک إجماعهم علی ترک الأخذ بظاهره فی موارد کثیرة</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هذا ومن تأمل فی ما ذکرمن العلل‌یعرف أنّ ترک‌مثل هذا الخبر،لیس من الخروج علی السنّة بشیء وإلاّ فلیعد کلّ من ترک خبراً لعلة من العلل خارجاً علی السنّة وسواء إعترف القائل بالتعصیب سقوط هذا الخبر عن الإعتبارأم لم‌یعترف فهو معارض بالأخبار الصحیحة المخرجة فی الصحیحن وغیرها وبالنصوص القرآنیة کما سنبینه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جابربن عبدالله الأنصاری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ففی الترمذی فی باب ما جاء فی میراث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عبدبن حمید حدثنی زکریابن عدی أخبرنا عبیدالله‌بن عمرو عن عبدالله‌بن محمّدبن عقیل عن جابربن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امرأة سعدبن الربیع بإبنتیها من سعد إلی رسول الله صلی الله علیه و آله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هاتان ابنتا سعدبن الربیع قتل أبوهما معک یوم احد شهیداً و إنّ عمّهما أخذ مالهما فلم یدع لهما مالاً ولا تنکحان إلاّ ولهما 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الله فی ذلک فنزلت آیة المیراث فبعث رسول الله صلی الله علیه و آله إلی عمّهما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ابنتی سعد الثلثین وأعط امّهما الثمن وما بقی فهو لک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أحمد فی مسنده،وأخرج نحوه ابن ماجه فی باب فرائض الصلب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محمّدبن أبی‌عمرو العدنی ثنا سفیان‌بن عیینه عن عبدالله‌بن محمدبن عقیل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أبوداود بسنده عن‌عبدالله فی باب ما جاءفی الصلب وساق نحوه،والإحتجاج به ضعیف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معارض بغیره من الأخبار الواردة فی سبب نزول الآیة أیضاً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عبدبن حمید و البخاری ومسلم وأبوداود و الترمذی و النسائی وابن‌ماجه،وابن جریر وابن المنذروابن أبی‌حاتم و البیهقی فی سننه من طرق عن جابربن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عادنی رسول الله صلی الله علیه و آله وأبوبکر فی بنی سلمة ماشیین فوجدنی النبی صلی الله علیه و آله لا أعقل شیئاً فدعا بماء فتوضأ منه ثمّ رشّ علیّ فأفقت فقلتُ ما تأمرنی أن أصنع فی مالی یارسول‌الله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عبدبن حمید و الحاکم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یعودنی وأنا مریض فقلت کیف أقسم مالی بین ولدی؟فلم یرد علی شیئاً ونزلت یُوصِیکُمُ اللّهُ فِی أَوْلادِکُمْ</w:t>
      </w:r>
      <w:r>
        <w:rPr>
          <w:rFonts w:eastAsia="IRNazanin" w:cs="IRNazanin"/>
          <w:color w:val="111111"/>
          <w:sz w:val="28"/>
          <w:szCs w:val="28"/>
          <w:rtl w:val="true"/>
          <w:lang w:bidi="fa-IR"/>
        </w:rPr>
        <w:t xml:space="preserve">... .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لایعتمد علی الخبر المتلو لضعف سنده؛لأنّ راویه عبدالله‌بن محمدبن عقیل و هو و إن وصفه ابن حبان بأنّه من سادات المسلمین وفقهاء أهل البیت علیهم السلام وقرّائهم إلاّ أنّهم لا یحتجون بروایته،وضعّفوه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بوجوب مجانبة أخباره ورموه برادئة الحفظ </w:t>
      </w:r>
      <w:r>
        <w:rPr>
          <w:rStyle w:val="FootnoteAnchor"/>
          <w:rtl w:val="true"/>
        </w:rPr>
        <w:footnoteReference w:id="1208"/>
      </w:r>
      <w:r>
        <w:rPr>
          <w:rFonts w:ascii="IRNazanin" w:hAnsi="IRNazanin" w:eastAsia="IRNazanin"/>
          <w:color w:val="111111"/>
          <w:sz w:val="28"/>
          <w:sz w:val="28"/>
          <w:szCs w:val="28"/>
          <w:rtl w:val="true"/>
          <w:lang w:bidi="fa-IR"/>
        </w:rPr>
        <w:t>والراوی عنه و هو زکریابن عدی ضعیف مردود،قال أبونعیم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وللحدیث هو بالتوراة أعلم وکان أبوه یهودیاً فأسلم</w:t>
      </w:r>
      <w:r>
        <w:rPr>
          <w:rFonts w:eastAsia="IRNazanin" w:cs="IRNazanin"/>
          <w:color w:val="111111"/>
          <w:sz w:val="28"/>
          <w:szCs w:val="28"/>
          <w:rtl w:val="true"/>
          <w:lang w:bidi="fa-IR"/>
        </w:rPr>
        <w:t xml:space="preserve">. </w:t>
      </w:r>
      <w:r>
        <w:rPr>
          <w:rStyle w:val="FootnoteAnchor"/>
          <w:rtl w:val="true"/>
        </w:rPr>
        <w:footnoteReference w:id="120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ومحمدبن أبی‌عمرو الواقع فی سند ابن‌ماجه هو محمدبن یحیی‌بن أبی‌عمرو</w:t>
      </w:r>
      <w:bookmarkStart w:id="2486" w:name="pg5240_59651"/>
    </w:p>
    <w:p>
      <w:pPr>
        <w:pStyle w:val="BookText"/>
        <w:rPr/>
      </w:pPr>
      <w:bookmarkEnd w:id="2486"/>
      <w:r>
        <w:rPr>
          <w:rFonts w:ascii="IRNazanin" w:hAnsi="IRNazanin" w:eastAsia="IRNazanin"/>
          <w:color w:val="111111"/>
          <w:sz w:val="28"/>
          <w:sz w:val="28"/>
          <w:szCs w:val="28"/>
          <w:rtl w:val="true"/>
          <w:lang w:bidi="fa-IR"/>
        </w:rPr>
        <w:t>العدنی المکی قال أبوحاتم کان به غفلة ورأیت عنده حدیثاً موضوعاً حدّث به عن ابن‌عیینه</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الإشکال هناک وجود الاختلاف فی ألفاظ الحدیث،قد أخرج أبوداود الحدیث بلفظ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مسدد ثنا بشربن المفضل ثنا عبدالله‌بن محمدبن عقیل‌بن جابر عن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رسول الله صلی الله علیه و آله حتّی جئنا امرأة من الأنصار فی الأسواق فجائت المرأة باثنتین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هاتان بنتا ثابت‌بن قیس،قتل معک یوم احد و قد استفاء عمهما مالهما ومیراثهما کله فلم یدع لهما مالاً إلاّ أخذه،فما تری یا رسول الله؟فوالله لا تنکحان أبداً إلاّ ولهما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یقضی الله فی ذلک،قال ونزلت سورة‌النساء یُوصِیکُمُ اللّهُ فِی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إلی المرأة وصاحبها فقال لعمهما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أعطهما الثلثین،وأعط امهما الثمن وما بقی فلک،فقال أبوداود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فیه،هما بنتا سعدبن الربیع،وثابت‌بن قیس قتل یوم الیمامة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کما تری مخالف لفظاً ومدلولاً لما رواه الترمذی وابن‌ماجه وأبوداود فی طریقه الاُخر،وعلیه فلایکون ذلک الخبر صالحاً للإستناد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لنا أنّه لیس هنا نصّ القرآن الکریم یدلّ علی حرمان أرباب الفرائض عما بقی منها وحصر نصیبهم فی السهام المقدرة فضلاً من أن یدلّ علی استحقاق العصبة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الشریفة فما استدلوا به هو خبر ابن‌طاوس وجابربن عبدالله و قد تبین لنا أنّهما لا یصلحان للإستناد</w:t>
      </w:r>
      <w:r>
        <w:rPr>
          <w:rFonts w:eastAsia="IRNazanin" w:cs="IRNazanin"/>
          <w:color w:val="111111"/>
          <w:sz w:val="28"/>
          <w:szCs w:val="28"/>
          <w:rtl w:val="true"/>
          <w:lang w:bidi="fa-IR"/>
        </w:rPr>
        <w:t>.</w:t>
      </w:r>
    </w:p>
    <w:p>
      <w:pPr>
        <w:pStyle w:val="Heading3"/>
        <w:numPr>
          <w:ilvl w:val="2"/>
          <w:numId w:val="1"/>
        </w:numPr>
        <w:rPr/>
      </w:pPr>
      <w:bookmarkStart w:id="2487" w:name="__RefHeading___Toc364368_581953129"/>
      <w:bookmarkStart w:id="2488" w:name="_Toc1038"/>
      <w:bookmarkEnd w:id="2487"/>
      <w:r>
        <w:rPr>
          <w:rtl w:val="true"/>
        </w:rPr>
        <w:t>التعصیب یوجب آثار السلبیة الفاسدة</w:t>
      </w:r>
      <w:bookmarkEnd w:id="248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یستلزم التعصیب أن یکون الولد الذکر للصلب أضعف سبباً من ابن ابن ابن عمّ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نفرض أنّ رجلاً مات وخلف ثمانیة وعشرین بنتاً وابناً کیف یقسم المال؟</w:t>
      </w:r>
      <w:bookmarkStart w:id="2489" w:name="pg5240_59653"/>
    </w:p>
    <w:p>
      <w:pPr>
        <w:pStyle w:val="BookText"/>
        <w:rPr/>
      </w:pPr>
      <w:bookmarkEnd w:id="2489"/>
      <w:r>
        <w:rPr>
          <w:rFonts w:ascii="IRNazanin" w:hAnsi="IRNazanin" w:eastAsia="IRNazanin"/>
          <w:color w:val="111111"/>
          <w:sz w:val="28"/>
          <w:sz w:val="28"/>
          <w:szCs w:val="28"/>
          <w:rtl w:val="true"/>
          <w:lang w:bidi="fa-IR"/>
        </w:rPr>
        <w:t>لاخلاف فی أنّ لِلابنِ سهمین من ثلاثین سهماً ولکلّ واحدة من البنات جزء من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نتسائل بأنّه لوکان بدل الابن،ابن ابن ابن العمّ ما هو الحکم؟یقال علی القول بالتعصیب،أنّه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ابن ابن العم عشرة أسهم من ثلاثین سهماً وعشرین سهماً بین الثمانیة و العشرین بنتاً،و هذا علی ما نری تفضیل للبعید علی الولد الصلب وفی ذلک خروج عن العرف و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ینا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أَوْلی بِبَعْضٍ فِی کِتابِ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نتسائل أنّه لو ترک هذا المیت هؤلاء البنات ومعهم بنت ابن،ما هو الحکم؟یقال علی التعصیب للبنات ثلثان وما بقی فللعصبة ولیس لبنت الابن شیء؛لأنّ البنات قد استکملن الثلثین فإذا استکملن فلا شیء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والمسألة علی حالها إلاّ أنّه کان مع بنت الابن ابن ابن یقال علی الفقه 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للبنات ثلثان وما بقی فبین ابن الابن وإبنة الابن للذکر مثل حظ الانثیین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الرد علی التعصیب،ومخالفة الحدیث المتلو ولا دلیل من الکتاب و السنة علی أنّ بنات الابن إذا لم یکن معهن أخوهن لایرثن شیئاً و إذا کان أخوهن ورثن بسبب أخیهن المیراث</w:t>
      </w:r>
      <w:r>
        <w:rPr>
          <w:rFonts w:eastAsia="IRNazanin" w:cs="IRNazanin"/>
          <w:color w:val="111111"/>
          <w:sz w:val="28"/>
          <w:szCs w:val="28"/>
          <w:rtl w:val="true"/>
          <w:lang w:bidi="fa-IR"/>
        </w:rPr>
        <w:t xml:space="preserve">. </w:t>
      </w:r>
      <w:r>
        <w:rPr>
          <w:rStyle w:val="FootnoteAnchor"/>
          <w:rtl w:val="true"/>
        </w:rPr>
        <w:footnoteReference w:id="1211"/>
      </w:r>
    </w:p>
    <w:p>
      <w:pPr>
        <w:pStyle w:val="Heading3"/>
        <w:numPr>
          <w:ilvl w:val="2"/>
          <w:numId w:val="1"/>
        </w:numPr>
        <w:rPr/>
      </w:pPr>
      <w:bookmarkStart w:id="2490" w:name="__RefHeading___Toc364370_581953129"/>
      <w:bookmarkStart w:id="2491" w:name="_Toc1039"/>
      <w:bookmarkEnd w:id="2490"/>
      <w:r>
        <w:rPr>
          <w:rtl w:val="true"/>
        </w:rPr>
        <w:t>النصوص القرآنیة وبطلان التعصیب</w:t>
      </w:r>
      <w:bookmarkEnd w:id="2491"/>
    </w:p>
    <w:p>
      <w:pPr>
        <w:pStyle w:val="BookText"/>
        <w:rPr/>
      </w:pPr>
      <w:r>
        <w:rPr>
          <w:rFonts w:ascii="IRNazanin" w:hAnsi="IRNazanin" w:eastAsia="IRNazanin"/>
          <w:color w:val="111111"/>
          <w:sz w:val="28"/>
          <w:sz w:val="28"/>
          <w:szCs w:val="28"/>
          <w:rtl w:val="true"/>
          <w:lang w:bidi="fa-IR"/>
        </w:rPr>
        <w:t>یستدل علی بطلان القول بالتعصیب بالنصوص القرآنیة المبینة لأنظمة المواریث الشاملة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Fonts w:eastAsia="Amiri" w:cs="Amiri" w:ascii="Amiri" w:hAnsi="Amiri"/>
          <w:color w:val="111111"/>
          <w:sz w:val="28"/>
          <w:szCs w:val="28"/>
          <w:rtl w:val="true"/>
          <w:lang w:bidi="ar-SA"/>
        </w:rPr>
        <w:t xml:space="preserve">. </w:t>
      </w:r>
      <w:r>
        <w:rPr>
          <w:rStyle w:val="FootnoteAnchor"/>
          <w:rtl w:val="true"/>
        </w:rPr>
        <w:footnoteReference w:id="1212"/>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صرحت هذه الآیة بالرد علی المنهج الجاهلی،و هو توریث الرجال دون النساء مثل توریث الابن دون البنت،وتوریث الأخ دون الاُخت،وتوریث العم دون</w:t>
      </w:r>
    </w:p>
    <w:p>
      <w:pPr>
        <w:pStyle w:val="BookText"/>
        <w:rPr/>
      </w:pPr>
      <w:r>
        <w:rPr>
          <w:rFonts w:ascii="IRNazanin" w:hAnsi="IRNazanin" w:eastAsia="IRNazanin"/>
          <w:color w:val="111111"/>
          <w:sz w:val="28"/>
          <w:sz w:val="28"/>
          <w:szCs w:val="28"/>
          <w:rtl w:val="true"/>
          <w:lang w:bidi="fa-IR"/>
        </w:rPr>
        <w:t>العمّة وابن العمّ دون بنته فأعلنت مشارکة النساء مع الرجال فی الإرث إذا کانوا فی القرابة فی مرتبة واحدة کالابن و البنت و الأخ والاُخت،وابن الابن وبنته و العم و العمّة وغیرهم فلا یوجد فی الشرع مورد تکون المرأة مع المرأ فی درجة واحدة إلاّ وهی ترث من المیت بحکم هذه الآیة الکریمة،وها هو النظام الشرعی المنبثق عن العدل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النظام الّذی تجلی فیه اعتناء الإسلام بشأن المرأة وترفیع مستواها فی الحقوق المالیة کسایر حقوقها کان کقانون عام لایقبل التخصیص و الإستثناء إلاّ إذا کان وجهه ظاهراً بنظر العرف‌کحرمان الوارث الکافر و الوارث القاتل،ومن النصوص القرآنیة الّتی تدلّ علی بطلان التعصیب،قوله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الْأَرْحامِ بَعْضُهُمْ أَوْلی بِبَعْضٍ فِی کِتابِ اللّهِ</w:t>
      </w:r>
      <w:r>
        <w:rPr>
          <w:rFonts w:eastAsia="IRNazanin" w:cs="IRNazanin"/>
          <w:color w:val="111111"/>
          <w:sz w:val="28"/>
          <w:szCs w:val="28"/>
          <w:rtl w:val="true"/>
          <w:lang w:bidi="fa-IR"/>
        </w:rPr>
        <w:t xml:space="preserve">... .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هذه الآیة تشکّل قاعدة فقهیة فی المواریث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الأقرب یمنع الأبعد،و مفادها أنّ الإرث علی ترتیب الطبقات،الأقرب فالأقرب،والأقرب ذکراًکان أو انثی یمنع الأبعد،ومن‌کان منهما فی الطبقة المتقدمة‌یمنع من کان فی الطبقة المتأخرة،ولا ریب أنّ البنت أقرب من ابن ابن أخ ومن ابن العم ومن العم؛لأنّها تتقرب إلی المیت بنفسها وهؤلاء یتقربون إلیه بالواسطة،فالحکم بتقدیم‌کلّ واحد من هولاء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للأبعد علی الأقرب،ولاریب أنّ هذا ردّ علی هذا النص القرآنی الّذی صرّح بأنّ الأقرب من اولی الأرحام أولی من الأبعد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الآیتین المتلوتین تثمران أنّ الأقربیة إلی‌المیت هی تمام المناط لإرث الوارث فکلّما تحقق لشخص هذا المناط فإنّه یرث المیت ولا ترجیح لأقرب علی أقرب إذا کان الأقرب أکثر من واحد سواء کان الجمیع ذکوراً أم إناثاً أو بعضهم</w:t>
      </w:r>
      <w:bookmarkStart w:id="2492" w:name="pg5240_59657"/>
    </w:p>
    <w:p>
      <w:pPr>
        <w:pStyle w:val="BookText"/>
        <w:rPr/>
      </w:pPr>
      <w:bookmarkEnd w:id="2492"/>
      <w:r>
        <w:rPr>
          <w:rFonts w:ascii="IRNazanin" w:hAnsi="IRNazanin" w:eastAsia="IRNazanin"/>
          <w:color w:val="111111"/>
          <w:sz w:val="28"/>
          <w:sz w:val="28"/>
          <w:szCs w:val="28"/>
          <w:rtl w:val="true"/>
          <w:lang w:bidi="fa-IR"/>
        </w:rPr>
        <w:t>من الذکور وبعضهم من الإناث،وسواء کان ما یرثونه جمیع ترکة المیت أو بعضها مما بقی من الفرائض،فالقول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بقی من الفروض لاُولی رجل ذکر دون من‌کان فی درجته من الإناث ردّ علی ما تنص علیه الآیتان من أنّ تمام المناط فی إرث المال الأقربیة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المقصود من اولی الأرحام هو الأقرب إلی المیت قرابة ولا خلاف فیه لغة وشرعاً کما أنّ ذلک المعنی هو المتفاهم عند العرف بلا 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النصوص القرآنیة هناک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هَلَکَ لَیْسَ لَهُ وَلَدٌ وَ لَهُ أُخْتٌ فَلَها نِصْفُ ما تَرَکَ وَ هُوَ یَرِثُها إِنْ لَمْ یَکُنْ لَها وَلَدٌ</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صرحت هذه الآیة بأنّ إرث الأخ من الاُخت مشروط بانتفاء الولد،ولا ریب فی أنّ البنت ولد کما یدلنا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یکون الأخ وارثاً مع الولدمطلقاً بنتاً کان الولد أو ابناً؛لان المشروط ینتفی بانتفاء شرطه،فتوریث الأخ النصف مع البنت ردّ علی الکتاب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إلی ذلک أن القول بالتعصیب یخالف الکتاب فی توریث اخت المیت لأبیه واُمّه النصف مع بنت المیت،فإن ذلک أیضاً ردّ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هَلَکَ لَیْسَ لَهُ وَلَدٌ وَ 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الولد علی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الحاکم فی المستدرک أنّه سئل ابن عبّاس عن رجل توفی وترک بنته واُخته لأبیه واُمّه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لاُخته شیء و البنت تأخذ النصف فرضاً و الباقی تأخذه رداً</w:t>
      </w:r>
      <w:r>
        <w:rPr>
          <w:rFonts w:eastAsia="Amiri" w:cs="Amiri" w:ascii="Amiri" w:hAnsi="Amiri"/>
          <w:color w:val="111111"/>
          <w:sz w:val="28"/>
          <w:szCs w:val="28"/>
          <w:rtl w:val="true"/>
          <w:lang w:bidi="ar-SA"/>
        </w:rPr>
        <w:t>.</w:t>
      </w:r>
    </w:p>
    <w:p>
      <w:pPr>
        <w:pStyle w:val="Heading3"/>
        <w:numPr>
          <w:ilvl w:val="2"/>
          <w:numId w:val="1"/>
        </w:numPr>
        <w:rPr/>
      </w:pPr>
      <w:bookmarkStart w:id="2493" w:name="__RefHeading___Toc364372_581953129"/>
      <w:bookmarkStart w:id="2494" w:name="_Toc1040"/>
      <w:bookmarkEnd w:id="2493"/>
      <w:r>
        <w:rPr>
          <w:rtl w:val="true"/>
        </w:rPr>
        <w:t>السنة الشریفة وبطلان التعصیب</w:t>
      </w:r>
      <w:bookmarkEnd w:id="249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أخرجه البخاری فی مواضع من صحیحه وکذا مسلم وغیرهما ومن جملة طرقه ما رواه البخاری فی باب میراث البنات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الحمیدی حدثنا سفیان</w:t>
      </w:r>
    </w:p>
    <w:p>
      <w:pPr>
        <w:pStyle w:val="BookText"/>
        <w:rPr/>
      </w:pPr>
      <w:r>
        <w:rPr>
          <w:rFonts w:ascii="IRNazanin" w:hAnsi="IRNazanin" w:eastAsia="IRNazanin"/>
          <w:color w:val="111111"/>
          <w:sz w:val="28"/>
          <w:sz w:val="28"/>
          <w:szCs w:val="28"/>
          <w:rtl w:val="true"/>
          <w:lang w:bidi="fa-IR"/>
        </w:rPr>
        <w:t>حدثنا الزهری أخبرنی عامربن سعدبن أبی‌وقاص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مرضت بمکّة مرضاً فأشرفت منه علی الموت فأتانی النبی صلی الله علیه و آله یعودنی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لی مالاً کثیراً،ولیس یرثنی إلاّ ابنتی أفَأتصدق بثلثی مالی؟قال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فالشطر؟قال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کبیر،إنّک إن ترکت ولدک أغنیاء خیر من أن تترکهم عالة یتکففون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صحیح مسلم فی باب الوصیة بالثلث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یرثنی إلاّ ابنة لی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سنن الترمذی فی باب ما جاء فی الوصیة بالثلث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حسن صحیح و قد روی هذا الحدیث من غیر وجه عن سعدبن أبی‌وقاص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وأخرجه کما فی الدر المنثور مالک و الطیالسی وابن أبی‌شیبة وأبوداود و النسائی وابن خزیمة وابن الجارود وابن حبان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 نص علی بطلان القول بالتعصیب؛لأنّه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یرثنی إلا 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ینکر علیه رسول الله صلی الله علیه و آله</w:t>
      </w:r>
      <w:r>
        <w:rPr>
          <w:rFonts w:eastAsia="IRNazanin" w:cs="IRNazanin"/>
          <w:color w:val="111111"/>
          <w:sz w:val="28"/>
          <w:szCs w:val="28"/>
          <w:rtl w:val="true"/>
          <w:lang w:bidi="fa-IR"/>
        </w:rPr>
        <w:t>.</w:t>
      </w:r>
      <w:bookmarkStart w:id="2495" w:name="pg5240_59661"/>
    </w:p>
    <w:p>
      <w:pPr>
        <w:pStyle w:val="Heading3"/>
        <w:numPr>
          <w:ilvl w:val="2"/>
          <w:numId w:val="1"/>
        </w:numPr>
        <w:rPr/>
      </w:pPr>
      <w:bookmarkStart w:id="2496" w:name="__RefHeading___Toc364374_581953129"/>
      <w:bookmarkStart w:id="2497" w:name="_Toc1041"/>
      <w:bookmarkEnd w:id="2495"/>
      <w:bookmarkEnd w:id="2496"/>
      <w:r>
        <w:rPr>
          <w:rtl w:val="true"/>
        </w:rPr>
        <w:t>الخلاصة</w:t>
      </w:r>
      <w:bookmarkEnd w:id="2497"/>
    </w:p>
    <w:p>
      <w:pPr>
        <w:pStyle w:val="BookText"/>
        <w:rPr/>
      </w:pPr>
      <w:r>
        <w:rPr>
          <w:rFonts w:ascii="IRNazanin" w:hAnsi="IRNazanin" w:eastAsia="IRNazanin"/>
          <w:color w:val="111111"/>
          <w:sz w:val="28"/>
          <w:sz w:val="28"/>
          <w:szCs w:val="28"/>
          <w:rtl w:val="true"/>
          <w:lang w:bidi="fa-IR"/>
        </w:rPr>
        <w:t>القول بالتعصیب یخالف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 الّتی یستدل بها علی إثبات التعصیب غیر صالحة للاستناد للإشکال فی السند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یوجد نصوص تدلّنا علی بطلان 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التعصیب وثیق الصلة بالعصبیة الجاهلیة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التعصیب یوجب آثاراً سلبیة کثیرة</w:t>
      </w:r>
      <w:r>
        <w:rPr>
          <w:rFonts w:eastAsia="IRNazanin" w:cs="IRNazanin"/>
          <w:color w:val="111111"/>
          <w:sz w:val="28"/>
          <w:szCs w:val="28"/>
          <w:rtl w:val="true"/>
          <w:lang w:bidi="fa-IR"/>
        </w:rPr>
        <w:t>.</w:t>
      </w:r>
      <w:bookmarkStart w:id="2498" w:name="pg5240_59663"/>
    </w:p>
    <w:p>
      <w:pPr>
        <w:pStyle w:val="Heading3"/>
        <w:numPr>
          <w:ilvl w:val="2"/>
          <w:numId w:val="1"/>
        </w:numPr>
        <w:rPr/>
      </w:pPr>
      <w:bookmarkStart w:id="2499" w:name="__RefHeading___Toc364376_581953129"/>
      <w:bookmarkStart w:id="2500" w:name="_Toc1042"/>
      <w:bookmarkEnd w:id="2498"/>
      <w:bookmarkEnd w:id="2499"/>
      <w:r>
        <w:rPr>
          <w:rtl w:val="true"/>
        </w:rPr>
        <w:t>الأسئلة</w:t>
      </w:r>
      <w:bookmarkEnd w:id="2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صحّة التعصیب وشرعیته؟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الإشکال علی الخبر الّذی یستدل به علی التعصیب؟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الآیة الّتی تدلّنا علی بطلان التعصیب؟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الروایة الّتی تدلّنا علی بطلان التعصیب؟</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الأثر السلبی البارز للقول بالتعصیب؟</w:t>
      </w:r>
      <w:bookmarkStart w:id="2501" w:name="pg5240_59667"/>
    </w:p>
    <w:p>
      <w:pPr>
        <w:pStyle w:val="Heading2"/>
        <w:numPr>
          <w:ilvl w:val="1"/>
          <w:numId w:val="1"/>
        </w:numPr>
        <w:rPr/>
      </w:pPr>
      <w:bookmarkStart w:id="2502" w:name="__RefHeading___Toc364378_581953129"/>
      <w:bookmarkStart w:id="2503" w:name="_Toc1043"/>
      <w:bookmarkEnd w:id="2501"/>
      <w:bookmarkEnd w:id="2502"/>
      <w:r>
        <w:rPr/>
        <w:t>39</w:t>
      </w:r>
      <w:r>
        <w:rPr>
          <w:rtl w:val="true"/>
        </w:rPr>
        <w:t xml:space="preserve">- </w:t>
      </w:r>
      <w:r>
        <w:rPr>
          <w:rtl w:val="true"/>
        </w:rPr>
        <w:t>الوصیة</w:t>
      </w:r>
      <w:bookmarkEnd w:id="2503"/>
    </w:p>
    <w:p>
      <w:pPr>
        <w:pStyle w:val="Heading3"/>
        <w:numPr>
          <w:ilvl w:val="2"/>
          <w:numId w:val="1"/>
        </w:numPr>
        <w:rPr/>
      </w:pPr>
      <w:bookmarkStart w:id="2504" w:name="__RefHeading___Toc364380_581953129"/>
      <w:bookmarkStart w:id="2505" w:name="_Toc1044"/>
      <w:bookmarkEnd w:id="2504"/>
      <w:r>
        <w:rPr>
          <w:rtl w:val="true"/>
        </w:rPr>
        <w:t>اشتراط القبول فی الوصیة</w:t>
      </w:r>
      <w:bookmarkEnd w:id="2505"/>
    </w:p>
    <w:p>
      <w:pPr>
        <w:pStyle w:val="Heading4"/>
        <w:numPr>
          <w:ilvl w:val="3"/>
          <w:numId w:val="1"/>
        </w:numPr>
        <w:rPr/>
      </w:pPr>
      <w:bookmarkStart w:id="2506" w:name="__RefHeading___Toc364382_581953129"/>
      <w:bookmarkStart w:id="2507" w:name="_Toc1045"/>
      <w:bookmarkEnd w:id="2506"/>
      <w:r>
        <w:rPr>
          <w:rtl w:val="true"/>
        </w:rPr>
        <w:t>اشارة</w:t>
      </w:r>
      <w:bookmarkEnd w:id="2507"/>
    </w:p>
    <w:p>
      <w:pPr>
        <w:pStyle w:val="BookText"/>
        <w:rPr/>
      </w:pPr>
      <w:r>
        <w:rPr>
          <w:rFonts w:ascii="IRNazanin" w:hAnsi="IRNazanin" w:eastAsia="IRNazanin"/>
          <w:color w:val="111111"/>
          <w:sz w:val="28"/>
          <w:sz w:val="28"/>
          <w:szCs w:val="28"/>
          <w:rtl w:val="true"/>
          <w:lang w:bidi="fa-IR"/>
        </w:rPr>
        <w:t>قال‌السید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العهدیة لاتحتاج إلی‌القبول واما التملیکیة فالمشهور علی أنّه یعتبر فیها القبول جزءاً وعلیه تکون من العقود،أو شرط علی وجه الکشف أو النقل،فیکون من الإیقاعات ویحتمل قویاً عدم اعتبار القبول فیها بل یکون الرد مانعاً وعلیه تکون من الإیقاع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یستلزم الملک القهری و هو باطل فی غیر مثل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 بأنّه لا مانع منه عقلاً ومقتضی عمومات الوصیة ذلک مع أنّ الملک القهری موجود فی الوقف</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بأنّه بناء علی اعتبار القبول یصح قبل وفاته علی الأقوی،ولاوجه لما عن جماعة من عدم صحته حال الحیاة؛لأنّها تملیک بعد الموت فالقبول قبله کالقبول قبل الوصیة،فلا محل له،ولأنه کاشف أو ناقل وهما معاً منتفیان حال الحیاة،إذن نمنع عدم المحل له،إنّ الإنشاء المعلق علی الموت قد حصل فیمکن القبول المطابق له،والکشف و النقل إنّما یکونان بعد تحقق المعلق علیه فهما فی القبول بعد الموت لا مطلق</w:t>
      </w:r>
      <w:r>
        <w:rPr>
          <w:rFonts w:eastAsia="IRNazanin" w:cs="IRNazanin"/>
          <w:color w:val="111111"/>
          <w:sz w:val="28"/>
          <w:szCs w:val="28"/>
          <w:rtl w:val="true"/>
          <w:lang w:bidi="fa-IR"/>
        </w:rPr>
        <w:t xml:space="preserve">. </w:t>
      </w:r>
      <w:r>
        <w:rPr>
          <w:rStyle w:val="FootnoteAnchor"/>
          <w:rtl w:val="true"/>
        </w:rPr>
        <w:footnoteReference w:id="1215"/>
      </w:r>
      <w:bookmarkStart w:id="2508" w:name="pg5240_59669"/>
    </w:p>
    <w:p>
      <w:pPr>
        <w:pStyle w:val="Heading4"/>
        <w:numPr>
          <w:ilvl w:val="3"/>
          <w:numId w:val="1"/>
        </w:numPr>
        <w:rPr/>
      </w:pPr>
      <w:bookmarkStart w:id="2509" w:name="__RefHeading___Toc364384_581953129"/>
      <w:bookmarkStart w:id="2510" w:name="_Toc1046"/>
      <w:bookmarkEnd w:id="2508"/>
      <w:bookmarkEnd w:id="2509"/>
      <w:r>
        <w:rPr>
          <w:rtl w:val="true"/>
        </w:rPr>
        <w:t>المذاهب الأربعة</w:t>
      </w:r>
      <w:bookmarkEnd w:id="2510"/>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تملک مضاف إلی ما بعد الموت،المالکیة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فی عرف الفقهاء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تبرع بحق مضاف إلی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هی الأمر بالتصرف بعد الموت ومن‌الواضح أن تلک المصطحات تندرج تحت القسمین، </w:t>
      </w:r>
      <w:r>
        <w:rPr>
          <w:rStyle w:val="FootnoteAnchor"/>
          <w:rtl w:val="true"/>
        </w:rPr>
        <w:footnoteReference w:id="1216"/>
      </w:r>
      <w:r>
        <w:rPr>
          <w:rFonts w:ascii="IRNazanin" w:hAnsi="IRNazanin" w:eastAsia="IRNazanin"/>
          <w:color w:val="111111"/>
          <w:sz w:val="28"/>
          <w:sz w:val="28"/>
          <w:szCs w:val="28"/>
          <w:rtl w:val="true"/>
          <w:lang w:bidi="fa-IR"/>
        </w:rPr>
        <w:t>التمکیلیة و العهدیة،کما ألمح الیهما السید الطباطبائی الیزدی فی مبدأ البحث ویشترط فی الوصیة القبول ویشترط فی القبول أن یکون بعد الموت علی المذاهب الأربعة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الوصیة تملیک بعد الموت فهی معلقة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القبول لیس بشرط لأنّ الوصیة من باب المیراث</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منشأ الاختلاف</w:t>
      </w:r>
    </w:p>
    <w:p>
      <w:pPr>
        <w:pStyle w:val="BookText"/>
        <w:rPr/>
      </w:pPr>
      <w:r>
        <w:rPr>
          <w:rFonts w:ascii="IRNazanin" w:hAnsi="IRNazanin" w:eastAsia="IRNazanin"/>
          <w:color w:val="111111"/>
          <w:sz w:val="28"/>
          <w:sz w:val="28"/>
          <w:szCs w:val="28"/>
          <w:rtl w:val="true"/>
          <w:lang w:bidi="fa-IR"/>
        </w:rPr>
        <w:t>إنّ الاختلاف هناک ناشئ عن الاختلاف فی الاجتهاد وبما أنّ الاختلاف یسیر فالأمر سهل</w:t>
      </w:r>
      <w:r>
        <w:rPr>
          <w:rFonts w:eastAsia="IRNazanin" w:cs="IRNazanin"/>
          <w:color w:val="111111"/>
          <w:sz w:val="28"/>
          <w:szCs w:val="28"/>
          <w:rtl w:val="true"/>
          <w:lang w:bidi="fa-IR"/>
        </w:rPr>
        <w:t>.</w:t>
      </w:r>
    </w:p>
    <w:p>
      <w:pPr>
        <w:pStyle w:val="Heading3"/>
        <w:numPr>
          <w:ilvl w:val="2"/>
          <w:numId w:val="1"/>
        </w:numPr>
        <w:rPr/>
      </w:pPr>
      <w:bookmarkStart w:id="2511" w:name="__RefHeading___Toc364386_581953129"/>
      <w:bookmarkStart w:id="2512" w:name="_Toc1047"/>
      <w:bookmarkEnd w:id="2511"/>
      <w:r>
        <w:rPr>
          <w:rtl w:val="true"/>
        </w:rPr>
        <w:t>ما یتصل بأحوال المیت الشخصیة</w:t>
      </w:r>
      <w:bookmarkEnd w:id="251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هناک عدة مستحبات ومکروهات تتصل بدفن المیت فیما أنّها غیر الزامیه لا ملزم للبحث عنها،إلا أن بعض المعاصرین من أتباع الحنابلة یشدّدون علی أتباع آل البیت علیهم السلام بالنسبة إلی بناء القبور و البقاء علی المیت وزیارت القبور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فیجدر بنا أن نتحدث عنها من مصادر معتبرة عند الحنابلة حتّی یبتین لنا أحکام تلک الاُمور الفقهیة</w:t>
      </w:r>
      <w:r>
        <w:rPr>
          <w:rFonts w:eastAsia="IRNazanin" w:cs="IRNazanin"/>
          <w:color w:val="111111"/>
          <w:sz w:val="28"/>
          <w:szCs w:val="28"/>
          <w:rtl w:val="true"/>
          <w:lang w:bidi="fa-IR"/>
        </w:rPr>
        <w:t>.</w:t>
      </w:r>
      <w:bookmarkStart w:id="2513" w:name="pg5240_59670"/>
    </w:p>
    <w:p>
      <w:pPr>
        <w:pStyle w:val="Heading3"/>
        <w:numPr>
          <w:ilvl w:val="2"/>
          <w:numId w:val="1"/>
        </w:numPr>
        <w:rPr/>
      </w:pPr>
      <w:bookmarkStart w:id="2514" w:name="__RefHeading___Toc364388_581953129"/>
      <w:bookmarkStart w:id="2515" w:name="_Toc1048"/>
      <w:bookmarkEnd w:id="2513"/>
      <w:bookmarkEnd w:id="2514"/>
      <w:r>
        <w:rPr>
          <w:rtl w:val="true"/>
        </w:rPr>
        <w:t>البناء علی القبور</w:t>
      </w:r>
      <w:bookmarkEnd w:id="2515"/>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یبنی علی القبر بیت أو قبة أو 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الأرض غیر مسبلة وإلاّ فتحرم علی المذاهب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البناء مکروه مطلقاً سواء کانت الأرض مسبلة أولا</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البناء علی القبر وتجصیصه و الکتابة علیه لما روی مسلم فی صحیحه،وقال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حسن صحیح ولأنّ ذلک من زینة الدنیا فلا حاجة بالمیت إلیه وفی هذا الحدیث دلیل علی الرخصة فی طن‌القبر لتخصیصه التجصیص بالنهی </w:t>
      </w:r>
      <w:r>
        <w:rPr>
          <w:rStyle w:val="FootnoteAnchor"/>
          <w:rtl w:val="true"/>
        </w:rPr>
        <w:footnoteReference w:id="1219"/>
      </w:r>
      <w:r>
        <w:rPr>
          <w:rFonts w:ascii="IRNazanin" w:hAnsi="IRNazanin" w:eastAsia="IRNazanin"/>
          <w:color w:val="111111"/>
          <w:sz w:val="28"/>
          <w:sz w:val="28"/>
          <w:szCs w:val="28"/>
          <w:rtl w:val="true"/>
          <w:lang w:bidi="fa-IR"/>
        </w:rPr>
        <w:t>وعلیه فلایحرم البناءعلی القبور قالالسید الطباطبائی الیزدی بأن من المکروهات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علیة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 قبور الانبیاء والاوصیاء و الصلحاء و العلماء </w:t>
      </w:r>
      <w:r>
        <w:rPr>
          <w:rStyle w:val="FootnoteAnchor"/>
          <w:rtl w:val="true"/>
        </w:rPr>
        <w:footnoteReference w:id="1220"/>
      </w:r>
      <w:r>
        <w:rPr>
          <w:rFonts w:ascii="IRNazanin" w:hAnsi="IRNazanin" w:eastAsia="IRNazanin"/>
          <w:color w:val="111111"/>
          <w:sz w:val="28"/>
          <w:sz w:val="28"/>
          <w:szCs w:val="28"/>
          <w:rtl w:val="true"/>
          <w:lang w:bidi="fa-IR"/>
        </w:rPr>
        <w:t xml:space="preserve">أما الکراهة؛للروایات الضعیفة سنداً </w:t>
      </w:r>
      <w:r>
        <w:rPr>
          <w:rStyle w:val="FootnoteAnchor"/>
          <w:rtl w:val="true"/>
        </w:rPr>
        <w:footnoteReference w:id="1221"/>
      </w:r>
      <w:r>
        <w:rPr>
          <w:rFonts w:ascii="Amiri" w:hAnsi="Amiri" w:eastAsia="Amiri" w:cs="Amiri"/>
          <w:color w:val="111111"/>
          <w:sz w:val="28"/>
          <w:sz w:val="28"/>
          <w:szCs w:val="28"/>
          <w:rtl w:val="true"/>
          <w:lang w:bidi="ar-SA"/>
        </w:rPr>
        <w:t xml:space="preserve">و أما جواز البناء بالنسبة إلی قبور الأنبیاء فهو تعظیم لشعائر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یُعَظِّمْ شَعائِرَ اللّهِ فَإِنَّها مِنْ تَقْوَی الْقُلُوبِ </w:t>
      </w:r>
      <w:r>
        <w:rPr>
          <w:rStyle w:val="FootnoteAnchor"/>
          <w:rtl w:val="true"/>
        </w:rPr>
        <w:footnoteReference w:id="1222"/>
      </w:r>
      <w:r>
        <w:rPr>
          <w:rFonts w:ascii="IRNazanin" w:hAnsi="IRNazanin" w:eastAsia="IRNazanin"/>
          <w:color w:val="111111"/>
          <w:sz w:val="28"/>
          <w:sz w:val="28"/>
          <w:szCs w:val="28"/>
          <w:rtl w:val="true"/>
          <w:lang w:bidi="fa-IR"/>
        </w:rPr>
        <w:t>ولسیرة المتدینین وأقوی الشاهد علیه بناء قبر رسول الأعظم صلی الله علیه و آله وأوصیائه الطاهرین وقبر الشافعی وأبوحنیفة و البخاری</w:t>
      </w:r>
      <w:r>
        <w:rPr>
          <w:rFonts w:eastAsia="IRNazanin" w:cs="IRNazanin"/>
          <w:color w:val="111111"/>
          <w:sz w:val="28"/>
          <w:szCs w:val="28"/>
          <w:rtl w:val="true"/>
          <w:lang w:bidi="fa-IR"/>
        </w:rPr>
        <w:t>.</w:t>
      </w:r>
    </w:p>
    <w:p>
      <w:pPr>
        <w:pStyle w:val="Heading3"/>
        <w:numPr>
          <w:ilvl w:val="2"/>
          <w:numId w:val="1"/>
        </w:numPr>
        <w:rPr/>
      </w:pPr>
      <w:bookmarkStart w:id="2516" w:name="__RefHeading___Toc364390_581953129"/>
      <w:bookmarkStart w:id="2517" w:name="_Toc1049"/>
      <w:bookmarkEnd w:id="2516"/>
      <w:r>
        <w:rPr>
          <w:rtl w:val="true"/>
        </w:rPr>
        <w:t>البکاء علی المیت</w:t>
      </w:r>
      <w:bookmarkEnd w:id="2517"/>
    </w:p>
    <w:p>
      <w:p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والبکاء غیر مکروه إذا لم یکن معه ندب ولا نیاحة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البکاء بمجرده فلایکره فی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علیه بروایات متعددة،منها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جابر أنّ النبی صلی الله علیه و آله أخذ إبنه فوضعه علی حجره فبکی</w:t>
      </w:r>
    </w:p>
    <w:p>
      <w:pPr>
        <w:pStyle w:val="BookText"/>
        <w:rPr/>
      </w:pPr>
      <w:r>
        <w:rPr>
          <w:rFonts w:ascii="IRNazanin" w:hAnsi="IRNazanin" w:eastAsia="IRNazanin"/>
          <w:color w:val="111111"/>
          <w:sz w:val="28"/>
          <w:sz w:val="28"/>
          <w:szCs w:val="28"/>
          <w:rtl w:val="true"/>
          <w:lang w:bidi="fa-IR"/>
        </w:rPr>
        <w:t>فقال له عبد الرحمن‌بن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أتبکی أولم تکن نهیت عن البکاء؟قال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نهیت عن صوتین احمقین فاجرین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عند مصیبة،وخمش وجوه وشق جیوب،ورنة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 هذا حدیث حسن و هذا یدل علی أنّه لم ینه عن مطلق البکاء و إنّما نهی عنه موصوفاً بهذه الصفات</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ذکرت المرأة مثل ما حکی عن فاطمة فی مثل الدعاء لا یکون مثل النوح،یعنی لا بأس به،وروی عن فاطمة علیها السلام إنّها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ربه ما أدناه،یا أبتاه إلی جبریل انعاه،یا أبتاه أجاب رباً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أخذت قبضة من‌تراب قبر النبی صلی الله علیه و آله فوضعتها علی عینها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مشتم تربت أحمد</w:t>
      </w:r>
    </w:p>
    <w:p>
      <w:pPr>
        <w:pStyle w:val="BookText"/>
        <w:rPr/>
      </w:pPr>
      <w:r>
        <w:rPr>
          <w:rFonts w:ascii="IRNazanin" w:hAnsi="IRNazanin" w:eastAsia="IRNazanin"/>
          <w:color w:val="111111"/>
          <w:sz w:val="28"/>
          <w:sz w:val="28"/>
          <w:szCs w:val="28"/>
          <w:rtl w:val="true"/>
          <w:lang w:bidi="fa-IR"/>
        </w:rPr>
        <w:t xml:space="preserve">أن لا یثم مد الزمان غوالیا صبت علی مصیبة لو أنّها صبت علی الایام عدن لیالیا </w:t>
      </w:r>
      <w:r>
        <w:rPr>
          <w:rStyle w:val="FootnoteAnchor"/>
          <w:rtl w:val="true"/>
        </w:rPr>
        <w:footnoteReference w:id="1224"/>
      </w: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البکاء علی المیت ولو کان مع الصوت بل قد یکون راجحاً کما إذا کان مسکناً للحزن وحرقة القلب بشرط أن لا یکون منافیاً للرضا بقضاء الله</w:t>
      </w:r>
      <w:r>
        <w:rPr>
          <w:rFonts w:eastAsia="IRNazanin" w:cs="IRNazanin"/>
          <w:color w:val="111111"/>
          <w:sz w:val="28"/>
          <w:szCs w:val="28"/>
          <w:rtl w:val="true"/>
          <w:lang w:bidi="fa-IR"/>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البکاء المشتمل علی الجزع وعدم الصبر فجائز ما لم یکن مقروناً بعدم الرضا بقضاء الله،نعم یوجب حبط الأجر ولایبعد کراهته</w:t>
      </w:r>
      <w:r>
        <w:rPr>
          <w:rFonts w:eastAsia="IRNazanin" w:cs="IRNazanin"/>
          <w:color w:val="111111"/>
          <w:sz w:val="28"/>
          <w:szCs w:val="28"/>
          <w:rtl w:val="true"/>
          <w:lang w:bidi="fa-IR"/>
        </w:rPr>
        <w:t xml:space="preserve">. </w:t>
      </w:r>
      <w:r>
        <w:rPr>
          <w:rStyle w:val="FootnoteAnchor"/>
          <w:rtl w:val="true"/>
        </w:rPr>
        <w:footnoteReference w:id="122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الشافعیة و 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البکاءعلی‌المیت برفع الصوت و الصیاح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Style w:val="FootnoteAnchor"/>
          <w:rtl w:val="true"/>
        </w:rPr>
        <w:footnoteReference w:id="1227"/>
      </w:r>
      <w:bookmarkStart w:id="2518" w:name="pg5240_59674"/>
    </w:p>
    <w:p>
      <w:pPr>
        <w:pStyle w:val="Heading3"/>
        <w:numPr>
          <w:ilvl w:val="2"/>
          <w:numId w:val="1"/>
        </w:numPr>
        <w:rPr/>
      </w:pPr>
      <w:bookmarkStart w:id="2519" w:name="__RefHeading___Toc364392_581953129"/>
      <w:bookmarkStart w:id="2520" w:name="_Toc1050"/>
      <w:bookmarkEnd w:id="2518"/>
      <w:bookmarkEnd w:id="2519"/>
      <w:r>
        <w:rPr>
          <w:rtl w:val="true"/>
        </w:rPr>
        <w:t>النوح و النیاحة</w:t>
      </w:r>
      <w:bookmarkEnd w:id="2520"/>
    </w:p>
    <w:p>
      <w:pPr>
        <w:pStyle w:val="BookText"/>
        <w:rPr/>
      </w:pPr>
      <w:r>
        <w:rPr>
          <w:rFonts w:ascii="IRNazanin" w:hAnsi="IRNazanin" w:eastAsia="IRNazanin"/>
          <w:color w:val="111111"/>
          <w:sz w:val="28"/>
          <w:sz w:val="28"/>
          <w:szCs w:val="28"/>
          <w:rtl w:val="true"/>
          <w:lang w:bidi="fa-IR"/>
        </w:rPr>
        <w:t>قال 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النوح علی‌المیت بالنظم و النثرما لم‌یتضمن‌الکذب </w:t>
      </w:r>
      <w:r>
        <w:rPr>
          <w:rStyle w:val="FootnoteAnchor"/>
          <w:rtl w:val="true"/>
        </w:rPr>
        <w:footnoteReference w:id="1228"/>
      </w:r>
      <w:r>
        <w:rPr>
          <w:rFonts w:ascii="IRNazanin" w:hAnsi="IRNazanin" w:eastAsia="IRNazanin"/>
          <w:color w:val="111111"/>
          <w:sz w:val="28"/>
          <w:sz w:val="28"/>
          <w:szCs w:val="28"/>
          <w:rtl w:val="true"/>
          <w:lang w:bidi="fa-IR"/>
        </w:rPr>
        <w:t>للاصل وللسیرة وللروایات،ولعدم الدلیل علی الحرمة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الأخبار تدل علی تحریم النوح،لأنّ النبی صلی الله علیه و آله نهی عنه فی حدیث جابر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یَعْصِینَکَ فِی مَعْرُوفٍ </w:t>
      </w:r>
      <w:r>
        <w:rPr>
          <w:rStyle w:val="FootnoteAnchor"/>
          <w:rtl w:val="true"/>
        </w:rPr>
        <w:footnoteReference w:id="1229"/>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النوح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صحح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یعذب فی قبره بما یناح علیه وفی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لیعذب ببکاء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ذلک عن عمر وإبنه و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أحادیث متفق علیها</w:t>
      </w:r>
      <w:r>
        <w:rPr>
          <w:rFonts w:eastAsia="IRNazanin" w:cs="IRNazanin"/>
          <w:color w:val="111111"/>
          <w:sz w:val="28"/>
          <w:szCs w:val="28"/>
          <w:rtl w:val="true"/>
          <w:lang w:bidi="fa-IR"/>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قال ابن عباس ذکر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لعائشة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ما حدث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لیعذب المؤمن ببکاء أهله علیه ولکن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لیزید الکافر عذاباً ببکاء أهله علیه،حسبکم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و الله اضحک وابکی وذکر ابن عباس لابن عمر حین روی حدیثه فما قال شیئاً رواه مسلم</w:t>
      </w:r>
      <w:r>
        <w:rPr>
          <w:rFonts w:eastAsia="IRNazanin" w:cs="IRNazanin"/>
          <w:color w:val="111111"/>
          <w:sz w:val="28"/>
          <w:szCs w:val="28"/>
          <w:rtl w:val="true"/>
          <w:lang w:bidi="fa-IR"/>
        </w:rPr>
        <w:t xml:space="preserve">. </w:t>
      </w:r>
      <w:r>
        <w:rPr>
          <w:rStyle w:val="FootnoteAnchor"/>
          <w:rtl w:val="true"/>
        </w:rPr>
        <w:footnoteReference w:id="123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المتلوة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ضعف سندها لیست قابلة للتصدیق،لمخالفتها لصریح الکتاب،قال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 فإنّه بعیدعن العدل الإلهی أن یعذب المیت ببکاء شخص آخر وفعل غیر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ارتکب أعظم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الاعتماد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عن الإمام</w:t>
      </w:r>
      <w:bookmarkStart w:id="2521" w:name="pg5240_59676"/>
    </w:p>
    <w:p>
      <w:pPr>
        <w:pStyle w:val="BookText"/>
        <w:rPr/>
      </w:pPr>
      <w:bookmarkEnd w:id="2521"/>
      <w:r>
        <w:rPr>
          <w:rFonts w:ascii="Amiri" w:hAnsi="Amiri" w:eastAsia="Amiri" w:cs="Amiri"/>
          <w:color w:val="111111"/>
          <w:sz w:val="28"/>
          <w:sz w:val="28"/>
          <w:szCs w:val="28"/>
          <w:rtl w:val="true"/>
          <w:lang w:bidi="ar-SA"/>
        </w:rPr>
        <w:t>الصادق علیه السلام 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یَعْصِینَکَ فِی مَعْرُوفٍ ،المعروف أن لایشقق جیباً ولایلطمن وجهاً ولا یدعون ویلاً</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وقال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النوح ما لم یشتمل علی الویل و الثبور</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فتبین لنا أن النوح بما هو شعر أو نثر بمجرده أمر سائغ لا دلیل علی حرمته کتاباً وسُنّةً و أما شق الجیب ولطم الخد وجز الشعر کل ذلک لایجوز علی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اللطم و الخدش وجزالشعر بل و الصراخ الخارج عن حد الاعتدال</w:t>
      </w:r>
      <w:r>
        <w:rPr>
          <w:rFonts w:eastAsia="IRNazanin" w:cs="IRNazanin"/>
          <w:color w:val="111111"/>
          <w:sz w:val="28"/>
          <w:szCs w:val="28"/>
          <w:rtl w:val="true"/>
          <w:lang w:bidi="fa-IR"/>
        </w:rPr>
        <w:t xml:space="preserve">. </w:t>
      </w:r>
      <w:r>
        <w:rPr>
          <w:rStyle w:val="FootnoteAnchor"/>
          <w:rtl w:val="true"/>
        </w:rPr>
        <w:footnoteReference w:id="1236"/>
      </w:r>
    </w:p>
    <w:p>
      <w:pPr>
        <w:pStyle w:val="Heading3"/>
        <w:numPr>
          <w:ilvl w:val="2"/>
          <w:numId w:val="1"/>
        </w:numPr>
        <w:rPr/>
      </w:pPr>
      <w:bookmarkStart w:id="2522" w:name="__RefHeading___Toc364394_581953129"/>
      <w:bookmarkStart w:id="2523" w:name="_Toc1051"/>
      <w:bookmarkEnd w:id="2522"/>
      <w:r>
        <w:rPr>
          <w:rtl w:val="true"/>
        </w:rPr>
        <w:t>التوسل إلی قبور الصلحاء</w:t>
      </w:r>
      <w:bookmarkEnd w:id="2523"/>
    </w:p>
    <w:p>
      <w:pPr>
        <w:pStyle w:val="BookText"/>
        <w:rPr/>
      </w:pPr>
      <w:r>
        <w:rPr>
          <w:rFonts w:ascii="IRNazanin" w:hAnsi="IRNazanin" w:eastAsia="IRNazanin"/>
          <w:color w:val="111111"/>
          <w:sz w:val="28"/>
          <w:sz w:val="28"/>
          <w:szCs w:val="28"/>
          <w:rtl w:val="true"/>
          <w:lang w:bidi="fa-IR"/>
        </w:rPr>
        <w:t>قال 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الدفن فی المقبرة التی یکثر فیها الصالحون و الشهداء لتناوله برکتهم وکذلک فی البقاع الشریفة و قد روی البخاری ومسلم باستنادهما أن موسی علیه السلام لما حضره الموت سأل الله تعالی أن یدنیه إلی الأرض المقدسة رمیة بحجر،قال‌النبی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ثم،لأریتکم قبره عند الکثیب الأحمر</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فتبین لنا بکل وضوح أنّه بالتوسل إلی بقعة شریفة یصل إلی لطف الله وبرکاته</w:t>
      </w:r>
      <w:r>
        <w:rPr>
          <w:rFonts w:eastAsia="IRNazanin" w:cs="IRNazanin"/>
          <w:color w:val="111111"/>
          <w:sz w:val="28"/>
          <w:szCs w:val="28"/>
          <w:rtl w:val="true"/>
          <w:lang w:bidi="fa-IR"/>
        </w:rPr>
        <w:t>.</w:t>
      </w:r>
    </w:p>
    <w:p>
      <w:pPr>
        <w:pStyle w:val="Heading3"/>
        <w:numPr>
          <w:ilvl w:val="2"/>
          <w:numId w:val="1"/>
        </w:numPr>
        <w:rPr/>
      </w:pPr>
      <w:bookmarkStart w:id="2524" w:name="__RefHeading___Toc364396_581953129"/>
      <w:bookmarkStart w:id="2525" w:name="_Toc1052"/>
      <w:bookmarkEnd w:id="2524"/>
      <w:r>
        <w:rPr>
          <w:rtl w:val="true"/>
        </w:rPr>
        <w:t>تلقین المیت</w:t>
      </w:r>
      <w:bookmarkEnd w:id="2525"/>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مسلم عن أبی‌هریرة لقنوا موتاکم شهادة أن لا إله إلاّ الله</w:t>
      </w:r>
      <w:r>
        <w:rPr>
          <w:rFonts w:eastAsia="IRNazanin" w:cs="IRNazanin"/>
          <w:color w:val="111111"/>
          <w:sz w:val="28"/>
          <w:szCs w:val="28"/>
          <w:rtl w:val="true"/>
          <w:lang w:bidi="fa-IR"/>
        </w:rPr>
        <w:t xml:space="preserve">. </w:t>
      </w:r>
      <w:r>
        <w:rPr>
          <w:rStyle w:val="FootnoteAnchor"/>
          <w:rtl w:val="true"/>
        </w:rPr>
        <w:footnoteReference w:id="123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تلقین المیت بعد الفراغ من دفنه وتسویة التراب علیه و التلقین هنا</w:t>
      </w:r>
      <w:bookmarkStart w:id="2526" w:name="pg5240_59678"/>
    </w:p>
    <w:p>
      <w:pPr>
        <w:pStyle w:val="BookText"/>
        <w:rPr/>
      </w:pPr>
      <w:bookmarkEnd w:id="2526"/>
      <w:r>
        <w:rPr>
          <w:rFonts w:ascii="IRNazanin" w:hAnsi="IRNazanin" w:eastAsia="IRNazanin"/>
          <w:color w:val="111111"/>
          <w:sz w:val="28"/>
          <w:sz w:val="28"/>
          <w:szCs w:val="28"/>
          <w:rtl w:val="true"/>
          <w:lang w:bidi="fa-IR"/>
        </w:rPr>
        <w:t>هو أن یقول الملقن مخاطباً للمیت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ابن فلانة اذکر العهد الذی خرجت علیه من الدنیا،شهادة أن لا إله إلاّ الله و أنّ محمداً رسول الله و أنّ الجنة حق و النار حق و أنّ البعث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التلقین مستحب عند الشافعیة و الحنبلیة </w:t>
      </w:r>
      <w:r>
        <w:rPr>
          <w:rStyle w:val="FootnoteAnchor"/>
          <w:rtl w:val="true"/>
        </w:rPr>
        <w:footnoteReference w:id="1239"/>
      </w:r>
      <w:r>
        <w:rPr>
          <w:rFonts w:ascii="IRNazanin" w:hAnsi="IRNazanin" w:eastAsia="IRNazanin"/>
          <w:color w:val="111111"/>
          <w:sz w:val="28"/>
          <w:sz w:val="28"/>
          <w:szCs w:val="28"/>
          <w:rtl w:val="true"/>
          <w:lang w:bidi="fa-IR"/>
        </w:rPr>
        <w:t>والتلقین کذلک لفظاً وحکماً مع اختلاف یسیر علی المذهب الجعفری</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قال 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القاضی وابو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ورویا فیه عن أبی أمامة الباهلی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أحدکم فسویتم علیه التراب فلیقف أحدکم عند رأس قبره ثم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ابن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أخر التلقین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یسمعه ولایجیب</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إنّ استماع المیت الذی ورد فی الروایات یتصل بروح الإنسان ولا زال الروح حتّی یبعث و هو یسمع ویرتبط مع الأحیاء،کما یویده علم إحضار الروح وغره من العلوم النفسیة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بأنّ‌من مات خلص وانتهی‌کلام غیرعلمی ینطلق من منطلق‌الجهالة ویستنکره القرآن الکریم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یئس الکنار من أصحاب القبور</w:t>
      </w:r>
      <w:r>
        <w:rPr>
          <w:rFonts w:eastAsia="IRNazanin" w:cs="IRNazanin"/>
          <w:color w:val="111111"/>
          <w:sz w:val="28"/>
          <w:szCs w:val="28"/>
          <w:rtl w:val="true"/>
          <w:lang w:bidi="fa-IR"/>
        </w:rPr>
        <w:t>.</w:t>
      </w:r>
    </w:p>
    <w:p>
      <w:pPr>
        <w:pStyle w:val="Heading3"/>
        <w:numPr>
          <w:ilvl w:val="2"/>
          <w:numId w:val="1"/>
        </w:numPr>
        <w:rPr/>
      </w:pPr>
      <w:bookmarkStart w:id="2527" w:name="__RefHeading___Toc364398_581953129"/>
      <w:bookmarkStart w:id="2528" w:name="_Toc1053"/>
      <w:bookmarkEnd w:id="2527"/>
      <w:r>
        <w:rPr>
          <w:rtl w:val="true"/>
        </w:rPr>
        <w:t>زیارت القبور</w:t>
      </w:r>
      <w:bookmarkEnd w:id="2528"/>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 مندوب للاتعاظ وتذکر الآخرة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للزائر الاشتغال بالدعاء و التضرع و الاعتبار بالموتی وقرائة القرآن للمیت فإن ذلک ینفع للمیت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یندب السفر لزیارة الموتی خصوصاً مقابر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زیارة قبر النبی صلی الله علیه و آله فهو من أعظم 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تندب زیارة القبور للرجال تندب أیضاً للنساء العجائز اللاتی لا یخشی منهنّ الفتنة</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وعلیه</w:t>
      </w:r>
      <w:bookmarkStart w:id="2529" w:name="pg5240_59680"/>
    </w:p>
    <w:p>
      <w:pPr>
        <w:pStyle w:val="BookText"/>
        <w:rPr/>
      </w:pPr>
      <w:bookmarkEnd w:id="2529"/>
      <w:r>
        <w:rPr>
          <w:rFonts w:ascii="IRNazanin" w:hAnsi="IRNazanin" w:eastAsia="IRNazanin"/>
          <w:color w:val="111111"/>
          <w:sz w:val="28"/>
          <w:sz w:val="28"/>
          <w:szCs w:val="28"/>
          <w:rtl w:val="true"/>
          <w:lang w:bidi="fa-IR"/>
        </w:rPr>
        <w:t>فإذا کانت النساء مأمونة من الفتنة،وکانت محجبات بالحجاب الإسلامی فلا مانع من زیارتهنّ للقبور بحسب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للرجال زیارة‌القبور وهل یکره للنساءعلی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أحداهما الکراهة لما روت ام عطیة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نهینا عن زیارت‌القبور ولم یغرم علینا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لایکره؛لعموم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زیارت القبور فزوروها،و هو یدل علی سبق النهی ونسخه فیدخل فیها الرجال و النساء،وروی ابن أبی‌ملیکة عن عائشة أنها زارت قبر أخیها،فقال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نهی رسول الله صلی الله علیه و آله عن زیارت القبور،قالت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نهی ثم أمر بها</w:t>
      </w:r>
      <w:r>
        <w:rPr>
          <w:rFonts w:eastAsia="IRNazanin" w:cs="IRNazanin"/>
          <w:color w:val="111111"/>
          <w:sz w:val="28"/>
          <w:szCs w:val="28"/>
          <w:rtl w:val="true"/>
          <w:lang w:bidi="fa-IR"/>
        </w:rPr>
        <w:t xml:space="preserve">. </w:t>
      </w:r>
      <w:r>
        <w:rPr>
          <w:rStyle w:val="FootnoteAnchor"/>
          <w:rtl w:val="true"/>
        </w:rPr>
        <w:footnoteReference w:id="1243"/>
      </w:r>
    </w:p>
    <w:p>
      <w:pPr>
        <w:pStyle w:val="Heading3"/>
        <w:numPr>
          <w:ilvl w:val="2"/>
          <w:numId w:val="1"/>
        </w:numPr>
        <w:rPr/>
      </w:pPr>
      <w:bookmarkStart w:id="2530" w:name="__RefHeading___Toc364400_581953129"/>
      <w:bookmarkStart w:id="2531" w:name="_Toc1054"/>
      <w:bookmarkEnd w:id="2530"/>
      <w:r>
        <w:rPr>
          <w:rtl w:val="true"/>
        </w:rPr>
        <w:t>تعزیة المصاب</w:t>
      </w:r>
      <w:bookmarkEnd w:id="2531"/>
    </w:p>
    <w:p>
      <w:pPr>
        <w:pStyle w:val="BookText"/>
        <w:rPr/>
      </w:pPr>
      <w:r>
        <w:rPr>
          <w:rFonts w:ascii="IRNazanin" w:hAnsi="IRNazanin" w:eastAsia="IRNazanin"/>
          <w:color w:val="111111"/>
          <w:sz w:val="28"/>
          <w:sz w:val="28"/>
          <w:szCs w:val="28"/>
          <w:rtl w:val="true"/>
          <w:lang w:bidi="fa-IR"/>
        </w:rPr>
        <w:t>قال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التعزیة لصاحب المصیبة مندوبة،ووقتها من حین الموت إلی ثلاثة أیام،والأولی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تکون التعزیة بعد الدفن</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تعزیة المصاب وتسلیته قبل الدفن وبعده و الثانی أفضل </w:t>
      </w:r>
      <w:r>
        <w:rPr>
          <w:rStyle w:val="FootnoteAnchor"/>
          <w:rtl w:val="true"/>
        </w:rPr>
        <w:footnoteReference w:id="1245"/>
      </w:r>
      <w:r>
        <w:rPr>
          <w:rFonts w:ascii="IRNazanin" w:hAnsi="IRNazanin" w:eastAsia="IRNazanin"/>
          <w:color w:val="111111"/>
          <w:sz w:val="28"/>
          <w:sz w:val="28"/>
          <w:szCs w:val="28"/>
          <w:rtl w:val="true"/>
          <w:lang w:bidi="fa-IR"/>
        </w:rPr>
        <w:t>ذلک للسیرة وللروایات الأخلاقیة منها ما عن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کربة مؤمن نفس الله کربه فی الدنیا و الأخرة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تعزیة أهل المیت قال 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نعلم </w:t>
      </w:r>
      <w:r>
        <w:rPr>
          <w:rStyle w:val="FootnoteAnchor"/>
          <w:rtl w:val="true"/>
        </w:rPr>
        <w:footnoteReference w:id="1246"/>
      </w:r>
      <w:r>
        <w:rPr>
          <w:rFonts w:ascii="IRNazanin" w:hAnsi="IRNazanin" w:eastAsia="IRNazanin"/>
          <w:color w:val="111111"/>
          <w:sz w:val="28"/>
          <w:sz w:val="28"/>
          <w:szCs w:val="28"/>
          <w:rtl w:val="true"/>
          <w:lang w:bidi="fa-IR"/>
        </w:rPr>
        <w:t>فیه خلافاً وسواء</w:t>
      </w:r>
      <w:bookmarkStart w:id="2532" w:name="pg5240_59682"/>
    </w:p>
    <w:p>
      <w:pPr>
        <w:pStyle w:val="BookText"/>
        <w:rPr/>
      </w:pPr>
      <w:bookmarkEnd w:id="2532"/>
      <w:r>
        <w:rPr>
          <w:rFonts w:ascii="IRNazanin" w:hAnsi="IRNazanin" w:eastAsia="IRNazanin"/>
          <w:color w:val="111111"/>
          <w:sz w:val="28"/>
          <w:sz w:val="28"/>
          <w:szCs w:val="28"/>
          <w:rtl w:val="true"/>
          <w:lang w:bidi="fa-IR"/>
        </w:rPr>
        <w:t>فی ذلک قبل الدفن وبعده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فله مثل أجره وروی ابن ماجه باسناده عن النبی صلی الله علیه و آله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یعزی أخاه بمصیبة إلاّ کساه الله حلل الکرامة یوم القیامة</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والمقصود من التعزیة تسلیة أهل المصیبة</w:t>
      </w:r>
      <w:r>
        <w:rPr>
          <w:rFonts w:eastAsia="IRNazanin" w:cs="IRNazanin"/>
          <w:color w:val="111111"/>
          <w:sz w:val="28"/>
          <w:szCs w:val="28"/>
          <w:rtl w:val="true"/>
          <w:lang w:bidi="fa-IR"/>
        </w:rPr>
        <w:t>.</w:t>
      </w:r>
    </w:p>
    <w:p>
      <w:pPr>
        <w:pStyle w:val="Heading3"/>
        <w:numPr>
          <w:ilvl w:val="2"/>
          <w:numId w:val="1"/>
        </w:numPr>
        <w:rPr/>
      </w:pPr>
      <w:bookmarkStart w:id="2533" w:name="__RefHeading___Toc364402_581953129"/>
      <w:bookmarkStart w:id="2534" w:name="_Toc1055"/>
      <w:bookmarkEnd w:id="2533"/>
      <w:r>
        <w:rPr>
          <w:rtl w:val="true"/>
        </w:rPr>
        <w:t>کم الجنین فی بطن امّه المیت</w:t>
      </w:r>
      <w:bookmarkEnd w:id="2534"/>
    </w:p>
    <w:p>
      <w:pPr>
        <w:pStyle w:val="Heading4"/>
        <w:numPr>
          <w:ilvl w:val="3"/>
          <w:numId w:val="1"/>
        </w:numPr>
        <w:rPr/>
      </w:pPr>
      <w:bookmarkStart w:id="2535" w:name="__RefHeading___Toc364404_581953129"/>
      <w:bookmarkStart w:id="2536" w:name="_Toc1056"/>
      <w:bookmarkEnd w:id="2535"/>
      <w:r>
        <w:rPr>
          <w:rtl w:val="true"/>
        </w:rPr>
        <w:t>اشارة</w:t>
      </w:r>
      <w:bookmarkEnd w:id="2536"/>
    </w:p>
    <w:p>
      <w:pPr>
        <w:pStyle w:val="BookText"/>
        <w:rPr/>
      </w:pPr>
      <w:r>
        <w:rPr>
          <w:rFonts w:ascii="IRNazanin" w:hAnsi="IRNazanin" w:eastAsia="IRNazanin"/>
          <w:color w:val="111111"/>
          <w:sz w:val="28"/>
          <w:sz w:val="28"/>
          <w:szCs w:val="28"/>
          <w:rtl w:val="true"/>
          <w:lang w:bidi="fa-IR"/>
        </w:rPr>
        <w:t>اختلف الآراء بالنسبة إلی کیفیة إخراج الجنین الحی من بطن امّه المیت وتفصیل الاختلاف بما یلی</w:t>
      </w:r>
      <w:r>
        <w:rPr>
          <w:rFonts w:eastAsia="IRNazanin" w:cs="IRNazanin"/>
          <w:color w:val="111111"/>
          <w:sz w:val="28"/>
          <w:szCs w:val="28"/>
          <w:rtl w:val="true"/>
          <w:lang w:bidi="fa-IR"/>
        </w:rPr>
        <w:t>:</w:t>
      </w:r>
    </w:p>
    <w:p>
      <w:pPr>
        <w:pStyle w:val="Heading4"/>
        <w:numPr>
          <w:ilvl w:val="3"/>
          <w:numId w:val="1"/>
        </w:numPr>
        <w:rPr/>
      </w:pPr>
      <w:bookmarkStart w:id="2537" w:name="__RefHeading___Toc364406_581953129"/>
      <w:bookmarkStart w:id="2538" w:name="_Toc1057"/>
      <w:bookmarkEnd w:id="2537"/>
      <w:r>
        <w:rPr>
          <w:rtl w:val="true"/>
        </w:rPr>
        <w:t>المذهب الجعفری</w:t>
      </w:r>
      <w:bookmarkEnd w:id="2538"/>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ماتت الحامل وکان الجنین حیاً وجب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ما یجوز ویمکن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بشق بطنها</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لوجوب حفظ النفس المحترمة عن التلف ولا یحتاج فیه إلی النص،ومع ذلک قد وردت جملة من الروایات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ابن أبی‌عمیر عن بعض أصحابه عن الإمام الصادق علیه السلام فی المرأة تموت ویتحرک الولد فی بطنها أیشق بطنها ویخرج الولد؟قال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ویخاط بطنها</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علی‌بن یقطین عن الإمام الکاظم علیه السلام قال سألته عن المرأة تموت وولدها فی بطنها؟قال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بطنها ویخرج ولدها</w:t>
      </w:r>
      <w:r>
        <w:rPr>
          <w:rFonts w:eastAsia="IRNazanin" w:cs="IRNazanin"/>
          <w:color w:val="111111"/>
          <w:sz w:val="28"/>
          <w:szCs w:val="28"/>
          <w:rtl w:val="true"/>
          <w:lang w:bidi="fa-IR"/>
        </w:rPr>
        <w:t xml:space="preserve">». </w:t>
      </w:r>
      <w:r>
        <w:rPr>
          <w:rStyle w:val="FootnoteAnchor"/>
          <w:rtl w:val="true"/>
        </w:rPr>
        <w:footnoteReference w:id="1250"/>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وهب‌بن وهب حیث ورد فی 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المرأة وفی بطنها</w:t>
      </w:r>
      <w:bookmarkStart w:id="2539" w:name="pg5240_59684"/>
    </w:p>
    <w:p>
      <w:pPr>
        <w:pStyle w:val="BookText"/>
        <w:rPr/>
      </w:pPr>
      <w:bookmarkEnd w:id="2539"/>
      <w:r>
        <w:rPr>
          <w:rFonts w:ascii="IRNazanin" w:hAnsi="IRNazanin" w:eastAsia="IRNazanin"/>
          <w:color w:val="111111"/>
          <w:sz w:val="28"/>
          <w:sz w:val="28"/>
          <w:szCs w:val="28"/>
          <w:rtl w:val="true"/>
          <w:lang w:bidi="fa-IR"/>
        </w:rPr>
        <w:t>ولد یتحرک یشق بطنها ویخرج الولد</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 xml:space="preserve">وغیر ذلک من الروایات </w:t>
      </w:r>
      <w:r>
        <w:rPr>
          <w:rStyle w:val="FootnoteAnchor"/>
          <w:rtl w:val="true"/>
        </w:rPr>
        <w:footnoteReference w:id="1252"/>
      </w:r>
      <w:r>
        <w:rPr>
          <w:rFonts w:ascii="IRNazanin" w:hAnsi="IRNazanin" w:eastAsia="IRNazanin"/>
          <w:color w:val="111111"/>
          <w:sz w:val="28"/>
          <w:sz w:val="28"/>
          <w:szCs w:val="28"/>
          <w:rtl w:val="true"/>
          <w:lang w:bidi="fa-IR"/>
        </w:rPr>
        <w:t>ومن حسن الحظ أنّ هذا الحکم الذی اعلنه فقهاء آل البیت علیهم السلام علی أساس الأدلة الشرعیة القطعیة،هو الحکم القطعی العلمی فی تعامل الاطباء بالمستشفیات مع الاُمهات اللاتی یمتن وفی أرحامهنّ أولاد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المؤشرات إلی مکانة فقه آل البیت علیهم السلام البارزة</w:t>
      </w:r>
      <w:r>
        <w:rPr>
          <w:rFonts w:eastAsia="IRNazanin" w:cs="IRNazanin"/>
          <w:color w:val="111111"/>
          <w:sz w:val="28"/>
          <w:szCs w:val="28"/>
          <w:rtl w:val="true"/>
          <w:lang w:bidi="fa-IR"/>
        </w:rPr>
        <w:t>.</w:t>
      </w:r>
    </w:p>
    <w:p>
      <w:pPr>
        <w:pStyle w:val="Heading4"/>
        <w:numPr>
          <w:ilvl w:val="3"/>
          <w:numId w:val="1"/>
        </w:numPr>
        <w:rPr/>
      </w:pPr>
      <w:bookmarkStart w:id="2540" w:name="__RefHeading___Toc364408_581953129"/>
      <w:bookmarkStart w:id="2541" w:name="_Toc1058"/>
      <w:bookmarkEnd w:id="2540"/>
      <w:r>
        <w:rPr>
          <w:rtl w:val="true"/>
        </w:rPr>
        <w:t>المذاهب الأربعة</w:t>
      </w:r>
      <w:bookmarkEnd w:id="2541"/>
    </w:p>
    <w:p>
      <w:p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إذا ماتت وفی بطنها ولد یتحرک فلا یشق بطنها ویسطو علیها القوابل،وقال 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یسطو القوابل أن یدخلن أیدهنّ فی فرجها فیخرجن الولد من مخرجه،والمذهب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لایشق بطن المیتة لإخراج ولدها مسلمة کانت أو ذمیة،وتخرجه القوابل إن علمت حیاته بحرکة،و إن لم یوجد نساء لم یسط الرجال علیه وتنزک أمّه حتّی یتیقن موته ثم تدفن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ومذهب مالک واسحاق قریب من هذا،ویحتمل أن شق بطن الاُم إن غلب علی الظن أنّ الجنین حی و هو مذهب الشافعی،لأنّه إتلاف جزء من المیت لإبقاء حی فجاز</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الولد لا یعیش عادة ولا یتحقق أنّه یحیا،فلا یجوز هتک حرمة متیقنة لأمر مو هوم و قد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عظم المیت ککسر عظم الحی،رواه ابو داود،وفیه مثلة و قد نهی النبی صلی الله علیه و آله عن المثلة وفارق الأصل فإنّ حیاته متیقنة وبقائه مظنون</w:t>
      </w:r>
      <w:r>
        <w:rPr>
          <w:rFonts w:eastAsia="IRNazanin" w:cs="IRNazanin"/>
          <w:color w:val="111111"/>
          <w:sz w:val="28"/>
          <w:szCs w:val="28"/>
          <w:rtl w:val="true"/>
          <w:lang w:bidi="fa-IR"/>
        </w:rPr>
        <w:t xml:space="preserve">. </w:t>
      </w:r>
      <w:r>
        <w:rPr>
          <w:rStyle w:val="FootnoteAnchor"/>
          <w:rtl w:val="true"/>
        </w:rPr>
        <w:footnoteReference w:id="125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فی ترجیح حیاة الجنین وعدمها قول ثقات الأطباء بل ثبت ذلک بالفصل فلیس أمراً مو هوماً</w:t>
      </w:r>
      <w:r>
        <w:rPr>
          <w:rFonts w:eastAsia="IRNazanin" w:cs="IRNazanin"/>
          <w:color w:val="111111"/>
          <w:sz w:val="28"/>
          <w:szCs w:val="28"/>
          <w:rtl w:val="true"/>
          <w:lang w:bidi="fa-IR"/>
        </w:rPr>
        <w:t xml:space="preserve">. </w:t>
      </w:r>
      <w:r>
        <w:rPr>
          <w:rStyle w:val="FootnoteAnchor"/>
          <w:rtl w:val="true"/>
        </w:rPr>
        <w:footnoteReference w:id="1255"/>
      </w:r>
      <w:bookmarkStart w:id="2542" w:name="pg5240_59686"/>
    </w:p>
    <w:p>
      <w:pPr>
        <w:pStyle w:val="BookText"/>
        <w:rPr/>
      </w:pPr>
      <w:bookmarkEnd w:id="2542"/>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البحث هناک هو العلم بحیاة الولد،و أما فی صورة الشک فی الحیاة فهو بحث آخر وهناک عند الشک یجب الاختبار حتّی یتبین الواقع،ومن الواضح أن حصول العلم بالحیاة بواسطة الأجهزة العلمیة عند الأطباء سهل جیداً،أضف إلی ذلک أن حرکت الولد هی علامة الحیاة القطعیة،وعلیه فلا أرضیة لما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لایجوز شق البطن بواسطة أمر مو هوم،والقول بلا مستند فقهی وعلمی أمر مو هوم</w:t>
      </w:r>
      <w:r>
        <w:rPr>
          <w:rFonts w:eastAsia="IRNazanin" w:cs="IRNazanin"/>
          <w:color w:val="111111"/>
          <w:sz w:val="28"/>
          <w:szCs w:val="28"/>
          <w:rtl w:val="true"/>
          <w:lang w:bidi="fa-IR"/>
        </w:rPr>
        <w:t>.</w:t>
      </w:r>
    </w:p>
    <w:p>
      <w:pPr>
        <w:pStyle w:val="Heading4"/>
        <w:numPr>
          <w:ilvl w:val="3"/>
          <w:numId w:val="1"/>
        </w:numPr>
        <w:rPr/>
      </w:pPr>
      <w:bookmarkStart w:id="2543" w:name="__RefHeading___Toc364410_581953129"/>
      <w:bookmarkStart w:id="2544" w:name="_Toc1059"/>
      <w:bookmarkEnd w:id="2543"/>
      <w:r>
        <w:rPr>
          <w:rtl w:val="true"/>
        </w:rPr>
        <w:t>منشأ الاختلاف</w:t>
      </w:r>
      <w:bookmarkEnd w:id="2544"/>
    </w:p>
    <w:p>
      <w:pPr>
        <w:pStyle w:val="BookText"/>
        <w:rPr/>
      </w:pPr>
      <w:r>
        <w:rPr>
          <w:rFonts w:ascii="IRNazanin" w:hAnsi="IRNazanin" w:eastAsia="IRNazanin"/>
          <w:color w:val="111111"/>
          <w:sz w:val="28"/>
          <w:sz w:val="28"/>
          <w:szCs w:val="28"/>
          <w:rtl w:val="true"/>
          <w:lang w:bidi="fa-IR"/>
        </w:rPr>
        <w:t>إنّ الاختلاف هناک ناشئ عن الاختلاف فی المنابع الفقهیة الأصلیة قوة وضعفاً،سعة وضیعاً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والاختلاف بالنسبة إلی زیارة القبور ومایماثلها ناشئ عن‌الاختلاف المذهبیة و الرهطیة وعدم وجود علاقة سلمیة</w:t>
      </w:r>
      <w:r>
        <w:rPr>
          <w:rFonts w:eastAsia="IRNazanin" w:cs="IRNazanin"/>
          <w:color w:val="111111"/>
          <w:sz w:val="28"/>
          <w:szCs w:val="28"/>
          <w:rtl w:val="true"/>
          <w:lang w:bidi="fa-IR"/>
        </w:rPr>
        <w:t>.</w:t>
      </w:r>
      <w:bookmarkStart w:id="2545" w:name="pg5240_59688"/>
    </w:p>
    <w:p>
      <w:pPr>
        <w:pStyle w:val="Heading3"/>
        <w:numPr>
          <w:ilvl w:val="2"/>
          <w:numId w:val="1"/>
        </w:numPr>
        <w:rPr/>
      </w:pPr>
      <w:bookmarkStart w:id="2546" w:name="__RefHeading___Toc364412_581953129"/>
      <w:bookmarkStart w:id="2547" w:name="_Toc1060"/>
      <w:bookmarkEnd w:id="2545"/>
      <w:bookmarkEnd w:id="2546"/>
      <w:r>
        <w:rPr>
          <w:rtl w:val="true"/>
        </w:rPr>
        <w:t>الخلاصة</w:t>
      </w:r>
      <w:bookmarkEnd w:id="2547"/>
    </w:p>
    <w:p>
      <w:pPr>
        <w:pStyle w:val="BookText"/>
        <w:rPr/>
      </w:pPr>
      <w:r>
        <w:rPr>
          <w:rFonts w:ascii="IRNazanin" w:hAnsi="IRNazanin" w:eastAsia="IRNazanin"/>
          <w:color w:val="111111"/>
          <w:sz w:val="28"/>
          <w:sz w:val="28"/>
          <w:szCs w:val="28"/>
          <w:rtl w:val="true"/>
          <w:lang w:bidi="fa-IR"/>
        </w:rPr>
        <w:t>الوصیة من الإیقاعات علی المذهب الجعفری ویکفی فی صحتها عدم الرد ولا یحتاج إلی القبول وهی من العقود علی المذاهب الأربعة ویشترط فی صحتها القبول من الوصی یکره البناء علی القبور ولا یحرم علی المذاهب کلها وکذلک زیارة النساء ویستحب زیارة القبور وتعزیة المصاب علی المذاهب کلها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إخراج الجنین من بطن امّها المیت ولو بشق بطنها علی المذهب الجعفری ولا یجوز شق البطن هناک علی مذاهب الأربعة،لکن احتمل الشافعی الجواز</w:t>
      </w:r>
      <w:r>
        <w:rPr>
          <w:rFonts w:eastAsia="IRNazanin" w:cs="IRNazanin"/>
          <w:color w:val="111111"/>
          <w:sz w:val="28"/>
          <w:szCs w:val="28"/>
          <w:rtl w:val="true"/>
          <w:lang w:bidi="fa-IR"/>
        </w:rPr>
        <w:t>.</w:t>
      </w:r>
      <w:bookmarkStart w:id="2548" w:name="pg5240_59690"/>
    </w:p>
    <w:p>
      <w:pPr>
        <w:pStyle w:val="Heading3"/>
        <w:numPr>
          <w:ilvl w:val="2"/>
          <w:numId w:val="1"/>
        </w:numPr>
        <w:rPr/>
      </w:pPr>
      <w:bookmarkStart w:id="2549" w:name="__RefHeading___Toc364414_581953129"/>
      <w:bookmarkStart w:id="2550" w:name="_Toc1061"/>
      <w:bookmarkEnd w:id="2548"/>
      <w:bookmarkEnd w:id="2549"/>
      <w:r>
        <w:rPr>
          <w:rtl w:val="true"/>
        </w:rPr>
        <w:t>الأسئلة</w:t>
      </w:r>
      <w:bookmarkEnd w:id="2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فی قبول الوصیة أن یکون بعد موت الموصی؟لماذا؟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کراهة البناء علی القبور؟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یکره زیارة النساء للقبور؟لماذا؟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استحباب التلقین؟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إخراج الجنین عن بطن امّه ولو بشق البطن؟</w:t>
      </w:r>
      <w:bookmarkStart w:id="2551" w:name="pg5240_59694"/>
    </w:p>
    <w:p>
      <w:pPr>
        <w:pStyle w:val="Heading2"/>
        <w:numPr>
          <w:ilvl w:val="1"/>
          <w:numId w:val="1"/>
        </w:numPr>
        <w:rPr/>
      </w:pPr>
      <w:bookmarkStart w:id="2552" w:name="__RefHeading___Toc364416_581953129"/>
      <w:bookmarkStart w:id="2553" w:name="_Toc1062"/>
      <w:bookmarkEnd w:id="2551"/>
      <w:bookmarkEnd w:id="2552"/>
      <w:r>
        <w:rPr>
          <w:rtl w:val="true"/>
        </w:rPr>
        <w:t>المصادر</w:t>
      </w:r>
      <w:bookmarkEnd w:id="25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 الشخصیة،السید کاظم المصطفوی،طبعة‌المرکز العالمی للدراسات الإسلامیة،قم،</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الإنتصار،السیدمرتضی علم الهدی،ضمن الجوامع الفقهیة مؤسسة آل‌البیت،قم،</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الإستبصار،شیخ الطائفة أبوجعفر محمدبن الحسن الطوسی،دارالتعارف،بیروت،</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الصنانع،علاءالدین أبوبکر الکاشانی،دارالفکر،بیروت،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المجتهد،محمدبن أحمدبن محمدبن رشد القرطبی،دارالفکر،بیروت،</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الحفاظ،شمس الدین أبوعبدالله الذهبی،طبعة القاهرة،</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الفقهاء،جمال الدّین الحسن‌بن یوسف‌بن علی‌بن المطهر العلامة الحلی،المکتبة المرتضویة لإحیاء الآثار الجعفریة،قم،</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الوسیلة،الإمام روح الله الموسوی الخمینی،طبع مؤسسة إسماعیلیان،قم،</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 محمدبن الحسن الطوسی،دارالتعارف،بیروت،</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التهذیب،أبوالفضل أحمدبن علی‌بن جعفر العسقلانی،دار الکتب العلمیة،بیروت،</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القمی،ابوالحسن علی‌بن إبراهیم القمی،مؤسسة دارالکتاب،قم،</w:t>
      </w:r>
      <w:r>
        <w:rPr>
          <w:rFonts w:eastAsia="IRNazanin" w:cs="IRNazanin"/>
          <w:color w:val="111111"/>
          <w:sz w:val="28"/>
          <w:szCs w:val="28"/>
          <w:lang w:bidi="fa-IR"/>
        </w:rPr>
        <w:t>1404</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الکبیر،محمدبن عمر الفخر الرازی،دارالکتب العلمیة،بیروت،</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المقیاس فی تفسیر ابن‌عباس،عبدالله‌بن عباس،دارالفکر،بیروت،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القرآن،محمدبن أحمد القرطبی،دارالإحیاء للتراث العربی،بیروت،</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الأخبار،الشیخ تاج‌الدین محمدبن محمدالشعیری،مؤسسة الأعلمی للمطبوعات،بیروت،الطبعة الاولی،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التعدیل،محمدبن إدریس الرازی طبعة حیدرآباد الهند،</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الکلام،فی شرح شرائع الإسلام،للشیخ محمدحسن النجفی،دارالکتب الإسلامیة،طهران،طبعة الثالثة،</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الکبیر،علی‌بن محمد الماوردی،دارالکتب العلمیة،بیروت،</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الخلاف،شیخ الطائفة أبوجعفر محمدبن الحسن الطوسی،طبعة مؤسسة النشر الإسلامی،قم،الطبعة الاولی،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المأثور،جلال‌الدین عبدالرحمن‌بن أبی‌بکرمحمد السیوطی،مطبعة الإسلامیة بالافست،</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المسائل،السیدعلی الطباطبائی،مؤسسة آل‌البیت علیهم السلام،قم،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السرائر،محمدبن منصور أحمدبن إدریس الحلی،مؤسسة النشر الإسلامی،التابعة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الصغری،أحمدبن الحسین‌بن علی البیهقی،مکتبة الدار المدینة المنورة</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 فی مسائل الحلال و الحرام،نجم الدین جعفربن الحسن،المحقق الحلّی،إنتشارات استقلال،طهران،الطبعة الرابعة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الدسوقی،علی الشرح الکبیر محمدبن عرفة الدسوقی،دارالکتب العلمیة،بیروت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الجامع الصغیر فی أحادیث البشیر النذیر،جلال الدین عبدالرحمن السیوطی دارالفکر للطباعة و النشر بیروت،</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الآثار،أبوجعفر أحمدبن محمدبن سلامة،الأزدی المصری،طبعة مصر،</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البخاری،محمدبن إسماعیل‌بن إبراهیم‌بن مغیرة الجعفی البخاری،دار ابن کثیر،بیروت الطبعة الرابعة،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ومطبعة المصطفائی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مسلم،مسلم‌بن الحجاج القشیری النیسابوری،مؤسسة عزالدین،بیروت الطبعة الاولی،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 الجمیل علی أهل الجرح و التعدیل،محمدبن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مجمع العالمی لأهل البیت علیهم السلام،قم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الوثقی،کاظم الطباطبائی الیزدی،مؤسسة الأعلمی للمطبوعات،بیروت،الطبعة الأولی،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الغدیر،عبدالحسین العلامة الأمینی،دارالکتب العربی،لبنان بیروت،</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النزوع،السید حمزة‌بن علی‌بن زهرة الحلبی،مؤسسه إمام صادق،قم،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الاسلامی وأدلته،وهبه زحیلی،دارالفکر،دمشق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علی المذاهب الأربعة،عبدالرحمن الجزیری،الطبعة الأولی،دارالکفر،بیروت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الکافی،محمدبن یعقوب الکلینی،طبع آخوندی،طهران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اللباب فی شرح الکتاب،أحمدبن محمد القدوری البغدادی،دارإحیاء التراث العربی،بیروت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الاخیار فی حل غایة الاختصار،أبوبکر تقی‌الدین الدمشقی الشافعی،دارالمعرفة،بیروت،</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العرب،أبو الفضل محمدبن منظور الإفریقی المصری،نشر أدب الحوزة،قم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الدمشقیة،محمدبن جمال الدین مکی العاملی،انتشارات مطبعة علمیة،قم،الطبعة الثانیة،</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المبسوط،أبوبکر شمس‌الدین السرخسی،دارالکتب العلمیة،بیروت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المجروحین من المحدثین،ابن حیان البسقی،دارالوعی،حلب،سوریة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فی شرح المهذب،یحی‌بن شرف النووی،الطبعة الحجریة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الشیعة فی أحکام الشریعة،ج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،الطبعة الأولی،مؤسسه النشر الإسلامی،قم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إلی تنقیع شرائع الاسلام،زین‌الدین‌بن علی العاملی،مؤسسة‌المعارف الإسلامیة،الطبعة الاولی،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ومستنبط المسائل،میرزا حسین النوری الطبرسی،الطبعة الاولی،مؤسسة آل‌البیت علیهم السلام،قم،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العروة الوثقی،محاضرات السید أبی القاسم الخوئی،بقلم مرتضی البروجردی،مطبعة لطفی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المنیر،أحمدبن محمد الفیومی،دارالکتب المعلمیة،قم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و الشرح الکبیر،عبدالله‌بن قدامة،دارالکتب،بیروت،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 المحتاج إلی معرفة معانی ألفاظ المنهاج،محمد الشربینی،ج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،دارالفکر،بیروت،</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المقنعة،محمدبن نعمان الشیخ المفید،مؤسسة النشر الإسلامی،الطبعة الثانیة،</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الصالحین،السید أبوالقاسم الخوئی،مهر،قم،</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الفقیه،الشیخ أبوجعفر الصدوق،دارصعب ودار التعارف،بیروت،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الرایة،لأحادیث الهدایة،جمال‌الدین زیعلی،طبعة دارالحدیث،قاهرة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 الاوطار،محمد شوکانی،دارإحیاء التراث العربی،بیروت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الشیعة،الشیخ المحدث الحرّ العاملی،مؤسسة آل‌البیت علیهم السلام،لإحیاء التراث،قم،</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تنیل الفضیلة،أبو جعفر محمدبن علی الطوسی المعروف بابن حمزة،مطبعة الخیام،قم من منشورات مکتبة المرعشی النجفی،</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النجاة،السید أبوالحسن الاصفهانی،طبعة مکتبة الصدر،</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الوافی،محمد محسن الفیض الکاشانی،طبعة مکتبة أمیرالمؤمنین علی علیه السلام،اصفهان،</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مفردات الفاظ القرآن الکریم،راغب الاصفهانی،دار الکتاب العربی،</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 فی شرح الکفایة،محمد حسین الاصفهانی،مؤسسة‌آل‌البیت علیهم السلام لإحیاء التراث،قم،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فی اصول الأحکام،علی‌بن أبی‌علی‌بن محمد الامدی،دارالکتب العلمیة،بیروت،</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و البیع،تقریرات لأبحات میرزاء النائینی محمد تقی الاملی،مؤسسة النشر الإسلامی،قم،</w:t>
      </w:r>
      <w:r>
        <w:rPr>
          <w:rFonts w:eastAsia="IRNazanin" w:cs="IRNazanin"/>
          <w:color w:val="111111"/>
          <w:sz w:val="28"/>
          <w:szCs w:val="28"/>
          <w:lang w:bidi="fa-IR"/>
        </w:rPr>
        <w:t>1413</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المکاسب،لجنة إحیاء تراث الشیخ الأنصاری،مرتضی الأنصاری،قم،</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کتاب المکاسب،المیرزا علی الإیروانی،دار ذوی القربی،قم،</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الاُصول،السید میرزا حسن البجنوردی،مؤسسة العروج،قم،</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المحاسن،أحمدبن محمدبن خالد البرقی،دارالکتب الإسلامیة،</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الأحکام،حسن‌بن یوسف المطهر الحلی،مؤسسة آل البیت علیهم السلام،</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الأحکام،حسن‌بن یوسف الحلی،مؤسسة النشر الإسلامی،</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تکلمة المنهاج،أبو القاسم الخوئی،مؤسسة إحیاءآثار الإمام الخوئی،قم</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المدارک،فی شرح مختصر النافع السید أحمد الخونساری،مؤسسه إسماعیلیان،قم،</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الطالب فی شرح المکاسب،تقریراً لبحث المیرزاء النائینی،موسی‌بن محمد النجفی الخونساری،مؤسسة النشر الإسلامی،قم،</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الاُصول،عبد الأعلی السبزواری،دارالإسلامیة،بیروت،</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الأحکام،محمد باقربن محمد المؤمنی السبزواری،سوق مدرسة الصدر المهدوی،الإصفهان،</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القواعد الفقهیة علی المذهب الإمامیة،مقدادبن عبد الله الیسری الحلی،نشر مکتبة آیة الله المرعشی،قم،</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ونکتها،محمدبن الحسن الطوسی وجعفربن الحسن الحلی،مؤسسة النشر الإسلامی،قم،</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الرجال،محمد حسن الطوسی،کلیة الإلهیات و المعارف الإسلامیة،فی مشهد المقدسة،</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اصول الفقه،محمدبن الحسن الطوسی،قم،</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فی شرح المقنعة،محمدبن الحسن‌الطوسی،دارالصعب ودارالتعارف،بیروت،</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المراح،السید محمد العاملی،مؤسسة النشر الإسلامی،قم،</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الروض،البهیة فی شرح اللمعة الدمشقیة،زین الدین‌بن علی العاملی،منشورات إسماعیلیان،قم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مفتاح‌الکرامة فی شرح قواعد العلامة،محمد جواد العاملی،مؤسسة آل‌البیت علیهم السلام،</w:t>
      </w:r>
      <w:r>
        <w:rPr>
          <w:rFonts w:eastAsia="IRNazanin" w:cs="IRNazanin"/>
          <w:color w:val="111111"/>
          <w:sz w:val="28"/>
          <w:szCs w:val="28"/>
          <w:lang w:bidi="fa-IR"/>
        </w:rPr>
        <w:t>1419</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 إلی أحکام الإیمان،الحسن‌بن یوسف العلامة الحلی،مؤسسة النشر الإسلامی،قم،</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الشیعة،الحسن‌بن یوسف العلامة الحلی،مؤسسة النشر الإسلامی،قم،</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القمی،علی‌بن إبراهیم القمی،بیروت،</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عن مبهمات الشریعة الغراء،مرکز النشر التابع لمکتب الإعلام الإسلامی،قم،</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المصنف،ابن أبی‌شیبة الکوفی،دارالفکر،بیروت،</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شرح المختصر،مؤسسة السید الشهداء،قم،</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 وبحر الغرائب،المیرزا محمد المشهدی،دارالغدیر،قم،</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الاختصاص،محمدبن النعمان المفید،مؤسسة النشر الإسلامی،قم،</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المقنعة،محمد النعمان المفید،مؤسسة النشر الإسلامی،قم،</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النجاشی،أحمدبن علی‌بن أحمد النجاشی،مؤسسة النشر الإسلامی،قم،</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النسائی،أحمدبن شعیب النسائی،دارالفکر،بیروت،</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التعارض،السید محمد کاظم الطباطبائی الیزدی،انتشارات مدین،قم،</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الروات،محمد علی الاردبیلی مکتبة المحمدی،قم،</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البلاغة،خطب وکتب امیرالمؤمنین،تحقیق الدکتور صبحی صالح،دارالکتب اللبنانی،بیروت،</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حنبل،أحمدبن حنبل،دارالکتب العلمیة،قم،</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الکبیر،عبد الرحمن‌بن قدامة،دارالکتاب العربی،بیروت،</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المعاملات،السید محمد کاظم المصطفوی،مؤسسة النشر الإسلامی،قم،</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التنزیل،أبو القاسم عبید الله النیشابوری المعروف بالحاکم الحسکانی،مؤسسة الطبع و النشر،طهران،</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 النزوع إلی علمی الاُصول و الفروع،السید حمزة‌بن علی‌بن زهرة الحلبی،مطبعة اعتماد،قم،</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الفهرست،أبو جعفر محمدبن الحسن الطوسی،شیخ الطائفة،بیروت،</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العلامة،جمال الدین أبو منصور الحسن‌بن یوسف العلامة الحلی،منشورات الشریف الرضی،قم،</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الطوسی،أبو جعفر محمدبن الحسن الطوسی شیخ الطائفة،مؤسسة النشر الإسلامی،قم،</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الکبیر،محمدبن عمر الفخر الرازی،دارالکتب العلمیة،بیروت،</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 فی شرح المختصر النافع،جمال الدین أبو العباس أحمدبن محمدبن فهد الحلی،مؤسسة النشر الإسلامی،قم،</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الأخبار،محمدبن علی‌بن الحسین‌بن بابویه الشیخ الصدوق،مؤسسة النشر الإسلامی،قم،</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الأخبار،تحقیق السید حسن المصطفوی،طهران،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تجدید الاعتقاد،الحسن‌بن یوسف العلامة الحلی،مکتبة المصطفوی،قم،</w:t>
      </w:r>
      <w:r>
        <w:rPr>
          <w:rFonts w:eastAsia="IRNazanin" w:cs="IRNazanin"/>
          <w:color w:val="111111"/>
          <w:sz w:val="28"/>
          <w:szCs w:val="28"/>
          <w:lang w:bidi="fa-IR"/>
        </w:rPr>
        <w:t>1340</w:t>
      </w:r>
      <w:bookmarkStart w:id="2554" w:name="pg5240_59710"/>
    </w:p>
    <w:p>
      <w:pPr>
        <w:pStyle w:val="Heading2"/>
        <w:numPr>
          <w:ilvl w:val="1"/>
          <w:numId w:val="1"/>
        </w:numPr>
        <w:rPr/>
      </w:pPr>
      <w:bookmarkStart w:id="2555" w:name="__RefHeading___Toc364418_581953129"/>
      <w:bookmarkStart w:id="2556" w:name="_Toc1063"/>
      <w:bookmarkEnd w:id="2554"/>
      <w:bookmarkEnd w:id="2555"/>
      <w:r>
        <w:rPr>
          <w:rtl w:val="true"/>
        </w:rPr>
        <w:t>الفهرس التفصیلی</w:t>
      </w:r>
      <w:bookmarkEnd w:id="255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طهوریة الماء المضاف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الماء الراکد الکثیر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الماء الّذی یلغ فیه الکلب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التطهیر بالدبغ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الوضوء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عدد الفرائض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منشأ الاختلاف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کیفیة الفرائض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حدّ الوجه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کیفیة غسل الیدین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الوضوء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تحدید المسح بالرأس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مسح الرجلین وغسلهما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المسح علی الخفین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الوضوء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 هو الشرط </w:t>
      </w:r>
      <w:r>
        <w:rPr>
          <w:rFonts w:eastAsia="IRNazanin" w:cs="IRNazanin"/>
          <w:color w:val="111111"/>
          <w:sz w:val="28"/>
          <w:szCs w:val="28"/>
          <w:lang w:bidi="fa-IR"/>
        </w:rPr>
        <w:t>56</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غایات الوضوء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نواقض الوضوء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ناقضیة المذی و الودی للوضوء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ناقضیة الحدث الخارج من المَخْرَجَین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ناقضیة النوم حدّاً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ناقضیة الرعاف و القیءوخروج الدم‌من البدن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إلی ناقضیة لمس المرأة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ناقضیة المسّ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ناقضیة الضحک للوضوء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الوضوء بأکل لحم الجزور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الشکّ فی الحدث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منشأ الاختلاف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غسل المیت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کیفیة التیمم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معنی الصعید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رفع الساتر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وقت الظهرین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الجمع بین الصلاتین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وقت المغرب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جواز تأخیر المغرب عن الوقت الخاص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الجمع بین العشائین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وقت العشاء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و الإقامة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حکم الأذان و الإقامة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صیغ الأذان و الإقامة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التثویب المحدث </w:t>
      </w:r>
      <w:r>
        <w:rPr>
          <w:rFonts w:eastAsia="IRNazanin" w:cs="IRNazanin"/>
          <w:color w:val="111111"/>
          <w:sz w:val="28"/>
          <w:szCs w:val="28"/>
          <w:lang w:bidi="fa-IR"/>
        </w:rPr>
        <w:t>111</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تکبیرة الإحرام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القرائة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جواز القراءت بغیر العربیة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الجهر و الإخفات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حکم البسملة فی القرائة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أفعال الصلاة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التکتّف والاسترسال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حول کلمة آمین فی الصلاة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خصائص الرکوع و السجود و التشهّد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کیفیة صلاة العاجز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القبلة ولباس المصلّی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حکم الانحراف عن القبلة اشتباهاً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وظیفة الجاهل بالقبلة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حول لباس المصلّی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عفو النجاسة فی اللباس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العفو عن الدماء الثلاثة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صحّة الصلاة فی اللباس المغصوب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صحّة صلاة المضطرّ فی الساتر المتنجّس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تحدید الطهارة بالنسبة إلی مکان المصلّی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ما یصحّ السجود علیه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السهو فی الصلاة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الموجبات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حدیث لاتعاد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محل سجود السهو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تداخل الأسباب فی سجود السهو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وصف السجود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الشکّ و السهو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حول الشکّیات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الشکّ الصحیح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حجیة الظنّ فی الصلاة </w:t>
      </w:r>
      <w:r>
        <w:rPr>
          <w:rFonts w:eastAsia="IRNazanin" w:cs="IRNazanin"/>
          <w:color w:val="111111"/>
          <w:sz w:val="28"/>
          <w:szCs w:val="28"/>
          <w:lang w:bidi="fa-IR"/>
        </w:rPr>
        <w:t>170</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اشتراط العدالة للإمام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طهارة المولد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اشتراط البلوغ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الجماعة فی النوافل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اتحاد الصلاة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اتّصال الصفوف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المتابعة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حکم المتأخّر عن الجماعة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نیة الإمامة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من هو الأحقّ بالإمامة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العدد المشترط فی الجمعة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صلاة الآیات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حکم صلاة الآیات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الکیفیة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الأسباب و الموجبات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مبطلات الصلاة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مبطلیة الکلام السهوی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ردّ السلام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التکلّم حال النوم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بطلان الصلاة بمرور الکلب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الناقض غیر المبطل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المرور بین یدی المصلی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الریاء فی الصلاة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کمّیة السفر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اختلاف النصوص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التعیین و التخییر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ما هو مصداق السفر؟</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إباحة السفر </w:t>
      </w:r>
      <w:r>
        <w:rPr>
          <w:rFonts w:eastAsia="Amiri" w:cs="Amiri" w:ascii="Amiri" w:hAnsi="Amiri"/>
          <w:color w:val="111111"/>
          <w:sz w:val="28"/>
          <w:szCs w:val="28"/>
          <w:lang w:bidi="ar-SA"/>
        </w:rPr>
        <w:t>215</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نیة القصر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نیة الإقامة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التردّد فی البقاء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استمرار السفر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المیت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الصلاة علی المیت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إقامة الصلاة علی الشهید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کیفیة الصلاة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اختلاف النصوص فی عدد التکبیرات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أربع تکبیرات رأی عمربن الخطاب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طریقة آل البیت علیهم السلام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من أحق بالإمامة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وضع الجرید تین فی القبر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الإشتراط بالعقل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سلامة البدن من المرض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السفر الّذی یوجب الإفطار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شرط السفر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استمرار السفر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الإفطار عن سهو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تعمّد القیء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الغبار الغلیظ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الاکتحال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الحجامة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قطع نیة الصوم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الارتماس بالماء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البقاء علی الجنابة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تعمد الکذب علی الله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الکفارة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موجبات الکفّارة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العجز عن القضاء </w:t>
      </w:r>
      <w:r>
        <w:rPr>
          <w:rFonts w:eastAsia="IRNazanin" w:cs="IRNazanin"/>
          <w:color w:val="111111"/>
          <w:sz w:val="28"/>
          <w:szCs w:val="28"/>
          <w:lang w:bidi="fa-IR"/>
        </w:rPr>
        <w:t>255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إفطار قضاء رمضان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التارک لقضاء رمضان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تعدّد الکفّارة بتعدّد الجماع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العجز عن الکفّارة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تتابع الشهرین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رؤیة الهلال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ثبوت الهلال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اختلاف الآفاق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یوم الشکّ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ترخیص الإفطار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زوال العذر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الشروط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نصاب الإبل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نصاب الغنم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شروط زکاة الأنعام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زکاة النقدین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نصاب زکاة الغلاة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فیما یتعلّق به الزکاة،من الغلاّت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زکاة مال التجارة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نصاب المال المشترک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مانعیة الدین عن الزکاة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أصناف المستحقین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مصداق الفقیر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الأقرب یمنع الأبعد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معنی فی سبیل الله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حول إعطاء الزکاة لمستحقّ واحد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شروط زکاة الفطرة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نطاق وجوب الفطرة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وقت الوجوب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وقت الأداء </w:t>
      </w:r>
      <w:r>
        <w:rPr>
          <w:rFonts w:eastAsia="IRNazanin" w:cs="IRNazanin"/>
          <w:color w:val="111111"/>
          <w:sz w:val="28"/>
          <w:szCs w:val="28"/>
          <w:lang w:bidi="fa-IR"/>
        </w:rPr>
        <w:t>295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خمس مال التجارة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خمس المعادن و الرکاز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الجواهر المعدنیة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خمس ما یخرج من البحر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مصرف الخمس </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فوریة وجوب الحجّ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شرائط وجوب الحجّ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ما له صلة بالاستطاعة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تحقّق الاستطاعة بالبذل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ملکیة الزاد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الاستنابة عن العاجز فی الحجّ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مکان الاستنابة عن المیت المستطیع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حکم فی العمرة المفردة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استحباب العمرة زماناً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الحجّ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ترتیب الأقسام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الإحرام من المواقیت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حکم المرور عن المیقات بدون الإحرام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صحّة الإحرام قبل أشهر الحجّ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أشهر الحجّ </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الإحرام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حول مستحبّات الإحرام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حول واجبات الإحرام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حول محظورات الإحرام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حول التقبیل و النظر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الیسیرة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حول الاستظلال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الارتماس </w:t>
      </w:r>
      <w:r>
        <w:rPr>
          <w:rFonts w:eastAsia="IRNazanin" w:cs="IRNazanin"/>
          <w:color w:val="111111"/>
          <w:sz w:val="28"/>
          <w:szCs w:val="28"/>
          <w:lang w:bidi="fa-IR"/>
        </w:rPr>
        <w:t>350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الاکتحال والاختضاب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الوقوفات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وقت الوقوف فی عرفة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حکم الخروج عن عرفة قبل الغروب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حول الوقوف بالمزدلفة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جواز التفریق بین العشائین لیلة المزدلفة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أعمال منی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وقت الرمی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طواف الوداع وطواف النساء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وجوب الطهارة فی الطواف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حکم الشکّ فی عدد الأشواط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السعی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حکم الشکّ فی عدد السعی بین الصفا و المروة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حول التخییر بین الحلق و التقصیر فی العمرة المتمتّع بها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حدّ التقصیر و الحلق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اشتراط القصد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اشتراط الفسخ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الإشهاد علی العقد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أولیاء العقد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ینقسم الولی إلی قسمین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حول النکاح الموقّت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زواج المسیار </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حوار حول المتعة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الملاحظة علیه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القول بالنسخ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النصوص علی عدم النسخ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أسباب تحریم المصاهرة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أسباب تحریم الزواج </w:t>
      </w:r>
      <w:r>
        <w:rPr>
          <w:rFonts w:eastAsia="IRNazanin" w:cs="IRNazanin"/>
          <w:color w:val="111111"/>
          <w:sz w:val="28"/>
          <w:szCs w:val="28"/>
          <w:lang w:bidi="fa-IR"/>
        </w:rPr>
        <w:t>411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اللمس و النظر بشهوة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حرمة المصاهرة مع ولد الزنا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مناکحة الزانی و الزانیة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جواز نکاح الکافرة للمسلم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معنی الکفائة فی التزویج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صیغة الطلاق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الشروط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الاختیار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العربیة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اشتراط التنجیز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الحلف بالطلاق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الإشهاد فی الطلاق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کیفیة الرجعة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تجزئة الطلاق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دور الوصف فی الطلاق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تحقّق العدّة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عدّة الصغیرة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عدّة الزانیة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تحقّق العدّة بواسطة الخلوة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عدّة زوجة المفقود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أطول عدّة </w:t>
      </w:r>
      <w:r>
        <w:rPr>
          <w:rFonts w:eastAsia="Amiri" w:cs="Amiri" w:ascii="Amiri" w:hAnsi="Amiri"/>
          <w:color w:val="111111"/>
          <w:sz w:val="28"/>
          <w:szCs w:val="28"/>
          <w:lang w:bidi="ar-SA"/>
        </w:rPr>
        <w:t>450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الثلاث فی فقه السنة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تصریحات الفقهاء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الثلاث فی فقه أهل البیت علیهم السلام </w:t>
      </w:r>
      <w:r>
        <w:rPr>
          <w:rFonts w:eastAsia="IRNazanin" w:cs="IRNazanin"/>
          <w:color w:val="111111"/>
          <w:sz w:val="28"/>
          <w:szCs w:val="28"/>
          <w:lang w:bidi="fa-IR"/>
        </w:rPr>
        <w:t>463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البدعة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ما هو طلاق البدعة؟</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صحّة البدعة فی فقه السنّة </w:t>
      </w:r>
      <w:r>
        <w:rPr>
          <w:rFonts w:eastAsia="IRNazanin" w:cs="IRNazanin"/>
          <w:color w:val="111111"/>
          <w:sz w:val="28"/>
          <w:szCs w:val="28"/>
          <w:lang w:bidi="fa-IR"/>
        </w:rPr>
        <w:t>471</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البدعة فی فقه السنّة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البدعة منکرة فی فقه أهل البیت علیهم السلام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المیراث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المیراث بالتعصیب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العول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الأحکام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 حول التعصیب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الاستدلال علی اثبات التعصیب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التعصیب یوجب آثار السلبیة الفاسدة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النصوص القرآنیة وبطلان التعصیب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السنة الشریفة وبطلان التعصیب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اشتراط القبول فی الوصیة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ما یتصل بأحوال المیت الشخصیة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البناء علی القبور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البکاء علی المیت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النوح و النیاحة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التوسل إلی قبور الصلحاء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تلقین المیت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زیارت القبور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تعزیة المصاب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حکم الجنین فی بطن امّه المیت </w:t>
      </w:r>
      <w:r>
        <w:rPr>
          <w:rFonts w:eastAsia="IRNazanin" w:cs="IRNazanin"/>
          <w:color w:val="111111"/>
          <w:sz w:val="28"/>
          <w:szCs w:val="28"/>
          <w:lang w:bidi="fa-IR"/>
        </w:rPr>
        <w:t>513</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519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المضاف،ح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الامام الخوئی،ج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الامام الخوئی،ج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المفلق،ح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بدایة المجتهد،ج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المدونة الکبر،ج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الدرالمختار،ج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الوثقی،ص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؛کشاف القناع،ج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؛المغنی المحتاج،ج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؛الشرح الکبیر،ج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الکبیر،ج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الأخبار،ج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،باب من أبواب نواقض الوضوء،ح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البیهقی،ج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نواقص الوضوء،ح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نواقص الوضوء،ح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نواقص الوضوء،ح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الکبیر،ج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القناع،ج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الکبیر،ج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التیمم،ح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؛کشاف القناع،ج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المزنی،ص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الامام الخوئی،ج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المواقیت،ح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التفقیج،ج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الوهاب،ج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 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العقائد للتفتازانی،باب فضائل علی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الأثر،ص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الإحرام،ح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المهذب،ج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القرائة،ح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فی الصلاة،ح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فی الصلاة،ح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القراءة فی الصلاة،ح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القراءة فی الصلاة،ح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القراءة فی الصلاة،ح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القراءة فی الصلاة،ح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المحتاج،ج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المزنی،ص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قواطع الصلاة،ح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القراءة فی الصلاة،ح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القنوت،ح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الطالبین،ج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افعال الصلاة،ح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التقیح،ج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 للطبران،ج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حمل شیء یسجد فیه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المدونة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الخلل،ح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المزنی،ص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المزنی،ص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المزنی،ص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السنة،ج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المدونة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السنة،ج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وآدابها،ح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المزنی،ص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المدونة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تحفة الفقهاء،ص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الثقی،ص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السنة،ج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یصح منه الصوم،ح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یصحّ منه الصوم،ح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مایمسک عنه الصائم،ح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مایمسک عنه الصائم،ح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یسمک عنه الصائم،ح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أبواب ما یمسک عنه الصائم،ح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السنة،ج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احکام شهر رمضان،ح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السنة،ج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ومن لا تجب،ح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بدایة المجتهد،ج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الکبیر،ج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الوهاب،ج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الفلات،ح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الغلاة،ح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المحتاج،ج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الکبیر،ج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الخصال،باب الخصال الثلاث،ص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المحتاج،ج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العروة،کتاب الخمس،ص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القار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المبسوط،أبوب،ج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،باب ما یجب فیه الخمس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العروة،کتاب الخمس،ص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العروة،کتاب الخمس،ص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المبین،ج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المزنی،ص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الوثقی،کتاب الحجّ،ص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العروة،کتاب الحج،ج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المحتاج،ج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خلیل،ص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الأخبار،ج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خلیل،ص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المزنی،ص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المحتاج،ج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؛مختصر المزنی،ص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خلیل،ص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الإسلامی وأدلته،ج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الخامسة،ص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مستمک العروة الوثقی،ج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؛نیل الأوطار،ج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أبواب تروک الاحرام،ح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الإحرام،ح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کفّارات الإحرام،ح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الإحرام،ح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المدونة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الإحرام،ح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الوهاب،ج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المدونة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المصور،ص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المدونة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السنة،ج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تیسیر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السنة،ج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رما جمرة العقبة،ح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اقسام الحجّ،ح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التقصیر،ح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التقصیر،ح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الإسلامی وأدلته،ج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المنهاج الصالحین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الکتاب مع اللباب،ج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ابواب عقد النکاح واولیاء العقد،ح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البیهقی،ج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؛الغدیر،ج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زواج المسیار حقیقته وحکمه،ص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الأوطار،ج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الأوطار،ج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 الروایة،ج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الإسلامی،ج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الإسلامی،ج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معانی الآثار،ج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،الازدی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الصغیر،ج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؛مغنی المحتاج،ج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من الرضاع،ح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الأفهام،ج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المسائل،ج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؛الدسوقی،ج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؛مغنی المحتاج،ج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الإسلامی وادلته،ج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الأفهام،ج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لأحکام القرآن،ج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الفقه الإسلامی،ج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البدائع،ج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الحدود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الإسلامی وأدلته،ج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 وشرائع الإسلام،ج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الأفهام،ج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الحاول الکبیر،ج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بدایة المجتهد،ج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الحاوم الکبیر،ج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الأخیار،ج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،تنویر المقیاس المطبوع بهامش،الدر المنثور،ج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اقسام الطلاق واحکامه،ح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،وحکی العلامة الحلّی ذلک فی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زهرة وابن ادریس أیضاً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الحاود الکبیر،ج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المسالک،ج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الأفهام،ج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اللمعة الدمشقیّة،ج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موجبات الارث،ح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الأفهام،ج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الأفهام،ج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موجبات الارث،ح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موجبات الارث،ح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الخمسة،ص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العتب الجمیل علی أهل الجرح و التعدیل،ص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؛تهذیب التهذیب،ج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؛تهذیب الأحکام،ج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؛الخلاف،ج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فقه المذاهب السنیّة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المجروحین من المحدثین،ج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؛الجرح و التعدیل،ج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؛تهذیب التهذیب،ج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؛تذکرة الحفاظ،ج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؛تذکرة الحفاظ،ج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الجرح و التعدیل،ج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،کتاب الجنائز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الاحتضار،ح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فی مستوی الاحتمال لا الرأی القطعی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image" Target="media/image2.jpeg"/><Relationship Id="rId524" Type="http://schemas.openxmlformats.org/officeDocument/2006/relationships/image" Target="media/image2.jpeg"/><Relationship Id="rId525" Type="http://schemas.openxmlformats.org/officeDocument/2006/relationships/footer" Target="footer518.xml"/><Relationship Id="rId526" Type="http://schemas.openxmlformats.org/officeDocument/2006/relationships/footnotes" Target="footnotes.xml"/><Relationship Id="rId527" Type="http://schemas.openxmlformats.org/officeDocument/2006/relationships/numbering" Target="numbering.xml"/><Relationship Id="rId528" Type="http://schemas.openxmlformats.org/officeDocument/2006/relationships/fontTable" Target="fontTable.xml"/><Relationship Id="rId529" Type="http://schemas.openxmlformats.org/officeDocument/2006/relationships/settings" Target="settings.xml"/><Relationship Id="rId5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30692</Words>
  <Characters>153981</Characters>
  <CharactersWithSpaces>182978</CharactersWithSpaces>
  <Paragraphs>1696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2026-08-19T00:28:38Z</dcterms:created>
  <dc:creator>ghaemiyeh.com</dc:creator>
  <dc:description/>
  <dc:language>en-US</dc:language>
  <cp:lastModifiedBy/>
  <dcterms:modified xsi:type="dcterms:W3CDTF">2026-08-19T03:58:57Z</dcterms:modified>
  <cp:revision>1</cp:revision>
  <dc:subject/>
  <dc:title>الفقه المقارن العبادات والاحوال الشخصیة</dc:title>
</cp:coreProperties>
</file>

<file path=docProps/custom.xml><?xml version="1.0" encoding="utf-8"?>
<Properties xmlns="http://schemas.openxmlformats.org/officeDocument/2006/custom-properties" xmlns:vt="http://schemas.openxmlformats.org/officeDocument/2006/docPropsVTypes"/>
</file>