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34</w:t>
      </w:r>
      <w:r>
        <w:rPr>
          <w:rtl w:val="true"/>
        </w:rPr>
        <w:t xml:space="preserve"> </w:t>
      </w:r>
      <w:r>
        <w:rPr>
          <w:rtl w:val="true"/>
        </w:rPr>
        <w:t>هفت گام برای زندگی جمعی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4392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04394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04396_2035185390">
            <w:r>
              <w:rPr>
                <w:webHidden/>
                <w:rStyle w:val="IndexLink"/>
                <w:rtl w:val="true"/>
              </w:rPr>
              <w:t>هفت گام برای زندگی جمعی</w:t>
            </w:r>
            <w:r>
              <w:rPr>
                <w:rStyle w:val="IndexLink"/>
                <w:rtl w:val="true"/>
              </w:rPr>
              <w:tab/>
            </w:r>
            <w:r>
              <w:rPr>
                <w:rStyle w:val="IndexLink"/>
              </w:rPr>
              <w:t>6</w:t>
            </w:r>
          </w:hyperlink>
        </w:p>
        <w:p>
          <w:pPr>
            <w:pStyle w:val="Contents2"/>
            <w:tabs>
              <w:tab w:val="clear" w:pos="8743"/>
              <w:tab w:val="right" w:pos="9026" w:leader="dot"/>
            </w:tabs>
            <w:rPr/>
          </w:pPr>
          <w:hyperlink w:anchor="__RefHeading___Toc1204398_2035185390">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1204400_2035185390">
            <w:r>
              <w:rPr>
                <w:webHidden/>
                <w:rStyle w:val="IndexLink"/>
                <w:rtl w:val="true"/>
              </w:rPr>
              <w:t>گام اول</w:t>
            </w:r>
            <w:r>
              <w:rPr>
                <w:rStyle w:val="IndexLink"/>
                <w:rtl w:val="true"/>
              </w:rPr>
              <w:t xml:space="preserve">: </w:t>
            </w:r>
            <w:r>
              <w:rPr>
                <w:rStyle w:val="IndexLink"/>
                <w:rtl w:val="true"/>
              </w:rPr>
              <w:t>مهرورزی</w:t>
            </w:r>
            <w:r>
              <w:rPr>
                <w:rStyle w:val="IndexLink"/>
                <w:rtl w:val="true"/>
              </w:rPr>
              <w:tab/>
            </w:r>
            <w:r>
              <w:rPr>
                <w:rStyle w:val="IndexLink"/>
              </w:rPr>
              <w:t>10</w:t>
            </w:r>
          </w:hyperlink>
        </w:p>
        <w:p>
          <w:pPr>
            <w:pStyle w:val="Contents2"/>
            <w:tabs>
              <w:tab w:val="clear" w:pos="8743"/>
              <w:tab w:val="right" w:pos="9026" w:leader="dot"/>
            </w:tabs>
            <w:rPr/>
          </w:pPr>
          <w:hyperlink w:anchor="__RefHeading___Toc1204402_2035185390">
            <w:r>
              <w:rPr>
                <w:webHidden/>
                <w:rStyle w:val="IndexLink"/>
                <w:rtl w:val="true"/>
              </w:rPr>
              <w:t>گام دوم</w:t>
            </w:r>
            <w:r>
              <w:rPr>
                <w:rStyle w:val="IndexLink"/>
                <w:rtl w:val="true"/>
              </w:rPr>
              <w:t xml:space="preserve">: </w:t>
            </w:r>
            <w:r>
              <w:rPr>
                <w:rStyle w:val="IndexLink"/>
                <w:rtl w:val="true"/>
              </w:rPr>
              <w:t>برادری</w:t>
            </w:r>
            <w:r>
              <w:rPr>
                <w:rStyle w:val="IndexLink"/>
                <w:rtl w:val="true"/>
              </w:rPr>
              <w:tab/>
            </w:r>
            <w:r>
              <w:rPr>
                <w:rStyle w:val="IndexLink"/>
              </w:rPr>
              <w:t>16</w:t>
            </w:r>
          </w:hyperlink>
        </w:p>
        <w:p>
          <w:pPr>
            <w:pStyle w:val="Contents2"/>
            <w:tabs>
              <w:tab w:val="clear" w:pos="8743"/>
              <w:tab w:val="right" w:pos="9026" w:leader="dot"/>
            </w:tabs>
            <w:rPr/>
          </w:pPr>
          <w:hyperlink w:anchor="__RefHeading___Toc1204404_2035185390">
            <w:r>
              <w:rPr>
                <w:webHidden/>
                <w:rStyle w:val="IndexLink"/>
                <w:rtl w:val="true"/>
              </w:rPr>
              <w:t>گام سوم</w:t>
            </w:r>
            <w:r>
              <w:rPr>
                <w:rStyle w:val="IndexLink"/>
                <w:rtl w:val="true"/>
              </w:rPr>
              <w:t xml:space="preserve">: </w:t>
            </w:r>
            <w:r>
              <w:rPr>
                <w:rStyle w:val="IndexLink"/>
                <w:rtl w:val="true"/>
              </w:rPr>
              <w:t>رعایت حق دیگری</w:t>
            </w:r>
            <w:r>
              <w:rPr>
                <w:rStyle w:val="IndexLink"/>
                <w:rtl w:val="true"/>
              </w:rPr>
              <w:tab/>
            </w:r>
            <w:r>
              <w:rPr>
                <w:rStyle w:val="IndexLink"/>
              </w:rPr>
              <w:t>22</w:t>
            </w:r>
          </w:hyperlink>
        </w:p>
        <w:p>
          <w:pPr>
            <w:pStyle w:val="Contents2"/>
            <w:tabs>
              <w:tab w:val="clear" w:pos="8743"/>
              <w:tab w:val="right" w:pos="9026" w:leader="dot"/>
            </w:tabs>
            <w:rPr/>
          </w:pPr>
          <w:hyperlink w:anchor="__RefHeading___Toc1204406_2035185390">
            <w:r>
              <w:rPr>
                <w:webHidden/>
                <w:rStyle w:val="IndexLink"/>
                <w:rtl w:val="true"/>
              </w:rPr>
              <w:t>گام چهارم</w:t>
            </w:r>
            <w:r>
              <w:rPr>
                <w:rStyle w:val="IndexLink"/>
                <w:rtl w:val="true"/>
              </w:rPr>
              <w:t xml:space="preserve">: </w:t>
            </w:r>
            <w:r>
              <w:rPr>
                <w:rStyle w:val="IndexLink"/>
                <w:rtl w:val="true"/>
              </w:rPr>
              <w:t>دست‌گیری</w:t>
            </w:r>
            <w:r>
              <w:rPr>
                <w:rStyle w:val="IndexLink"/>
                <w:rtl w:val="true"/>
              </w:rPr>
              <w:tab/>
            </w:r>
            <w:r>
              <w:rPr>
                <w:rStyle w:val="IndexLink"/>
              </w:rPr>
              <w:t>26</w:t>
            </w:r>
          </w:hyperlink>
        </w:p>
        <w:p>
          <w:pPr>
            <w:pStyle w:val="Contents2"/>
            <w:tabs>
              <w:tab w:val="clear" w:pos="8743"/>
              <w:tab w:val="right" w:pos="9026" w:leader="dot"/>
            </w:tabs>
            <w:rPr/>
          </w:pPr>
          <w:hyperlink w:anchor="__RefHeading___Toc1204408_2035185390">
            <w:r>
              <w:rPr>
                <w:webHidden/>
                <w:rStyle w:val="IndexLink"/>
                <w:rtl w:val="true"/>
              </w:rPr>
              <w:t>گام پنجم</w:t>
            </w:r>
            <w:r>
              <w:rPr>
                <w:rStyle w:val="IndexLink"/>
                <w:rtl w:val="true"/>
              </w:rPr>
              <w:t xml:space="preserve">: </w:t>
            </w:r>
            <w:r>
              <w:rPr>
                <w:rStyle w:val="IndexLink"/>
                <w:rtl w:val="true"/>
              </w:rPr>
              <w:t>خاکساری دربرابرِ والدین</w:t>
            </w:r>
            <w:r>
              <w:rPr>
                <w:rStyle w:val="IndexLink"/>
                <w:rtl w:val="true"/>
              </w:rPr>
              <w:tab/>
            </w:r>
            <w:r>
              <w:rPr>
                <w:rStyle w:val="IndexLink"/>
              </w:rPr>
              <w:t>34</w:t>
            </w:r>
          </w:hyperlink>
        </w:p>
        <w:p>
          <w:pPr>
            <w:pStyle w:val="Contents2"/>
            <w:tabs>
              <w:tab w:val="clear" w:pos="8743"/>
              <w:tab w:val="right" w:pos="9026" w:leader="dot"/>
            </w:tabs>
            <w:rPr/>
          </w:pPr>
          <w:hyperlink w:anchor="__RefHeading___Toc1204410_2035185390">
            <w:r>
              <w:rPr>
                <w:webHidden/>
                <w:rStyle w:val="IndexLink"/>
                <w:rtl w:val="true"/>
              </w:rPr>
              <w:t>گام ششم</w:t>
            </w:r>
            <w:r>
              <w:rPr>
                <w:rStyle w:val="IndexLink"/>
                <w:rtl w:val="true"/>
              </w:rPr>
              <w:t xml:space="preserve">: </w:t>
            </w:r>
            <w:r>
              <w:rPr>
                <w:rStyle w:val="IndexLink"/>
                <w:rtl w:val="true"/>
              </w:rPr>
              <w:t>نیک‌سیرتی در خانه</w:t>
            </w:r>
            <w:r>
              <w:rPr>
                <w:rStyle w:val="IndexLink"/>
                <w:rtl w:val="true"/>
              </w:rPr>
              <w:tab/>
            </w:r>
            <w:r>
              <w:rPr>
                <w:rStyle w:val="IndexLink"/>
              </w:rPr>
              <w:t>40</w:t>
            </w:r>
          </w:hyperlink>
        </w:p>
        <w:p>
          <w:pPr>
            <w:pStyle w:val="Contents2"/>
            <w:tabs>
              <w:tab w:val="clear" w:pos="8743"/>
              <w:tab w:val="right" w:pos="9026" w:leader="dot"/>
            </w:tabs>
            <w:rPr/>
          </w:pPr>
          <w:hyperlink w:anchor="__RefHeading___Toc1204412_2035185390">
            <w:r>
              <w:rPr>
                <w:webHidden/>
                <w:rStyle w:val="IndexLink"/>
                <w:rtl w:val="true"/>
              </w:rPr>
              <w:t>گام هفتم</w:t>
            </w:r>
            <w:r>
              <w:rPr>
                <w:rStyle w:val="IndexLink"/>
                <w:rtl w:val="true"/>
              </w:rPr>
              <w:t xml:space="preserve">: </w:t>
            </w:r>
            <w:r>
              <w:rPr>
                <w:rStyle w:val="IndexLink"/>
                <w:rtl w:val="true"/>
              </w:rPr>
              <w:t>نظارت و اصلاحگری</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19_26380"/>
      <w:bookmarkStart w:id="1" w:name="pg4719_26380"/>
      <w:bookmarkEnd w:id="1"/>
    </w:p>
    <w:p>
      <w:pPr>
        <w:pStyle w:val="Heading2"/>
        <w:numPr>
          <w:ilvl w:val="1"/>
          <w:numId w:val="1"/>
        </w:numPr>
        <w:rPr/>
      </w:pPr>
      <w:bookmarkStart w:id="2" w:name="pg4719_26380"/>
      <w:bookmarkStart w:id="3" w:name="__RefHeading___Toc120439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محمدباقر،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گام برای زندگی جمعی ، با الهامی از فرهنگ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محمدباقر پورامینی؛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آداب معاشرت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۲۸۶۸۳۱۸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4394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bookmarkStart w:id="7" w:name="pg4719_26384"/>
    </w:p>
    <w:p>
      <w:pPr>
        <w:pStyle w:val="Heading2"/>
        <w:numPr>
          <w:ilvl w:val="1"/>
          <w:numId w:val="1"/>
        </w:numPr>
        <w:rPr/>
      </w:pPr>
      <w:bookmarkStart w:id="8" w:name="__RefHeading___Toc1204396_2035185390"/>
      <w:bookmarkStart w:id="9" w:name="_Toc3"/>
      <w:bookmarkEnd w:id="7"/>
      <w:bookmarkEnd w:id="8"/>
      <w:r>
        <w:rPr>
          <w:rtl w:val="true"/>
        </w:rPr>
        <w:t>هفت گام برای زندگی جمعی</w:t>
      </w:r>
      <w:bookmarkEnd w:id="9"/>
    </w:p>
    <w:p>
      <w:pPr>
        <w:pStyle w:val="BookText"/>
        <w:rPr/>
      </w:pPr>
      <w:r>
        <w:rPr>
          <w:rFonts w:ascii="IRNazanin" w:hAnsi="IRNazanin" w:eastAsia="IRNazanin"/>
          <w:color w:val="111111"/>
          <w:sz w:val="28"/>
          <w:sz w:val="28"/>
          <w:szCs w:val="28"/>
          <w:rtl w:val="true"/>
          <w:lang w:bidi="fa-IR"/>
        </w:rPr>
        <w:t>با الهام از فرهنگ رضوی</w:t>
      </w:r>
    </w:p>
    <w:p>
      <w:pPr>
        <w:pStyle w:val="BookText"/>
        <w:rPr/>
      </w:pPr>
      <w:r>
        <w:rPr>
          <w:rFonts w:ascii="IRNazanin" w:hAnsi="IRNazanin" w:eastAsia="IRNazanin"/>
          <w:color w:val="111111"/>
          <w:sz w:val="28"/>
          <w:sz w:val="28"/>
          <w:szCs w:val="28"/>
          <w:rtl w:val="true"/>
          <w:lang w:bidi="fa-IR"/>
        </w:rPr>
        <w:t>پرسش های زیر را، در این نوشتار، پاسخ 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شنیده‌ام که طیِ آن، ایشان به مهرورزی با مردم اصرار دارند؛ لطفاً آن‌را بیشتر تبیین کنید و از نوعِ رفتار ایشان بنویسید؟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چه حقی بر گردنِ ما دارند؟ برادری به چه معنی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زندگی با مردم، می‌توان شاخصی برای بهترین زندگی یا بدترین زندگی مشخص کرد که</w:t>
      </w:r>
    </w:p>
    <w:p>
      <w:pPr>
        <w:pStyle w:val="BookText"/>
        <w:rPr/>
      </w:pPr>
      <w:r>
        <w:rPr>
          <w:rFonts w:ascii="IRNazanin" w:hAnsi="IRNazanin" w:eastAsia="IRNazanin"/>
          <w:color w:val="111111"/>
          <w:sz w:val="28"/>
          <w:sz w:val="28"/>
          <w:szCs w:val="28"/>
          <w:rtl w:val="true"/>
          <w:lang w:bidi="fa-IR"/>
        </w:rPr>
        <w:t>ما، خود را با آن بسنجیم و برای بهتر‌شدن، در راستای آن تلاش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به انفاق و کمک به دیگران توصیه می‌کند؟ سیرۀ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چگونه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بخش مهمی از زندگی ما را شکل می‌دهند؛ دربارۀ حقوق و وظیفه‌ای که درقبال آن‌ها، برعهدۀ ماست، توضیح 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نحوۀ معاشرت و رفتار با اهل خانواده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خانوادۀ خود چگونه بود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رعایت حقوق مردم و احترام به آنان، زیاد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شیوۀ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می‌بینیم که کسی به امر‌به‌معروف و نهی‌از‌منکر توجهی نمی‌کند و بسیاری مردم از این فریضۀ مقدس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هشتم، دربارۀ آن، توضیح دهید؟</w:t>
      </w:r>
      <w:bookmarkStart w:id="10" w:name="pg4719_26386"/>
    </w:p>
    <w:p>
      <w:pPr>
        <w:pStyle w:val="Heading2"/>
        <w:numPr>
          <w:ilvl w:val="1"/>
          <w:numId w:val="1"/>
        </w:numPr>
        <w:rPr/>
      </w:pPr>
      <w:bookmarkStart w:id="11" w:name="__RefHeading___Toc1204398_2035185390"/>
      <w:bookmarkStart w:id="12" w:name="_Toc4"/>
      <w:bookmarkEnd w:id="10"/>
      <w:bookmarkEnd w:id="11"/>
      <w:r>
        <w:rPr>
          <w:rtl w:val="true"/>
        </w:rPr>
        <w:t>درآمد</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شیوه‌ای برای زندگیِ خود انتخاب می‌کند؛ او با آن سبکِ زیستن دمساز است و روزگار می‌گذراند در لاک خود است و جز حریم زندگی خود، دغدغه‌ای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زندگی را با شاخصی الهی بسنجیم، سبک زندگی تغییر می‌کند و گسترۀ وسیعی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بخشی از زندگیِ انسان می‌شوند و توجه به مردم و رعایت حق آنان، بخش جدایی‌ناپذیرِ افکار و اَعمال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 در پرتوِ سخن و سیرۀ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گام زندگی با دیگران را به‌نظاره می‌نشینیم و توفیق عمل را از خداوند مهربان، مدد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13" w:name="pg4719_26388"/>
    </w:p>
    <w:p>
      <w:pPr>
        <w:pStyle w:val="Heading2"/>
        <w:numPr>
          <w:ilvl w:val="1"/>
          <w:numId w:val="1"/>
        </w:numPr>
        <w:rPr/>
      </w:pPr>
      <w:bookmarkStart w:id="14" w:name="__RefHeading___Toc1204400_2035185390"/>
      <w:bookmarkStart w:id="15" w:name="_Toc5"/>
      <w:bookmarkEnd w:id="13"/>
      <w:bookmarkEnd w:id="14"/>
      <w:r>
        <w:rPr>
          <w:rtl w:val="true"/>
        </w:rPr>
        <w:t>گام اول</w:t>
      </w:r>
      <w:r>
        <w:rPr>
          <w:rtl w:val="true"/>
        </w:rPr>
        <w:t xml:space="preserve">: </w:t>
      </w:r>
      <w:r>
        <w:rPr>
          <w:rtl w:val="true"/>
        </w:rPr>
        <w:t>مهرورزی</w:t>
      </w:r>
      <w:bookmarkEnd w:id="15"/>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انسان، به‌صورت‌فطری، شیفتۀ الفت و رفاقت است و خواهش دل، او را به مهرورزیدن و محبت‌کردن به دیگر هم‌کیشانِ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محبت جوان صمیمانه‌تر و اسرار‌آمیزتر از دیگران است؛ او قدرت دارد که این محبت را با دقت، مخفی کرده یا به شدت و حرارت،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غذای دل بده از همدلی رُو بجو اقبال را از مُقبلی</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علی‌بن‌موسی‌الرضا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سخن را روایت کرده‌اند که هر دو، بر مهرورزی و الفت تأکید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مهرورزی و محبت با مردم، نیمی از عقل است</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الإیمان باللَّه، التّودّد إلی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خردورزی، پس از ایمان به خدا،</w:t>
      </w:r>
    </w:p>
    <w:p>
      <w:pPr>
        <w:pStyle w:val="BookText"/>
        <w:rPr/>
      </w:pPr>
      <w:r>
        <w:rPr>
          <w:rFonts w:ascii="IRNazanin" w:hAnsi="IRNazanin" w:eastAsia="IRNazanin"/>
          <w:color w:val="111111"/>
          <w:sz w:val="28"/>
          <w:sz w:val="28"/>
          <w:szCs w:val="28"/>
          <w:rtl w:val="true"/>
          <w:lang w:bidi="fa-IR"/>
        </w:rPr>
        <w:t>جلب دوستی مردم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 امام آیینۀ تمام‌نمای آیین الفت و دوستی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برخورد و معاشرت پسندیدۀ امام به‌گونه‌ای بود که بدون‌استثنا، در دل‌های مردم نفوذ فراوان داشت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همواره متبسّم و خوش‌رو بودند و در معاشرتِ نیکو، سرآمد و مثال‌زدنی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ابراهیم‌بن‌عباس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امام‌رضا با سخن، هرگز به هیچ‌کس جفا نکردند و کلام کسی را نبریدند تا مگر شخص از گفتن،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را که می‌توانستند برآورده سازند، رد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پاهایشان را دراز نمی‌کردند و هرگز روبه‌روی کسی‌که نشسته بود، تکیه نمی‌دادند و هیچ‌کس از غلامان و خادمان خود را دشنام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آب دهان بر زمین نمی‌افکندند و در خنده‌شان قهقهه نمی‌زدند، بلکه تبسّم می‌کردند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با زیردستان و خادمان خود با مهربانی و ملایمت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می‌شدند، همۀ آنان را جمع می‌کردند، بزرگ و کوچک، و با آنان سخن می‌گفتند؛ با آنان اُنس می‌گرفتند و آنان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هنگامی‌که برای امام غذا می‌آوردند، آن‌حضرت خادمان و حتی دربان و نگهبان را بر سرِ سفره می‌نشاندند و با آن‌ها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بلخ می‌گفت که در سفر خراسان با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سفره گسترده بودند و امام همۀ خدمتگزاران و غلامان، حتی سیاهان را، بر آن سفره نشاندند تا همراهِ او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اینان بر سفره‌یی جداگانه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یکی است، پدر و مادر همه یکی است و پاداش هم به‌اعمال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آمدوشدِ مؤمنان با یکدیگر، تأکید داشتند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سَخی از غذای مردم</w:t>
      </w:r>
    </w:p>
    <w:p>
      <w:pPr>
        <w:pStyle w:val="BookText"/>
        <w:rPr/>
      </w:pPr>
      <w:r>
        <w:rPr>
          <w:rFonts w:ascii="IRNazanin" w:hAnsi="IRNazanin" w:eastAsia="IRNazanin"/>
          <w:color w:val="111111"/>
          <w:sz w:val="28"/>
          <w:sz w:val="28"/>
          <w:szCs w:val="28"/>
          <w:rtl w:val="true"/>
          <w:lang w:bidi="fa-IR"/>
        </w:rPr>
        <w:t>می‌خورَد تا مردم هم در سرِ سفرۀ او حاضر شوند و از غذاهای او بخورند؛ ولی بخیل برای اینکه مردم از طعام او نخورند، از خوردن طعام دیگران خودداری می‌کند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همچنین، ایشان مهمان را دوست می‌داشتند و بر اِکرام او پای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میهمان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 چراغ نقصی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امام دست پیش آورد تا چراغ را درست کند؛ امام نگذاشتند و خود این کار را انجام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هستیم که میهمانان خود را به‌کار نمی‌گیریم</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امام مثال‌زدنی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شخصی که امام را نمی‌شناخت، در حمام، از امام خواست تا او را کیسه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پذیرفتند و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امام را بدان شخص معرفی کردند و او با شرمندگی به عذرخواهی پرداخت؛ ولی امام، بی‌توجه به عذر‌خواهی او، همچنان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کیسه می‌کشیدند و او را دلداری می‌دادند که طوری نشده است</w:t>
      </w:r>
      <w:r>
        <w:rPr>
          <w:rFonts w:eastAsia="IRNazanin" w:cs="IRNazanin"/>
          <w:color w:val="111111"/>
          <w:sz w:val="28"/>
          <w:szCs w:val="28"/>
          <w:rtl w:val="true"/>
          <w:lang w:bidi="fa-IR"/>
        </w:rPr>
        <w:t>.»</w:t>
      </w:r>
      <w:r>
        <w:rPr>
          <w:rStyle w:val="FootnoteAnchor"/>
          <w:rtl w:val="true"/>
        </w:rPr>
        <w:footnoteReference w:id="10"/>
      </w:r>
      <w:bookmarkStart w:id="16" w:name="pg4719_26394"/>
    </w:p>
    <w:p>
      <w:pPr>
        <w:pStyle w:val="Heading2"/>
        <w:numPr>
          <w:ilvl w:val="1"/>
          <w:numId w:val="1"/>
        </w:numPr>
        <w:rPr/>
      </w:pPr>
      <w:bookmarkStart w:id="17" w:name="__RefHeading___Toc1204402_2035185390"/>
      <w:bookmarkStart w:id="18" w:name="_Toc6"/>
      <w:bookmarkEnd w:id="16"/>
      <w:bookmarkEnd w:id="17"/>
      <w:r>
        <w:rPr>
          <w:rtl w:val="true"/>
        </w:rPr>
        <w:t>گام دوم</w:t>
      </w:r>
      <w:r>
        <w:rPr>
          <w:rtl w:val="true"/>
        </w:rPr>
        <w:t xml:space="preserve">: </w:t>
      </w:r>
      <w:r>
        <w:rPr>
          <w:rtl w:val="true"/>
        </w:rPr>
        <w:t>برادری</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مؤمنان برادر یکدیگرند؛ آن‌گونه که در کتاب الهی به‌عنوان یک قانون از آن 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الْمُومِنُونَ إِخْوَةٌ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آیه نسبتی را میان مسلمانان برقرار می‌سازد که قبلاً برقرار نبود و آن نسبت،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در اسلام، نسبتی است که بین دو نفر برقرار می‌شود و آثاری شرعی و حقوقی نیز دارد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حقوق برادران دینی تأکید داشتند؛ ازجمله، به 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فرمودند که به دوستان سلام برسان و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 خویش راست‌گو باشند و امانت را ادا کنند؛ خاموشی را پیشۀ خود سازند و از جدال و نزاع بیهوده‌ای دوری کنند که سودی برایشان ندارد؛ به همدیگر روی آورند و به دیدار و ملاقاتِ هم بروند، زیرا این کار موجب نزدیکی به من است؛ خود را به دشمنی و بدگویی با یکدیگر مشغول نسازند، زیرا با خود عهد</w:t>
      </w:r>
    </w:p>
    <w:p>
      <w:pPr>
        <w:pStyle w:val="BookText"/>
        <w:rPr/>
      </w:pPr>
      <w:r>
        <w:rPr>
          <w:rFonts w:ascii="IRNazanin" w:hAnsi="IRNazanin" w:eastAsia="IRNazanin"/>
          <w:color w:val="111111"/>
          <w:sz w:val="28"/>
          <w:sz w:val="28"/>
          <w:szCs w:val="28"/>
          <w:rtl w:val="true"/>
          <w:lang w:bidi="fa-IR"/>
        </w:rPr>
        <w:t>کرده‌ام که اگر کسی چنین کاری انجام دهد و دوستی از دوستانم را ناراحت کند و به‌خشم آورَد، خداوند را بخوانم تا او را در دنیا، با شدیدترین عذاب‌ها مجازات کند و در آن سرا نیز از زیان‌کاران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نیکوکارانشان را آمرزیده و از خطای گنهکارانشان درگذشته است، مگر کسی را که به خدا شرک بورزد یا دوستی از دوستانم را بیازارد یا کینۀ آن‌ها را به دل بگیرد؛ به‌درستی که خداوند او را نخواهد بخشید تا آنکه از کردار ناشایست خویش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این اعمال نادرست دوری گزیند، آمرزش خدا را شامل خود کرده است؛ وگرنه، روح ایمان از قلبش بیرون رفته و از ولایت ما خارج شده است و بهره‌ای از ولایت ما نخواهد برد و اعوذ باللّه من ذلک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نفع‌رسانی به دیگری می‌تواند شاخصی برای برادری باشد و حرکت در این مسیر، زندگی انسان را از برترین‌ها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علی‌بن‌شعیب می‌گوید که خدمت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زندگانی چه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تو بدان آگاه‌تری تا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مَعَاشَ غَیرِهِ فِی مَعَاشِهِ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از پرتوِ زندگانی او، زندگی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زندگانی چه کسی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بدان آگاه‌تری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یعِشْ غَیرَهُ فِی مَعَاشِهِ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در پرتوِ زندگانی او، دیگری زندگانی نکند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زیر می‌تواند تبیین‌کنندۀ دسته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دیگران از پرتو زندگانی او، زندگی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بهترین بندگان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پرسیدند که آنان کیستند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أَحْسَنُوا اسْتَبْشَرُوا؛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نیکی کنند،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أَسَاءُوا اسْتَغْفَرُوا؛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 کنند، آمرزش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أُعْطُوا شَکرُوا؛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آنان دهند، سپاس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ابْتُلُوا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 شوند، بشَکیبَند؛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غَضِبُوا عَفَوْا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خشمگین شوند، گذشت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خشم خود شوند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سلیمان جعفری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2" o:detectmouseclick="t"/>
                <v:stroke color="#3465a4" joinstyle="round" endcap="flat"/>
                <w10:wrap type="none"/>
              </v:shape>
            </w:pict>
          </mc:Fallback>
        </mc:AlternateContent>
      </w:r>
      <w:bookmarkStart w:id="19" w:name="pg4719_26400"/>
    </w:p>
    <w:p>
      <w:pPr>
        <w:pStyle w:val="Heading2"/>
        <w:numPr>
          <w:ilvl w:val="1"/>
          <w:numId w:val="1"/>
        </w:numPr>
        <w:rPr/>
      </w:pPr>
      <w:bookmarkStart w:id="20" w:name="__RefHeading___Toc1204404_2035185390"/>
      <w:bookmarkStart w:id="21" w:name="_Toc7"/>
      <w:bookmarkEnd w:id="19"/>
      <w:bookmarkEnd w:id="20"/>
      <w:r>
        <w:rPr>
          <w:rtl w:val="true"/>
        </w:rPr>
        <w:t>گام سوم</w:t>
      </w:r>
      <w:r>
        <w:rPr>
          <w:rtl w:val="true"/>
        </w:rPr>
        <w:t xml:space="preserve">: </w:t>
      </w:r>
      <w:r>
        <w:rPr>
          <w:rtl w:val="true"/>
        </w:rPr>
        <w:t>رعایت حق دیگری</w:t>
      </w:r>
      <w:bookmarkEnd w:id="21"/>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حفظ شأن و کرامت انسان و رعایت حقوقِ آدمی را اصلی کلّی در دین تلقی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تُصَعِّرْ خَدَّک لِلنّاسِ وَ لا تَمْشِ فِی الْأَرْضِ مَرَحاً إِنَّ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 فی مَشْیک وَ اغْضُضْ مِنْ صَوْتِک إِنَّ أَنْکرَ الْأَصْواتِ لَصَوْتُ الْحَمیرِ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بی‌اعتنایی،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راه‌رفتن، اعتدال را رعایت کن؛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زشت‌ترین صداها، صدای خران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حقوق مردم اصلی قطعی و خدشه‌ناپذیر در زندگی اجتماعی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سیرۀ الهی، حتی رعایت حق رنج‌کشیدگان، ارزش و کرامت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توجه به دادنِ دسترنج زحمت‌کش و تعیین مُزد، پیش از انجام دادن کار، یکی از نمونه‌های دغدغه مندیِ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سلیمان جعفری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برخی کارها، خدمت امام بودم و وقتی کارم انجام شد، خواستم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که امشب نزد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به خانۀ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بود و غلامان حضرت مشغول بنّایی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میان آن‌ها غریبه‌ای دیدند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کمک می‌کند و به او چیزی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مزدش را تعیین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هرچه بدهیم،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برآشفتند و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ناراحت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بارها به این‌ها گفته‌ام که هیچ‌کس را برای کاری نیاورید؛ مگر آنکه قبلاً مُزدش را تعیین کنید و قرارداد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بدون‌قرارداد و تعیین مزد، کاری انجام دهد، اگر سه‌برابر مُزدش را بدهی، باز گمان می‌کند مزدش را کم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قرارداد ببندی و به‌مقدارِ معین‌شده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بپردازی، از تو خشنود خواهد بود که طبق قرار عمل کرده‌ای و دراین‌صورت، اگر بیش‌ازمقدارِ تعیین‌شده، چیزی به او بدهی، هرچند کم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ناچیز باشد، می‌فهمد که بیشتر پرداخته‌ای و سپاسگزار خواهد بود</w:t>
      </w:r>
      <w:r>
        <w:rPr>
          <w:rFonts w:eastAsia="IRNazanin" w:cs="IRNazanin"/>
          <w:color w:val="111111"/>
          <w:sz w:val="28"/>
          <w:szCs w:val="28"/>
          <w:rtl w:val="true"/>
          <w:lang w:bidi="fa-IR"/>
        </w:rPr>
        <w:t>.»</w:t>
      </w:r>
      <w:r>
        <w:rPr>
          <w:rStyle w:val="FootnoteAnchor"/>
          <w:rtl w:val="true"/>
        </w:rPr>
        <w:footnoteReference w:id="17"/>
      </w:r>
      <w:bookmarkStart w:id="22" w:name="pg4719_26404"/>
    </w:p>
    <w:p>
      <w:pPr>
        <w:pStyle w:val="Heading2"/>
        <w:numPr>
          <w:ilvl w:val="1"/>
          <w:numId w:val="1"/>
        </w:numPr>
        <w:rPr/>
      </w:pPr>
      <w:bookmarkStart w:id="23" w:name="__RefHeading___Toc1204406_2035185390"/>
      <w:bookmarkStart w:id="24" w:name="_Toc8"/>
      <w:bookmarkEnd w:id="22"/>
      <w:bookmarkEnd w:id="23"/>
      <w:r>
        <w:rPr>
          <w:rtl w:val="true"/>
        </w:rPr>
        <w:t>گام چهارم</w:t>
      </w:r>
      <w:r>
        <w:rPr>
          <w:rtl w:val="true"/>
        </w:rPr>
        <w:t xml:space="preserve">: </w:t>
      </w:r>
      <w:r>
        <w:rPr>
          <w:rtl w:val="true"/>
        </w:rPr>
        <w:t>دست‌گیری</w:t>
      </w:r>
      <w:bookmarkEnd w:id="24"/>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انفاق و دست‌گیری نیز ضلعی از رابطۀ انسان مؤمن با جامعه است و مؤمن، بنابه آن، دربرابر روزیِ خدادادی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وقتی متّقین را توصیف می‌کند،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رابطۀ نزدیک و بخشش مستمرِ آنان به خلق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تمام مواهبی که به آن‌ها روزی داده‌ایم، انفاق می‌کنند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بی‌شک، روزی معنای عامی است که به روزی‌های معنوی و مادی اطلاق می‌شود</w:t>
      </w:r>
      <w:r>
        <w:rPr>
          <w:rStyle w:val="FootnoteAnchor"/>
          <w:rtl w:val="true"/>
        </w:rPr>
        <w:footnoteReference w:id="19"/>
      </w:r>
      <w:r>
        <w:rPr>
          <w:rFonts w:ascii="IRNazanin" w:hAnsi="IRNazanin" w:eastAsia="IRNazanin"/>
          <w:color w:val="111111"/>
          <w:sz w:val="28"/>
          <w:sz w:val="28"/>
          <w:szCs w:val="28"/>
          <w:rtl w:val="true"/>
          <w:lang w:bidi="fa-IR"/>
        </w:rPr>
        <w:t>و ازاین‌رو، پرهیزکاران آن‌هایند که نه‌تنها از اموال خود، بلکه از عقل، دانش، نیروهای جسمانی، مقام و موقعیت اجتماعی خود و خلاصه، از تمام سرمایه‌های خویش به آن‌هایی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می‌بخشند که نیازمندند؛ بی‌آنکه انتظارِ پاداشی داشته باشند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فلسفۀ انفاق تنها پُرشدنِ خلاءهای اجتماعی</w:t>
      </w:r>
    </w:p>
    <w:p>
      <w:pPr>
        <w:pStyle w:val="BookText"/>
        <w:rPr/>
      </w:pPr>
      <w:r>
        <w:rPr>
          <w:rFonts w:ascii="IRNazanin" w:hAnsi="IRNazanin" w:eastAsia="IRNazanin"/>
          <w:color w:val="111111"/>
          <w:sz w:val="28"/>
          <w:sz w:val="28"/>
          <w:szCs w:val="28"/>
          <w:rtl w:val="true"/>
          <w:lang w:bidi="fa-IR"/>
        </w:rPr>
        <w:t>نیست، بلکه رابطه‌ای با ساخته‌شدن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چیزی داشته باشد و از خود جدا کند و مظهر رحمانیت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شود، این امر، نقش بزرگی در ساختن انسان 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آیه‌ای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توصیه می‌کند و انفاق مال مورد علاقه را از ارکان آن می‌شمارد و دربارۀ حقیقت بِر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هرگز به‌حقیقت بِر و نیکی نمی‌رسید، مگر اینکه از آنچه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می‌داند که تعلق قلبی انسان به آنچه به‌دست آورده و جمع کرده است، جزء غریزۀ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مال را جمع کند و بشمارد؛ به‌طوری که اگر قسمتی از آن‌را از دست بدهد، مثل این است که</w:t>
      </w:r>
    </w:p>
    <w:p>
      <w:pPr>
        <w:pStyle w:val="BookText"/>
        <w:rPr/>
      </w:pPr>
      <w:r>
        <w:rPr>
          <w:rFonts w:ascii="IRNazanin" w:hAnsi="IRNazanin" w:eastAsia="IRNazanin"/>
          <w:color w:val="111111"/>
          <w:sz w:val="28"/>
          <w:sz w:val="28"/>
          <w:szCs w:val="28"/>
          <w:rtl w:val="true"/>
          <w:lang w:bidi="fa-IR"/>
        </w:rPr>
        <w:t>جزیی از جان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مجاهدت انسان در انفاق مال، بیشتر و دشوارتر از سایر عبادات و اعمال است؛ چون در آن‌ها فوت و زوال و کمبود، چشمگیر نیست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ایمان به‌خدا و اعتراف به‌حقوق اولیاء خدا از آل محمد، چیزی نخواهید داشت که نزد شما، محبوب‌تر باشد از کمک به برادران دینی خود در امور دنیا که وسیلۀ رسیدن به بهشتِ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چنین کند، از اولیاء خدا و از مقرّبین درگاه خدا خواهد بود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احسان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تنگ‌دستان در نهان صدقه می‌دادند و بیشتر، این کار را در شب‌های تاریک به‌انجام می‌رساندند؛ تا احسان او، شرمندگیِ نیازمند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نداشته باشد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روزی غریبی خدمت امام رسید 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دوستداران شما و پدران و اجدادتان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باز‌گشته‌ام و خرجیِ راه تمام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مایل‌اید، مبلغی به من مرحمت کنید تا خود را به وطنم برسانم و در آنجا، از جانب شما، معادلِ همان مبلغ را به مستمندان صدقه خواهم داد؛ زیرا من در شهر خویش فقیر نیستم و اینک در سفر، نیازمند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برخاستند و به اطاقی دیگر رفتند و دویست دینار آوردند و از بالای در، دست خویش را فراز آوردند و آن شخص را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را بگیر و توشۀ راه کن و به آن تبرّک بجوی و لازم نیست که از جانب من، معادل آن‌را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دینارها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اطاق، به‌جای اول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که چرا کاری کردید که شما را هنگام گرفتنِ دینارها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شرمندگی نیاز و سؤال</w:t>
      </w:r>
    </w:p>
    <w:p>
      <w:pPr>
        <w:pStyle w:val="BookText"/>
        <w:rPr/>
      </w:pPr>
      <w:r>
        <w:rPr>
          <w:rFonts w:ascii="IRNazanin" w:hAnsi="IRNazanin" w:eastAsia="IRNazanin"/>
          <w:color w:val="111111"/>
          <w:sz w:val="28"/>
          <w:sz w:val="28"/>
          <w:szCs w:val="28"/>
          <w:rtl w:val="true"/>
          <w:lang w:bidi="fa-IR"/>
        </w:rPr>
        <w:t>را در او نبینم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ایشان هرچه داشتند، در رفعِ مشکل نیازمند هزینه می‌کردند؛ مردی به ابوالحسن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به‌قدر مردانگی‌ات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مقدار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مردانگی خودم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این‌قدر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 دویست دینار به او بده</w:t>
      </w:r>
      <w:r>
        <w:rPr>
          <w:rFonts w:eastAsia="IRNazanin" w:cs="IRNazanin"/>
          <w:color w:val="111111"/>
          <w:sz w:val="28"/>
          <w:szCs w:val="28"/>
          <w:rtl w:val="true"/>
          <w:lang w:bidi="fa-IR"/>
        </w:rPr>
        <w:t>.»</w:t>
      </w:r>
      <w:r>
        <w:rPr>
          <w:rStyle w:val="FootnoteAnchor"/>
          <w:rtl w:val="true"/>
        </w:rPr>
        <w:footnoteReference w:id="2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سخن فضل‌بن‌سهل که امام را نسبت به انفاق همۀ مال خود ملامت می‌کرد،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تعدّن مُغرماً ما اتّبعت بِه اجراً و مکرما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پاداش و کرامت بدان تعلق می‌گیرد، ضرر محسوب مکن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2" o:detectmouseclick="t"/>
                <v:stroke color="#3465a4" joinstyle="round" endcap="flat"/>
                <w10:wrap type="none"/>
              </v:shape>
            </w:pict>
          </mc:Fallback>
        </mc:AlternateContent>
      </w:r>
      <w:bookmarkStart w:id="25" w:name="pg4719_26412"/>
    </w:p>
    <w:p>
      <w:pPr>
        <w:pStyle w:val="Heading2"/>
        <w:numPr>
          <w:ilvl w:val="1"/>
          <w:numId w:val="1"/>
        </w:numPr>
        <w:rPr/>
      </w:pPr>
      <w:bookmarkStart w:id="26" w:name="__RefHeading___Toc1204408_2035185390"/>
      <w:bookmarkStart w:id="27" w:name="_Toc9"/>
      <w:bookmarkEnd w:id="25"/>
      <w:bookmarkEnd w:id="26"/>
      <w:r>
        <w:rPr>
          <w:rtl w:val="true"/>
        </w:rPr>
        <w:t>گام پنجم</w:t>
      </w:r>
      <w:r>
        <w:rPr>
          <w:rtl w:val="true"/>
        </w:rPr>
        <w:t xml:space="preserve">: </w:t>
      </w:r>
      <w:r>
        <w:rPr>
          <w:rtl w:val="true"/>
        </w:rPr>
        <w:t>خاکساری دربرابرِ والدین</w:t>
      </w:r>
      <w:bookmarkEnd w:id="27"/>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نوع رفتار با والدین در اولویت نخستِ آداب معاشرت جای دارد؛ به آن میزان که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بدان پای می‌فشارد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حَمَلَتْهُ أُمُّهُ وَهْناً عَلی وَهْنٍ وَ فِصالُهُ فِی عامَینِ أَنِ‌اشکرْ لِی وَ لِوالِدَیک 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 وَ اتَّبِعْ سَبِیلَ مَنْ أَنابَ إِلَی ثُمَّ إِلَی مَرْجِعُکمْ فَأُنَبِّیکمْ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انسان دربارۀ پدر و مادرش سفارش کردیم؛ مادرش او را با سستی در پِی سستی، بارداری کرد و زمان شیرخوارگی وی دو سال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و پدر و مادرت را سپاس بگزار که بازگشت همه به‌سوی من است و اگر تو را وادارند تا آنچه نمی‌دانی، برای من شریک آوری، از آنان فرمان نبر؛ و در این جهان، با آنان، به شایستگی همراهی کن و راه کسی را پیش گیر که به درگاه من بازگردد، سپس بازگشتتان به‌سوی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از آنچه می‌کرده‌اید، می‌آگاهانم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قرآن توصیه می‌کند که بر انسان واجب است که در امور دنیوی، نه در احکام شرعی که راه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با پدر و مادر خود به‌طور‌پسندیده و متعارف مصاحبت کند، نه به‌طور‌ناشایست؛ و رعایت حال آن دو را کرده، با رفق و نرمی رفتار کند و جفا و خشونت در حقّشان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حتی نگاه محبت‌آمیز به پدر و مادر نیز ستودنی است و عبادت شمرده می‌شود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نیکی به والدین را مهم‌ترین تکیف الهی تلقی کرده‌اند؛ این رویکرد در سخن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هویداست که آن‌را در قالب نکات زیر ذکر می‌کنیم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الوالدینِ واجبٌ و إنْ کانا مُشرکین و لاطاعة لهما فی معصیة الخالق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پدر و مادر، اگرچه مشرک باشند، واجب است؛ ولی محدودۀ اطاعت از پدر و مادر تا جایی است که اطاعت آن‌ها، معصیت خدا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سه چیز، همراه با سه چیز دیگر، امر کرده است؛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بِالشُّکرِ لَهُ وَ لِلْوَالِدَین، فَمَنْ لَمْ یشْکرْ وَالِدَیهِ لَمْ یشْکرِ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کرده است که از او تشکر کنند و سپاسگزارِ او باشند، همراه با شکر و سپاس از والدین؛ پس هرکه از والدین خود تشکر نکرد و آن‌ها را سپاس نگفت، شکر خدا را به‌جا نیاورده و او را سپاس نگفته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عقوق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عُقُوقَ الْوَالِدَینِ، لِمَا فِیهِ مِنَ الْخُرُوجِ مِنَ التَّوْفِیقِ لِطَاعَةِ اللَّهِ عَزَّ وَ جَلَّ، وَ التَّوْقِیرِ لِلْوَالِدَینِ وَ تَجَنُّبِ کفْرِ النِّعْمَةِ وَ إِبْطَالِ الشُّکرِ، وَ مَا یدْعُو مِنْ ذَلِک إِلَی قِلَّةِ النَّسْلِ وَ انْقِطَاعِهِ، لِمَا فِی الْعُقُوقِ مِنْ قِلَّةِ تَوْقِیرِ الْوَالِدَینِ، وَ الْعِرْفَانِ بِحَقِّهِمَا، وَ قَطْعِ الْأَرْحَامِ وَ الزُّهْدِ مِنَ الْوَالِدَینِ فِی الْوَلَدِ، وَ تَرْک التَّرْبِیةِ بِعِلَّةِ تَرْک الْوَلَدِ بِرَّهُمَا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عقوق والدین را حرام کرده است و این به‌جهتِ خروج از اطاعت خداوند و تعظیم والدین و دوری از کفران نعمت و ابطال شکر و سپاسگزاری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عقوق والدین حرام نشده بود، قطع</w:t>
      </w:r>
    </w:p>
    <w:p>
      <w:pPr>
        <w:pStyle w:val="BookText"/>
        <w:rPr/>
      </w:pPr>
      <w:r>
        <w:rPr>
          <w:rFonts w:ascii="IRNazanin" w:hAnsi="IRNazanin" w:eastAsia="IRNazanin"/>
          <w:color w:val="111111"/>
          <w:sz w:val="28"/>
          <w:sz w:val="28"/>
          <w:szCs w:val="28"/>
          <w:rtl w:val="true"/>
          <w:lang w:bidi="fa-IR"/>
        </w:rPr>
        <w:t>نسل پیش می‌آمد و احترام پدر و مادر از بین می‌رفت و کسی حقوق آن‌ها را نمی‌شناخت و درنتیجه، قطعِ‌رحم می‌شد و پدر و مادر اولاد خود را تَرک می‌کردند و فرزندان هم از نیکی به آن‌ها خودداری می‌کردند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یادآوری این نکته از سعدی شیرازی،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جهلِ جوانی، بانگ بر مادر زدم، دل‌آزرده به کنجی نشست و گریان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خُردی فراموش کردی که درشتی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زالی به فرزند خویش چو دیدش پلنگ‌افکن و پیل‌تَن</w:t>
      </w:r>
    </w:p>
    <w:p>
      <w:pPr>
        <w:pStyle w:val="BookText"/>
        <w:rPr/>
      </w:pPr>
      <w:r>
        <w:rPr>
          <w:rFonts w:ascii="IRNazanin" w:hAnsi="IRNazanin" w:eastAsia="IRNazanin"/>
          <w:color w:val="111111"/>
          <w:sz w:val="28"/>
          <w:sz w:val="28"/>
          <w:szCs w:val="28"/>
          <w:rtl w:val="true"/>
          <w:lang w:bidi="fa-IR"/>
        </w:rPr>
        <w:t>گر از عهد خُردیت یاد آمدی که بیچاره بودی در آغوش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نکردی در این روز بر من جفا که تو شیرمردی و من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2" o:detectmouseclick="t"/>
                <v:stroke color="#3465a4" joinstyle="round" endcap="flat"/>
                <w10:wrap type="none"/>
              </v:shape>
            </w:pict>
          </mc:Fallback>
        </mc:AlternateContent>
      </w:r>
      <w:bookmarkStart w:id="28" w:name="pg4719_26418"/>
    </w:p>
    <w:p>
      <w:pPr>
        <w:pStyle w:val="Heading2"/>
        <w:numPr>
          <w:ilvl w:val="1"/>
          <w:numId w:val="1"/>
        </w:numPr>
        <w:rPr/>
      </w:pPr>
      <w:bookmarkStart w:id="29" w:name="__RefHeading___Toc1204410_2035185390"/>
      <w:bookmarkStart w:id="30" w:name="_Toc10"/>
      <w:bookmarkEnd w:id="28"/>
      <w:bookmarkEnd w:id="29"/>
      <w:r>
        <w:rPr>
          <w:rtl w:val="true"/>
        </w:rPr>
        <w:t>گام ششم</w:t>
      </w:r>
      <w:r>
        <w:rPr>
          <w:rtl w:val="true"/>
        </w:rPr>
        <w:t xml:space="preserve">: </w:t>
      </w:r>
      <w:r>
        <w:rPr>
          <w:rtl w:val="true"/>
        </w:rPr>
        <w:t>نیک‌سیرتی در خانه</w:t>
      </w:r>
      <w:bookmarkEnd w:id="30"/>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این سخن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گوشِ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کسی به من نزدیک‌تر است که در دنیا، خوش‌اخلاق‌تر و نسبت به خانوادۀ خود نیکوکارتر باشد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را با آراستگی جمع کرده بودند و پاکیزگی را از اخلاق پیامبران می‌شمردند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امام ضمن حفظ آراستگیِ خود در خانه، بر آراسته‌بودن مرد در خانه تأکید می‌داشتند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محاسِن خود را با خضاب سیاه می‌کردند</w:t>
      </w:r>
      <w:r>
        <w:rPr>
          <w:rStyle w:val="FootnoteAnchor"/>
          <w:rtl w:val="true"/>
        </w:rPr>
        <w:footnoteReference w:id="37"/>
      </w:r>
      <w:r>
        <w:rPr>
          <w:rFonts w:ascii="IRNazanin" w:hAnsi="IRNazanin" w:eastAsia="IRNazanin"/>
          <w:color w:val="111111"/>
          <w:sz w:val="28"/>
          <w:sz w:val="28"/>
          <w:szCs w:val="28"/>
          <w:rtl w:val="true"/>
          <w:lang w:bidi="fa-IR"/>
        </w:rPr>
        <w:t>و موهای سر و صورت خود را شانه می‌زدند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ایشان عطر‌زدن را از اخلاق پیامبران می‌شمردند</w:t>
      </w:r>
      <w:r>
        <w:rPr>
          <w:rStyle w:val="FootnoteAnchor"/>
          <w:rtl w:val="true"/>
        </w:rPr>
        <w:footnoteReference w:id="39"/>
      </w:r>
      <w:r>
        <w:rPr>
          <w:rFonts w:ascii="IRNazanin" w:hAnsi="IRNazanin" w:eastAsia="IRNazanin"/>
          <w:color w:val="111111"/>
          <w:sz w:val="28"/>
          <w:sz w:val="28"/>
          <w:szCs w:val="28"/>
          <w:rtl w:val="true"/>
          <w:lang w:bidi="fa-IR"/>
        </w:rPr>
        <w:t>و همگان را به این ویژگی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هیچ‌کس</w:t>
      </w:r>
    </w:p>
    <w:p>
      <w:pPr>
        <w:pStyle w:val="BookText"/>
        <w:rPr/>
      </w:pPr>
      <w:r>
        <w:rPr>
          <w:rFonts w:ascii="IRNazanin" w:hAnsi="IRNazanin" w:eastAsia="IRNazanin"/>
          <w:color w:val="111111"/>
          <w:sz w:val="28"/>
          <w:sz w:val="28"/>
          <w:szCs w:val="28"/>
          <w:rtl w:val="true"/>
          <w:lang w:bidi="fa-IR"/>
        </w:rPr>
        <w:t>روا نیست که از به‌کار‌بردنِ عطر در هر روز، خودداری کند و اگر قدرت نداشت، یک‌روز‌در‌میان خود را خوشبو کند و اگر باز هم نتوانست، در روز جمعه حتماً بوی خوش استعمال کند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دارای امکانات هستند، لازم می‌شمردند که خانوادۀ خود را در رفاه و آسایش قرار دهند</w:t>
      </w:r>
      <w:r>
        <w:rPr>
          <w:rStyle w:val="FootnoteAnchor"/>
          <w:rtl w:val="true"/>
        </w:rPr>
        <w:footnoteReference w:id="41"/>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مرد بر خانواده‌اش، از جهت مالی، توجه بیشتری کند تا آرزوی مرگِ او را نکنند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ایشان بر فراخیِ منزل تأکید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و لذت آن، در بزرگیِ منزل و دوستان زیاد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خدمتکاران، خود منزلی خریدند و فرمودند که چون منزل شما تنگ است، در آنجا ساکن</w:t>
      </w:r>
    </w:p>
    <w:p>
      <w:pPr>
        <w:pStyle w:val="BookText"/>
        <w:rPr/>
      </w:pP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 پدرم در اینجا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نادان بود، تو هم باید مانند او باشی؟</w:t>
      </w:r>
      <w:r>
        <w:rPr>
          <w:rFonts w:eastAsia="IRNazanin" w:cs="IRNazanin"/>
          <w:color w:val="111111"/>
          <w:sz w:val="28"/>
          <w:szCs w:val="28"/>
          <w:rtl w:val="true"/>
          <w:lang w:bidi="fa-IR"/>
        </w:rPr>
        <w:t>!»</w:t>
      </w:r>
      <w:r>
        <w:rPr>
          <w:rStyle w:val="FootnoteAnchor"/>
          <w:rtl w:val="true"/>
        </w:rPr>
        <w:footnoteReference w:id="4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بر خوش‌اخلاقی و نیک‌رفتاری با خانواده توصیه می‌فرمودند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أَقْرَبُکمْ مِنِّی مَجْلِساً یوْمَ الْقِیامَة أَحْسَنُکمْ خُلُقاً وَ خَیرُکمْ لِأَهْلِهِ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قیامت، کسی به من نزدیک‌تر است که در دنیا، خوش اخلاق‌تر و نسبت به خانوادۀ خود نیکوکارتر باشد</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همچنین، وقتی سخن از خانواده می‌رود، باید از صلۀ‌رحم و آمد‌وشد با خویشاوندان سخن گفت؛ رفت‌و‌آمدی که با نیکویی و عدم‌آزار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به‌فرمودۀ امام‌رضا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خویشاوند، محبت و پیوند کن؛ ولو به جرعۀ آبی و بهترین صلۀرحم، خودداری از آزارِ اوست</w:t>
      </w:r>
      <w:r>
        <w:rPr>
          <w:rFonts w:eastAsia="IRNazanin" w:cs="IRNazanin"/>
          <w:color w:val="111111"/>
          <w:sz w:val="28"/>
          <w:szCs w:val="28"/>
          <w:rtl w:val="true"/>
          <w:lang w:bidi="fa-IR"/>
        </w:rPr>
        <w:t>.»</w:t>
      </w:r>
      <w:r>
        <w:rPr>
          <w:rStyle w:val="FootnoteAnchor"/>
          <w:rtl w:val="true"/>
        </w:rPr>
        <w:footnoteReference w:id="46"/>
      </w:r>
      <w:bookmarkStart w:id="31" w:name="pg4719_26422"/>
    </w:p>
    <w:p>
      <w:pPr>
        <w:pStyle w:val="Heading2"/>
        <w:numPr>
          <w:ilvl w:val="1"/>
          <w:numId w:val="1"/>
        </w:numPr>
        <w:rPr/>
      </w:pPr>
      <w:bookmarkStart w:id="32" w:name="__RefHeading___Toc1204412_2035185390"/>
      <w:bookmarkStart w:id="33" w:name="_Toc11"/>
      <w:bookmarkEnd w:id="31"/>
      <w:bookmarkEnd w:id="32"/>
      <w:r>
        <w:rPr>
          <w:rtl w:val="true"/>
        </w:rPr>
        <w:t>گام هفتم</w:t>
      </w:r>
      <w:r>
        <w:rPr>
          <w:rtl w:val="true"/>
        </w:rPr>
        <w:t xml:space="preserve">: </w:t>
      </w:r>
      <w:r>
        <w:rPr>
          <w:rtl w:val="true"/>
        </w:rPr>
        <w:t>نظارت و اصلاحگری</w:t>
      </w:r>
      <w:bookmarkEnd w:id="33"/>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مسلمان، صالح است و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با برپاییِ نماز و انس با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دوری از گناه، به اصلاح خود می‌اندیشد و در مرتبۀ بعد، وظیفۀ اصلاح دیگران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برنامۀ اجتماعی را، پس از توصیه به نماز،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بِالْمَعْرُوفِ وَ انْهَ عَنِ الْمُنْکرِ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به نیکی‌ها و معروف دعوت کن و از منکرات و زشتی‌ها باز دار</w:t>
      </w:r>
      <w:r>
        <w:rPr>
          <w:rFonts w:eastAsia="IRNazanin" w:cs="IRNazanin"/>
          <w:color w:val="111111"/>
          <w:sz w:val="28"/>
          <w:szCs w:val="28"/>
          <w:rtl w:val="true"/>
          <w:lang w:bidi="fa-IR"/>
        </w:rPr>
        <w:t>.)</w:t>
      </w:r>
      <w:r>
        <w:rPr>
          <w:rStyle w:val="FootnoteAnchor"/>
          <w:rtl w:val="true"/>
        </w:rPr>
        <w:footnoteReference w:id="4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امر‌به‌معروف و نهی‌از‌منکر یکی از مشخصات روحی اسلام است و پروردگار</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 خود را برآن‌اساس، بنا نهاده و استوار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و با بصیرت کامل، همۀ مردم را به‌سوی خدا دعوت می‌کنیم</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اهتمام اسلام به امربه‌معروف و نهی‌ازمنکر، بدان حد است که غفلت و دوری از آن، عواقب خطرناکی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 من امربه‌معروف و نهی‌ازمنکر را ترک کنند، باید در انتظار عذاب پروردگار باشد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جامعۀ صالح که آن‌را با اندیشه‌ای سودمند و رفتاری صالح، بنیان نهاده‌اند، باید با تمام امکانات خود، رشد و کمال خود را حفظ کند و اگر کسی یا جمعی،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مسیر آن، سازی جدا و انحراف‌گونه زد، نباید او را به‌حال خود وانهند و باید به مسیر راست، سمت و سویش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میان شما، جمعی دعوت به نیکی و امربه‌معروف و نهی‌ازمنکر کنند و آن‌ها همان رستگاران‌اند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آیه، از خیر و شر تعبیر به معروف و منکر کرده است، زیرا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همگان را به چنگ‌زدن به ریسمان الهی و عدم‌تفرقه دعوت کرده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طبیعی است که چنین جامعه‌ای، معروف در آن، خیر است و منکر در آن، شر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بیت </w:t>
      </w:r>
      <w:r>
        <w:rPr>
          <w:rFonts w:ascii="IRNazanin" w:hAnsi="IRNazanin" w:eastAsia="IRNazanin"/>
          <w:b w:val="false"/>
          <w:b w:val="false"/>
          <w:bCs w:val="false"/>
          <w:i w:val="false"/>
          <w:i w:val="false"/>
          <w:iCs w:val="false"/>
          <w:color w:val="333333"/>
          <w:sz w:val="20"/>
          <w:sz w:val="20"/>
          <w:szCs w:val="20"/>
        </w:rPr>
        <w:t>۷۲۶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سیراعلام النبلاء،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الوسایل،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انفاق، اعم از انفاق مالی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جالب اینکه قرآن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اموالهم ینفقون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اموالشان انفاق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رَزَقْناهُمْ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آنچه به آن‌ها روزی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به‌این‌ترتیب، مسئلۀ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آن‌چنان تعمیم می‌دهد که تمام مواهب مادی و معنوی را در بر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آشنایی با 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توسّع در خیر است و اعم از خیر اعتقادی و عملی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مُسند الامام‌الرضا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image" Target="media/image7.jpeg"/><Relationship Id="rId32" Type="http://schemas.openxmlformats.org/officeDocument/2006/relationships/image" Target="media/image7.jpeg"/><Relationship Id="rId33" Type="http://schemas.openxmlformats.org/officeDocument/2006/relationships/footer" Target="footer18.xml"/><Relationship Id="rId34" Type="http://schemas.openxmlformats.org/officeDocument/2006/relationships/image" Target="media/image8.jpeg"/><Relationship Id="rId35" Type="http://schemas.openxmlformats.org/officeDocument/2006/relationships/image" Target="media/image8.jpeg"/><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image" Target="media/image9.jpeg"/><Relationship Id="rId41" Type="http://schemas.openxmlformats.org/officeDocument/2006/relationships/image" Target="media/image9.jpeg"/><Relationship Id="rId42" Type="http://schemas.openxmlformats.org/officeDocument/2006/relationships/footer" Target="footer23.xml"/><Relationship Id="rId43" Type="http://schemas.openxmlformats.org/officeDocument/2006/relationships/image" Target="media/image10.jpeg"/><Relationship Id="rId44" Type="http://schemas.openxmlformats.org/officeDocument/2006/relationships/image" Target="media/image10.jpeg"/><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image" Target="media/image11.jpeg"/><Relationship Id="rId52" Type="http://schemas.openxmlformats.org/officeDocument/2006/relationships/image" Target="media/image11.jpeg"/><Relationship Id="rId53" Type="http://schemas.openxmlformats.org/officeDocument/2006/relationships/footer" Target="footer30.xml"/><Relationship Id="rId54" Type="http://schemas.openxmlformats.org/officeDocument/2006/relationships/image" Target="media/image12.jpeg"/><Relationship Id="rId55" Type="http://schemas.openxmlformats.org/officeDocument/2006/relationships/image" Target="media/image12.jpeg"/><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image" Target="media/image13.jpeg"/><Relationship Id="rId62" Type="http://schemas.openxmlformats.org/officeDocument/2006/relationships/image" Target="media/image13.jpeg"/><Relationship Id="rId63" Type="http://schemas.openxmlformats.org/officeDocument/2006/relationships/footer" Target="footer36.xml"/><Relationship Id="rId64" Type="http://schemas.openxmlformats.org/officeDocument/2006/relationships/image" Target="media/image14.jpeg"/><Relationship Id="rId65" Type="http://schemas.openxmlformats.org/officeDocument/2006/relationships/image" Target="media/image14.jpeg"/><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image" Target="media/image15.jpeg"/><Relationship Id="rId71" Type="http://schemas.openxmlformats.org/officeDocument/2006/relationships/image" Target="media/image15.jpeg"/><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image" Target="media/image16.jpeg"/><Relationship Id="rId77" Type="http://schemas.openxmlformats.org/officeDocument/2006/relationships/image" Target="media/image16.jpeg"/><Relationship Id="rId78" Type="http://schemas.openxmlformats.org/officeDocument/2006/relationships/footer" Target="footer45.xml"/><Relationship Id="rId79" Type="http://schemas.openxmlformats.org/officeDocument/2006/relationships/image" Target="media/image17.jpeg"/><Relationship Id="rId80" Type="http://schemas.openxmlformats.org/officeDocument/2006/relationships/image" Target="media/image17.jpeg"/><Relationship Id="rId81" Type="http://schemas.openxmlformats.org/officeDocument/2006/relationships/footer" Target="footer4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4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3899</Words>
  <Characters>15880</Characters>
  <CharactersWithSpaces>19570</CharactersWithSpaces>
  <Paragraphs>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2026-08-18T19:23:28Z</dcterms:created>
  <dc:creator>ghaemiyeh.com</dc:creator>
  <dc:description/>
  <dc:language>en-US</dc:language>
  <cp:lastModifiedBy/>
  <dcterms:modified xsi:type="dcterms:W3CDTF">2026-08-18T22:53:31Z</dcterms:modified>
  <cp:revision>1</cp:revision>
  <dc:subject/>
  <dc:title>رهنما 34 هفت گام برای زندگی جمعی</dc:title>
</cp:coreProperties>
</file>

<file path=docProps/custom.xml><?xml version="1.0" encoding="utf-8"?>
<Properties xmlns="http://schemas.openxmlformats.org/officeDocument/2006/custom-properties" xmlns:vt="http://schemas.openxmlformats.org/officeDocument/2006/docPropsVTypes"/>
</file>