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مصادر و منابع فقه فریقین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4593_147905668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014595_147905668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014597_1479056682">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014599_1479056682">
            <w:r>
              <w:rPr>
                <w:webHidden/>
                <w:rStyle w:val="IndexLink"/>
                <w:rtl w:val="true"/>
              </w:rPr>
              <w:t>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1014601_1479056682">
            <w:r>
              <w:rPr>
                <w:webHidden/>
                <w:rStyle w:val="IndexLink"/>
                <w:rtl w:val="true"/>
              </w:rPr>
              <w:t>بخش اوّل</w:t>
            </w:r>
            <w:r>
              <w:rPr>
                <w:rStyle w:val="IndexLink"/>
                <w:rtl w:val="true"/>
              </w:rPr>
              <w:t xml:space="preserve">: </w:t>
            </w:r>
            <w:r>
              <w:rPr>
                <w:rStyle w:val="IndexLink"/>
                <w:rtl w:val="true"/>
              </w:rPr>
              <w:t>مقدّمات بحث</w:t>
            </w:r>
            <w:r>
              <w:rPr>
                <w:rStyle w:val="IndexLink"/>
                <w:rtl w:val="true"/>
              </w:rPr>
              <w:tab/>
            </w:r>
            <w:r>
              <w:rPr>
                <w:rStyle w:val="IndexLink"/>
              </w:rPr>
              <w:t>24</w:t>
            </w:r>
          </w:hyperlink>
        </w:p>
        <w:p>
          <w:pPr>
            <w:pStyle w:val="Contents3"/>
            <w:tabs>
              <w:tab w:val="clear" w:pos="8459"/>
              <w:tab w:val="right" w:pos="9026" w:leader="dot"/>
            </w:tabs>
            <w:rPr/>
          </w:pPr>
          <w:hyperlink w:anchor="__RefHeading___Toc1014603_1479056682">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014605_1479056682">
            <w:r>
              <w:rPr>
                <w:webHidden/>
                <w:rStyle w:val="IndexLink"/>
                <w:rtl w:val="true"/>
              </w:rPr>
              <w:t xml:space="preserve">مقدّمه اوّل </w:t>
            </w:r>
            <w:r>
              <w:rPr>
                <w:rStyle w:val="IndexLink"/>
                <w:rtl w:val="true"/>
              </w:rPr>
              <w:t xml:space="preserve">: </w:t>
            </w:r>
            <w:r>
              <w:rPr>
                <w:rStyle w:val="IndexLink"/>
                <w:rtl w:val="true"/>
              </w:rPr>
              <w:t>علم فقه و اهمّیّت آن</w:t>
            </w:r>
            <w:r>
              <w:rPr>
                <w:rStyle w:val="IndexLink"/>
                <w:rtl w:val="true"/>
              </w:rPr>
              <w:tab/>
            </w:r>
            <w:r>
              <w:rPr>
                <w:rStyle w:val="IndexLink"/>
              </w:rPr>
              <w:t>26</w:t>
            </w:r>
          </w:hyperlink>
        </w:p>
        <w:p>
          <w:pPr>
            <w:pStyle w:val="Contents4"/>
            <w:tabs>
              <w:tab w:val="clear" w:pos="8176"/>
              <w:tab w:val="right" w:pos="9026" w:leader="dot"/>
            </w:tabs>
            <w:rPr/>
          </w:pPr>
          <w:hyperlink w:anchor="__RefHeading___Toc1014607_1479056682">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014609_1479056682">
            <w:r>
              <w:rPr>
                <w:webHidden/>
                <w:rStyle w:val="IndexLink"/>
                <w:rtl w:val="true"/>
              </w:rPr>
              <w:t>علم فقه</w:t>
            </w:r>
            <w:r>
              <w:rPr>
                <w:rStyle w:val="IndexLink"/>
                <w:rtl w:val="true"/>
              </w:rPr>
              <w:tab/>
            </w:r>
            <w:r>
              <w:rPr>
                <w:rStyle w:val="IndexLink"/>
              </w:rPr>
              <w:t>28</w:t>
            </w:r>
          </w:hyperlink>
        </w:p>
        <w:p>
          <w:pPr>
            <w:pStyle w:val="Contents4"/>
            <w:tabs>
              <w:tab w:val="clear" w:pos="8176"/>
              <w:tab w:val="right" w:pos="9026" w:leader="dot"/>
            </w:tabs>
            <w:rPr/>
          </w:pPr>
          <w:hyperlink w:anchor="__RefHeading___Toc1014611_1479056682">
            <w:r>
              <w:rPr>
                <w:webHidden/>
                <w:rStyle w:val="IndexLink"/>
                <w:rtl w:val="true"/>
              </w:rPr>
              <w:t>فقه پویا</w:t>
            </w:r>
            <w:r>
              <w:rPr>
                <w:rStyle w:val="IndexLink"/>
                <w:rtl w:val="true"/>
              </w:rPr>
              <w:tab/>
            </w:r>
            <w:r>
              <w:rPr>
                <w:rStyle w:val="IndexLink"/>
              </w:rPr>
              <w:t>30</w:t>
            </w:r>
          </w:hyperlink>
        </w:p>
        <w:p>
          <w:pPr>
            <w:pStyle w:val="Contents4"/>
            <w:tabs>
              <w:tab w:val="clear" w:pos="8176"/>
              <w:tab w:val="right" w:pos="9026" w:leader="dot"/>
            </w:tabs>
            <w:rPr/>
          </w:pPr>
          <w:hyperlink w:anchor="__RefHeading___Toc1014613_1479056682">
            <w:r>
              <w:rPr>
                <w:webHidden/>
                <w:rStyle w:val="IndexLink"/>
                <w:rtl w:val="true"/>
              </w:rPr>
              <w:t>امتیاز فقه شیعه</w:t>
            </w:r>
            <w:r>
              <w:rPr>
                <w:rStyle w:val="IndexLink"/>
                <w:rtl w:val="true"/>
              </w:rPr>
              <w:tab/>
            </w:r>
            <w:r>
              <w:rPr>
                <w:rStyle w:val="IndexLink"/>
              </w:rPr>
              <w:t>32</w:t>
            </w:r>
          </w:hyperlink>
        </w:p>
        <w:p>
          <w:pPr>
            <w:pStyle w:val="Contents3"/>
            <w:tabs>
              <w:tab w:val="clear" w:pos="8459"/>
              <w:tab w:val="right" w:pos="9026" w:leader="dot"/>
            </w:tabs>
            <w:rPr/>
          </w:pPr>
          <w:hyperlink w:anchor="__RefHeading___Toc1014615_1479056682">
            <w:r>
              <w:rPr>
                <w:webHidden/>
                <w:rStyle w:val="IndexLink"/>
                <w:rtl w:val="true"/>
              </w:rPr>
              <w:t>مقدّمه دوم</w:t>
            </w:r>
            <w:r>
              <w:rPr>
                <w:rStyle w:val="IndexLink"/>
                <w:rtl w:val="true"/>
              </w:rPr>
              <w:t xml:space="preserve">: </w:t>
            </w:r>
            <w:r>
              <w:rPr>
                <w:rStyle w:val="IndexLink"/>
                <w:rtl w:val="true"/>
              </w:rPr>
              <w:t>علم اصول و رابطه آن با فقه</w:t>
            </w:r>
            <w:r>
              <w:rPr>
                <w:rStyle w:val="IndexLink"/>
                <w:rtl w:val="true"/>
              </w:rPr>
              <w:tab/>
            </w:r>
            <w:r>
              <w:rPr>
                <w:rStyle w:val="IndexLink"/>
              </w:rPr>
              <w:t>38</w:t>
            </w:r>
          </w:hyperlink>
        </w:p>
        <w:p>
          <w:pPr>
            <w:pStyle w:val="Contents4"/>
            <w:tabs>
              <w:tab w:val="clear" w:pos="8176"/>
              <w:tab w:val="right" w:pos="9026" w:leader="dot"/>
            </w:tabs>
            <w:rPr/>
          </w:pPr>
          <w:hyperlink w:anchor="__RefHeading___Toc1014617_1479056682">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014619_1479056682">
            <w:r>
              <w:rPr>
                <w:webHidden/>
                <w:rStyle w:val="IndexLink"/>
                <w:rtl w:val="true"/>
              </w:rPr>
              <w:t>تعریف علم اصول</w:t>
            </w:r>
            <w:r>
              <w:rPr>
                <w:rStyle w:val="IndexLink"/>
                <w:rtl w:val="true"/>
              </w:rPr>
              <w:tab/>
            </w:r>
            <w:r>
              <w:rPr>
                <w:rStyle w:val="IndexLink"/>
              </w:rPr>
              <w:t>39</w:t>
            </w:r>
          </w:hyperlink>
        </w:p>
        <w:p>
          <w:pPr>
            <w:pStyle w:val="Contents4"/>
            <w:tabs>
              <w:tab w:val="clear" w:pos="8176"/>
              <w:tab w:val="right" w:pos="9026" w:leader="dot"/>
            </w:tabs>
            <w:rPr/>
          </w:pPr>
          <w:hyperlink w:anchor="__RefHeading___Toc1014621_1479056682">
            <w:r>
              <w:rPr>
                <w:webHidden/>
                <w:rStyle w:val="IndexLink"/>
                <w:rtl w:val="true"/>
              </w:rPr>
              <w:t>بررسی تاریخی و تحوّلات علم اصول</w:t>
            </w:r>
            <w:r>
              <w:rPr>
                <w:rStyle w:val="IndexLink"/>
                <w:rtl w:val="true"/>
              </w:rPr>
              <w:tab/>
            </w:r>
            <w:r>
              <w:rPr>
                <w:rStyle w:val="IndexLink"/>
              </w:rPr>
              <w:t>41</w:t>
            </w:r>
          </w:hyperlink>
        </w:p>
        <w:p>
          <w:pPr>
            <w:pStyle w:val="Contents4"/>
            <w:tabs>
              <w:tab w:val="clear" w:pos="8176"/>
              <w:tab w:val="right" w:pos="9026" w:leader="dot"/>
            </w:tabs>
            <w:rPr/>
          </w:pPr>
          <w:hyperlink w:anchor="__RefHeading___Toc1014623_1479056682">
            <w:r>
              <w:rPr>
                <w:webHidden/>
                <w:rStyle w:val="IndexLink"/>
                <w:rtl w:val="true"/>
              </w:rPr>
              <w:t>اوّلین تألیف در علم اصول</w:t>
            </w:r>
            <w:r>
              <w:rPr>
                <w:rStyle w:val="IndexLink"/>
                <w:rtl w:val="true"/>
              </w:rPr>
              <w:tab/>
            </w:r>
            <w:r>
              <w:rPr>
                <w:rStyle w:val="IndexLink"/>
              </w:rPr>
              <w:t>43</w:t>
            </w:r>
          </w:hyperlink>
        </w:p>
        <w:p>
          <w:pPr>
            <w:pStyle w:val="Contents4"/>
            <w:tabs>
              <w:tab w:val="clear" w:pos="8176"/>
              <w:tab w:val="right" w:pos="9026" w:leader="dot"/>
            </w:tabs>
            <w:rPr/>
          </w:pPr>
          <w:hyperlink w:anchor="__RefHeading___Toc1014625_1479056682">
            <w:r>
              <w:rPr>
                <w:webHidden/>
                <w:rStyle w:val="IndexLink"/>
                <w:rtl w:val="true"/>
              </w:rPr>
              <w:t>مؤلفان علم اصول از امامیّه</w:t>
            </w:r>
            <w:r>
              <w:rPr>
                <w:rStyle w:val="IndexLink"/>
                <w:rtl w:val="true"/>
              </w:rPr>
              <w:tab/>
            </w:r>
            <w:r>
              <w:rPr>
                <w:rStyle w:val="IndexLink"/>
              </w:rPr>
              <w:t>45</w:t>
            </w:r>
          </w:hyperlink>
        </w:p>
        <w:p>
          <w:pPr>
            <w:pStyle w:val="Contents4"/>
            <w:tabs>
              <w:tab w:val="clear" w:pos="8176"/>
              <w:tab w:val="right" w:pos="9026" w:leader="dot"/>
            </w:tabs>
            <w:rPr/>
          </w:pPr>
          <w:hyperlink w:anchor="__RefHeading___Toc1014627_1479056682">
            <w:r>
              <w:rPr>
                <w:webHidden/>
                <w:rStyle w:val="IndexLink"/>
                <w:rtl w:val="true"/>
              </w:rPr>
              <w:t>تحول و تکامل علم اصول</w:t>
            </w:r>
            <w:r>
              <w:rPr>
                <w:rStyle w:val="IndexLink"/>
                <w:rtl w:val="true"/>
              </w:rPr>
              <w:tab/>
            </w:r>
            <w:r>
              <w:rPr>
                <w:rStyle w:val="IndexLink"/>
              </w:rPr>
              <w:t>48</w:t>
            </w:r>
          </w:hyperlink>
        </w:p>
        <w:p>
          <w:pPr>
            <w:pStyle w:val="Contents4"/>
            <w:tabs>
              <w:tab w:val="clear" w:pos="8176"/>
              <w:tab w:val="right" w:pos="9026" w:leader="dot"/>
            </w:tabs>
            <w:rPr/>
          </w:pPr>
          <w:hyperlink w:anchor="__RefHeading___Toc1014629_1479056682">
            <w:r>
              <w:rPr>
                <w:webHidden/>
                <w:rStyle w:val="IndexLink"/>
                <w:rtl w:val="true"/>
              </w:rPr>
              <w:t xml:space="preserve">نقش میرزای قمی </w:t>
            </w:r>
            <w:r>
              <w:rPr>
                <w:rStyle w:val="IndexLink"/>
                <w:rtl w:val="true"/>
              </w:rPr>
              <w:t>(</w:t>
            </w:r>
            <w:r>
              <w:rPr>
                <w:rStyle w:val="IndexLink"/>
                <w:rtl w:val="true"/>
              </w:rPr>
              <w:t>صاحب قوانین</w:t>
            </w:r>
            <w:r>
              <w:rPr>
                <w:rStyle w:val="IndexLink"/>
                <w:rtl w:val="true"/>
              </w:rPr>
              <w:t>)</w:t>
              <w:tab/>
            </w:r>
            <w:r>
              <w:rPr>
                <w:rStyle w:val="IndexLink"/>
              </w:rPr>
              <w:t>50</w:t>
            </w:r>
          </w:hyperlink>
        </w:p>
        <w:p>
          <w:pPr>
            <w:pStyle w:val="Contents4"/>
            <w:tabs>
              <w:tab w:val="clear" w:pos="8176"/>
              <w:tab w:val="right" w:pos="9026" w:leader="dot"/>
            </w:tabs>
            <w:rPr/>
          </w:pPr>
          <w:hyperlink w:anchor="__RefHeading___Toc1014631_1479056682">
            <w:r>
              <w:rPr>
                <w:webHidden/>
                <w:rStyle w:val="IndexLink"/>
                <w:rtl w:val="true"/>
              </w:rPr>
              <w:t>نقش صاحب فصول</w:t>
            </w:r>
            <w:r>
              <w:rPr>
                <w:rStyle w:val="IndexLink"/>
                <w:rtl w:val="true"/>
              </w:rPr>
              <w:tab/>
            </w:r>
            <w:r>
              <w:rPr>
                <w:rStyle w:val="IndexLink"/>
              </w:rPr>
              <w:t>50</w:t>
            </w:r>
          </w:hyperlink>
        </w:p>
        <w:p>
          <w:pPr>
            <w:pStyle w:val="Contents4"/>
            <w:tabs>
              <w:tab w:val="clear" w:pos="8176"/>
              <w:tab w:val="right" w:pos="9026" w:leader="dot"/>
            </w:tabs>
            <w:rPr/>
          </w:pPr>
          <w:hyperlink w:anchor="__RefHeading___Toc1014633_1479056682">
            <w:r>
              <w:rPr>
                <w:webHidden/>
                <w:rStyle w:val="IndexLink"/>
                <w:rtl w:val="true"/>
              </w:rPr>
              <w:t>نقش شیخ انصاری در تکامل مباحث اصول</w:t>
            </w:r>
            <w:r>
              <w:rPr>
                <w:rStyle w:val="IndexLink"/>
                <w:rtl w:val="true"/>
              </w:rPr>
              <w:tab/>
            </w:r>
            <w:r>
              <w:rPr>
                <w:rStyle w:val="IndexLink"/>
              </w:rPr>
              <w:t>51</w:t>
            </w:r>
          </w:hyperlink>
        </w:p>
        <w:p>
          <w:pPr>
            <w:pStyle w:val="Contents3"/>
            <w:tabs>
              <w:tab w:val="clear" w:pos="8459"/>
              <w:tab w:val="right" w:pos="9026" w:leader="dot"/>
            </w:tabs>
            <w:rPr/>
          </w:pPr>
          <w:hyperlink w:anchor="__RefHeading___Toc1014635_1479056682">
            <w:r>
              <w:rPr>
                <w:webHidden/>
                <w:rStyle w:val="IndexLink"/>
                <w:rtl w:val="true"/>
              </w:rPr>
              <w:t xml:space="preserve">مقدمه سوم </w:t>
            </w:r>
            <w:r>
              <w:rPr>
                <w:rStyle w:val="IndexLink"/>
                <w:rtl w:val="true"/>
              </w:rPr>
              <w:t xml:space="preserve">: </w:t>
            </w:r>
            <w:r>
              <w:rPr>
                <w:rStyle w:val="IndexLink"/>
                <w:rtl w:val="true"/>
              </w:rPr>
              <w:t>اجتهاد و نقش آن در پویایی و تکامل فقه</w:t>
            </w:r>
            <w:r>
              <w:rPr>
                <w:rStyle w:val="IndexLink"/>
                <w:rtl w:val="true"/>
              </w:rPr>
              <w:tab/>
            </w:r>
            <w:r>
              <w:rPr>
                <w:rStyle w:val="IndexLink"/>
              </w:rPr>
              <w:t>52</w:t>
            </w:r>
          </w:hyperlink>
        </w:p>
        <w:p>
          <w:pPr>
            <w:pStyle w:val="Contents4"/>
            <w:tabs>
              <w:tab w:val="clear" w:pos="8176"/>
              <w:tab w:val="right" w:pos="9026" w:leader="dot"/>
            </w:tabs>
            <w:rPr/>
          </w:pPr>
          <w:hyperlink w:anchor="__RefHeading___Toc1014637_1479056682">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014639_1479056682">
            <w:r>
              <w:rPr>
                <w:webHidden/>
                <w:rStyle w:val="IndexLink"/>
                <w:rtl w:val="true"/>
              </w:rPr>
              <w:t>پیدایش اجتهاد</w:t>
            </w:r>
            <w:r>
              <w:rPr>
                <w:rStyle w:val="IndexLink"/>
                <w:rtl w:val="true"/>
              </w:rPr>
              <w:tab/>
            </w:r>
            <w:r>
              <w:rPr>
                <w:rStyle w:val="IndexLink"/>
              </w:rPr>
              <w:t>54</w:t>
            </w:r>
          </w:hyperlink>
        </w:p>
        <w:p>
          <w:pPr>
            <w:pStyle w:val="Contents4"/>
            <w:tabs>
              <w:tab w:val="clear" w:pos="8176"/>
              <w:tab w:val="right" w:pos="9026" w:leader="dot"/>
            </w:tabs>
            <w:rPr/>
          </w:pPr>
          <w:hyperlink w:anchor="__RefHeading___Toc1014641_1479056682">
            <w:r>
              <w:rPr>
                <w:webHidden/>
                <w:rStyle w:val="IndexLink"/>
                <w:rtl w:val="true"/>
              </w:rPr>
              <w:t>اجتهاد در دوره امامان علیهم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1014643_1479056682">
            <w:r>
              <w:rPr>
                <w:webHidden/>
                <w:rStyle w:val="IndexLink"/>
                <w:rtl w:val="true"/>
              </w:rPr>
              <w:t>تحوّلات واژه اجتهاد</w:t>
            </w:r>
            <w:r>
              <w:rPr>
                <w:rStyle w:val="IndexLink"/>
                <w:rtl w:val="true"/>
              </w:rPr>
              <w:tab/>
            </w:r>
            <w:r>
              <w:rPr>
                <w:rStyle w:val="IndexLink"/>
              </w:rPr>
              <w:t>61</w:t>
            </w:r>
          </w:hyperlink>
        </w:p>
        <w:p>
          <w:pPr>
            <w:pStyle w:val="Contents2"/>
            <w:tabs>
              <w:tab w:val="clear" w:pos="8743"/>
              <w:tab w:val="right" w:pos="9026" w:leader="dot"/>
            </w:tabs>
            <w:rPr/>
          </w:pPr>
          <w:hyperlink w:anchor="__RefHeading___Toc1014645_1479056682">
            <w:r>
              <w:rPr>
                <w:webHidden/>
                <w:rStyle w:val="IndexLink"/>
                <w:rtl w:val="true"/>
              </w:rPr>
              <w:t>بخش دوم</w:t>
            </w:r>
            <w:r>
              <w:rPr>
                <w:rStyle w:val="IndexLink"/>
                <w:rtl w:val="true"/>
              </w:rPr>
              <w:t xml:space="preserve">: </w:t>
            </w:r>
            <w:r>
              <w:rPr>
                <w:rStyle w:val="IndexLink"/>
                <w:rtl w:val="true"/>
              </w:rPr>
              <w:t>منابع و مصادر احکام</w:t>
            </w:r>
            <w:r>
              <w:rPr>
                <w:rStyle w:val="IndexLink"/>
                <w:rtl w:val="true"/>
              </w:rPr>
              <w:tab/>
            </w:r>
            <w:r>
              <w:rPr>
                <w:rStyle w:val="IndexLink"/>
              </w:rPr>
              <w:t>72</w:t>
            </w:r>
          </w:hyperlink>
        </w:p>
        <w:p>
          <w:pPr>
            <w:pStyle w:val="Contents3"/>
            <w:tabs>
              <w:tab w:val="clear" w:pos="8459"/>
              <w:tab w:val="right" w:pos="9026" w:leader="dot"/>
            </w:tabs>
            <w:rPr/>
          </w:pPr>
          <w:hyperlink w:anchor="__RefHeading___Toc1014647_1479056682">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014649_1479056682">
            <w:r>
              <w:rPr>
                <w:webHidden/>
                <w:rStyle w:val="IndexLink"/>
                <w:rtl w:val="true"/>
              </w:rPr>
              <w:t>تعریف حکم</w:t>
            </w:r>
            <w:r>
              <w:rPr>
                <w:rStyle w:val="IndexLink"/>
                <w:rtl w:val="true"/>
              </w:rPr>
              <w:tab/>
            </w:r>
            <w:r>
              <w:rPr>
                <w:rStyle w:val="IndexLink"/>
              </w:rPr>
              <w:t>74</w:t>
            </w:r>
          </w:hyperlink>
        </w:p>
        <w:p>
          <w:pPr>
            <w:pStyle w:val="Contents3"/>
            <w:tabs>
              <w:tab w:val="clear" w:pos="8459"/>
              <w:tab w:val="right" w:pos="9026" w:leader="dot"/>
            </w:tabs>
            <w:rPr/>
          </w:pPr>
          <w:hyperlink w:anchor="__RefHeading___Toc1014651_1479056682">
            <w:r>
              <w:rPr>
                <w:webHidden/>
                <w:rStyle w:val="IndexLink"/>
                <w:rtl w:val="true"/>
              </w:rPr>
              <w:t>اشکال بر تعریف غزّالی</w:t>
            </w:r>
            <w:r>
              <w:rPr>
                <w:rStyle w:val="IndexLink"/>
                <w:rtl w:val="true"/>
              </w:rPr>
              <w:tab/>
            </w:r>
            <w:r>
              <w:rPr>
                <w:rStyle w:val="IndexLink"/>
              </w:rPr>
              <w:t>76</w:t>
            </w:r>
          </w:hyperlink>
        </w:p>
        <w:p>
          <w:pPr>
            <w:pStyle w:val="Contents3"/>
            <w:tabs>
              <w:tab w:val="clear" w:pos="8459"/>
              <w:tab w:val="right" w:pos="9026" w:leader="dot"/>
            </w:tabs>
            <w:rPr/>
          </w:pPr>
          <w:hyperlink w:anchor="__RefHeading___Toc1014653_1479056682">
            <w:r>
              <w:rPr>
                <w:webHidden/>
                <w:rStyle w:val="IndexLink"/>
                <w:rtl w:val="true"/>
              </w:rPr>
              <w:t>حکم تکلیفی و حکم وضعی</w:t>
            </w:r>
            <w:r>
              <w:rPr>
                <w:rStyle w:val="IndexLink"/>
                <w:rtl w:val="true"/>
              </w:rPr>
              <w:tab/>
            </w:r>
            <w:r>
              <w:rPr>
                <w:rStyle w:val="IndexLink"/>
              </w:rPr>
              <w:t>77</w:t>
            </w:r>
          </w:hyperlink>
        </w:p>
        <w:p>
          <w:pPr>
            <w:pStyle w:val="Contents4"/>
            <w:tabs>
              <w:tab w:val="clear" w:pos="8176"/>
              <w:tab w:val="right" w:pos="9026" w:leader="dot"/>
            </w:tabs>
            <w:rPr/>
          </w:pPr>
          <w:hyperlink w:anchor="__RefHeading___Toc1014655_1479056682">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014657_1479056682">
            <w:r>
              <w:rPr>
                <w:webHidden/>
                <w:rStyle w:val="IndexLink"/>
                <w:rtl w:val="true"/>
              </w:rPr>
              <w:t>حکم تکلیفی</w:t>
            </w:r>
            <w:r>
              <w:rPr>
                <w:rStyle w:val="IndexLink"/>
                <w:rtl w:val="true"/>
              </w:rPr>
              <w:tab/>
            </w:r>
            <w:r>
              <w:rPr>
                <w:rStyle w:val="IndexLink"/>
              </w:rPr>
              <w:t>77</w:t>
            </w:r>
          </w:hyperlink>
        </w:p>
        <w:p>
          <w:pPr>
            <w:pStyle w:val="Contents4"/>
            <w:tabs>
              <w:tab w:val="clear" w:pos="8176"/>
              <w:tab w:val="right" w:pos="9026" w:leader="dot"/>
            </w:tabs>
            <w:rPr/>
          </w:pPr>
          <w:hyperlink w:anchor="__RefHeading___Toc1014659_1479056682">
            <w:r>
              <w:rPr>
                <w:webHidden/>
                <w:rStyle w:val="IndexLink"/>
                <w:rtl w:val="true"/>
              </w:rPr>
              <w:t>حکم وضعی</w:t>
            </w:r>
            <w:r>
              <w:rPr>
                <w:rStyle w:val="IndexLink"/>
                <w:rtl w:val="true"/>
              </w:rPr>
              <w:tab/>
            </w:r>
            <w:r>
              <w:rPr>
                <w:rStyle w:val="IndexLink"/>
              </w:rPr>
              <w:t>78</w:t>
            </w:r>
          </w:hyperlink>
        </w:p>
        <w:p>
          <w:pPr>
            <w:pStyle w:val="Contents3"/>
            <w:tabs>
              <w:tab w:val="clear" w:pos="8459"/>
              <w:tab w:val="right" w:pos="9026" w:leader="dot"/>
            </w:tabs>
            <w:rPr/>
          </w:pPr>
          <w:hyperlink w:anchor="__RefHeading___Toc1014661_1479056682">
            <w:r>
              <w:rPr>
                <w:webHidden/>
                <w:rStyle w:val="IndexLink"/>
                <w:rtl w:val="true"/>
              </w:rPr>
              <w:t>تقسیم دیگری برای احکام</w:t>
            </w:r>
            <w:r>
              <w:rPr>
                <w:rStyle w:val="IndexLink"/>
                <w:rtl w:val="true"/>
              </w:rPr>
              <w:tab/>
            </w:r>
            <w:r>
              <w:rPr>
                <w:rStyle w:val="IndexLink"/>
              </w:rPr>
              <w:t>80</w:t>
            </w:r>
          </w:hyperlink>
        </w:p>
        <w:p>
          <w:pPr>
            <w:pStyle w:val="Contents4"/>
            <w:tabs>
              <w:tab w:val="clear" w:pos="8176"/>
              <w:tab w:val="right" w:pos="9026" w:leader="dot"/>
            </w:tabs>
            <w:rPr/>
          </w:pPr>
          <w:hyperlink w:anchor="__RefHeading___Toc1014663_1479056682">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014665_1479056682">
            <w:r>
              <w:rPr>
                <w:webHidden/>
                <w:rStyle w:val="IndexLink"/>
                <w:rtl w:val="true"/>
              </w:rPr>
              <w:t>حکم واقعی</w:t>
            </w:r>
            <w:r>
              <w:rPr>
                <w:rStyle w:val="IndexLink"/>
                <w:rtl w:val="true"/>
              </w:rPr>
              <w:tab/>
            </w:r>
            <w:r>
              <w:rPr>
                <w:rStyle w:val="IndexLink"/>
              </w:rPr>
              <w:t>80</w:t>
            </w:r>
          </w:hyperlink>
        </w:p>
        <w:p>
          <w:pPr>
            <w:pStyle w:val="Contents4"/>
            <w:tabs>
              <w:tab w:val="clear" w:pos="8176"/>
              <w:tab w:val="right" w:pos="9026" w:leader="dot"/>
            </w:tabs>
            <w:rPr/>
          </w:pPr>
          <w:hyperlink w:anchor="__RefHeading___Toc1014667_1479056682">
            <w:r>
              <w:rPr>
                <w:webHidden/>
                <w:rStyle w:val="IndexLink"/>
                <w:rtl w:val="true"/>
              </w:rPr>
              <w:t>حکم ظاهری</w:t>
            </w:r>
            <w:r>
              <w:rPr>
                <w:rStyle w:val="IndexLink"/>
                <w:rtl w:val="true"/>
              </w:rPr>
              <w:tab/>
            </w:r>
            <w:r>
              <w:rPr>
                <w:rStyle w:val="IndexLink"/>
              </w:rPr>
              <w:t>81</w:t>
            </w:r>
          </w:hyperlink>
        </w:p>
        <w:p>
          <w:pPr>
            <w:pStyle w:val="Contents3"/>
            <w:tabs>
              <w:tab w:val="clear" w:pos="8459"/>
              <w:tab w:val="right" w:pos="9026" w:leader="dot"/>
            </w:tabs>
            <w:rPr/>
          </w:pPr>
          <w:hyperlink w:anchor="__RefHeading___Toc1014669_1479056682">
            <w:r>
              <w:rPr>
                <w:webHidden/>
                <w:rStyle w:val="IndexLink"/>
                <w:rtl w:val="true"/>
              </w:rPr>
              <w:t>بررسی منابع احکام</w:t>
            </w:r>
            <w:r>
              <w:rPr>
                <w:rStyle w:val="IndexLink"/>
                <w:rtl w:val="true"/>
              </w:rPr>
              <w:tab/>
            </w:r>
            <w:r>
              <w:rPr>
                <w:rStyle w:val="IndexLink"/>
              </w:rPr>
              <w:t>81</w:t>
            </w:r>
          </w:hyperlink>
        </w:p>
        <w:p>
          <w:pPr>
            <w:pStyle w:val="Contents4"/>
            <w:tabs>
              <w:tab w:val="clear" w:pos="8176"/>
              <w:tab w:val="right" w:pos="9026" w:leader="dot"/>
            </w:tabs>
            <w:rPr/>
          </w:pPr>
          <w:hyperlink w:anchor="__RefHeading___Toc1014671_1479056682">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014673_1479056682">
            <w:r>
              <w:rPr>
                <w:webHidden/>
                <w:rStyle w:val="IndexLink"/>
                <w:rtl w:val="true"/>
              </w:rPr>
              <w:t>منابع اصلی</w:t>
            </w:r>
            <w:r>
              <w:rPr>
                <w:rStyle w:val="IndexLink"/>
                <w:rtl w:val="true"/>
              </w:rPr>
              <w:tab/>
            </w:r>
            <w:r>
              <w:rPr>
                <w:rStyle w:val="IndexLink"/>
              </w:rPr>
              <w:t>82</w:t>
            </w:r>
          </w:hyperlink>
        </w:p>
        <w:p>
          <w:pPr>
            <w:pStyle w:val="Contents4"/>
            <w:tabs>
              <w:tab w:val="clear" w:pos="8176"/>
              <w:tab w:val="right" w:pos="9026" w:leader="dot"/>
            </w:tabs>
            <w:rPr/>
          </w:pPr>
          <w:hyperlink w:anchor="__RefHeading___Toc1014675_1479056682">
            <w:r>
              <w:rPr>
                <w:webHidden/>
                <w:rStyle w:val="IndexLink"/>
                <w:rtl w:val="true"/>
              </w:rPr>
              <w:t>منابع تبعی</w:t>
            </w:r>
            <w:r>
              <w:rPr>
                <w:rStyle w:val="IndexLink"/>
                <w:rtl w:val="true"/>
              </w:rPr>
              <w:tab/>
            </w:r>
            <w:r>
              <w:rPr>
                <w:rStyle w:val="IndexLink"/>
              </w:rPr>
              <w:t>82</w:t>
            </w:r>
          </w:hyperlink>
        </w:p>
        <w:p>
          <w:pPr>
            <w:pStyle w:val="Contents3"/>
            <w:tabs>
              <w:tab w:val="clear" w:pos="8459"/>
              <w:tab w:val="right" w:pos="9026" w:leader="dot"/>
            </w:tabs>
            <w:rPr/>
          </w:pPr>
          <w:hyperlink w:anchor="__RefHeading___Toc1014677_1479056682">
            <w:r>
              <w:rPr>
                <w:webHidden/>
                <w:rStyle w:val="IndexLink"/>
                <w:rtl w:val="true"/>
              </w:rPr>
              <w:t>مبانی فتوا و مصادر حکم از نظر مذاهب مختلف فقهی</w:t>
            </w:r>
            <w:r>
              <w:rPr>
                <w:rStyle w:val="IndexLink"/>
                <w:rtl w:val="true"/>
              </w:rPr>
              <w:tab/>
            </w:r>
            <w:r>
              <w:rPr>
                <w:rStyle w:val="IndexLink"/>
              </w:rPr>
              <w:t>83</w:t>
            </w:r>
          </w:hyperlink>
        </w:p>
        <w:p>
          <w:pPr>
            <w:pStyle w:val="Contents3"/>
            <w:tabs>
              <w:tab w:val="clear" w:pos="8459"/>
              <w:tab w:val="right" w:pos="9026" w:leader="dot"/>
            </w:tabs>
            <w:rPr/>
          </w:pPr>
          <w:hyperlink w:anchor="__RefHeading___Toc1014679_1479056682">
            <w:r>
              <w:rPr>
                <w:webHidden/>
                <w:rStyle w:val="IndexLink"/>
                <w:rtl w:val="true"/>
              </w:rPr>
              <w:t>بررسی تفصیلی منابع احکام</w:t>
            </w:r>
            <w:r>
              <w:rPr>
                <w:rStyle w:val="IndexLink"/>
                <w:rtl w:val="true"/>
              </w:rPr>
              <w:tab/>
            </w:r>
            <w:r>
              <w:rPr>
                <w:rStyle w:val="IndexLink"/>
              </w:rPr>
              <w:t>85</w:t>
            </w:r>
          </w:hyperlink>
        </w:p>
        <w:p>
          <w:pPr>
            <w:pStyle w:val="Contents4"/>
            <w:tabs>
              <w:tab w:val="clear" w:pos="8176"/>
              <w:tab w:val="right" w:pos="9026" w:leader="dot"/>
            </w:tabs>
            <w:rPr/>
          </w:pPr>
          <w:hyperlink w:anchor="__RefHeading___Toc1014681_1479056682">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014683_1479056682">
            <w:r>
              <w:rPr>
                <w:webHidden/>
                <w:rStyle w:val="IndexLink"/>
              </w:rPr>
              <w:t>1</w:t>
            </w:r>
            <w:r>
              <w:rPr>
                <w:rStyle w:val="IndexLink"/>
                <w:rtl w:val="true"/>
              </w:rPr>
              <w:t xml:space="preserve"> - </w:t>
            </w:r>
            <w:r>
              <w:rPr>
                <w:rStyle w:val="IndexLink"/>
                <w:rtl w:val="true"/>
              </w:rPr>
              <w:t>قرآن</w:t>
            </w:r>
            <w:r>
              <w:rPr>
                <w:rStyle w:val="IndexLink"/>
                <w:rtl w:val="true"/>
              </w:rPr>
              <w:tab/>
            </w:r>
            <w:r>
              <w:rPr>
                <w:rStyle w:val="IndexLink"/>
              </w:rPr>
              <w:t>85</w:t>
            </w:r>
          </w:hyperlink>
        </w:p>
        <w:p>
          <w:pPr>
            <w:pStyle w:val="Contents5"/>
            <w:tabs>
              <w:tab w:val="clear" w:pos="7892"/>
              <w:tab w:val="right" w:pos="9026" w:leader="dot"/>
            </w:tabs>
            <w:rPr/>
          </w:pPr>
          <w:hyperlink w:anchor="__RefHeading___Toc1014685_1479056682">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014687_1479056682">
            <w:r>
              <w:rPr>
                <w:webHidden/>
                <w:rStyle w:val="IndexLink"/>
                <w:rtl w:val="true"/>
              </w:rPr>
              <w:t>محتوای کلّی قرآن</w:t>
            </w:r>
            <w:r>
              <w:rPr>
                <w:rStyle w:val="IndexLink"/>
                <w:rtl w:val="true"/>
              </w:rPr>
              <w:tab/>
            </w:r>
            <w:r>
              <w:rPr>
                <w:rStyle w:val="IndexLink"/>
              </w:rPr>
              <w:t>86</w:t>
            </w:r>
          </w:hyperlink>
        </w:p>
        <w:p>
          <w:pPr>
            <w:pStyle w:val="Contents5"/>
            <w:tabs>
              <w:tab w:val="clear" w:pos="7892"/>
              <w:tab w:val="right" w:pos="9026" w:leader="dot"/>
            </w:tabs>
            <w:rPr/>
          </w:pPr>
          <w:hyperlink w:anchor="__RefHeading___Toc1014689_1479056682">
            <w:r>
              <w:rPr>
                <w:webHidden/>
                <w:rStyle w:val="IndexLink"/>
                <w:rtl w:val="true"/>
              </w:rPr>
              <w:t>حجّیّت ظواهر قرآن</w:t>
            </w:r>
            <w:r>
              <w:rPr>
                <w:rStyle w:val="IndexLink"/>
                <w:rtl w:val="true"/>
              </w:rPr>
              <w:tab/>
            </w:r>
            <w:r>
              <w:rPr>
                <w:rStyle w:val="IndexLink"/>
              </w:rPr>
              <w:t>87</w:t>
            </w:r>
          </w:hyperlink>
        </w:p>
        <w:p>
          <w:pPr>
            <w:pStyle w:val="Contents5"/>
            <w:tabs>
              <w:tab w:val="clear" w:pos="7892"/>
              <w:tab w:val="right" w:pos="9026" w:leader="dot"/>
            </w:tabs>
            <w:rPr/>
          </w:pPr>
          <w:hyperlink w:anchor="__RefHeading___Toc1014691_1479056682">
            <w:r>
              <w:rPr>
                <w:webHidden/>
                <w:rStyle w:val="IndexLink"/>
                <w:rtl w:val="true"/>
              </w:rPr>
              <w:t>محکمات و متشابهات</w:t>
            </w:r>
            <w:r>
              <w:rPr>
                <w:rStyle w:val="IndexLink"/>
                <w:rtl w:val="true"/>
              </w:rPr>
              <w:tab/>
            </w:r>
            <w:r>
              <w:rPr>
                <w:rStyle w:val="IndexLink"/>
              </w:rPr>
              <w:t>88</w:t>
            </w:r>
          </w:hyperlink>
        </w:p>
        <w:p>
          <w:pPr>
            <w:pStyle w:val="Contents5"/>
            <w:tabs>
              <w:tab w:val="clear" w:pos="7892"/>
              <w:tab w:val="right" w:pos="9026" w:leader="dot"/>
            </w:tabs>
            <w:rPr/>
          </w:pPr>
          <w:hyperlink w:anchor="__RefHeading___Toc1014693_1479056682">
            <w:r>
              <w:rPr>
                <w:webHidden/>
                <w:rStyle w:val="IndexLink"/>
                <w:rtl w:val="true"/>
              </w:rPr>
              <w:t>بواطن قرآن</w:t>
            </w:r>
            <w:r>
              <w:rPr>
                <w:rStyle w:val="IndexLink"/>
                <w:rtl w:val="true"/>
              </w:rPr>
              <w:tab/>
            </w:r>
            <w:r>
              <w:rPr>
                <w:rStyle w:val="IndexLink"/>
              </w:rPr>
              <w:t>89</w:t>
            </w:r>
          </w:hyperlink>
        </w:p>
        <w:p>
          <w:pPr>
            <w:pStyle w:val="Contents5"/>
            <w:tabs>
              <w:tab w:val="clear" w:pos="7892"/>
              <w:tab w:val="right" w:pos="9026" w:leader="dot"/>
            </w:tabs>
            <w:rPr/>
          </w:pPr>
          <w:hyperlink w:anchor="__RefHeading___Toc1014695_1479056682">
            <w:r>
              <w:rPr>
                <w:webHidden/>
                <w:rStyle w:val="IndexLink"/>
                <w:rtl w:val="true"/>
              </w:rPr>
              <w:t>آیا استنباط احکام از قرآن تفسیر به رأی است؟</w:t>
            </w:r>
            <w:r>
              <w:rPr>
                <w:rStyle w:val="IndexLink"/>
                <w:rtl w:val="true"/>
              </w:rPr>
              <w:tab/>
            </w:r>
            <w:r>
              <w:rPr>
                <w:rStyle w:val="IndexLink"/>
              </w:rPr>
              <w:t>91</w:t>
            </w:r>
          </w:hyperlink>
        </w:p>
        <w:p>
          <w:pPr>
            <w:pStyle w:val="Contents4"/>
            <w:tabs>
              <w:tab w:val="clear" w:pos="8176"/>
              <w:tab w:val="right" w:pos="9026" w:leader="dot"/>
            </w:tabs>
            <w:rPr/>
          </w:pPr>
          <w:hyperlink w:anchor="__RefHeading___Toc1014697_1479056682">
            <w:r>
              <w:rPr>
                <w:webHidden/>
                <w:rStyle w:val="IndexLink"/>
              </w:rPr>
              <w:t>2</w:t>
            </w:r>
            <w:r>
              <w:rPr>
                <w:rStyle w:val="IndexLink"/>
                <w:rtl w:val="true"/>
              </w:rPr>
              <w:t xml:space="preserve"> - </w:t>
            </w:r>
            <w:r>
              <w:rPr>
                <w:rStyle w:val="IndexLink"/>
                <w:rtl w:val="true"/>
              </w:rPr>
              <w:t>سنّت</w:t>
            </w:r>
            <w:r>
              <w:rPr>
                <w:rStyle w:val="IndexLink"/>
                <w:rtl w:val="true"/>
              </w:rPr>
              <w:tab/>
            </w:r>
            <w:r>
              <w:rPr>
                <w:rStyle w:val="IndexLink"/>
              </w:rPr>
              <w:t>93</w:t>
            </w:r>
          </w:hyperlink>
        </w:p>
        <w:p>
          <w:pPr>
            <w:pStyle w:val="Contents5"/>
            <w:tabs>
              <w:tab w:val="clear" w:pos="7892"/>
              <w:tab w:val="right" w:pos="9026" w:leader="dot"/>
            </w:tabs>
            <w:rPr/>
          </w:pPr>
          <w:hyperlink w:anchor="__RefHeading___Toc1014699_1479056682">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1014701_1479056682">
            <w:r>
              <w:rPr>
                <w:webHidden/>
                <w:rStyle w:val="IndexLink"/>
                <w:rtl w:val="true"/>
              </w:rPr>
              <w:t>سنّت در لغت</w:t>
            </w:r>
            <w:r>
              <w:rPr>
                <w:rStyle w:val="IndexLink"/>
                <w:rtl w:val="true"/>
              </w:rPr>
              <w:tab/>
            </w:r>
            <w:r>
              <w:rPr>
                <w:rStyle w:val="IndexLink"/>
              </w:rPr>
              <w:t>93</w:t>
            </w:r>
          </w:hyperlink>
        </w:p>
        <w:p>
          <w:pPr>
            <w:pStyle w:val="Contents5"/>
            <w:tabs>
              <w:tab w:val="clear" w:pos="7892"/>
              <w:tab w:val="right" w:pos="9026" w:leader="dot"/>
            </w:tabs>
            <w:rPr/>
          </w:pPr>
          <w:hyperlink w:anchor="__RefHeading___Toc1014703_1479056682">
            <w:r>
              <w:rPr>
                <w:webHidden/>
                <w:rStyle w:val="IndexLink"/>
                <w:rtl w:val="true"/>
              </w:rPr>
              <w:t>سنّت در اصطلاح فقها و متکلّمین</w:t>
            </w:r>
            <w:r>
              <w:rPr>
                <w:rStyle w:val="IndexLink"/>
                <w:rtl w:val="true"/>
              </w:rPr>
              <w:tab/>
            </w:r>
            <w:r>
              <w:rPr>
                <w:rStyle w:val="IndexLink"/>
              </w:rPr>
              <w:t>94</w:t>
            </w:r>
          </w:hyperlink>
        </w:p>
        <w:p>
          <w:pPr>
            <w:pStyle w:val="Contents5"/>
            <w:tabs>
              <w:tab w:val="clear" w:pos="7892"/>
              <w:tab w:val="right" w:pos="9026" w:leader="dot"/>
            </w:tabs>
            <w:rPr/>
          </w:pPr>
          <w:hyperlink w:anchor="__RefHeading___Toc1014705_1479056682">
            <w:r>
              <w:rPr>
                <w:webHidden/>
                <w:rStyle w:val="IndexLink"/>
                <w:rtl w:val="true"/>
              </w:rPr>
              <w:t>سنّت در اصطلاح اصولیّین</w:t>
            </w:r>
            <w:r>
              <w:rPr>
                <w:rStyle w:val="IndexLink"/>
                <w:rtl w:val="true"/>
              </w:rPr>
              <w:tab/>
            </w:r>
            <w:r>
              <w:rPr>
                <w:rStyle w:val="IndexLink"/>
              </w:rPr>
              <w:t>95</w:t>
            </w:r>
          </w:hyperlink>
        </w:p>
        <w:p>
          <w:pPr>
            <w:pStyle w:val="Contents5"/>
            <w:tabs>
              <w:tab w:val="clear" w:pos="7892"/>
              <w:tab w:val="right" w:pos="9026" w:leader="dot"/>
            </w:tabs>
            <w:rPr/>
          </w:pPr>
          <w:hyperlink w:anchor="__RefHeading___Toc1014707_1479056682">
            <w:r>
              <w:rPr>
                <w:webHidden/>
                <w:rStyle w:val="IndexLink"/>
                <w:rtl w:val="true"/>
              </w:rPr>
              <w:t>حجّیّت سنّت پیامبر صلی‌الله‌علیه‌و‌آله</w:t>
            </w:r>
            <w:r>
              <w:rPr>
                <w:rStyle w:val="IndexLink"/>
                <w:rtl w:val="true"/>
              </w:rPr>
              <w:tab/>
            </w:r>
            <w:r>
              <w:rPr>
                <w:rStyle w:val="IndexLink"/>
              </w:rPr>
              <w:t>96</w:t>
            </w:r>
          </w:hyperlink>
        </w:p>
        <w:p>
          <w:pPr>
            <w:pStyle w:val="Contents5"/>
            <w:tabs>
              <w:tab w:val="clear" w:pos="7892"/>
              <w:tab w:val="right" w:pos="9026" w:leader="dot"/>
            </w:tabs>
            <w:rPr/>
          </w:pPr>
          <w:hyperlink w:anchor="__RefHeading___Toc1014709_1479056682">
            <w:r>
              <w:rPr>
                <w:webHidden/>
                <w:rStyle w:val="IndexLink"/>
                <w:rtl w:val="true"/>
              </w:rPr>
              <w:t>دلیل حجّیّت سنّت از قرآن</w:t>
            </w:r>
            <w:r>
              <w:rPr>
                <w:rStyle w:val="IndexLink"/>
                <w:rtl w:val="true"/>
              </w:rPr>
              <w:tab/>
            </w:r>
            <w:r>
              <w:rPr>
                <w:rStyle w:val="IndexLink"/>
              </w:rPr>
              <w:t>97</w:t>
            </w:r>
          </w:hyperlink>
        </w:p>
        <w:p>
          <w:pPr>
            <w:pStyle w:val="Contents5"/>
            <w:tabs>
              <w:tab w:val="clear" w:pos="7892"/>
              <w:tab w:val="right" w:pos="9026" w:leader="dot"/>
            </w:tabs>
            <w:rPr/>
          </w:pPr>
          <w:hyperlink w:anchor="__RefHeading___Toc1014711_1479056682">
            <w:r>
              <w:rPr>
                <w:webHidden/>
                <w:rStyle w:val="IndexLink"/>
                <w:rtl w:val="true"/>
              </w:rPr>
              <w:t>سنّت صحابه</w:t>
            </w:r>
            <w:r>
              <w:rPr>
                <w:rStyle w:val="IndexLink"/>
                <w:rtl w:val="true"/>
              </w:rPr>
              <w:tab/>
            </w:r>
            <w:r>
              <w:rPr>
                <w:rStyle w:val="IndexLink"/>
              </w:rPr>
              <w:t>99</w:t>
            </w:r>
          </w:hyperlink>
        </w:p>
        <w:p>
          <w:pPr>
            <w:pStyle w:val="Contents5"/>
            <w:tabs>
              <w:tab w:val="clear" w:pos="7892"/>
              <w:tab w:val="right" w:pos="9026" w:leader="dot"/>
            </w:tabs>
            <w:rPr/>
          </w:pPr>
          <w:hyperlink w:anchor="__RefHeading___Toc1014713_1479056682">
            <w:r>
              <w:rPr>
                <w:webHidden/>
                <w:rStyle w:val="IndexLink"/>
                <w:rtl w:val="true"/>
              </w:rPr>
              <w:t>نقد و بررسی احادیث فوق</w:t>
            </w:r>
            <w:r>
              <w:rPr>
                <w:rStyle w:val="IndexLink"/>
                <w:rtl w:val="true"/>
              </w:rPr>
              <w:tab/>
            </w:r>
            <w:r>
              <w:rPr>
                <w:rStyle w:val="IndexLink"/>
              </w:rPr>
              <w:t>99</w:t>
            </w:r>
          </w:hyperlink>
        </w:p>
        <w:p>
          <w:pPr>
            <w:pStyle w:val="Contents5"/>
            <w:tabs>
              <w:tab w:val="clear" w:pos="7892"/>
              <w:tab w:val="right" w:pos="9026" w:leader="dot"/>
            </w:tabs>
            <w:rPr/>
          </w:pPr>
          <w:hyperlink w:anchor="__RefHeading___Toc1014715_1479056682">
            <w:r>
              <w:rPr>
                <w:webHidden/>
                <w:rStyle w:val="IndexLink"/>
                <w:rtl w:val="true"/>
              </w:rPr>
              <w:t>سنّت اهل بیت علیهم‌السلام</w:t>
            </w:r>
            <w:r>
              <w:rPr>
                <w:rStyle w:val="IndexLink"/>
                <w:rtl w:val="true"/>
              </w:rPr>
              <w:tab/>
            </w:r>
            <w:r>
              <w:rPr>
                <w:rStyle w:val="IndexLink"/>
              </w:rPr>
              <w:t>101</w:t>
            </w:r>
          </w:hyperlink>
        </w:p>
        <w:p>
          <w:pPr>
            <w:pStyle w:val="Contents5"/>
            <w:tabs>
              <w:tab w:val="clear" w:pos="7892"/>
              <w:tab w:val="right" w:pos="9026" w:leader="dot"/>
            </w:tabs>
            <w:rPr/>
          </w:pPr>
          <w:hyperlink w:anchor="__RefHeading___Toc1014717_1479056682">
            <w:r>
              <w:rPr>
                <w:webHidden/>
                <w:rStyle w:val="IndexLink"/>
                <w:rtl w:val="true"/>
              </w:rPr>
              <w:t>دلیل حجّیّت</w:t>
            </w:r>
            <w:r>
              <w:rPr>
                <w:rStyle w:val="IndexLink"/>
                <w:rtl w:val="true"/>
              </w:rPr>
              <w:tab/>
            </w:r>
            <w:r>
              <w:rPr>
                <w:rStyle w:val="IndexLink"/>
              </w:rPr>
              <w:t>101</w:t>
            </w:r>
          </w:hyperlink>
        </w:p>
        <w:p>
          <w:pPr>
            <w:pStyle w:val="Contents6"/>
            <w:tabs>
              <w:tab w:val="clear" w:pos="7609"/>
              <w:tab w:val="right" w:pos="9026" w:leader="dot"/>
            </w:tabs>
            <w:rPr/>
          </w:pPr>
          <w:hyperlink w:anchor="__RefHeading___Toc1014719_1479056682">
            <w:r>
              <w:rPr>
                <w:webHidden/>
                <w:rStyle w:val="IndexLink"/>
              </w:rPr>
              <w:t>1</w:t>
            </w:r>
            <w:r>
              <w:rPr>
                <w:rStyle w:val="IndexLink"/>
                <w:rtl w:val="true"/>
              </w:rPr>
              <w:t xml:space="preserve"> - </w:t>
            </w:r>
            <w:r>
              <w:rPr>
                <w:rStyle w:val="IndexLink"/>
                <w:rtl w:val="true"/>
              </w:rPr>
              <w:t>آیه تطهیر</w:t>
            </w:r>
            <w:r>
              <w:rPr>
                <w:rStyle w:val="IndexLink"/>
                <w:rtl w:val="true"/>
              </w:rPr>
              <w:tab/>
            </w:r>
            <w:r>
              <w:rPr>
                <w:rStyle w:val="IndexLink"/>
              </w:rPr>
              <w:t>101</w:t>
            </w:r>
          </w:hyperlink>
        </w:p>
        <w:p>
          <w:pPr>
            <w:pStyle w:val="Contents6"/>
            <w:tabs>
              <w:tab w:val="clear" w:pos="7609"/>
              <w:tab w:val="right" w:pos="9026" w:leader="dot"/>
            </w:tabs>
            <w:rPr/>
          </w:pPr>
          <w:hyperlink w:anchor="__RefHeading___Toc1014721_1479056682">
            <w:r>
              <w:rPr>
                <w:webHidden/>
                <w:rStyle w:val="IndexLink"/>
              </w:rPr>
              <w:t>2</w:t>
            </w:r>
            <w:r>
              <w:rPr>
                <w:rStyle w:val="IndexLink"/>
                <w:rtl w:val="true"/>
              </w:rPr>
              <w:t xml:space="preserve"> - </w:t>
            </w:r>
            <w:r>
              <w:rPr>
                <w:rStyle w:val="IndexLink"/>
                <w:rtl w:val="true"/>
              </w:rPr>
              <w:t>حدیث ثقلین</w:t>
            </w:r>
            <w:r>
              <w:rPr>
                <w:rStyle w:val="IndexLink"/>
                <w:rtl w:val="true"/>
              </w:rPr>
              <w:tab/>
            </w:r>
            <w:r>
              <w:rPr>
                <w:rStyle w:val="IndexLink"/>
              </w:rPr>
              <w:t>103</w:t>
            </w:r>
          </w:hyperlink>
        </w:p>
        <w:p>
          <w:pPr>
            <w:pStyle w:val="Contents6"/>
            <w:tabs>
              <w:tab w:val="clear" w:pos="7609"/>
              <w:tab w:val="right" w:pos="9026" w:leader="dot"/>
            </w:tabs>
            <w:rPr/>
          </w:pPr>
          <w:hyperlink w:anchor="__RefHeading___Toc1014723_1479056682">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1014725_1479056682">
            <w:r>
              <w:rPr>
                <w:webHidden/>
                <w:rStyle w:val="IndexLink"/>
                <w:rtl w:val="true"/>
              </w:rPr>
              <w:t>دلالت حدیث ثقلین بر عصمت اهل بیت علیهم‌السلام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1014727_1479056682">
            <w:r>
              <w:rPr>
                <w:webHidden/>
                <w:rStyle w:val="IndexLink"/>
              </w:rPr>
              <w:t>3</w:t>
            </w:r>
            <w:r>
              <w:rPr>
                <w:rStyle w:val="IndexLink"/>
                <w:rtl w:val="true"/>
              </w:rPr>
              <w:t xml:space="preserve"> - </w:t>
            </w:r>
            <w:r>
              <w:rPr>
                <w:rStyle w:val="IndexLink"/>
                <w:rtl w:val="true"/>
              </w:rPr>
              <w:t>اجماع</w:t>
            </w:r>
            <w:r>
              <w:rPr>
                <w:rStyle w:val="IndexLink"/>
                <w:rtl w:val="true"/>
              </w:rPr>
              <w:tab/>
            </w:r>
            <w:r>
              <w:rPr>
                <w:rStyle w:val="IndexLink"/>
              </w:rPr>
              <w:t>105</w:t>
            </w:r>
          </w:hyperlink>
        </w:p>
        <w:p>
          <w:pPr>
            <w:pStyle w:val="Contents5"/>
            <w:tabs>
              <w:tab w:val="clear" w:pos="7892"/>
              <w:tab w:val="right" w:pos="9026" w:leader="dot"/>
            </w:tabs>
            <w:rPr/>
          </w:pPr>
          <w:hyperlink w:anchor="__RefHeading___Toc1014729_1479056682">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014731_1479056682">
            <w:r>
              <w:rPr>
                <w:webHidden/>
                <w:rStyle w:val="IndexLink"/>
                <w:rtl w:val="true"/>
              </w:rPr>
              <w:t>تعریف اجماع</w:t>
            </w:r>
            <w:r>
              <w:rPr>
                <w:rStyle w:val="IndexLink"/>
                <w:rtl w:val="true"/>
              </w:rPr>
              <w:tab/>
            </w:r>
            <w:r>
              <w:rPr>
                <w:rStyle w:val="IndexLink"/>
              </w:rPr>
              <w:t>105</w:t>
            </w:r>
          </w:hyperlink>
        </w:p>
        <w:p>
          <w:pPr>
            <w:pStyle w:val="Contents5"/>
            <w:tabs>
              <w:tab w:val="clear" w:pos="7892"/>
              <w:tab w:val="right" w:pos="9026" w:leader="dot"/>
            </w:tabs>
            <w:rPr/>
          </w:pPr>
          <w:hyperlink w:anchor="__RefHeading___Toc1014733_1479056682">
            <w:r>
              <w:rPr>
                <w:webHidden/>
                <w:rStyle w:val="IndexLink"/>
                <w:rtl w:val="true"/>
              </w:rPr>
              <w:t>اجماع در اصطلاح علمای اصول</w:t>
            </w:r>
            <w:r>
              <w:rPr>
                <w:rStyle w:val="IndexLink"/>
                <w:rtl w:val="true"/>
              </w:rPr>
              <w:tab/>
            </w:r>
            <w:r>
              <w:rPr>
                <w:rStyle w:val="IndexLink"/>
              </w:rPr>
              <w:t>106</w:t>
            </w:r>
          </w:hyperlink>
        </w:p>
        <w:p>
          <w:pPr>
            <w:pStyle w:val="Contents5"/>
            <w:tabs>
              <w:tab w:val="clear" w:pos="7892"/>
              <w:tab w:val="right" w:pos="9026" w:leader="dot"/>
            </w:tabs>
            <w:rPr/>
          </w:pPr>
          <w:hyperlink w:anchor="__RefHeading___Toc1014735_1479056682">
            <w:r>
              <w:rPr>
                <w:webHidden/>
                <w:rStyle w:val="IndexLink"/>
                <w:rtl w:val="true"/>
              </w:rPr>
              <w:t>وجه حجّیّت و دلیلیّت اجماع</w:t>
            </w:r>
            <w:r>
              <w:rPr>
                <w:rStyle w:val="IndexLink"/>
                <w:rtl w:val="true"/>
              </w:rPr>
              <w:tab/>
            </w:r>
            <w:r>
              <w:rPr>
                <w:rStyle w:val="IndexLink"/>
              </w:rPr>
              <w:t>108</w:t>
            </w:r>
          </w:hyperlink>
        </w:p>
        <w:p>
          <w:pPr>
            <w:pStyle w:val="Contents5"/>
            <w:tabs>
              <w:tab w:val="clear" w:pos="7892"/>
              <w:tab w:val="right" w:pos="9026" w:leader="dot"/>
            </w:tabs>
            <w:rPr/>
          </w:pPr>
          <w:hyperlink w:anchor="__RefHeading___Toc1014737_1479056682">
            <w:r>
              <w:rPr>
                <w:webHidden/>
                <w:rStyle w:val="IndexLink"/>
                <w:rtl w:val="true"/>
              </w:rPr>
              <w:t>ادلّه حجّیّت اجماع</w:t>
            </w:r>
            <w:r>
              <w:rPr>
                <w:rStyle w:val="IndexLink"/>
                <w:rtl w:val="true"/>
              </w:rPr>
              <w:tab/>
            </w:r>
            <w:r>
              <w:rPr>
                <w:rStyle w:val="IndexLink"/>
              </w:rPr>
              <w:t>110</w:t>
            </w:r>
          </w:hyperlink>
        </w:p>
        <w:p>
          <w:pPr>
            <w:pStyle w:val="Contents5"/>
            <w:tabs>
              <w:tab w:val="clear" w:pos="7892"/>
              <w:tab w:val="right" w:pos="9026" w:leader="dot"/>
            </w:tabs>
            <w:rPr/>
          </w:pPr>
          <w:hyperlink w:anchor="__RefHeading___Toc1014739_1479056682">
            <w:r>
              <w:rPr>
                <w:webHidden/>
                <w:rStyle w:val="IndexLink"/>
                <w:rtl w:val="true"/>
              </w:rPr>
              <w:t>نتیجه بحث</w:t>
            </w:r>
            <w:r>
              <w:rPr>
                <w:rStyle w:val="IndexLink"/>
                <w:rtl w:val="true"/>
              </w:rPr>
              <w:tab/>
            </w:r>
            <w:r>
              <w:rPr>
                <w:rStyle w:val="IndexLink"/>
              </w:rPr>
              <w:t>113</w:t>
            </w:r>
          </w:hyperlink>
        </w:p>
        <w:p>
          <w:pPr>
            <w:pStyle w:val="Contents4"/>
            <w:tabs>
              <w:tab w:val="clear" w:pos="8176"/>
              <w:tab w:val="right" w:pos="9026" w:leader="dot"/>
            </w:tabs>
            <w:rPr/>
          </w:pPr>
          <w:hyperlink w:anchor="__RefHeading___Toc1014741_1479056682">
            <w:r>
              <w:rPr>
                <w:webHidden/>
                <w:rStyle w:val="IndexLink"/>
              </w:rPr>
              <w:t>4</w:t>
            </w:r>
            <w:r>
              <w:rPr>
                <w:rStyle w:val="IndexLink"/>
                <w:rtl w:val="true"/>
              </w:rPr>
              <w:t xml:space="preserve"> - </w:t>
            </w:r>
            <w:r>
              <w:rPr>
                <w:rStyle w:val="IndexLink"/>
                <w:rtl w:val="true"/>
              </w:rPr>
              <w:t>عقل</w:t>
            </w:r>
            <w:r>
              <w:rPr>
                <w:rStyle w:val="IndexLink"/>
                <w:rtl w:val="true"/>
              </w:rPr>
              <w:tab/>
            </w:r>
            <w:r>
              <w:rPr>
                <w:rStyle w:val="IndexLink"/>
              </w:rPr>
              <w:t>113</w:t>
            </w:r>
          </w:hyperlink>
        </w:p>
        <w:p>
          <w:pPr>
            <w:pStyle w:val="Contents5"/>
            <w:tabs>
              <w:tab w:val="clear" w:pos="7892"/>
              <w:tab w:val="right" w:pos="9026" w:leader="dot"/>
            </w:tabs>
            <w:rPr/>
          </w:pPr>
          <w:hyperlink w:anchor="__RefHeading___Toc1014743_1479056682">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014745_1479056682">
            <w:r>
              <w:rPr>
                <w:webHidden/>
                <w:rStyle w:val="IndexLink"/>
                <w:rtl w:val="true"/>
              </w:rPr>
              <w:t>سیر تاریخی دلیل عقلی</w:t>
            </w:r>
            <w:r>
              <w:rPr>
                <w:rStyle w:val="IndexLink"/>
                <w:rtl w:val="true"/>
              </w:rPr>
              <w:tab/>
            </w:r>
            <w:r>
              <w:rPr>
                <w:rStyle w:val="IndexLink"/>
              </w:rPr>
              <w:t>114</w:t>
            </w:r>
          </w:hyperlink>
        </w:p>
        <w:p>
          <w:pPr>
            <w:pStyle w:val="Contents5"/>
            <w:tabs>
              <w:tab w:val="clear" w:pos="7892"/>
              <w:tab w:val="right" w:pos="9026" w:leader="dot"/>
            </w:tabs>
            <w:rPr/>
          </w:pPr>
          <w:hyperlink w:anchor="__RefHeading___Toc1014747_1479056682">
            <w:r>
              <w:rPr>
                <w:webHidden/>
                <w:rStyle w:val="IndexLink"/>
                <w:rtl w:val="true"/>
              </w:rPr>
              <w:t>دلیل عقلی از نظر امامیه</w:t>
            </w:r>
            <w:r>
              <w:rPr>
                <w:rStyle w:val="IndexLink"/>
                <w:rtl w:val="true"/>
              </w:rPr>
              <w:tab/>
            </w:r>
            <w:r>
              <w:rPr>
                <w:rStyle w:val="IndexLink"/>
              </w:rPr>
              <w:t>114</w:t>
            </w:r>
          </w:hyperlink>
        </w:p>
        <w:p>
          <w:pPr>
            <w:pStyle w:val="Contents5"/>
            <w:tabs>
              <w:tab w:val="clear" w:pos="7892"/>
              <w:tab w:val="right" w:pos="9026" w:leader="dot"/>
            </w:tabs>
            <w:rPr/>
          </w:pPr>
          <w:hyperlink w:anchor="__RefHeading___Toc1014749_1479056682">
            <w:r>
              <w:rPr>
                <w:webHidden/>
                <w:rStyle w:val="IndexLink"/>
                <w:rtl w:val="true"/>
              </w:rPr>
              <w:t>مقدمه واجب</w:t>
            </w:r>
            <w:r>
              <w:rPr>
                <w:rStyle w:val="IndexLink"/>
                <w:rtl w:val="true"/>
              </w:rPr>
              <w:tab/>
            </w:r>
            <w:r>
              <w:rPr>
                <w:rStyle w:val="IndexLink"/>
              </w:rPr>
              <w:t>118</w:t>
            </w:r>
          </w:hyperlink>
        </w:p>
        <w:p>
          <w:pPr>
            <w:pStyle w:val="Contents5"/>
            <w:tabs>
              <w:tab w:val="clear" w:pos="7892"/>
              <w:tab w:val="right" w:pos="9026" w:leader="dot"/>
            </w:tabs>
            <w:rPr/>
          </w:pPr>
          <w:hyperlink w:anchor="__RefHeading___Toc1014751_1479056682">
            <w:r>
              <w:rPr>
                <w:webHidden/>
                <w:rStyle w:val="IndexLink"/>
                <w:rtl w:val="true"/>
              </w:rPr>
              <w:t>مسأله ضد</w:t>
            </w:r>
            <w:r>
              <w:rPr>
                <w:rStyle w:val="IndexLink"/>
                <w:rtl w:val="true"/>
              </w:rPr>
              <w:tab/>
            </w:r>
            <w:r>
              <w:rPr>
                <w:rStyle w:val="IndexLink"/>
              </w:rPr>
              <w:t>118</w:t>
            </w:r>
          </w:hyperlink>
        </w:p>
        <w:p>
          <w:pPr>
            <w:pStyle w:val="Contents5"/>
            <w:tabs>
              <w:tab w:val="clear" w:pos="7892"/>
              <w:tab w:val="right" w:pos="9026" w:leader="dot"/>
            </w:tabs>
            <w:rPr/>
          </w:pPr>
          <w:hyperlink w:anchor="__RefHeading___Toc1014753_1479056682">
            <w:r>
              <w:rPr>
                <w:webHidden/>
                <w:rStyle w:val="IndexLink"/>
                <w:rtl w:val="true"/>
              </w:rPr>
              <w:t>اصل اباحه در منافع و اصل حرمت در مضار</w:t>
            </w:r>
            <w:r>
              <w:rPr>
                <w:rStyle w:val="IndexLink"/>
                <w:rtl w:val="true"/>
              </w:rPr>
              <w:tab/>
            </w:r>
            <w:r>
              <w:rPr>
                <w:rStyle w:val="IndexLink"/>
              </w:rPr>
              <w:t>118</w:t>
            </w:r>
          </w:hyperlink>
        </w:p>
        <w:p>
          <w:pPr>
            <w:pStyle w:val="Contents5"/>
            <w:tabs>
              <w:tab w:val="clear" w:pos="7892"/>
              <w:tab w:val="right" w:pos="9026" w:leader="dot"/>
            </w:tabs>
            <w:rPr/>
          </w:pPr>
          <w:hyperlink w:anchor="__RefHeading___Toc1014755_1479056682">
            <w:r>
              <w:rPr>
                <w:webHidden/>
                <w:rStyle w:val="IndexLink"/>
                <w:rtl w:val="true"/>
              </w:rPr>
              <w:t>نتیجه بحث</w:t>
            </w:r>
            <w:r>
              <w:rPr>
                <w:rStyle w:val="IndexLink"/>
                <w:rtl w:val="true"/>
              </w:rPr>
              <w:tab/>
            </w:r>
            <w:r>
              <w:rPr>
                <w:rStyle w:val="IndexLink"/>
              </w:rPr>
              <w:t>119</w:t>
            </w:r>
          </w:hyperlink>
        </w:p>
        <w:p>
          <w:pPr>
            <w:pStyle w:val="Contents5"/>
            <w:tabs>
              <w:tab w:val="clear" w:pos="7892"/>
              <w:tab w:val="right" w:pos="9026" w:leader="dot"/>
            </w:tabs>
            <w:rPr/>
          </w:pPr>
          <w:hyperlink w:anchor="__RefHeading___Toc1014757_1479056682">
            <w:r>
              <w:rPr>
                <w:webHidden/>
                <w:rStyle w:val="IndexLink"/>
                <w:rtl w:val="true"/>
              </w:rPr>
              <w:t>مباحث مقدّماتی دلیل عقلی</w:t>
            </w:r>
            <w:r>
              <w:rPr>
                <w:rStyle w:val="IndexLink"/>
                <w:rtl w:val="true"/>
              </w:rPr>
              <w:tab/>
            </w:r>
            <w:r>
              <w:rPr>
                <w:rStyle w:val="IndexLink"/>
              </w:rPr>
              <w:t>120</w:t>
            </w:r>
          </w:hyperlink>
        </w:p>
        <w:p>
          <w:pPr>
            <w:pStyle w:val="Contents6"/>
            <w:tabs>
              <w:tab w:val="clear" w:pos="7609"/>
              <w:tab w:val="right" w:pos="9026" w:leader="dot"/>
            </w:tabs>
            <w:rPr/>
          </w:pPr>
          <w:hyperlink w:anchor="__RefHeading___Toc1014759_1479056682">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1014761_1479056682">
            <w:r>
              <w:rPr>
                <w:webHidden/>
                <w:rStyle w:val="IndexLink"/>
              </w:rPr>
              <w:t>1</w:t>
            </w:r>
            <w:r>
              <w:rPr>
                <w:rStyle w:val="IndexLink"/>
                <w:rtl w:val="true"/>
              </w:rPr>
              <w:t xml:space="preserve"> - </w:t>
            </w:r>
            <w:r>
              <w:rPr>
                <w:rStyle w:val="IndexLink"/>
                <w:rtl w:val="true"/>
              </w:rPr>
              <w:t>اقسام دلیل عقلی</w:t>
            </w:r>
            <w:r>
              <w:rPr>
                <w:rStyle w:val="IndexLink"/>
                <w:rtl w:val="true"/>
              </w:rPr>
              <w:tab/>
            </w:r>
            <w:r>
              <w:rPr>
                <w:rStyle w:val="IndexLink"/>
              </w:rPr>
              <w:t>120</w:t>
            </w:r>
          </w:hyperlink>
        </w:p>
        <w:p>
          <w:pPr>
            <w:pStyle w:val="Contents6"/>
            <w:tabs>
              <w:tab w:val="clear" w:pos="7609"/>
              <w:tab w:val="right" w:pos="9026" w:leader="dot"/>
            </w:tabs>
            <w:rPr/>
          </w:pPr>
          <w:hyperlink w:anchor="__RefHeading___Toc1014763_1479056682">
            <w:r>
              <w:rPr>
                <w:webHidden/>
                <w:rStyle w:val="IndexLink"/>
              </w:rPr>
              <w:t>2</w:t>
            </w:r>
            <w:r>
              <w:rPr>
                <w:rStyle w:val="IndexLink"/>
                <w:rtl w:val="true"/>
              </w:rPr>
              <w:t xml:space="preserve"> - </w:t>
            </w:r>
            <w:r>
              <w:rPr>
                <w:rStyle w:val="IndexLink"/>
                <w:rtl w:val="true"/>
              </w:rPr>
              <w:t>حسن و قبح عقلی</w:t>
            </w:r>
            <w:r>
              <w:rPr>
                <w:rStyle w:val="IndexLink"/>
                <w:rtl w:val="true"/>
              </w:rPr>
              <w:tab/>
            </w:r>
            <w:r>
              <w:rPr>
                <w:rStyle w:val="IndexLink"/>
              </w:rPr>
              <w:t>121</w:t>
            </w:r>
          </w:hyperlink>
        </w:p>
        <w:p>
          <w:pPr>
            <w:pStyle w:val="Contents6"/>
            <w:tabs>
              <w:tab w:val="clear" w:pos="7609"/>
              <w:tab w:val="right" w:pos="9026" w:leader="dot"/>
            </w:tabs>
            <w:rPr/>
          </w:pPr>
          <w:hyperlink w:anchor="__RefHeading___Toc1014765_1479056682">
            <w:r>
              <w:rPr>
                <w:webHidden/>
                <w:rStyle w:val="IndexLink"/>
              </w:rPr>
              <w:t>3</w:t>
            </w:r>
            <w:r>
              <w:rPr>
                <w:rStyle w:val="IndexLink"/>
                <w:rtl w:val="true"/>
              </w:rPr>
              <w:t xml:space="preserve"> - </w:t>
            </w:r>
            <w:r>
              <w:rPr>
                <w:rStyle w:val="IndexLink"/>
                <w:rtl w:val="true"/>
              </w:rPr>
              <w:t>معنای حسن و قبح و تصویر نزاع در آن</w:t>
            </w:r>
            <w:r>
              <w:rPr>
                <w:rStyle w:val="IndexLink"/>
                <w:rtl w:val="true"/>
              </w:rPr>
              <w:tab/>
            </w:r>
            <w:r>
              <w:rPr>
                <w:rStyle w:val="IndexLink"/>
              </w:rPr>
              <w:t>122</w:t>
            </w:r>
          </w:hyperlink>
        </w:p>
        <w:p>
          <w:pPr>
            <w:pStyle w:val="Contents6"/>
            <w:tabs>
              <w:tab w:val="clear" w:pos="7609"/>
              <w:tab w:val="right" w:pos="9026" w:leader="dot"/>
            </w:tabs>
            <w:rPr/>
          </w:pPr>
          <w:hyperlink w:anchor="__RefHeading___Toc1014767_1479056682">
            <w:r>
              <w:rPr>
                <w:webHidden/>
                <w:rStyle w:val="IndexLink"/>
              </w:rPr>
              <w:t>4</w:t>
            </w:r>
            <w:r>
              <w:rPr>
                <w:rStyle w:val="IndexLink"/>
                <w:rtl w:val="true"/>
              </w:rPr>
              <w:t xml:space="preserve"> - </w:t>
            </w:r>
            <w:r>
              <w:rPr>
                <w:rStyle w:val="IndexLink"/>
                <w:rtl w:val="true"/>
              </w:rPr>
              <w:t>معنای حسن و قبح ذاتی</w:t>
            </w:r>
            <w:r>
              <w:rPr>
                <w:rStyle w:val="IndexLink"/>
                <w:rtl w:val="true"/>
              </w:rPr>
              <w:tab/>
            </w:r>
            <w:r>
              <w:rPr>
                <w:rStyle w:val="IndexLink"/>
              </w:rPr>
              <w:t>124</w:t>
            </w:r>
          </w:hyperlink>
        </w:p>
        <w:p>
          <w:pPr>
            <w:pStyle w:val="Contents6"/>
            <w:tabs>
              <w:tab w:val="clear" w:pos="7609"/>
              <w:tab w:val="right" w:pos="9026" w:leader="dot"/>
            </w:tabs>
            <w:rPr/>
          </w:pPr>
          <w:hyperlink w:anchor="__RefHeading___Toc1014769_1479056682">
            <w:r>
              <w:rPr>
                <w:webHidden/>
                <w:rStyle w:val="IndexLink"/>
              </w:rPr>
              <w:t>5</w:t>
            </w:r>
            <w:r>
              <w:rPr>
                <w:rStyle w:val="IndexLink"/>
                <w:rtl w:val="true"/>
              </w:rPr>
              <w:t xml:space="preserve"> - </w:t>
            </w:r>
            <w:r>
              <w:rPr>
                <w:rStyle w:val="IndexLink"/>
                <w:rtl w:val="true"/>
              </w:rPr>
              <w:t>ادراک حسن و قبح به وسیله عقل</w:t>
            </w:r>
            <w:r>
              <w:rPr>
                <w:rStyle w:val="IndexLink"/>
                <w:rtl w:val="true"/>
              </w:rPr>
              <w:tab/>
            </w:r>
            <w:r>
              <w:rPr>
                <w:rStyle w:val="IndexLink"/>
              </w:rPr>
              <w:t>124</w:t>
            </w:r>
          </w:hyperlink>
        </w:p>
        <w:p>
          <w:pPr>
            <w:pStyle w:val="Contents6"/>
            <w:tabs>
              <w:tab w:val="clear" w:pos="7609"/>
              <w:tab w:val="right" w:pos="9026" w:leader="dot"/>
            </w:tabs>
            <w:rPr/>
          </w:pPr>
          <w:hyperlink w:anchor="__RefHeading___Toc1014771_1479056682">
            <w:r>
              <w:rPr>
                <w:webHidden/>
                <w:rStyle w:val="IndexLink"/>
              </w:rPr>
              <w:t>6</w:t>
            </w:r>
            <w:r>
              <w:rPr>
                <w:rStyle w:val="IndexLink"/>
                <w:rtl w:val="true"/>
              </w:rPr>
              <w:t xml:space="preserve"> - </w:t>
            </w:r>
            <w:r>
              <w:rPr>
                <w:rStyle w:val="IndexLink"/>
                <w:rtl w:val="true"/>
              </w:rPr>
              <w:t>ملازمه عقلیّه بین حکم عقل و حکم شرع</w:t>
            </w:r>
            <w:r>
              <w:rPr>
                <w:rStyle w:val="IndexLink"/>
                <w:rtl w:val="true"/>
              </w:rPr>
              <w:tab/>
            </w:r>
            <w:r>
              <w:rPr>
                <w:rStyle w:val="IndexLink"/>
              </w:rPr>
              <w:t>125</w:t>
            </w:r>
          </w:hyperlink>
        </w:p>
        <w:p>
          <w:pPr>
            <w:pStyle w:val="Contents5"/>
            <w:tabs>
              <w:tab w:val="clear" w:pos="7892"/>
              <w:tab w:val="right" w:pos="9026" w:leader="dot"/>
            </w:tabs>
            <w:rPr/>
          </w:pPr>
          <w:hyperlink w:anchor="__RefHeading___Toc1014773_1479056682">
            <w:r>
              <w:rPr>
                <w:webHidden/>
                <w:rStyle w:val="IndexLink"/>
                <w:rtl w:val="true"/>
              </w:rPr>
              <w:t>تعریف دلیل عقلی</w:t>
            </w:r>
            <w:r>
              <w:rPr>
                <w:rStyle w:val="IndexLink"/>
                <w:rtl w:val="true"/>
              </w:rPr>
              <w:tab/>
            </w:r>
            <w:r>
              <w:rPr>
                <w:rStyle w:val="IndexLink"/>
              </w:rPr>
              <w:t>126</w:t>
            </w:r>
          </w:hyperlink>
        </w:p>
        <w:p>
          <w:pPr>
            <w:pStyle w:val="Contents5"/>
            <w:tabs>
              <w:tab w:val="clear" w:pos="7892"/>
              <w:tab w:val="right" w:pos="9026" w:leader="dot"/>
            </w:tabs>
            <w:rPr/>
          </w:pPr>
          <w:hyperlink w:anchor="__RefHeading___Toc1014775_1479056682">
            <w:r>
              <w:rPr>
                <w:webHidden/>
                <w:rStyle w:val="IndexLink"/>
                <w:rtl w:val="true"/>
              </w:rPr>
              <w:t>نتیجه بحث</w:t>
            </w:r>
            <w:r>
              <w:rPr>
                <w:rStyle w:val="IndexLink"/>
                <w:rtl w:val="true"/>
              </w:rPr>
              <w:tab/>
            </w:r>
            <w:r>
              <w:rPr>
                <w:rStyle w:val="IndexLink"/>
              </w:rPr>
              <w:t>129</w:t>
            </w:r>
          </w:hyperlink>
        </w:p>
        <w:p>
          <w:pPr>
            <w:pStyle w:val="Contents5"/>
            <w:tabs>
              <w:tab w:val="clear" w:pos="7892"/>
              <w:tab w:val="right" w:pos="9026" w:leader="dot"/>
            </w:tabs>
            <w:rPr/>
          </w:pPr>
          <w:hyperlink w:anchor="__RefHeading___Toc1014777_1479056682">
            <w:r>
              <w:rPr>
                <w:webHidden/>
                <w:rStyle w:val="IndexLink"/>
                <w:rtl w:val="true"/>
              </w:rPr>
              <w:t>وجه حجّیّت عقل</w:t>
            </w:r>
            <w:r>
              <w:rPr>
                <w:rStyle w:val="IndexLink"/>
                <w:rtl w:val="true"/>
              </w:rPr>
              <w:tab/>
            </w:r>
            <w:r>
              <w:rPr>
                <w:rStyle w:val="IndexLink"/>
              </w:rPr>
              <w:t>129</w:t>
            </w:r>
          </w:hyperlink>
        </w:p>
        <w:p>
          <w:pPr>
            <w:pStyle w:val="Contents5"/>
            <w:tabs>
              <w:tab w:val="clear" w:pos="7892"/>
              <w:tab w:val="right" w:pos="9026" w:leader="dot"/>
            </w:tabs>
            <w:rPr/>
          </w:pPr>
          <w:hyperlink w:anchor="__RefHeading___Toc1014779_1479056682">
            <w:r>
              <w:rPr>
                <w:webHidden/>
                <w:rStyle w:val="IndexLink"/>
                <w:rtl w:val="true"/>
              </w:rPr>
              <w:t>تذکر دو نکته</w:t>
            </w:r>
            <w:r>
              <w:rPr>
                <w:rStyle w:val="IndexLink"/>
                <w:rtl w:val="true"/>
              </w:rPr>
              <w:tab/>
            </w:r>
            <w:r>
              <w:rPr>
                <w:rStyle w:val="IndexLink"/>
              </w:rPr>
              <w:t>130</w:t>
            </w:r>
          </w:hyperlink>
        </w:p>
        <w:p>
          <w:pPr>
            <w:pStyle w:val="Contents2"/>
            <w:tabs>
              <w:tab w:val="clear" w:pos="8743"/>
              <w:tab w:val="right" w:pos="9026" w:leader="dot"/>
            </w:tabs>
            <w:rPr/>
          </w:pPr>
          <w:hyperlink w:anchor="__RefHeading___Toc1014781_1479056682">
            <w:r>
              <w:rPr>
                <w:webHidden/>
                <w:rStyle w:val="IndexLink"/>
                <w:rtl w:val="true"/>
              </w:rPr>
              <w:t>بخش سوم</w:t>
            </w:r>
            <w:r>
              <w:rPr>
                <w:rStyle w:val="IndexLink"/>
                <w:rtl w:val="true"/>
              </w:rPr>
              <w:t xml:space="preserve">: </w:t>
            </w:r>
            <w:r>
              <w:rPr>
                <w:rStyle w:val="IndexLink"/>
                <w:rtl w:val="true"/>
              </w:rPr>
              <w:t>سیره متشرّعه</w:t>
            </w:r>
            <w:r>
              <w:rPr>
                <w:rStyle w:val="IndexLink"/>
                <w:rtl w:val="true"/>
              </w:rPr>
              <w:tab/>
            </w:r>
            <w:r>
              <w:rPr>
                <w:rStyle w:val="IndexLink"/>
              </w:rPr>
              <w:t>132</w:t>
            </w:r>
          </w:hyperlink>
        </w:p>
        <w:p>
          <w:pPr>
            <w:pStyle w:val="Contents3"/>
            <w:tabs>
              <w:tab w:val="clear" w:pos="8459"/>
              <w:tab w:val="right" w:pos="9026" w:leader="dot"/>
            </w:tabs>
            <w:rPr/>
          </w:pPr>
          <w:hyperlink w:anchor="__RefHeading___Toc1014783_1479056682">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1014785_1479056682">
            <w:r>
              <w:rPr>
                <w:webHidden/>
                <w:rStyle w:val="IndexLink"/>
                <w:rtl w:val="true"/>
              </w:rPr>
              <w:t>مباحث اصولی سیره</w:t>
            </w:r>
            <w:r>
              <w:rPr>
                <w:rStyle w:val="IndexLink"/>
                <w:rtl w:val="true"/>
              </w:rPr>
              <w:tab/>
            </w:r>
            <w:r>
              <w:rPr>
                <w:rStyle w:val="IndexLink"/>
              </w:rPr>
              <w:t>135</w:t>
            </w:r>
          </w:hyperlink>
        </w:p>
        <w:p>
          <w:pPr>
            <w:pStyle w:val="Contents4"/>
            <w:tabs>
              <w:tab w:val="clear" w:pos="8176"/>
              <w:tab w:val="right" w:pos="9026" w:leader="dot"/>
            </w:tabs>
            <w:rPr/>
          </w:pPr>
          <w:hyperlink w:anchor="__RefHeading___Toc1014787_1479056682">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014789_1479056682">
            <w:r>
              <w:rPr>
                <w:webHidden/>
                <w:rStyle w:val="IndexLink"/>
                <w:rtl w:val="true"/>
              </w:rPr>
              <w:t>تعریف سیره</w:t>
            </w:r>
            <w:r>
              <w:rPr>
                <w:rStyle w:val="IndexLink"/>
                <w:rtl w:val="true"/>
              </w:rPr>
              <w:tab/>
            </w:r>
            <w:r>
              <w:rPr>
                <w:rStyle w:val="IndexLink"/>
              </w:rPr>
              <w:t>136</w:t>
            </w:r>
          </w:hyperlink>
        </w:p>
        <w:p>
          <w:pPr>
            <w:pStyle w:val="Contents4"/>
            <w:tabs>
              <w:tab w:val="clear" w:pos="8176"/>
              <w:tab w:val="right" w:pos="9026" w:leader="dot"/>
            </w:tabs>
            <w:rPr/>
          </w:pPr>
          <w:hyperlink w:anchor="__RefHeading___Toc1014791_1479056682">
            <w:r>
              <w:rPr>
                <w:webHidden/>
                <w:rStyle w:val="IndexLink"/>
                <w:rtl w:val="true"/>
              </w:rPr>
              <w:t>ارتباط سیره با سنّت</w:t>
            </w:r>
            <w:r>
              <w:rPr>
                <w:rStyle w:val="IndexLink"/>
                <w:rtl w:val="true"/>
              </w:rPr>
              <w:tab/>
            </w:r>
            <w:r>
              <w:rPr>
                <w:rStyle w:val="IndexLink"/>
              </w:rPr>
              <w:t>138</w:t>
            </w:r>
          </w:hyperlink>
        </w:p>
        <w:p>
          <w:pPr>
            <w:pStyle w:val="Contents4"/>
            <w:tabs>
              <w:tab w:val="clear" w:pos="8176"/>
              <w:tab w:val="right" w:pos="9026" w:leader="dot"/>
            </w:tabs>
            <w:rPr/>
          </w:pPr>
          <w:hyperlink w:anchor="__RefHeading___Toc1014793_1479056682">
            <w:r>
              <w:rPr>
                <w:webHidden/>
                <w:rStyle w:val="IndexLink"/>
                <w:rtl w:val="true"/>
              </w:rPr>
              <w:t>فرق ارتکاز متشرّعه و سیره متشرّعه</w:t>
            </w:r>
            <w:r>
              <w:rPr>
                <w:rStyle w:val="IndexLink"/>
                <w:rtl w:val="true"/>
              </w:rPr>
              <w:tab/>
            </w:r>
            <w:r>
              <w:rPr>
                <w:rStyle w:val="IndexLink"/>
              </w:rPr>
              <w:t>138</w:t>
            </w:r>
          </w:hyperlink>
        </w:p>
        <w:p>
          <w:pPr>
            <w:pStyle w:val="Contents4"/>
            <w:tabs>
              <w:tab w:val="clear" w:pos="8176"/>
              <w:tab w:val="right" w:pos="9026" w:leader="dot"/>
            </w:tabs>
            <w:rPr/>
          </w:pPr>
          <w:hyperlink w:anchor="__RefHeading___Toc1014795_1479056682">
            <w:r>
              <w:rPr>
                <w:webHidden/>
                <w:rStyle w:val="IndexLink"/>
                <w:rtl w:val="true"/>
              </w:rPr>
              <w:t>فرق حکم عقل و بنای عقلا و دلیل عقلی</w:t>
            </w:r>
            <w:r>
              <w:rPr>
                <w:rStyle w:val="IndexLink"/>
                <w:rtl w:val="true"/>
              </w:rPr>
              <w:tab/>
            </w:r>
            <w:r>
              <w:rPr>
                <w:rStyle w:val="IndexLink"/>
              </w:rPr>
              <w:t>139</w:t>
            </w:r>
          </w:hyperlink>
        </w:p>
        <w:p>
          <w:pPr>
            <w:pStyle w:val="Contents4"/>
            <w:tabs>
              <w:tab w:val="clear" w:pos="8176"/>
              <w:tab w:val="right" w:pos="9026" w:leader="dot"/>
            </w:tabs>
            <w:rPr/>
          </w:pPr>
          <w:hyperlink w:anchor="__RefHeading___Toc1014797_1479056682">
            <w:r>
              <w:rPr>
                <w:webHidden/>
                <w:rStyle w:val="IndexLink"/>
                <w:rtl w:val="true"/>
              </w:rPr>
              <w:t>تفاوت سیره عقلا با سیره متشرعه</w:t>
            </w:r>
            <w:r>
              <w:rPr>
                <w:rStyle w:val="IndexLink"/>
                <w:rtl w:val="true"/>
              </w:rPr>
              <w:tab/>
            </w:r>
            <w:r>
              <w:rPr>
                <w:rStyle w:val="IndexLink"/>
              </w:rPr>
              <w:t>141</w:t>
            </w:r>
          </w:hyperlink>
        </w:p>
        <w:p>
          <w:pPr>
            <w:pStyle w:val="Contents4"/>
            <w:tabs>
              <w:tab w:val="clear" w:pos="8176"/>
              <w:tab w:val="right" w:pos="9026" w:leader="dot"/>
            </w:tabs>
            <w:rPr/>
          </w:pPr>
          <w:hyperlink w:anchor="__RefHeading___Toc1014799_1479056682">
            <w:r>
              <w:rPr>
                <w:webHidden/>
                <w:rStyle w:val="IndexLink"/>
                <w:rtl w:val="true"/>
              </w:rPr>
              <w:t>تذکّر</w:t>
            </w:r>
            <w:r>
              <w:rPr>
                <w:rStyle w:val="IndexLink"/>
                <w:rtl w:val="true"/>
              </w:rPr>
              <w:tab/>
            </w:r>
            <w:r>
              <w:rPr>
                <w:rStyle w:val="IndexLink"/>
              </w:rPr>
              <w:t>142</w:t>
            </w:r>
          </w:hyperlink>
        </w:p>
        <w:p>
          <w:pPr>
            <w:pStyle w:val="Contents3"/>
            <w:tabs>
              <w:tab w:val="clear" w:pos="8459"/>
              <w:tab w:val="right" w:pos="9026" w:leader="dot"/>
            </w:tabs>
            <w:rPr/>
          </w:pPr>
          <w:hyperlink w:anchor="__RefHeading___Toc1014801_1479056682">
            <w:r>
              <w:rPr>
                <w:webHidden/>
                <w:rStyle w:val="IndexLink"/>
                <w:rtl w:val="true"/>
              </w:rPr>
              <w:t>حجّیّت سیره</w:t>
            </w:r>
            <w:r>
              <w:rPr>
                <w:rStyle w:val="IndexLink"/>
                <w:rtl w:val="true"/>
              </w:rPr>
              <w:tab/>
            </w:r>
            <w:r>
              <w:rPr>
                <w:rStyle w:val="IndexLink"/>
              </w:rPr>
              <w:t>142</w:t>
            </w:r>
          </w:hyperlink>
        </w:p>
        <w:p>
          <w:pPr>
            <w:pStyle w:val="Contents4"/>
            <w:tabs>
              <w:tab w:val="clear" w:pos="8176"/>
              <w:tab w:val="right" w:pos="9026" w:leader="dot"/>
            </w:tabs>
            <w:rPr/>
          </w:pPr>
          <w:hyperlink w:anchor="__RefHeading___Toc1014803_1479056682">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014805_1479056682">
            <w:r>
              <w:rPr>
                <w:webHidden/>
                <w:rStyle w:val="IndexLink"/>
              </w:rPr>
              <w:t>1</w:t>
            </w:r>
            <w:r>
              <w:rPr>
                <w:rStyle w:val="IndexLink"/>
                <w:rtl w:val="true"/>
              </w:rPr>
              <w:t xml:space="preserve"> - </w:t>
            </w:r>
            <w:r>
              <w:rPr>
                <w:rStyle w:val="IndexLink"/>
                <w:rtl w:val="true"/>
              </w:rPr>
              <w:t>حجّیّت سیره عقلائیّه</w:t>
            </w:r>
            <w:r>
              <w:rPr>
                <w:rStyle w:val="IndexLink"/>
                <w:rtl w:val="true"/>
              </w:rPr>
              <w:tab/>
            </w:r>
            <w:r>
              <w:rPr>
                <w:rStyle w:val="IndexLink"/>
              </w:rPr>
              <w:t>142</w:t>
            </w:r>
          </w:hyperlink>
        </w:p>
        <w:p>
          <w:pPr>
            <w:pStyle w:val="Contents4"/>
            <w:tabs>
              <w:tab w:val="clear" w:pos="8176"/>
              <w:tab w:val="right" w:pos="9026" w:leader="dot"/>
            </w:tabs>
            <w:rPr/>
          </w:pPr>
          <w:hyperlink w:anchor="__RefHeading___Toc1014807_1479056682">
            <w:r>
              <w:rPr>
                <w:webHidden/>
                <w:rStyle w:val="IndexLink"/>
              </w:rPr>
              <w:t>2</w:t>
            </w:r>
            <w:r>
              <w:rPr>
                <w:rStyle w:val="IndexLink"/>
                <w:rtl w:val="true"/>
              </w:rPr>
              <w:t xml:space="preserve"> - </w:t>
            </w:r>
            <w:r>
              <w:rPr>
                <w:rStyle w:val="IndexLink"/>
                <w:rtl w:val="true"/>
              </w:rPr>
              <w:t>حجّیّت سیره متشرّعه</w:t>
            </w:r>
            <w:r>
              <w:rPr>
                <w:rStyle w:val="IndexLink"/>
                <w:rtl w:val="true"/>
              </w:rPr>
              <w:tab/>
            </w:r>
            <w:r>
              <w:rPr>
                <w:rStyle w:val="IndexLink"/>
              </w:rPr>
              <w:t>147</w:t>
            </w:r>
          </w:hyperlink>
        </w:p>
        <w:p>
          <w:pPr>
            <w:pStyle w:val="Contents4"/>
            <w:tabs>
              <w:tab w:val="clear" w:pos="8176"/>
              <w:tab w:val="right" w:pos="9026" w:leader="dot"/>
            </w:tabs>
            <w:rPr/>
          </w:pPr>
          <w:hyperlink w:anchor="__RefHeading___Toc1014809_1479056682">
            <w:r>
              <w:rPr>
                <w:webHidden/>
                <w:rStyle w:val="IndexLink"/>
                <w:rtl w:val="true"/>
              </w:rPr>
              <w:t>تأثیر عادات در پیدایش برخی سیره‌ها</w:t>
            </w:r>
            <w:r>
              <w:rPr>
                <w:rStyle w:val="IndexLink"/>
                <w:rtl w:val="true"/>
              </w:rPr>
              <w:tab/>
            </w:r>
            <w:r>
              <w:rPr>
                <w:rStyle w:val="IndexLink"/>
              </w:rPr>
              <w:t>154</w:t>
            </w:r>
          </w:hyperlink>
        </w:p>
        <w:p>
          <w:pPr>
            <w:pStyle w:val="Contents4"/>
            <w:tabs>
              <w:tab w:val="clear" w:pos="8176"/>
              <w:tab w:val="right" w:pos="9026" w:leader="dot"/>
            </w:tabs>
            <w:rPr/>
          </w:pPr>
          <w:hyperlink w:anchor="__RefHeading___Toc1014811_1479056682">
            <w:r>
              <w:rPr>
                <w:webHidden/>
                <w:rStyle w:val="IndexLink"/>
                <w:rtl w:val="true"/>
              </w:rPr>
              <w:t>دامنه و محدوده دلالت سیره</w:t>
            </w:r>
            <w:r>
              <w:rPr>
                <w:rStyle w:val="IndexLink"/>
                <w:rtl w:val="true"/>
              </w:rPr>
              <w:tab/>
            </w:r>
            <w:r>
              <w:rPr>
                <w:rStyle w:val="IndexLink"/>
              </w:rPr>
              <w:t>160</w:t>
            </w:r>
          </w:hyperlink>
        </w:p>
        <w:p>
          <w:pPr>
            <w:pStyle w:val="Contents4"/>
            <w:tabs>
              <w:tab w:val="clear" w:pos="8176"/>
              <w:tab w:val="right" w:pos="9026" w:leader="dot"/>
            </w:tabs>
            <w:rPr/>
          </w:pPr>
          <w:hyperlink w:anchor="__RefHeading___Toc1014813_1479056682">
            <w:r>
              <w:rPr>
                <w:webHidden/>
                <w:rStyle w:val="IndexLink"/>
                <w:rtl w:val="true"/>
              </w:rPr>
              <w:t>عرف و رابطه آن با سیره</w:t>
            </w:r>
            <w:r>
              <w:rPr>
                <w:rStyle w:val="IndexLink"/>
                <w:rtl w:val="true"/>
              </w:rPr>
              <w:tab/>
            </w:r>
            <w:r>
              <w:rPr>
                <w:rStyle w:val="IndexLink"/>
              </w:rPr>
              <w:t>163</w:t>
            </w:r>
          </w:hyperlink>
        </w:p>
        <w:p>
          <w:pPr>
            <w:pStyle w:val="Contents4"/>
            <w:tabs>
              <w:tab w:val="clear" w:pos="8176"/>
              <w:tab w:val="right" w:pos="9026" w:leader="dot"/>
            </w:tabs>
            <w:rPr/>
          </w:pPr>
          <w:hyperlink w:anchor="__RefHeading___Toc1014815_1479056682">
            <w:r>
              <w:rPr>
                <w:webHidden/>
                <w:rStyle w:val="IndexLink"/>
                <w:rtl w:val="true"/>
              </w:rPr>
              <w:t>معنی عرف در لغت</w:t>
            </w:r>
            <w:r>
              <w:rPr>
                <w:rStyle w:val="IndexLink"/>
                <w:rtl w:val="true"/>
              </w:rPr>
              <w:tab/>
            </w:r>
            <w:r>
              <w:rPr>
                <w:rStyle w:val="IndexLink"/>
              </w:rPr>
              <w:t>164</w:t>
            </w:r>
          </w:hyperlink>
        </w:p>
        <w:p>
          <w:pPr>
            <w:pStyle w:val="Contents4"/>
            <w:tabs>
              <w:tab w:val="clear" w:pos="8176"/>
              <w:tab w:val="right" w:pos="9026" w:leader="dot"/>
            </w:tabs>
            <w:rPr/>
          </w:pPr>
          <w:hyperlink w:anchor="__RefHeading___Toc1014817_1479056682">
            <w:r>
              <w:rPr>
                <w:webHidden/>
                <w:rStyle w:val="IndexLink"/>
                <w:rtl w:val="true"/>
              </w:rPr>
              <w:t>تعریف عرف</w:t>
            </w:r>
            <w:r>
              <w:rPr>
                <w:rStyle w:val="IndexLink"/>
                <w:rtl w:val="true"/>
              </w:rPr>
              <w:tab/>
            </w:r>
            <w:r>
              <w:rPr>
                <w:rStyle w:val="IndexLink"/>
              </w:rPr>
              <w:t>164</w:t>
            </w:r>
          </w:hyperlink>
        </w:p>
        <w:p>
          <w:pPr>
            <w:pStyle w:val="Contents4"/>
            <w:tabs>
              <w:tab w:val="clear" w:pos="8176"/>
              <w:tab w:val="right" w:pos="9026" w:leader="dot"/>
            </w:tabs>
            <w:rPr/>
          </w:pPr>
          <w:hyperlink w:anchor="__RefHeading___Toc1014819_1479056682">
            <w:r>
              <w:rPr>
                <w:webHidden/>
                <w:rStyle w:val="IndexLink"/>
                <w:rtl w:val="true"/>
              </w:rPr>
              <w:t>عرف و عادت</w:t>
            </w:r>
            <w:r>
              <w:rPr>
                <w:rStyle w:val="IndexLink"/>
                <w:rtl w:val="true"/>
              </w:rPr>
              <w:tab/>
            </w:r>
            <w:r>
              <w:rPr>
                <w:rStyle w:val="IndexLink"/>
              </w:rPr>
              <w:t>166</w:t>
            </w:r>
          </w:hyperlink>
        </w:p>
        <w:p>
          <w:pPr>
            <w:pStyle w:val="Contents4"/>
            <w:tabs>
              <w:tab w:val="clear" w:pos="8176"/>
              <w:tab w:val="right" w:pos="9026" w:leader="dot"/>
            </w:tabs>
            <w:rPr/>
          </w:pPr>
          <w:hyperlink w:anchor="__RefHeading___Toc1014821_1479056682">
            <w:r>
              <w:rPr>
                <w:webHidden/>
                <w:rStyle w:val="IndexLink"/>
                <w:rtl w:val="true"/>
              </w:rPr>
              <w:t>فرق بین عرف و اجماع</w:t>
            </w:r>
            <w:r>
              <w:rPr>
                <w:rStyle w:val="IndexLink"/>
                <w:rtl w:val="true"/>
              </w:rPr>
              <w:tab/>
            </w:r>
            <w:r>
              <w:rPr>
                <w:rStyle w:val="IndexLink"/>
              </w:rPr>
              <w:t>166</w:t>
            </w:r>
          </w:hyperlink>
        </w:p>
        <w:p>
          <w:pPr>
            <w:pStyle w:val="Contents4"/>
            <w:tabs>
              <w:tab w:val="clear" w:pos="8176"/>
              <w:tab w:val="right" w:pos="9026" w:leader="dot"/>
            </w:tabs>
            <w:rPr/>
          </w:pPr>
          <w:hyperlink w:anchor="__RefHeading___Toc1014823_1479056682">
            <w:r>
              <w:rPr>
                <w:webHidden/>
                <w:rStyle w:val="IndexLink"/>
                <w:rtl w:val="true"/>
              </w:rPr>
              <w:t>تقسیمات عرف</w:t>
            </w:r>
            <w:r>
              <w:rPr>
                <w:rStyle w:val="IndexLink"/>
                <w:rtl w:val="true"/>
              </w:rPr>
              <w:tab/>
            </w:r>
            <w:r>
              <w:rPr>
                <w:rStyle w:val="IndexLink"/>
              </w:rPr>
              <w:t>167</w:t>
            </w:r>
          </w:hyperlink>
        </w:p>
        <w:p>
          <w:pPr>
            <w:pStyle w:val="Contents4"/>
            <w:tabs>
              <w:tab w:val="clear" w:pos="8176"/>
              <w:tab w:val="right" w:pos="9026" w:leader="dot"/>
            </w:tabs>
            <w:rPr/>
          </w:pPr>
          <w:hyperlink w:anchor="__RefHeading___Toc1014825_1479056682">
            <w:r>
              <w:rPr>
                <w:webHidden/>
                <w:rStyle w:val="IndexLink"/>
                <w:rtl w:val="true"/>
              </w:rPr>
              <w:t>موارد کاربرد عرف</w:t>
            </w:r>
            <w:r>
              <w:rPr>
                <w:rStyle w:val="IndexLink"/>
                <w:rtl w:val="true"/>
              </w:rPr>
              <w:tab/>
            </w:r>
            <w:r>
              <w:rPr>
                <w:rStyle w:val="IndexLink"/>
              </w:rPr>
              <w:t>169</w:t>
            </w:r>
          </w:hyperlink>
        </w:p>
        <w:p>
          <w:pPr>
            <w:pStyle w:val="Contents4"/>
            <w:tabs>
              <w:tab w:val="clear" w:pos="8176"/>
              <w:tab w:val="right" w:pos="9026" w:leader="dot"/>
            </w:tabs>
            <w:rPr/>
          </w:pPr>
          <w:hyperlink w:anchor="__RefHeading___Toc1014827_1479056682">
            <w:r>
              <w:rPr>
                <w:webHidden/>
                <w:rStyle w:val="IndexLink"/>
                <w:rtl w:val="true"/>
              </w:rPr>
              <w:t>اهمّیّت عرف</w:t>
            </w:r>
            <w:r>
              <w:rPr>
                <w:rStyle w:val="IndexLink"/>
                <w:rtl w:val="true"/>
              </w:rPr>
              <w:tab/>
            </w:r>
            <w:r>
              <w:rPr>
                <w:rStyle w:val="IndexLink"/>
              </w:rPr>
              <w:t>172</w:t>
            </w:r>
          </w:hyperlink>
        </w:p>
        <w:p>
          <w:pPr>
            <w:pStyle w:val="Contents4"/>
            <w:tabs>
              <w:tab w:val="clear" w:pos="8176"/>
              <w:tab w:val="right" w:pos="9026" w:leader="dot"/>
            </w:tabs>
            <w:rPr/>
          </w:pPr>
          <w:hyperlink w:anchor="__RefHeading___Toc1014829_1479056682">
            <w:r>
              <w:rPr>
                <w:webHidden/>
                <w:rStyle w:val="IndexLink"/>
                <w:rtl w:val="true"/>
              </w:rPr>
              <w:t>اعتبار عرف در مذاهب مختلف</w:t>
            </w:r>
            <w:r>
              <w:rPr>
                <w:rStyle w:val="IndexLink"/>
                <w:rtl w:val="true"/>
              </w:rPr>
              <w:tab/>
            </w:r>
            <w:r>
              <w:rPr>
                <w:rStyle w:val="IndexLink"/>
              </w:rPr>
              <w:t>174</w:t>
            </w:r>
          </w:hyperlink>
        </w:p>
        <w:p>
          <w:pPr>
            <w:pStyle w:val="Contents4"/>
            <w:tabs>
              <w:tab w:val="clear" w:pos="8176"/>
              <w:tab w:val="right" w:pos="9026" w:leader="dot"/>
            </w:tabs>
            <w:rPr/>
          </w:pPr>
          <w:hyperlink w:anchor="__RefHeading___Toc1014831_1479056682">
            <w:r>
              <w:rPr>
                <w:webHidden/>
                <w:rStyle w:val="IndexLink"/>
                <w:rtl w:val="true"/>
              </w:rPr>
              <w:t>آیا عرف دلیل مستقلّ است ؟</w:t>
            </w:r>
            <w:r>
              <w:rPr>
                <w:rStyle w:val="IndexLink"/>
                <w:rtl w:val="true"/>
              </w:rPr>
              <w:tab/>
            </w:r>
            <w:r>
              <w:rPr>
                <w:rStyle w:val="IndexLink"/>
              </w:rPr>
              <w:t>179</w:t>
            </w:r>
          </w:hyperlink>
        </w:p>
        <w:p>
          <w:pPr>
            <w:pStyle w:val="Contents4"/>
            <w:tabs>
              <w:tab w:val="clear" w:pos="8176"/>
              <w:tab w:val="right" w:pos="9026" w:leader="dot"/>
            </w:tabs>
            <w:rPr/>
          </w:pPr>
          <w:hyperlink w:anchor="__RefHeading___Toc1014833_1479056682">
            <w:r>
              <w:rPr>
                <w:webHidden/>
                <w:rStyle w:val="IndexLink"/>
                <w:rtl w:val="true"/>
              </w:rPr>
              <w:t>تطبیق احکام با عرف</w:t>
            </w:r>
            <w:r>
              <w:rPr>
                <w:rStyle w:val="IndexLink"/>
                <w:rtl w:val="true"/>
              </w:rPr>
              <w:tab/>
            </w:r>
            <w:r>
              <w:rPr>
                <w:rStyle w:val="IndexLink"/>
              </w:rPr>
              <w:t>181</w:t>
            </w:r>
          </w:hyperlink>
        </w:p>
        <w:p>
          <w:pPr>
            <w:pStyle w:val="Contents3"/>
            <w:tabs>
              <w:tab w:val="clear" w:pos="8459"/>
              <w:tab w:val="right" w:pos="9026" w:leader="dot"/>
            </w:tabs>
            <w:rPr/>
          </w:pPr>
          <w:hyperlink w:anchor="__RefHeading___Toc1014835_1479056682">
            <w:r>
              <w:rPr>
                <w:webHidden/>
                <w:rStyle w:val="IndexLink"/>
                <w:rtl w:val="true"/>
              </w:rPr>
              <w:t>نقش سیره در احکام فقهی</w:t>
            </w:r>
            <w:r>
              <w:rPr>
                <w:rStyle w:val="IndexLink"/>
                <w:rtl w:val="true"/>
              </w:rPr>
              <w:tab/>
            </w:r>
            <w:r>
              <w:rPr>
                <w:rStyle w:val="IndexLink"/>
              </w:rPr>
              <w:t>184</w:t>
            </w:r>
          </w:hyperlink>
        </w:p>
        <w:p>
          <w:pPr>
            <w:pStyle w:val="Contents4"/>
            <w:tabs>
              <w:tab w:val="clear" w:pos="8176"/>
              <w:tab w:val="right" w:pos="9026" w:leader="dot"/>
            </w:tabs>
            <w:rPr/>
          </w:pPr>
          <w:hyperlink w:anchor="__RefHeading___Toc1014837_1479056682">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1014839_1479056682">
            <w:r>
              <w:rPr>
                <w:webHidden/>
                <w:rStyle w:val="IndexLink"/>
              </w:rPr>
              <w:t>1</w:t>
            </w:r>
            <w:r>
              <w:rPr>
                <w:rStyle w:val="IndexLink"/>
                <w:rtl w:val="true"/>
              </w:rPr>
              <w:t xml:space="preserve"> - </w:t>
            </w:r>
            <w:r>
              <w:rPr>
                <w:rStyle w:val="IndexLink"/>
                <w:rtl w:val="true"/>
              </w:rPr>
              <w:t>وضو واجب غیری است، نه واجب نفسی</w:t>
            </w:r>
            <w:r>
              <w:rPr>
                <w:rStyle w:val="IndexLink"/>
                <w:rtl w:val="true"/>
              </w:rPr>
              <w:tab/>
            </w:r>
            <w:r>
              <w:rPr>
                <w:rStyle w:val="IndexLink"/>
              </w:rPr>
              <w:t>185</w:t>
            </w:r>
          </w:hyperlink>
        </w:p>
        <w:p>
          <w:pPr>
            <w:pStyle w:val="Contents4"/>
            <w:tabs>
              <w:tab w:val="clear" w:pos="8176"/>
              <w:tab w:val="right" w:pos="9026" w:leader="dot"/>
            </w:tabs>
            <w:rPr/>
          </w:pPr>
          <w:hyperlink w:anchor="__RefHeading___Toc1014841_1479056682">
            <w:r>
              <w:rPr>
                <w:webHidden/>
                <w:rStyle w:val="IndexLink"/>
              </w:rPr>
              <w:t>2</w:t>
            </w:r>
            <w:r>
              <w:rPr>
                <w:rStyle w:val="IndexLink"/>
                <w:rtl w:val="true"/>
              </w:rPr>
              <w:t xml:space="preserve"> - </w:t>
            </w:r>
            <w:r>
              <w:rPr>
                <w:rStyle w:val="IndexLink"/>
                <w:rtl w:val="true"/>
              </w:rPr>
              <w:t>پاک شدن حیوانات مردار خوار با زوال عین</w:t>
            </w:r>
            <w:r>
              <w:rPr>
                <w:rStyle w:val="IndexLink"/>
                <w:rtl w:val="true"/>
              </w:rPr>
              <w:tab/>
            </w:r>
            <w:r>
              <w:rPr>
                <w:rStyle w:val="IndexLink"/>
              </w:rPr>
              <w:t>188</w:t>
            </w:r>
          </w:hyperlink>
        </w:p>
        <w:p>
          <w:pPr>
            <w:pStyle w:val="Contents4"/>
            <w:tabs>
              <w:tab w:val="clear" w:pos="8176"/>
              <w:tab w:val="right" w:pos="9026" w:leader="dot"/>
            </w:tabs>
            <w:rPr/>
          </w:pPr>
          <w:hyperlink w:anchor="__RefHeading___Toc1014843_1479056682">
            <w:r>
              <w:rPr>
                <w:webHidden/>
                <w:rStyle w:val="IndexLink"/>
              </w:rPr>
              <w:t>3</w:t>
            </w:r>
            <w:r>
              <w:rPr>
                <w:rStyle w:val="IndexLink"/>
                <w:rtl w:val="true"/>
              </w:rPr>
              <w:t xml:space="preserve"> - </w:t>
            </w:r>
            <w:r>
              <w:rPr>
                <w:rStyle w:val="IndexLink"/>
                <w:rtl w:val="true"/>
              </w:rPr>
              <w:t>استدلال به سیره در مورد دادن قرآن به دست کودکان بدون وضو برای تعلیم</w:t>
            </w:r>
            <w:r>
              <w:rPr>
                <w:rStyle w:val="IndexLink"/>
                <w:rtl w:val="true"/>
              </w:rPr>
              <w:tab/>
            </w:r>
            <w:r>
              <w:rPr>
                <w:rStyle w:val="IndexLink"/>
              </w:rPr>
              <w:t>190</w:t>
            </w:r>
          </w:hyperlink>
        </w:p>
        <w:p>
          <w:pPr>
            <w:pStyle w:val="Contents4"/>
            <w:tabs>
              <w:tab w:val="clear" w:pos="8176"/>
              <w:tab w:val="right" w:pos="9026" w:leader="dot"/>
            </w:tabs>
            <w:rPr/>
          </w:pPr>
          <w:hyperlink w:anchor="__RefHeading___Toc1014845_1479056682">
            <w:r>
              <w:rPr>
                <w:webHidden/>
                <w:rStyle w:val="IndexLink"/>
              </w:rPr>
              <w:t>4</w:t>
            </w:r>
            <w:r>
              <w:rPr>
                <w:rStyle w:val="IndexLink"/>
                <w:rtl w:val="true"/>
              </w:rPr>
              <w:t xml:space="preserve"> - </w:t>
            </w:r>
            <w:r>
              <w:rPr>
                <w:rStyle w:val="IndexLink"/>
                <w:rtl w:val="true"/>
              </w:rPr>
              <w:t>مسأله پوشش و حجاب زن</w:t>
            </w:r>
            <w:r>
              <w:rPr>
                <w:rStyle w:val="IndexLink"/>
                <w:rtl w:val="true"/>
              </w:rPr>
              <w:tab/>
            </w:r>
            <w:r>
              <w:rPr>
                <w:rStyle w:val="IndexLink"/>
              </w:rPr>
              <w:t>192</w:t>
            </w:r>
          </w:hyperlink>
        </w:p>
        <w:p>
          <w:pPr>
            <w:pStyle w:val="Contents4"/>
            <w:tabs>
              <w:tab w:val="clear" w:pos="8176"/>
              <w:tab w:val="right" w:pos="9026" w:leader="dot"/>
            </w:tabs>
            <w:rPr/>
          </w:pPr>
          <w:hyperlink w:anchor="__RefHeading___Toc1014847_1479056682">
            <w:r>
              <w:rPr>
                <w:webHidden/>
                <w:rStyle w:val="IndexLink"/>
              </w:rPr>
              <w:t>5</w:t>
            </w:r>
            <w:r>
              <w:rPr>
                <w:rStyle w:val="IndexLink"/>
                <w:rtl w:val="true"/>
              </w:rPr>
              <w:t xml:space="preserve"> - </w:t>
            </w:r>
            <w:r>
              <w:rPr>
                <w:rStyle w:val="IndexLink"/>
                <w:rtl w:val="true"/>
              </w:rPr>
              <w:t xml:space="preserve">مسأله حلق لحیه </w:t>
            </w:r>
            <w:r>
              <w:rPr>
                <w:rStyle w:val="IndexLink"/>
                <w:rtl w:val="true"/>
              </w:rPr>
              <w:t>(</w:t>
            </w:r>
            <w:r>
              <w:rPr>
                <w:rStyle w:val="IndexLink"/>
                <w:rtl w:val="true"/>
              </w:rPr>
              <w:t>ریش تراشی</w:t>
            </w:r>
            <w:r>
              <w:rPr>
                <w:rStyle w:val="IndexLink"/>
                <w:rtl w:val="true"/>
              </w:rPr>
              <w:t>)</w:t>
              <w:tab/>
            </w:r>
            <w:r>
              <w:rPr>
                <w:rStyle w:val="IndexLink"/>
              </w:rPr>
              <w:t>199</w:t>
            </w:r>
          </w:hyperlink>
        </w:p>
        <w:p>
          <w:pPr>
            <w:pStyle w:val="Contents4"/>
            <w:tabs>
              <w:tab w:val="clear" w:pos="8176"/>
              <w:tab w:val="right" w:pos="9026" w:leader="dot"/>
            </w:tabs>
            <w:rPr/>
          </w:pPr>
          <w:hyperlink w:anchor="__RefHeading___Toc1014849_1479056682">
            <w:r>
              <w:rPr>
                <w:webHidden/>
                <w:rStyle w:val="IndexLink"/>
              </w:rPr>
              <w:t>6</w:t>
            </w:r>
            <w:r>
              <w:rPr>
                <w:rStyle w:val="IndexLink"/>
                <w:rtl w:val="true"/>
              </w:rPr>
              <w:t xml:space="preserve"> - </w:t>
            </w:r>
            <w:r>
              <w:rPr>
                <w:rStyle w:val="IndexLink"/>
                <w:rtl w:val="true"/>
              </w:rPr>
              <w:t>استدلال به سیره در این که غسل و تکفین و تدفین و نماز بر میت واجب کفایی است</w:t>
            </w:r>
            <w:r>
              <w:rPr>
                <w:rStyle w:val="IndexLink"/>
                <w:rtl w:val="true"/>
              </w:rPr>
              <w:t>.</w:t>
              <w:tab/>
            </w:r>
            <w:r>
              <w:rPr>
                <w:rStyle w:val="IndexLink"/>
              </w:rPr>
              <w:t>212</w:t>
            </w:r>
          </w:hyperlink>
        </w:p>
        <w:p>
          <w:pPr>
            <w:pStyle w:val="Contents4"/>
            <w:tabs>
              <w:tab w:val="clear" w:pos="8176"/>
              <w:tab w:val="right" w:pos="9026" w:leader="dot"/>
            </w:tabs>
            <w:rPr/>
          </w:pPr>
          <w:hyperlink w:anchor="__RefHeading___Toc1014851_1479056682">
            <w:r>
              <w:rPr>
                <w:webHidden/>
                <w:rStyle w:val="IndexLink"/>
              </w:rPr>
              <w:t>7</w:t>
            </w:r>
            <w:r>
              <w:rPr>
                <w:rStyle w:val="IndexLink"/>
                <w:rtl w:val="true"/>
              </w:rPr>
              <w:t xml:space="preserve"> - </w:t>
            </w:r>
            <w:r>
              <w:rPr>
                <w:rStyle w:val="IndexLink"/>
                <w:rtl w:val="true"/>
              </w:rPr>
              <w:t>استدلال به سیره بر اشتراط سلطان عادل در وجوب نماز جمعه</w:t>
            </w:r>
            <w:r>
              <w:rPr>
                <w:rStyle w:val="IndexLink"/>
                <w:rtl w:val="true"/>
              </w:rPr>
              <w:tab/>
            </w:r>
            <w:r>
              <w:rPr>
                <w:rStyle w:val="IndexLink"/>
              </w:rPr>
              <w:t>217</w:t>
            </w:r>
          </w:hyperlink>
        </w:p>
        <w:p>
          <w:pPr>
            <w:pStyle w:val="Contents4"/>
            <w:tabs>
              <w:tab w:val="clear" w:pos="8176"/>
              <w:tab w:val="right" w:pos="9026" w:leader="dot"/>
            </w:tabs>
            <w:rPr/>
          </w:pPr>
          <w:hyperlink w:anchor="__RefHeading___Toc1014853_1479056682">
            <w:r>
              <w:rPr>
                <w:webHidden/>
                <w:rStyle w:val="IndexLink"/>
              </w:rPr>
              <w:t>8</w:t>
            </w:r>
            <w:r>
              <w:rPr>
                <w:rStyle w:val="IndexLink"/>
                <w:rtl w:val="true"/>
              </w:rPr>
              <w:t xml:space="preserve"> - </w:t>
            </w:r>
            <w:r>
              <w:rPr>
                <w:rStyle w:val="IndexLink"/>
                <w:rtl w:val="true"/>
              </w:rPr>
              <w:t>سیره قطعی بر جواز اعانت به ظالمین در امور مباح</w:t>
            </w:r>
            <w:r>
              <w:rPr>
                <w:rStyle w:val="IndexLink"/>
                <w:rtl w:val="true"/>
              </w:rPr>
              <w:tab/>
            </w:r>
            <w:r>
              <w:rPr>
                <w:rStyle w:val="IndexLink"/>
              </w:rPr>
              <w:t>227</w:t>
            </w:r>
          </w:hyperlink>
        </w:p>
        <w:p>
          <w:pPr>
            <w:pStyle w:val="Contents4"/>
            <w:tabs>
              <w:tab w:val="clear" w:pos="8176"/>
              <w:tab w:val="right" w:pos="9026" w:leader="dot"/>
            </w:tabs>
            <w:rPr/>
          </w:pPr>
          <w:hyperlink w:anchor="__RefHeading___Toc1014855_1479056682">
            <w:r>
              <w:rPr>
                <w:webHidden/>
                <w:rStyle w:val="IndexLink"/>
              </w:rPr>
              <w:t>9</w:t>
            </w:r>
            <w:r>
              <w:rPr>
                <w:rStyle w:val="IndexLink"/>
                <w:rtl w:val="true"/>
              </w:rPr>
              <w:t xml:space="preserve"> - </w:t>
            </w:r>
            <w:r>
              <w:rPr>
                <w:rStyle w:val="IndexLink"/>
                <w:rtl w:val="true"/>
              </w:rPr>
              <w:t>استدلال به سیره در معاطات</w:t>
            </w:r>
            <w:r>
              <w:rPr>
                <w:rStyle w:val="IndexLink"/>
                <w:rtl w:val="true"/>
              </w:rPr>
              <w:tab/>
            </w:r>
            <w:r>
              <w:rPr>
                <w:rStyle w:val="IndexLink"/>
              </w:rPr>
              <w:t>234</w:t>
            </w:r>
          </w:hyperlink>
        </w:p>
        <w:p>
          <w:pPr>
            <w:pStyle w:val="Contents4"/>
            <w:tabs>
              <w:tab w:val="clear" w:pos="8176"/>
              <w:tab w:val="right" w:pos="9026" w:leader="dot"/>
            </w:tabs>
            <w:rPr/>
          </w:pPr>
          <w:hyperlink w:anchor="__RefHeading___Toc1014857_1479056682">
            <w:r>
              <w:rPr>
                <w:webHidden/>
                <w:rStyle w:val="IndexLink"/>
              </w:rPr>
              <w:t>10</w:t>
            </w:r>
            <w:r>
              <w:rPr>
                <w:rStyle w:val="IndexLink"/>
                <w:rtl w:val="true"/>
              </w:rPr>
              <w:t xml:space="preserve"> - </w:t>
            </w:r>
            <w:r>
              <w:rPr>
                <w:rStyle w:val="IndexLink"/>
                <w:rtl w:val="true"/>
              </w:rPr>
              <w:t>جریان معاطات در قرض و استدلال به سیره</w:t>
            </w:r>
            <w:r>
              <w:rPr>
                <w:rStyle w:val="IndexLink"/>
                <w:rtl w:val="true"/>
              </w:rPr>
              <w:tab/>
            </w:r>
            <w:r>
              <w:rPr>
                <w:rStyle w:val="IndexLink"/>
              </w:rPr>
              <w:t>242</w:t>
            </w:r>
          </w:hyperlink>
        </w:p>
        <w:p>
          <w:pPr>
            <w:pStyle w:val="Contents4"/>
            <w:tabs>
              <w:tab w:val="clear" w:pos="8176"/>
              <w:tab w:val="right" w:pos="9026" w:leader="dot"/>
            </w:tabs>
            <w:rPr/>
          </w:pPr>
          <w:hyperlink w:anchor="__RefHeading___Toc1014859_1479056682">
            <w:r>
              <w:rPr>
                <w:webHidden/>
                <w:rStyle w:val="IndexLink"/>
              </w:rPr>
              <w:t>11</w:t>
            </w:r>
            <w:r>
              <w:rPr>
                <w:rStyle w:val="IndexLink"/>
                <w:rtl w:val="true"/>
              </w:rPr>
              <w:t xml:space="preserve"> - </w:t>
            </w:r>
            <w:r>
              <w:rPr>
                <w:rStyle w:val="IndexLink"/>
                <w:rtl w:val="true"/>
              </w:rPr>
              <w:t>جریان معاطات در مساقات و استدلال به سیره</w:t>
            </w:r>
            <w:r>
              <w:rPr>
                <w:rStyle w:val="IndexLink"/>
                <w:rtl w:val="true"/>
              </w:rPr>
              <w:tab/>
            </w:r>
            <w:r>
              <w:rPr>
                <w:rStyle w:val="IndexLink"/>
              </w:rPr>
              <w:t>247</w:t>
            </w:r>
          </w:hyperlink>
        </w:p>
        <w:p>
          <w:pPr>
            <w:pStyle w:val="Contents4"/>
            <w:tabs>
              <w:tab w:val="clear" w:pos="8176"/>
              <w:tab w:val="right" w:pos="9026" w:leader="dot"/>
            </w:tabs>
            <w:rPr/>
          </w:pPr>
          <w:hyperlink w:anchor="__RefHeading___Toc1014861_1479056682">
            <w:r>
              <w:rPr>
                <w:webHidden/>
                <w:rStyle w:val="IndexLink"/>
              </w:rPr>
              <w:t>12</w:t>
            </w:r>
            <w:r>
              <w:rPr>
                <w:rStyle w:val="IndexLink"/>
                <w:rtl w:val="true"/>
              </w:rPr>
              <w:t xml:space="preserve"> - </w:t>
            </w:r>
            <w:r>
              <w:rPr>
                <w:rStyle w:val="IndexLink"/>
                <w:rtl w:val="true"/>
              </w:rPr>
              <w:t>استدلال به سیره در بیع فضولی</w:t>
            </w:r>
            <w:r>
              <w:rPr>
                <w:rStyle w:val="IndexLink"/>
                <w:rtl w:val="true"/>
              </w:rPr>
              <w:tab/>
            </w:r>
            <w:r>
              <w:rPr>
                <w:rStyle w:val="IndexLink"/>
              </w:rPr>
              <w:t>250</w:t>
            </w:r>
          </w:hyperlink>
        </w:p>
        <w:p>
          <w:pPr>
            <w:pStyle w:val="Contents4"/>
            <w:tabs>
              <w:tab w:val="clear" w:pos="8176"/>
              <w:tab w:val="right" w:pos="9026" w:leader="dot"/>
            </w:tabs>
            <w:rPr/>
          </w:pPr>
          <w:hyperlink w:anchor="__RefHeading___Toc1014863_1479056682">
            <w:r>
              <w:rPr>
                <w:webHidden/>
                <w:rStyle w:val="IndexLink"/>
              </w:rPr>
              <w:t>13</w:t>
            </w:r>
            <w:r>
              <w:rPr>
                <w:rStyle w:val="IndexLink"/>
                <w:rtl w:val="true"/>
              </w:rPr>
              <w:t xml:space="preserve"> - </w:t>
            </w:r>
            <w:r>
              <w:rPr>
                <w:rStyle w:val="IndexLink"/>
                <w:rtl w:val="true"/>
              </w:rPr>
              <w:t xml:space="preserve">استدلال به سیره در جواز بیع مذوق و مشموم </w:t>
            </w:r>
            <w:r>
              <w:rPr>
                <w:rStyle w:val="IndexLink"/>
                <w:rtl w:val="true"/>
              </w:rPr>
              <w:t>(</w:t>
            </w:r>
            <w:r>
              <w:rPr>
                <w:rStyle w:val="IndexLink"/>
                <w:rtl w:val="true"/>
              </w:rPr>
              <w:t>چشیدنی و بوییدنی</w:t>
            </w:r>
            <w:r>
              <w:rPr>
                <w:rStyle w:val="IndexLink"/>
                <w:rtl w:val="true"/>
              </w:rPr>
              <w:t xml:space="preserve">) </w:t>
            </w:r>
            <w:r>
              <w:rPr>
                <w:rStyle w:val="IndexLink"/>
                <w:rtl w:val="true"/>
              </w:rPr>
              <w:t>و در جواز بیع، نسبت به آنچه آزمایش آن منجر به افساد آن می‌شود</w:t>
            </w:r>
            <w:r>
              <w:rPr>
                <w:rStyle w:val="IndexLink"/>
                <w:rtl w:val="true"/>
              </w:rPr>
              <w:tab/>
            </w:r>
            <w:r>
              <w:rPr>
                <w:rStyle w:val="IndexLink"/>
              </w:rPr>
              <w:t>254</w:t>
            </w:r>
          </w:hyperlink>
        </w:p>
        <w:p>
          <w:pPr>
            <w:pStyle w:val="Contents4"/>
            <w:tabs>
              <w:tab w:val="clear" w:pos="8176"/>
              <w:tab w:val="right" w:pos="9026" w:leader="dot"/>
            </w:tabs>
            <w:rPr/>
          </w:pPr>
          <w:hyperlink w:anchor="__RefHeading___Toc1014865_1479056682">
            <w:r>
              <w:rPr>
                <w:webHidden/>
                <w:rStyle w:val="IndexLink"/>
              </w:rPr>
              <w:t>14</w:t>
            </w:r>
            <w:r>
              <w:rPr>
                <w:rStyle w:val="IndexLink"/>
                <w:rtl w:val="true"/>
              </w:rPr>
              <w:t xml:space="preserve"> - </w:t>
            </w:r>
            <w:r>
              <w:rPr>
                <w:rStyle w:val="IndexLink"/>
                <w:rtl w:val="true"/>
              </w:rPr>
              <w:t>استدلال به سیره در بعضی از مسائل صلح مربوط به تزاحم حقوق و منازعات در املاک</w:t>
            </w:r>
            <w:r>
              <w:rPr>
                <w:rStyle w:val="IndexLink"/>
                <w:rtl w:val="true"/>
              </w:rPr>
              <w:tab/>
            </w:r>
            <w:r>
              <w:rPr>
                <w:rStyle w:val="IndexLink"/>
              </w:rPr>
              <w:t>259</w:t>
            </w:r>
          </w:hyperlink>
        </w:p>
        <w:p>
          <w:pPr>
            <w:pStyle w:val="Contents4"/>
            <w:tabs>
              <w:tab w:val="clear" w:pos="8176"/>
              <w:tab w:val="right" w:pos="9026" w:leader="dot"/>
            </w:tabs>
            <w:rPr/>
          </w:pPr>
          <w:hyperlink w:anchor="__RefHeading___Toc1014867_1479056682">
            <w:r>
              <w:rPr>
                <w:webHidden/>
                <w:rStyle w:val="IndexLink"/>
              </w:rPr>
              <w:t>15</w:t>
            </w:r>
            <w:r>
              <w:rPr>
                <w:rStyle w:val="IndexLink"/>
                <w:rtl w:val="true"/>
              </w:rPr>
              <w:t xml:space="preserve"> - </w:t>
            </w:r>
            <w:r>
              <w:rPr>
                <w:rStyle w:val="IndexLink"/>
                <w:rtl w:val="true"/>
              </w:rPr>
              <w:t>استدلال به سیره در بعضی از مسائل ودیعه</w:t>
            </w:r>
            <w:r>
              <w:rPr>
                <w:rStyle w:val="IndexLink"/>
                <w:rtl w:val="true"/>
              </w:rPr>
              <w:tab/>
            </w:r>
            <w:r>
              <w:rPr>
                <w:rStyle w:val="IndexLink"/>
              </w:rPr>
              <w:t>263</w:t>
            </w:r>
          </w:hyperlink>
        </w:p>
        <w:p>
          <w:pPr>
            <w:pStyle w:val="Contents4"/>
            <w:tabs>
              <w:tab w:val="clear" w:pos="8176"/>
              <w:tab w:val="right" w:pos="9026" w:leader="dot"/>
            </w:tabs>
            <w:rPr/>
          </w:pPr>
          <w:hyperlink w:anchor="__RefHeading___Toc1014869_1479056682">
            <w:r>
              <w:rPr>
                <w:webHidden/>
                <w:rStyle w:val="IndexLink"/>
              </w:rPr>
              <w:t>16</w:t>
            </w:r>
            <w:r>
              <w:rPr>
                <w:rStyle w:val="IndexLink"/>
                <w:rtl w:val="true"/>
              </w:rPr>
              <w:t xml:space="preserve"> - </w:t>
            </w:r>
            <w:r>
              <w:rPr>
                <w:rStyle w:val="IndexLink"/>
                <w:rtl w:val="true"/>
              </w:rPr>
              <w:t>استدلال به سیره درباره جریان معاطات در عاریه</w:t>
            </w:r>
            <w:r>
              <w:rPr>
                <w:rStyle w:val="IndexLink"/>
                <w:rtl w:val="true"/>
              </w:rPr>
              <w:tab/>
            </w:r>
            <w:r>
              <w:rPr>
                <w:rStyle w:val="IndexLink"/>
              </w:rPr>
              <w:t>264</w:t>
            </w:r>
          </w:hyperlink>
        </w:p>
        <w:p>
          <w:pPr>
            <w:pStyle w:val="Contents4"/>
            <w:tabs>
              <w:tab w:val="clear" w:pos="8176"/>
              <w:tab w:val="right" w:pos="9026" w:leader="dot"/>
            </w:tabs>
            <w:rPr/>
          </w:pPr>
          <w:hyperlink w:anchor="__RefHeading___Toc1014871_1479056682">
            <w:r>
              <w:rPr>
                <w:webHidden/>
                <w:rStyle w:val="IndexLink"/>
              </w:rPr>
              <w:t>17</w:t>
            </w:r>
            <w:r>
              <w:rPr>
                <w:rStyle w:val="IndexLink"/>
                <w:rtl w:val="true"/>
              </w:rPr>
              <w:t xml:space="preserve"> - </w:t>
            </w:r>
            <w:r>
              <w:rPr>
                <w:rStyle w:val="IndexLink"/>
                <w:rtl w:val="true"/>
              </w:rPr>
              <w:t>ادعای سیره مستمرّه بر مشروعیت عاریه منحه</w:t>
            </w:r>
            <w:r>
              <w:rPr>
                <w:rStyle w:val="IndexLink"/>
                <w:rtl w:val="true"/>
              </w:rPr>
              <w:tab/>
            </w:r>
            <w:r>
              <w:rPr>
                <w:rStyle w:val="IndexLink"/>
              </w:rPr>
              <w:t>265</w:t>
            </w:r>
          </w:hyperlink>
        </w:p>
        <w:p>
          <w:pPr>
            <w:pStyle w:val="Contents4"/>
            <w:tabs>
              <w:tab w:val="clear" w:pos="8176"/>
              <w:tab w:val="right" w:pos="9026" w:leader="dot"/>
            </w:tabs>
            <w:rPr/>
          </w:pPr>
          <w:hyperlink w:anchor="__RefHeading___Toc1014873_1479056682">
            <w:r>
              <w:rPr>
                <w:webHidden/>
                <w:rStyle w:val="IndexLink"/>
              </w:rPr>
              <w:t>18</w:t>
            </w:r>
            <w:r>
              <w:rPr>
                <w:rStyle w:val="IndexLink"/>
                <w:rtl w:val="true"/>
              </w:rPr>
              <w:t xml:space="preserve"> - </w:t>
            </w:r>
            <w:r>
              <w:rPr>
                <w:rStyle w:val="IndexLink"/>
                <w:rtl w:val="true"/>
              </w:rPr>
              <w:t>استدلال به سیره در مورد عدم تعیین و قطعیّت اجرت اجیر</w:t>
            </w:r>
            <w:r>
              <w:rPr>
                <w:rStyle w:val="IndexLink"/>
                <w:rtl w:val="true"/>
              </w:rPr>
              <w:tab/>
            </w:r>
            <w:r>
              <w:rPr>
                <w:rStyle w:val="IndexLink"/>
              </w:rPr>
              <w:t>266</w:t>
            </w:r>
          </w:hyperlink>
        </w:p>
        <w:p>
          <w:pPr>
            <w:pStyle w:val="Contents4"/>
            <w:tabs>
              <w:tab w:val="clear" w:pos="8176"/>
              <w:tab w:val="right" w:pos="9026" w:leader="dot"/>
            </w:tabs>
            <w:rPr/>
          </w:pPr>
          <w:hyperlink w:anchor="__RefHeading___Toc1014875_1479056682">
            <w:r>
              <w:rPr>
                <w:webHidden/>
                <w:rStyle w:val="IndexLink"/>
              </w:rPr>
              <w:t>19</w:t>
            </w:r>
            <w:r>
              <w:rPr>
                <w:rStyle w:val="IndexLink"/>
                <w:rtl w:val="true"/>
              </w:rPr>
              <w:t xml:space="preserve"> - </w:t>
            </w:r>
            <w:r>
              <w:rPr>
                <w:rStyle w:val="IndexLink"/>
                <w:rtl w:val="true"/>
              </w:rPr>
              <w:t>سیره بر عدم لزوم تعیین وقت سیر در اجاره حیوان برای سفر</w:t>
            </w:r>
            <w:r>
              <w:rPr>
                <w:rStyle w:val="IndexLink"/>
                <w:rtl w:val="true"/>
              </w:rPr>
              <w:tab/>
            </w:r>
            <w:r>
              <w:rPr>
                <w:rStyle w:val="IndexLink"/>
              </w:rPr>
              <w:t>266</w:t>
            </w:r>
          </w:hyperlink>
        </w:p>
        <w:p>
          <w:pPr>
            <w:pStyle w:val="Contents4"/>
            <w:tabs>
              <w:tab w:val="clear" w:pos="8176"/>
              <w:tab w:val="right" w:pos="9026" w:leader="dot"/>
            </w:tabs>
            <w:rPr/>
          </w:pPr>
          <w:hyperlink w:anchor="__RefHeading___Toc1014877_1479056682">
            <w:r>
              <w:rPr>
                <w:webHidden/>
                <w:rStyle w:val="IndexLink"/>
              </w:rPr>
              <w:t>20</w:t>
            </w:r>
            <w:r>
              <w:rPr>
                <w:rStyle w:val="IndexLink"/>
                <w:rtl w:val="true"/>
              </w:rPr>
              <w:t xml:space="preserve"> - </w:t>
            </w:r>
            <w:r>
              <w:rPr>
                <w:rStyle w:val="IndexLink"/>
                <w:rtl w:val="true"/>
              </w:rPr>
              <w:t>سیره بر جواز زدن حیوان در حدّ معتاد و معمول</w:t>
            </w:r>
            <w:r>
              <w:rPr>
                <w:rStyle w:val="IndexLink"/>
                <w:rtl w:val="true"/>
              </w:rPr>
              <w:tab/>
            </w:r>
            <w:r>
              <w:rPr>
                <w:rStyle w:val="IndexLink"/>
              </w:rPr>
              <w:t>267</w:t>
            </w:r>
          </w:hyperlink>
        </w:p>
        <w:p>
          <w:pPr>
            <w:pStyle w:val="Contents4"/>
            <w:tabs>
              <w:tab w:val="clear" w:pos="8176"/>
              <w:tab w:val="right" w:pos="9026" w:leader="dot"/>
            </w:tabs>
            <w:rPr/>
          </w:pPr>
          <w:hyperlink w:anchor="__RefHeading___Toc1014879_1479056682">
            <w:r>
              <w:rPr>
                <w:webHidden/>
                <w:rStyle w:val="IndexLink"/>
              </w:rPr>
              <w:t>21</w:t>
            </w:r>
            <w:r>
              <w:rPr>
                <w:rStyle w:val="IndexLink"/>
                <w:rtl w:val="true"/>
              </w:rPr>
              <w:t xml:space="preserve"> - </w:t>
            </w:r>
            <w:r>
              <w:rPr>
                <w:rStyle w:val="IndexLink"/>
                <w:rtl w:val="true"/>
              </w:rPr>
              <w:t>سیره بر جواز وقف اشیاء منقول</w:t>
            </w:r>
            <w:r>
              <w:rPr>
                <w:rStyle w:val="IndexLink"/>
                <w:rtl w:val="true"/>
              </w:rPr>
              <w:tab/>
            </w:r>
            <w:r>
              <w:rPr>
                <w:rStyle w:val="IndexLink"/>
              </w:rPr>
              <w:t>268</w:t>
            </w:r>
          </w:hyperlink>
        </w:p>
        <w:p>
          <w:pPr>
            <w:pStyle w:val="Contents4"/>
            <w:tabs>
              <w:tab w:val="clear" w:pos="8176"/>
              <w:tab w:val="right" w:pos="9026" w:leader="dot"/>
            </w:tabs>
            <w:rPr/>
          </w:pPr>
          <w:hyperlink w:anchor="__RefHeading___Toc1014881_1479056682">
            <w:r>
              <w:rPr>
                <w:webHidden/>
                <w:rStyle w:val="IndexLink"/>
              </w:rPr>
              <w:t>22</w:t>
            </w:r>
            <w:r>
              <w:rPr>
                <w:rStyle w:val="IndexLink"/>
                <w:rtl w:val="true"/>
              </w:rPr>
              <w:t xml:space="preserve"> - </w:t>
            </w:r>
            <w:r>
              <w:rPr>
                <w:rStyle w:val="IndexLink"/>
                <w:rtl w:val="true"/>
              </w:rPr>
              <w:t>استدلال به سیره در استفاده واقف از موقوفه در وقف عام</w:t>
            </w:r>
            <w:r>
              <w:rPr>
                <w:rStyle w:val="IndexLink"/>
                <w:rtl w:val="true"/>
              </w:rPr>
              <w:tab/>
            </w:r>
            <w:r>
              <w:rPr>
                <w:rStyle w:val="IndexLink"/>
              </w:rPr>
              <w:t>269</w:t>
            </w:r>
          </w:hyperlink>
        </w:p>
        <w:p>
          <w:pPr>
            <w:pStyle w:val="Contents4"/>
            <w:tabs>
              <w:tab w:val="clear" w:pos="8176"/>
              <w:tab w:val="right" w:pos="9026" w:leader="dot"/>
            </w:tabs>
            <w:rPr/>
          </w:pPr>
          <w:hyperlink w:anchor="__RefHeading___Toc1014883_1479056682">
            <w:r>
              <w:rPr>
                <w:webHidden/>
                <w:rStyle w:val="IndexLink"/>
              </w:rPr>
              <w:t>23</w:t>
            </w:r>
            <w:r>
              <w:rPr>
                <w:rStyle w:val="IndexLink"/>
                <w:rtl w:val="true"/>
              </w:rPr>
              <w:t xml:space="preserve"> - </w:t>
            </w:r>
            <w:r>
              <w:rPr>
                <w:rStyle w:val="IndexLink"/>
                <w:rtl w:val="true"/>
              </w:rPr>
              <w:t>استدلال به سیره در حبس مال</w:t>
            </w:r>
            <w:r>
              <w:rPr>
                <w:rStyle w:val="IndexLink"/>
                <w:rtl w:val="true"/>
              </w:rPr>
              <w:tab/>
            </w:r>
            <w:r>
              <w:rPr>
                <w:rStyle w:val="IndexLink"/>
              </w:rPr>
              <w:t>270</w:t>
            </w:r>
          </w:hyperlink>
        </w:p>
        <w:p>
          <w:pPr>
            <w:pStyle w:val="Contents4"/>
            <w:tabs>
              <w:tab w:val="clear" w:pos="8176"/>
              <w:tab w:val="right" w:pos="9026" w:leader="dot"/>
            </w:tabs>
            <w:rPr/>
          </w:pPr>
          <w:hyperlink w:anchor="__RefHeading___Toc1014885_1479056682">
            <w:r>
              <w:rPr>
                <w:webHidden/>
                <w:rStyle w:val="IndexLink"/>
              </w:rPr>
              <w:t>24</w:t>
            </w:r>
            <w:r>
              <w:rPr>
                <w:rStyle w:val="IndexLink"/>
                <w:rtl w:val="true"/>
              </w:rPr>
              <w:t xml:space="preserve"> - </w:t>
            </w:r>
            <w:r>
              <w:rPr>
                <w:rStyle w:val="IndexLink"/>
                <w:rtl w:val="true"/>
              </w:rPr>
              <w:t>ادّعای سیره قطعیّه در مورد جریان معاطات در هبه</w:t>
            </w:r>
            <w:r>
              <w:rPr>
                <w:rStyle w:val="IndexLink"/>
                <w:rtl w:val="true"/>
              </w:rPr>
              <w:tab/>
            </w:r>
            <w:r>
              <w:rPr>
                <w:rStyle w:val="IndexLink"/>
              </w:rPr>
              <w:t>271</w:t>
            </w:r>
          </w:hyperlink>
        </w:p>
        <w:p>
          <w:pPr>
            <w:pStyle w:val="Contents4"/>
            <w:tabs>
              <w:tab w:val="clear" w:pos="8176"/>
              <w:tab w:val="right" w:pos="9026" w:leader="dot"/>
            </w:tabs>
            <w:rPr/>
          </w:pPr>
          <w:hyperlink w:anchor="__RefHeading___Toc1014887_1479056682">
            <w:r>
              <w:rPr>
                <w:webHidden/>
                <w:rStyle w:val="IndexLink"/>
              </w:rPr>
              <w:t>25</w:t>
            </w:r>
            <w:r>
              <w:rPr>
                <w:rStyle w:val="IndexLink"/>
                <w:rtl w:val="true"/>
              </w:rPr>
              <w:t xml:space="preserve"> - </w:t>
            </w:r>
            <w:r>
              <w:rPr>
                <w:rStyle w:val="IndexLink"/>
                <w:rtl w:val="true"/>
              </w:rPr>
              <w:t>سیره بر جواز اکل نثار عروسی</w:t>
            </w:r>
            <w:r>
              <w:rPr>
                <w:rStyle w:val="IndexLink"/>
                <w:rtl w:val="true"/>
              </w:rPr>
              <w:tab/>
            </w:r>
            <w:r>
              <w:rPr>
                <w:rStyle w:val="IndexLink"/>
              </w:rPr>
              <w:t>272</w:t>
            </w:r>
          </w:hyperlink>
        </w:p>
        <w:p>
          <w:pPr>
            <w:pStyle w:val="Contents4"/>
            <w:tabs>
              <w:tab w:val="clear" w:pos="8176"/>
              <w:tab w:val="right" w:pos="9026" w:leader="dot"/>
            </w:tabs>
            <w:rPr/>
          </w:pPr>
          <w:hyperlink w:anchor="__RefHeading___Toc1014889_1479056682">
            <w:r>
              <w:rPr>
                <w:webHidden/>
                <w:rStyle w:val="IndexLink"/>
              </w:rPr>
              <w:t>26</w:t>
            </w:r>
            <w:r>
              <w:rPr>
                <w:rStyle w:val="IndexLink"/>
                <w:rtl w:val="true"/>
              </w:rPr>
              <w:t xml:space="preserve"> - </w:t>
            </w:r>
            <w:r>
              <w:rPr>
                <w:rStyle w:val="IndexLink"/>
                <w:rtl w:val="true"/>
              </w:rPr>
              <w:t>تمسک به سیره در استمتاع</w:t>
            </w:r>
            <w:r>
              <w:rPr>
                <w:rStyle w:val="IndexLink"/>
                <w:rtl w:val="true"/>
              </w:rPr>
              <w:tab/>
            </w:r>
            <w:r>
              <w:rPr>
                <w:rStyle w:val="IndexLink"/>
              </w:rPr>
              <w:t>273</w:t>
            </w:r>
          </w:hyperlink>
        </w:p>
        <w:p>
          <w:pPr>
            <w:pStyle w:val="Contents4"/>
            <w:tabs>
              <w:tab w:val="clear" w:pos="8176"/>
              <w:tab w:val="right" w:pos="9026" w:leader="dot"/>
            </w:tabs>
            <w:rPr/>
          </w:pPr>
          <w:hyperlink w:anchor="__RefHeading___Toc1014891_1479056682">
            <w:r>
              <w:rPr>
                <w:webHidden/>
                <w:rStyle w:val="IndexLink"/>
              </w:rPr>
              <w:t>27</w:t>
            </w:r>
            <w:r>
              <w:rPr>
                <w:rStyle w:val="IndexLink"/>
                <w:rtl w:val="true"/>
              </w:rPr>
              <w:t xml:space="preserve"> - </w:t>
            </w:r>
            <w:r>
              <w:rPr>
                <w:rStyle w:val="IndexLink"/>
                <w:rtl w:val="true"/>
              </w:rPr>
              <w:t>سیره بر جواز لمس محارم</w:t>
            </w:r>
            <w:r>
              <w:rPr>
                <w:rStyle w:val="IndexLink"/>
                <w:rtl w:val="true"/>
              </w:rPr>
              <w:tab/>
            </w:r>
            <w:r>
              <w:rPr>
                <w:rStyle w:val="IndexLink"/>
              </w:rPr>
              <w:t>273</w:t>
            </w:r>
          </w:hyperlink>
        </w:p>
        <w:p>
          <w:pPr>
            <w:pStyle w:val="Contents4"/>
            <w:tabs>
              <w:tab w:val="clear" w:pos="8176"/>
              <w:tab w:val="right" w:pos="9026" w:leader="dot"/>
            </w:tabs>
            <w:rPr/>
          </w:pPr>
          <w:hyperlink w:anchor="__RefHeading___Toc1014893_1479056682">
            <w:r>
              <w:rPr>
                <w:webHidden/>
                <w:rStyle w:val="IndexLink"/>
              </w:rPr>
              <w:t>28</w:t>
            </w:r>
            <w:r>
              <w:rPr>
                <w:rStyle w:val="IndexLink"/>
                <w:rtl w:val="true"/>
              </w:rPr>
              <w:t xml:space="preserve"> - </w:t>
            </w:r>
            <w:r>
              <w:rPr>
                <w:rStyle w:val="IndexLink"/>
                <w:rtl w:val="true"/>
              </w:rPr>
              <w:t>سیره بر نفقه زوجه</w:t>
            </w:r>
            <w:r>
              <w:rPr>
                <w:rStyle w:val="IndexLink"/>
                <w:rtl w:val="true"/>
              </w:rPr>
              <w:tab/>
            </w:r>
            <w:r>
              <w:rPr>
                <w:rStyle w:val="IndexLink"/>
              </w:rPr>
              <w:t>274</w:t>
            </w:r>
          </w:hyperlink>
        </w:p>
        <w:p>
          <w:pPr>
            <w:pStyle w:val="Contents4"/>
            <w:tabs>
              <w:tab w:val="clear" w:pos="8176"/>
              <w:tab w:val="right" w:pos="9026" w:leader="dot"/>
            </w:tabs>
            <w:rPr/>
          </w:pPr>
          <w:hyperlink w:anchor="__RefHeading___Toc1014895_1479056682">
            <w:r>
              <w:rPr>
                <w:webHidden/>
                <w:rStyle w:val="IndexLink"/>
              </w:rPr>
              <w:t>29</w:t>
            </w:r>
            <w:r>
              <w:rPr>
                <w:rStyle w:val="IndexLink"/>
                <w:rtl w:val="true"/>
              </w:rPr>
              <w:t xml:space="preserve"> - </w:t>
            </w:r>
            <w:r>
              <w:rPr>
                <w:rStyle w:val="IndexLink"/>
                <w:rtl w:val="true"/>
              </w:rPr>
              <w:t>سیره بر استعمال پوست سباع</w:t>
            </w:r>
            <w:r>
              <w:rPr>
                <w:rStyle w:val="IndexLink"/>
                <w:rtl w:val="true"/>
              </w:rPr>
              <w:tab/>
            </w:r>
            <w:r>
              <w:rPr>
                <w:rStyle w:val="IndexLink"/>
              </w:rPr>
              <w:t>274</w:t>
            </w:r>
          </w:hyperlink>
        </w:p>
        <w:p>
          <w:pPr>
            <w:pStyle w:val="Contents4"/>
            <w:tabs>
              <w:tab w:val="clear" w:pos="8176"/>
              <w:tab w:val="right" w:pos="9026" w:leader="dot"/>
            </w:tabs>
            <w:rPr/>
          </w:pPr>
          <w:hyperlink w:anchor="__RefHeading___Toc1014897_1479056682">
            <w:r>
              <w:rPr>
                <w:webHidden/>
                <w:rStyle w:val="IndexLink"/>
              </w:rPr>
              <w:t>30</w:t>
            </w:r>
            <w:r>
              <w:rPr>
                <w:rStyle w:val="IndexLink"/>
                <w:rtl w:val="true"/>
              </w:rPr>
              <w:t xml:space="preserve"> - </w:t>
            </w:r>
            <w:r>
              <w:rPr>
                <w:rStyle w:val="IndexLink"/>
                <w:rtl w:val="true"/>
              </w:rPr>
              <w:t>سیره بر جواز استفاده از حقوق ارتفاقی راهها</w:t>
            </w:r>
            <w:r>
              <w:rPr>
                <w:rStyle w:val="IndexLink"/>
                <w:rtl w:val="true"/>
              </w:rPr>
              <w:tab/>
            </w:r>
            <w:r>
              <w:rPr>
                <w:rStyle w:val="IndexLink"/>
              </w:rPr>
              <w:t>275</w:t>
            </w:r>
          </w:hyperlink>
        </w:p>
        <w:p>
          <w:pPr>
            <w:pStyle w:val="Contents4"/>
            <w:tabs>
              <w:tab w:val="clear" w:pos="8176"/>
              <w:tab w:val="right" w:pos="9026" w:leader="dot"/>
            </w:tabs>
            <w:rPr/>
          </w:pPr>
          <w:hyperlink w:anchor="__RefHeading___Toc1014899_1479056682">
            <w:r>
              <w:rPr>
                <w:webHidden/>
                <w:rStyle w:val="IndexLink"/>
              </w:rPr>
              <w:t>31</w:t>
            </w:r>
            <w:r>
              <w:rPr>
                <w:rStyle w:val="IndexLink"/>
                <w:rtl w:val="true"/>
              </w:rPr>
              <w:t xml:space="preserve"> - </w:t>
            </w:r>
            <w:r>
              <w:rPr>
                <w:rStyle w:val="IndexLink"/>
                <w:rtl w:val="true"/>
              </w:rPr>
              <w:t>سیره بر این که معادن متعلّق به همه مردم است</w:t>
            </w:r>
            <w:r>
              <w:rPr>
                <w:rStyle w:val="IndexLink"/>
                <w:rtl w:val="true"/>
              </w:rPr>
              <w:tab/>
            </w:r>
            <w:r>
              <w:rPr>
                <w:rStyle w:val="IndexLink"/>
              </w:rPr>
              <w:t>276</w:t>
            </w:r>
          </w:hyperlink>
        </w:p>
        <w:p>
          <w:pPr>
            <w:pStyle w:val="Contents4"/>
            <w:tabs>
              <w:tab w:val="clear" w:pos="8176"/>
              <w:tab w:val="right" w:pos="9026" w:leader="dot"/>
            </w:tabs>
            <w:rPr/>
          </w:pPr>
          <w:hyperlink w:anchor="__RefHeading___Toc1014901_1479056682">
            <w:r>
              <w:rPr>
                <w:webHidden/>
                <w:rStyle w:val="IndexLink"/>
              </w:rPr>
              <w:t>32</w:t>
            </w:r>
            <w:r>
              <w:rPr>
                <w:rStyle w:val="IndexLink"/>
                <w:rtl w:val="true"/>
              </w:rPr>
              <w:t xml:space="preserve"> - </w:t>
            </w:r>
            <w:r>
              <w:rPr>
                <w:rStyle w:val="IndexLink"/>
                <w:rtl w:val="true"/>
              </w:rPr>
              <w:t>سیره بر تملک آب با اسباب مملّکه مانند حیازت</w:t>
            </w:r>
            <w:r>
              <w:rPr>
                <w:rStyle w:val="IndexLink"/>
                <w:rtl w:val="true"/>
              </w:rPr>
              <w:tab/>
            </w:r>
            <w:r>
              <w:rPr>
                <w:rStyle w:val="IndexLink"/>
              </w:rPr>
              <w:t>277</w:t>
            </w:r>
          </w:hyperlink>
        </w:p>
        <w:p>
          <w:pPr>
            <w:pStyle w:val="Contents4"/>
            <w:tabs>
              <w:tab w:val="clear" w:pos="8176"/>
              <w:tab w:val="right" w:pos="9026" w:leader="dot"/>
            </w:tabs>
            <w:rPr/>
          </w:pPr>
          <w:hyperlink w:anchor="__RefHeading___Toc1014903_1479056682">
            <w:r>
              <w:rPr>
                <w:webHidden/>
                <w:rStyle w:val="IndexLink"/>
              </w:rPr>
              <w:t>33</w:t>
            </w:r>
            <w:r>
              <w:rPr>
                <w:rStyle w:val="IndexLink"/>
                <w:rtl w:val="true"/>
              </w:rPr>
              <w:t xml:space="preserve"> - </w:t>
            </w:r>
            <w:r>
              <w:rPr>
                <w:rStyle w:val="IndexLink"/>
                <w:rtl w:val="true"/>
              </w:rPr>
              <w:t>سیره بر تبعیّت اولاد مسلمین از پدران خود از نظر اسلام</w:t>
            </w:r>
            <w:r>
              <w:rPr>
                <w:rStyle w:val="IndexLink"/>
                <w:rtl w:val="true"/>
              </w:rPr>
              <w:tab/>
            </w:r>
            <w:r>
              <w:rPr>
                <w:rStyle w:val="IndexLink"/>
              </w:rPr>
              <w:t>277</w:t>
            </w:r>
          </w:hyperlink>
        </w:p>
        <w:p>
          <w:pPr>
            <w:pStyle w:val="Contents4"/>
            <w:tabs>
              <w:tab w:val="clear" w:pos="8176"/>
              <w:tab w:val="right" w:pos="9026" w:leader="dot"/>
            </w:tabs>
            <w:rPr/>
          </w:pPr>
          <w:hyperlink w:anchor="__RefHeading___Toc1014905_1479056682">
            <w:r>
              <w:rPr>
                <w:webHidden/>
                <w:rStyle w:val="IndexLink"/>
              </w:rPr>
              <w:t>34</w:t>
            </w:r>
            <w:r>
              <w:rPr>
                <w:rStyle w:val="IndexLink"/>
                <w:rtl w:val="true"/>
              </w:rPr>
              <w:t xml:space="preserve"> - </w:t>
            </w:r>
            <w:r>
              <w:rPr>
                <w:rStyle w:val="IndexLink"/>
                <w:rtl w:val="true"/>
              </w:rPr>
              <w:t>سیره بر ثبوت ولایت قاضی از راه شیاع</w:t>
            </w:r>
            <w:r>
              <w:rPr>
                <w:rStyle w:val="IndexLink"/>
                <w:rtl w:val="true"/>
              </w:rPr>
              <w:tab/>
            </w:r>
            <w:r>
              <w:rPr>
                <w:rStyle w:val="IndexLink"/>
              </w:rPr>
              <w:t>278</w:t>
            </w:r>
          </w:hyperlink>
        </w:p>
        <w:p>
          <w:pPr>
            <w:pStyle w:val="Contents4"/>
            <w:tabs>
              <w:tab w:val="clear" w:pos="8176"/>
              <w:tab w:val="right" w:pos="9026" w:leader="dot"/>
            </w:tabs>
            <w:rPr/>
          </w:pPr>
          <w:hyperlink w:anchor="__RefHeading___Toc1014907_1479056682">
            <w:r>
              <w:rPr>
                <w:webHidden/>
                <w:rStyle w:val="IndexLink"/>
              </w:rPr>
              <w:t>35</w:t>
            </w:r>
            <w:r>
              <w:rPr>
                <w:rStyle w:val="IndexLink"/>
                <w:rtl w:val="true"/>
              </w:rPr>
              <w:t xml:space="preserve"> - </w:t>
            </w:r>
            <w:r>
              <w:rPr>
                <w:rStyle w:val="IndexLink"/>
                <w:rtl w:val="true"/>
              </w:rPr>
              <w:t>سیره بر حجّیّت کتابت در بعضی موارد</w:t>
            </w:r>
            <w:r>
              <w:rPr>
                <w:rStyle w:val="IndexLink"/>
                <w:rtl w:val="true"/>
              </w:rPr>
              <w:tab/>
            </w:r>
            <w:r>
              <w:rPr>
                <w:rStyle w:val="IndexLink"/>
              </w:rPr>
              <w:t>279</w:t>
            </w:r>
          </w:hyperlink>
        </w:p>
        <w:p>
          <w:pPr>
            <w:pStyle w:val="Contents4"/>
            <w:tabs>
              <w:tab w:val="clear" w:pos="8176"/>
              <w:tab w:val="right" w:pos="9026" w:leader="dot"/>
            </w:tabs>
            <w:rPr/>
          </w:pPr>
          <w:hyperlink w:anchor="__RefHeading___Toc1014909_1479056682">
            <w:r>
              <w:rPr>
                <w:webHidden/>
                <w:rStyle w:val="IndexLink"/>
              </w:rPr>
              <w:t>36</w:t>
            </w:r>
            <w:r>
              <w:rPr>
                <w:rStyle w:val="IndexLink"/>
                <w:rtl w:val="true"/>
              </w:rPr>
              <w:t xml:space="preserve"> - </w:t>
            </w:r>
            <w:r>
              <w:rPr>
                <w:rStyle w:val="IndexLink"/>
                <w:rtl w:val="true"/>
              </w:rPr>
              <w:t>سیره بر تملّک یا اباحه مال مُعرَضٌ عنه</w:t>
            </w:r>
            <w:r>
              <w:rPr>
                <w:rStyle w:val="IndexLink"/>
                <w:rtl w:val="true"/>
              </w:rPr>
              <w:tab/>
            </w:r>
            <w:r>
              <w:rPr>
                <w:rStyle w:val="IndexLink"/>
              </w:rPr>
              <w:t>280</w:t>
            </w:r>
          </w:hyperlink>
        </w:p>
        <w:p>
          <w:pPr>
            <w:pStyle w:val="Contents4"/>
            <w:tabs>
              <w:tab w:val="clear" w:pos="8176"/>
              <w:tab w:val="right" w:pos="9026" w:leader="dot"/>
            </w:tabs>
            <w:rPr/>
          </w:pPr>
          <w:hyperlink w:anchor="__RefHeading___Toc1014911_1479056682">
            <w:r>
              <w:rPr>
                <w:webHidden/>
                <w:rStyle w:val="IndexLink"/>
              </w:rPr>
              <w:t>37</w:t>
            </w:r>
            <w:r>
              <w:rPr>
                <w:rStyle w:val="IndexLink"/>
                <w:rtl w:val="true"/>
              </w:rPr>
              <w:t xml:space="preserve"> - </w:t>
            </w:r>
            <w:r>
              <w:rPr>
                <w:rStyle w:val="IndexLink"/>
                <w:rtl w:val="true"/>
              </w:rPr>
              <w:t>سیره درباره شناخت امور قلبی مانند ایمان و عدالت شاهد، از روی آثار آنها</w:t>
            </w:r>
            <w:r>
              <w:rPr>
                <w:rStyle w:val="IndexLink"/>
                <w:rtl w:val="true"/>
              </w:rPr>
              <w:tab/>
            </w:r>
            <w:r>
              <w:rPr>
                <w:rStyle w:val="IndexLink"/>
              </w:rPr>
              <w:t>282</w:t>
            </w:r>
          </w:hyperlink>
        </w:p>
        <w:p>
          <w:pPr>
            <w:pStyle w:val="Contents2"/>
            <w:tabs>
              <w:tab w:val="clear" w:pos="8743"/>
              <w:tab w:val="right" w:pos="9026" w:leader="dot"/>
            </w:tabs>
            <w:rPr/>
          </w:pPr>
          <w:hyperlink w:anchor="__RefHeading___Toc1014913_1479056682">
            <w:r>
              <w:rPr>
                <w:webHidden/>
                <w:rStyle w:val="IndexLink"/>
                <w:rtl w:val="true"/>
              </w:rPr>
              <w:t>بخش چهارم</w:t>
            </w:r>
            <w:r>
              <w:rPr>
                <w:rStyle w:val="IndexLink"/>
                <w:rtl w:val="true"/>
              </w:rPr>
              <w:t xml:space="preserve">: </w:t>
            </w:r>
            <w:r>
              <w:rPr>
                <w:rStyle w:val="IndexLink"/>
                <w:rtl w:val="true"/>
              </w:rPr>
              <w:t>منابع تبعی فقه اهل سنّت</w:t>
            </w:r>
            <w:r>
              <w:rPr>
                <w:rStyle w:val="IndexLink"/>
                <w:rtl w:val="true"/>
              </w:rPr>
              <w:tab/>
            </w:r>
            <w:r>
              <w:rPr>
                <w:rStyle w:val="IndexLink"/>
              </w:rPr>
              <w:t>284</w:t>
            </w:r>
          </w:hyperlink>
        </w:p>
        <w:p>
          <w:pPr>
            <w:pStyle w:val="Contents3"/>
            <w:tabs>
              <w:tab w:val="clear" w:pos="8459"/>
              <w:tab w:val="right" w:pos="9026" w:leader="dot"/>
            </w:tabs>
            <w:rPr/>
          </w:pPr>
          <w:hyperlink w:anchor="__RefHeading___Toc1014915_1479056682">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1014917_1479056682">
            <w:r>
              <w:rPr>
                <w:webHidden/>
                <w:rStyle w:val="IndexLink"/>
                <w:rtl w:val="true"/>
              </w:rPr>
              <w:t>بحثی مختصر درباره قیاس</w:t>
            </w:r>
            <w:r>
              <w:rPr>
                <w:rStyle w:val="IndexLink"/>
                <w:rtl w:val="true"/>
              </w:rPr>
              <w:tab/>
            </w:r>
            <w:r>
              <w:rPr>
                <w:rStyle w:val="IndexLink"/>
              </w:rPr>
              <w:t>286</w:t>
            </w:r>
          </w:hyperlink>
        </w:p>
        <w:p>
          <w:pPr>
            <w:pStyle w:val="Contents4"/>
            <w:tabs>
              <w:tab w:val="clear" w:pos="8176"/>
              <w:tab w:val="right" w:pos="9026" w:leader="dot"/>
            </w:tabs>
            <w:rPr/>
          </w:pPr>
          <w:hyperlink w:anchor="__RefHeading___Toc1014919_1479056682">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1014921_1479056682">
            <w:r>
              <w:rPr>
                <w:webHidden/>
                <w:rStyle w:val="IndexLink"/>
                <w:rtl w:val="true"/>
              </w:rPr>
              <w:t>تعریف قیاس</w:t>
            </w:r>
            <w:r>
              <w:rPr>
                <w:rStyle w:val="IndexLink"/>
                <w:rtl w:val="true"/>
              </w:rPr>
              <w:tab/>
            </w:r>
            <w:r>
              <w:rPr>
                <w:rStyle w:val="IndexLink"/>
              </w:rPr>
              <w:t>288</w:t>
            </w:r>
          </w:hyperlink>
        </w:p>
        <w:p>
          <w:pPr>
            <w:pStyle w:val="Contents4"/>
            <w:tabs>
              <w:tab w:val="clear" w:pos="8176"/>
              <w:tab w:val="right" w:pos="9026" w:leader="dot"/>
            </w:tabs>
            <w:rPr/>
          </w:pPr>
          <w:hyperlink w:anchor="__RefHeading___Toc1014923_1479056682">
            <w:r>
              <w:rPr>
                <w:webHidden/>
                <w:rStyle w:val="IndexLink"/>
                <w:rtl w:val="true"/>
              </w:rPr>
              <w:t>ارکان قیاس</w:t>
            </w:r>
            <w:r>
              <w:rPr>
                <w:rStyle w:val="IndexLink"/>
                <w:rtl w:val="true"/>
              </w:rPr>
              <w:tab/>
            </w:r>
            <w:r>
              <w:rPr>
                <w:rStyle w:val="IndexLink"/>
              </w:rPr>
              <w:t>290</w:t>
            </w:r>
          </w:hyperlink>
        </w:p>
        <w:p>
          <w:pPr>
            <w:pStyle w:val="Contents4"/>
            <w:tabs>
              <w:tab w:val="clear" w:pos="8176"/>
              <w:tab w:val="right" w:pos="9026" w:leader="dot"/>
            </w:tabs>
            <w:rPr/>
          </w:pPr>
          <w:hyperlink w:anchor="__RefHeading___Toc1014925_1479056682">
            <w:r>
              <w:rPr>
                <w:webHidden/>
                <w:rStyle w:val="IndexLink"/>
                <w:rtl w:val="true"/>
              </w:rPr>
              <w:t>اقسام قیاس</w:t>
            </w:r>
            <w:r>
              <w:rPr>
                <w:rStyle w:val="IndexLink"/>
                <w:rtl w:val="true"/>
              </w:rPr>
              <w:tab/>
            </w:r>
            <w:r>
              <w:rPr>
                <w:rStyle w:val="IndexLink"/>
              </w:rPr>
              <w:t>290</w:t>
            </w:r>
          </w:hyperlink>
        </w:p>
        <w:p>
          <w:pPr>
            <w:pStyle w:val="Contents4"/>
            <w:tabs>
              <w:tab w:val="clear" w:pos="8176"/>
              <w:tab w:val="right" w:pos="9026" w:leader="dot"/>
            </w:tabs>
            <w:rPr/>
          </w:pPr>
          <w:hyperlink w:anchor="__RefHeading___Toc1014927_1479056682">
            <w:r>
              <w:rPr>
                <w:webHidden/>
                <w:rStyle w:val="IndexLink"/>
                <w:rtl w:val="true"/>
              </w:rPr>
              <w:t>نتیجه بحث</w:t>
            </w:r>
            <w:r>
              <w:rPr>
                <w:rStyle w:val="IndexLink"/>
                <w:rtl w:val="true"/>
              </w:rPr>
              <w:tab/>
            </w:r>
            <w:r>
              <w:rPr>
                <w:rStyle w:val="IndexLink"/>
              </w:rPr>
              <w:t>297</w:t>
            </w:r>
          </w:hyperlink>
        </w:p>
        <w:p>
          <w:pPr>
            <w:pStyle w:val="Contents3"/>
            <w:tabs>
              <w:tab w:val="clear" w:pos="8459"/>
              <w:tab w:val="right" w:pos="9026" w:leader="dot"/>
            </w:tabs>
            <w:rPr/>
          </w:pPr>
          <w:hyperlink w:anchor="__RefHeading___Toc1014929_1479056682">
            <w:r>
              <w:rPr>
                <w:webHidden/>
                <w:rStyle w:val="IndexLink"/>
                <w:rtl w:val="true"/>
              </w:rPr>
              <w:t>استحسان</w:t>
            </w:r>
            <w:r>
              <w:rPr>
                <w:rStyle w:val="IndexLink"/>
                <w:rtl w:val="true"/>
              </w:rPr>
              <w:tab/>
            </w:r>
            <w:r>
              <w:rPr>
                <w:rStyle w:val="IndexLink"/>
              </w:rPr>
              <w:t>298</w:t>
            </w:r>
          </w:hyperlink>
        </w:p>
        <w:p>
          <w:pPr>
            <w:pStyle w:val="Contents4"/>
            <w:tabs>
              <w:tab w:val="clear" w:pos="8176"/>
              <w:tab w:val="right" w:pos="9026" w:leader="dot"/>
            </w:tabs>
            <w:rPr/>
          </w:pPr>
          <w:hyperlink w:anchor="__RefHeading___Toc1014931_1479056682">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1014933_1479056682">
            <w:r>
              <w:rPr>
                <w:webHidden/>
                <w:rStyle w:val="IndexLink"/>
                <w:rtl w:val="true"/>
              </w:rPr>
              <w:t>تعریف استحسان</w:t>
            </w:r>
            <w:r>
              <w:rPr>
                <w:rStyle w:val="IndexLink"/>
                <w:rtl w:val="true"/>
              </w:rPr>
              <w:tab/>
            </w:r>
            <w:r>
              <w:rPr>
                <w:rStyle w:val="IndexLink"/>
              </w:rPr>
              <w:t>299</w:t>
            </w:r>
          </w:hyperlink>
        </w:p>
        <w:p>
          <w:pPr>
            <w:pStyle w:val="Contents4"/>
            <w:tabs>
              <w:tab w:val="clear" w:pos="8176"/>
              <w:tab w:val="right" w:pos="9026" w:leader="dot"/>
            </w:tabs>
            <w:rPr/>
          </w:pPr>
          <w:hyperlink w:anchor="__RefHeading___Toc1014935_1479056682">
            <w:r>
              <w:rPr>
                <w:webHidden/>
                <w:rStyle w:val="IndexLink"/>
                <w:rtl w:val="true"/>
              </w:rPr>
              <w:t>نقد و بررسی تعاریف استحسان</w:t>
            </w:r>
            <w:r>
              <w:rPr>
                <w:rStyle w:val="IndexLink"/>
                <w:rtl w:val="true"/>
              </w:rPr>
              <w:tab/>
            </w:r>
            <w:r>
              <w:rPr>
                <w:rStyle w:val="IndexLink"/>
              </w:rPr>
              <w:t>302</w:t>
            </w:r>
          </w:hyperlink>
        </w:p>
        <w:p>
          <w:pPr>
            <w:pStyle w:val="Contents4"/>
            <w:tabs>
              <w:tab w:val="clear" w:pos="8176"/>
              <w:tab w:val="right" w:pos="9026" w:leader="dot"/>
            </w:tabs>
            <w:rPr/>
          </w:pPr>
          <w:hyperlink w:anchor="__RefHeading___Toc1014937_1479056682">
            <w:r>
              <w:rPr>
                <w:webHidden/>
                <w:rStyle w:val="IndexLink"/>
                <w:rtl w:val="true"/>
              </w:rPr>
              <w:t>اقسام استحسان و امثله آن</w:t>
            </w:r>
            <w:r>
              <w:rPr>
                <w:rStyle w:val="IndexLink"/>
                <w:rtl w:val="true"/>
              </w:rPr>
              <w:tab/>
            </w:r>
            <w:r>
              <w:rPr>
                <w:rStyle w:val="IndexLink"/>
              </w:rPr>
              <w:t>303</w:t>
            </w:r>
          </w:hyperlink>
        </w:p>
        <w:p>
          <w:pPr>
            <w:pStyle w:val="Contents4"/>
            <w:tabs>
              <w:tab w:val="clear" w:pos="8176"/>
              <w:tab w:val="right" w:pos="9026" w:leader="dot"/>
            </w:tabs>
            <w:rPr/>
          </w:pPr>
          <w:hyperlink w:anchor="__RefHeading___Toc1014939_1479056682">
            <w:r>
              <w:rPr>
                <w:webHidden/>
                <w:rStyle w:val="IndexLink"/>
                <w:rtl w:val="true"/>
              </w:rPr>
              <w:t>ادلّه حجّیّت استحسان</w:t>
            </w:r>
            <w:r>
              <w:rPr>
                <w:rStyle w:val="IndexLink"/>
                <w:rtl w:val="true"/>
              </w:rPr>
              <w:tab/>
            </w:r>
            <w:r>
              <w:rPr>
                <w:rStyle w:val="IndexLink"/>
              </w:rPr>
              <w:t>306</w:t>
            </w:r>
          </w:hyperlink>
        </w:p>
        <w:p>
          <w:pPr>
            <w:pStyle w:val="Contents4"/>
            <w:tabs>
              <w:tab w:val="clear" w:pos="8176"/>
              <w:tab w:val="right" w:pos="9026" w:leader="dot"/>
            </w:tabs>
            <w:rPr/>
          </w:pPr>
          <w:hyperlink w:anchor="__RefHeading___Toc1014941_1479056682">
            <w:r>
              <w:rPr>
                <w:webHidden/>
                <w:rStyle w:val="IndexLink"/>
                <w:rtl w:val="true"/>
              </w:rPr>
              <w:t>اعتبار استحسان از نظر دانشمندان</w:t>
            </w:r>
            <w:r>
              <w:rPr>
                <w:rStyle w:val="IndexLink"/>
                <w:rtl w:val="true"/>
              </w:rPr>
              <w:tab/>
            </w:r>
            <w:r>
              <w:rPr>
                <w:rStyle w:val="IndexLink"/>
              </w:rPr>
              <w:t>310</w:t>
            </w:r>
          </w:hyperlink>
        </w:p>
        <w:p>
          <w:pPr>
            <w:pStyle w:val="Contents4"/>
            <w:tabs>
              <w:tab w:val="clear" w:pos="8176"/>
              <w:tab w:val="right" w:pos="9026" w:leader="dot"/>
            </w:tabs>
            <w:rPr/>
          </w:pPr>
          <w:hyperlink w:anchor="__RefHeading___Toc1014943_1479056682">
            <w:r>
              <w:rPr>
                <w:webHidden/>
                <w:rStyle w:val="IndexLink"/>
                <w:rtl w:val="true"/>
              </w:rPr>
              <w:t>استحسان از دیدگاه ظاهریه</w:t>
            </w:r>
            <w:r>
              <w:rPr>
                <w:rStyle w:val="IndexLink"/>
                <w:rtl w:val="true"/>
              </w:rPr>
              <w:tab/>
            </w:r>
            <w:r>
              <w:rPr>
                <w:rStyle w:val="IndexLink"/>
              </w:rPr>
              <w:t>314</w:t>
            </w:r>
          </w:hyperlink>
        </w:p>
        <w:p>
          <w:pPr>
            <w:pStyle w:val="Contents4"/>
            <w:tabs>
              <w:tab w:val="clear" w:pos="8176"/>
              <w:tab w:val="right" w:pos="9026" w:leader="dot"/>
            </w:tabs>
            <w:rPr/>
          </w:pPr>
          <w:hyperlink w:anchor="__RefHeading___Toc1014945_1479056682">
            <w:r>
              <w:rPr>
                <w:webHidden/>
                <w:rStyle w:val="IndexLink"/>
                <w:rtl w:val="true"/>
              </w:rPr>
              <w:t>استحسان از دیدگاه شیعه</w:t>
            </w:r>
            <w:r>
              <w:rPr>
                <w:rStyle w:val="IndexLink"/>
                <w:rtl w:val="true"/>
              </w:rPr>
              <w:tab/>
            </w:r>
            <w:r>
              <w:rPr>
                <w:rStyle w:val="IndexLink"/>
              </w:rPr>
              <w:t>315</w:t>
            </w:r>
          </w:hyperlink>
        </w:p>
        <w:p>
          <w:pPr>
            <w:pStyle w:val="Contents4"/>
            <w:tabs>
              <w:tab w:val="clear" w:pos="8176"/>
              <w:tab w:val="right" w:pos="9026" w:leader="dot"/>
            </w:tabs>
            <w:rPr/>
          </w:pPr>
          <w:hyperlink w:anchor="__RefHeading___Toc1014947_1479056682">
            <w:r>
              <w:rPr>
                <w:webHidden/>
                <w:rStyle w:val="IndexLink"/>
                <w:rtl w:val="true"/>
              </w:rPr>
              <w:t>اشکالات حاصل از کاربرد استحسان</w:t>
            </w:r>
            <w:r>
              <w:rPr>
                <w:rStyle w:val="IndexLink"/>
                <w:rtl w:val="true"/>
              </w:rPr>
              <w:tab/>
            </w:r>
            <w:r>
              <w:rPr>
                <w:rStyle w:val="IndexLink"/>
              </w:rPr>
              <w:t>315</w:t>
            </w:r>
          </w:hyperlink>
        </w:p>
        <w:p>
          <w:pPr>
            <w:pStyle w:val="Contents4"/>
            <w:tabs>
              <w:tab w:val="clear" w:pos="8176"/>
              <w:tab w:val="right" w:pos="9026" w:leader="dot"/>
            </w:tabs>
            <w:rPr/>
          </w:pPr>
          <w:hyperlink w:anchor="__RefHeading___Toc1014949_1479056682">
            <w:r>
              <w:rPr>
                <w:webHidden/>
                <w:rStyle w:val="IndexLink"/>
                <w:rtl w:val="true"/>
              </w:rPr>
              <w:t>خلاصه و نتیجه بحث</w:t>
            </w:r>
            <w:r>
              <w:rPr>
                <w:rStyle w:val="IndexLink"/>
                <w:rtl w:val="true"/>
              </w:rPr>
              <w:tab/>
            </w:r>
            <w:r>
              <w:rPr>
                <w:rStyle w:val="IndexLink"/>
              </w:rPr>
              <w:t>317</w:t>
            </w:r>
          </w:hyperlink>
        </w:p>
        <w:p>
          <w:pPr>
            <w:pStyle w:val="Contents3"/>
            <w:tabs>
              <w:tab w:val="clear" w:pos="8459"/>
              <w:tab w:val="right" w:pos="9026" w:leader="dot"/>
            </w:tabs>
            <w:rPr/>
          </w:pPr>
          <w:hyperlink w:anchor="__RefHeading___Toc1014951_1479056682">
            <w:r>
              <w:rPr>
                <w:webHidden/>
                <w:rStyle w:val="IndexLink"/>
                <w:rtl w:val="true"/>
              </w:rPr>
              <w:t>مصالح مرسله</w:t>
            </w:r>
            <w:r>
              <w:rPr>
                <w:rStyle w:val="IndexLink"/>
                <w:rtl w:val="true"/>
              </w:rPr>
              <w:tab/>
            </w:r>
            <w:r>
              <w:rPr>
                <w:rStyle w:val="IndexLink"/>
              </w:rPr>
              <w:t>319</w:t>
            </w:r>
          </w:hyperlink>
        </w:p>
        <w:p>
          <w:pPr>
            <w:pStyle w:val="Contents4"/>
            <w:tabs>
              <w:tab w:val="clear" w:pos="8176"/>
              <w:tab w:val="right" w:pos="9026" w:leader="dot"/>
            </w:tabs>
            <w:rPr/>
          </w:pPr>
          <w:hyperlink w:anchor="__RefHeading___Toc1014953_1479056682">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1014955_1479056682">
            <w:r>
              <w:rPr>
                <w:webHidden/>
                <w:rStyle w:val="IndexLink"/>
                <w:rtl w:val="true"/>
              </w:rPr>
              <w:t xml:space="preserve">الف </w:t>
            </w:r>
            <w:r>
              <w:rPr>
                <w:rStyle w:val="IndexLink"/>
                <w:rtl w:val="true"/>
              </w:rPr>
              <w:t xml:space="preserve">- </w:t>
            </w:r>
            <w:r>
              <w:rPr>
                <w:rStyle w:val="IndexLink"/>
                <w:rtl w:val="true"/>
              </w:rPr>
              <w:t>تبعیّت احکام از مصالح و مفاسد</w:t>
            </w:r>
            <w:r>
              <w:rPr>
                <w:rStyle w:val="IndexLink"/>
                <w:rtl w:val="true"/>
              </w:rPr>
              <w:tab/>
            </w:r>
            <w:r>
              <w:rPr>
                <w:rStyle w:val="IndexLink"/>
              </w:rPr>
              <w:t>319</w:t>
            </w:r>
          </w:hyperlink>
        </w:p>
        <w:p>
          <w:pPr>
            <w:pStyle w:val="Contents5"/>
            <w:tabs>
              <w:tab w:val="clear" w:pos="7892"/>
              <w:tab w:val="right" w:pos="9026" w:leader="dot"/>
            </w:tabs>
            <w:rPr/>
          </w:pPr>
          <w:hyperlink w:anchor="__RefHeading___Toc1014957_1479056682">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1014959_1479056682">
            <w:r>
              <w:rPr>
                <w:webHidden/>
                <w:rStyle w:val="IndexLink"/>
                <w:rtl w:val="true"/>
              </w:rPr>
              <w:t>مصالح و مفاسد احکام در احادیث</w:t>
            </w:r>
            <w:r>
              <w:rPr>
                <w:rStyle w:val="IndexLink"/>
                <w:rtl w:val="true"/>
              </w:rPr>
              <w:tab/>
            </w:r>
            <w:r>
              <w:rPr>
                <w:rStyle w:val="IndexLink"/>
              </w:rPr>
              <w:t>325</w:t>
            </w:r>
          </w:hyperlink>
        </w:p>
        <w:p>
          <w:pPr>
            <w:pStyle w:val="Contents4"/>
            <w:tabs>
              <w:tab w:val="clear" w:pos="8176"/>
              <w:tab w:val="right" w:pos="9026" w:leader="dot"/>
            </w:tabs>
            <w:rPr/>
          </w:pPr>
          <w:hyperlink w:anchor="__RefHeading___Toc1014961_1479056682">
            <w:r>
              <w:rPr>
                <w:webHidden/>
                <w:rStyle w:val="IndexLink"/>
                <w:rtl w:val="true"/>
              </w:rPr>
              <w:t xml:space="preserve">ب </w:t>
            </w:r>
            <w:r>
              <w:rPr>
                <w:rStyle w:val="IndexLink"/>
                <w:rtl w:val="true"/>
              </w:rPr>
              <w:t xml:space="preserve">- </w:t>
            </w:r>
            <w:r>
              <w:rPr>
                <w:rStyle w:val="IndexLink"/>
                <w:rtl w:val="true"/>
              </w:rPr>
              <w:t>تغییر حکم بر اساس تغییر مصلحت</w:t>
            </w:r>
            <w:r>
              <w:rPr>
                <w:rStyle w:val="IndexLink"/>
                <w:rtl w:val="true"/>
              </w:rPr>
              <w:tab/>
            </w:r>
            <w:r>
              <w:rPr>
                <w:rStyle w:val="IndexLink"/>
              </w:rPr>
              <w:t>327</w:t>
            </w:r>
          </w:hyperlink>
        </w:p>
        <w:p>
          <w:pPr>
            <w:pStyle w:val="Contents4"/>
            <w:tabs>
              <w:tab w:val="clear" w:pos="8176"/>
              <w:tab w:val="right" w:pos="9026" w:leader="dot"/>
            </w:tabs>
            <w:rPr/>
          </w:pPr>
          <w:hyperlink w:anchor="__RefHeading___Toc1014963_1479056682">
            <w:r>
              <w:rPr>
                <w:webHidden/>
                <w:rStyle w:val="IndexLink"/>
                <w:rtl w:val="true"/>
              </w:rPr>
              <w:t>مصالح مرسله</w:t>
            </w:r>
            <w:r>
              <w:rPr>
                <w:rStyle w:val="IndexLink"/>
                <w:rtl w:val="true"/>
              </w:rPr>
              <w:tab/>
            </w:r>
            <w:r>
              <w:rPr>
                <w:rStyle w:val="IndexLink"/>
              </w:rPr>
              <w:t>329</w:t>
            </w:r>
          </w:hyperlink>
        </w:p>
        <w:p>
          <w:pPr>
            <w:pStyle w:val="Contents4"/>
            <w:tabs>
              <w:tab w:val="clear" w:pos="8176"/>
              <w:tab w:val="right" w:pos="9026" w:leader="dot"/>
            </w:tabs>
            <w:rPr/>
          </w:pPr>
          <w:hyperlink w:anchor="__RefHeading___Toc1014965_1479056682">
            <w:r>
              <w:rPr>
                <w:webHidden/>
                <w:rStyle w:val="IndexLink"/>
                <w:rtl w:val="true"/>
              </w:rPr>
              <w:t>تعریف مصلحت و اقسام آن</w:t>
            </w:r>
            <w:r>
              <w:rPr>
                <w:rStyle w:val="IndexLink"/>
                <w:rtl w:val="true"/>
              </w:rPr>
              <w:tab/>
            </w:r>
            <w:r>
              <w:rPr>
                <w:rStyle w:val="IndexLink"/>
              </w:rPr>
              <w:t>330</w:t>
            </w:r>
          </w:hyperlink>
        </w:p>
        <w:p>
          <w:pPr>
            <w:pStyle w:val="Contents4"/>
            <w:tabs>
              <w:tab w:val="clear" w:pos="8176"/>
              <w:tab w:val="right" w:pos="9026" w:leader="dot"/>
            </w:tabs>
            <w:rPr/>
          </w:pPr>
          <w:hyperlink w:anchor="__RefHeading___Toc1014967_1479056682">
            <w:r>
              <w:rPr>
                <w:webHidden/>
                <w:rStyle w:val="IndexLink"/>
                <w:rtl w:val="true"/>
              </w:rPr>
              <w:t>تعریف ارسال</w:t>
            </w:r>
            <w:r>
              <w:rPr>
                <w:rStyle w:val="IndexLink"/>
                <w:rtl w:val="true"/>
              </w:rPr>
              <w:tab/>
            </w:r>
            <w:r>
              <w:rPr>
                <w:rStyle w:val="IndexLink"/>
              </w:rPr>
              <w:t>331</w:t>
            </w:r>
          </w:hyperlink>
        </w:p>
        <w:p>
          <w:pPr>
            <w:pStyle w:val="Contents4"/>
            <w:tabs>
              <w:tab w:val="clear" w:pos="8176"/>
              <w:tab w:val="right" w:pos="9026" w:leader="dot"/>
            </w:tabs>
            <w:rPr/>
          </w:pPr>
          <w:hyperlink w:anchor="__RefHeading___Toc1014969_1479056682">
            <w:r>
              <w:rPr>
                <w:webHidden/>
                <w:rStyle w:val="IndexLink"/>
                <w:rtl w:val="true"/>
              </w:rPr>
              <w:t>تعریف مصالح مرسله</w:t>
            </w:r>
            <w:r>
              <w:rPr>
                <w:rStyle w:val="IndexLink"/>
                <w:rtl w:val="true"/>
              </w:rPr>
              <w:tab/>
            </w:r>
            <w:r>
              <w:rPr>
                <w:rStyle w:val="IndexLink"/>
              </w:rPr>
              <w:t>332</w:t>
            </w:r>
          </w:hyperlink>
        </w:p>
        <w:p>
          <w:pPr>
            <w:pStyle w:val="Contents4"/>
            <w:tabs>
              <w:tab w:val="clear" w:pos="8176"/>
              <w:tab w:val="right" w:pos="9026" w:leader="dot"/>
            </w:tabs>
            <w:rPr/>
          </w:pPr>
          <w:hyperlink w:anchor="__RefHeading___Toc1014971_1479056682">
            <w:r>
              <w:rPr>
                <w:webHidden/>
                <w:rStyle w:val="IndexLink"/>
                <w:rtl w:val="true"/>
              </w:rPr>
              <w:t>انواع مصالح و مفاسد</w:t>
            </w:r>
            <w:r>
              <w:rPr>
                <w:rStyle w:val="IndexLink"/>
                <w:rtl w:val="true"/>
              </w:rPr>
              <w:tab/>
            </w:r>
            <w:r>
              <w:rPr>
                <w:rStyle w:val="IndexLink"/>
              </w:rPr>
              <w:t>334</w:t>
            </w:r>
          </w:hyperlink>
        </w:p>
        <w:p>
          <w:pPr>
            <w:pStyle w:val="Contents4"/>
            <w:tabs>
              <w:tab w:val="clear" w:pos="8176"/>
              <w:tab w:val="right" w:pos="9026" w:leader="dot"/>
            </w:tabs>
            <w:rPr/>
          </w:pPr>
          <w:hyperlink w:anchor="__RefHeading___Toc1014973_1479056682">
            <w:r>
              <w:rPr>
                <w:webHidden/>
                <w:rStyle w:val="IndexLink"/>
                <w:rtl w:val="true"/>
              </w:rPr>
              <w:t>اقسام مصلحت</w:t>
            </w:r>
            <w:r>
              <w:rPr>
                <w:rStyle w:val="IndexLink"/>
                <w:rtl w:val="true"/>
              </w:rPr>
              <w:tab/>
            </w:r>
            <w:r>
              <w:rPr>
                <w:rStyle w:val="IndexLink"/>
              </w:rPr>
              <w:t>336</w:t>
            </w:r>
          </w:hyperlink>
        </w:p>
        <w:p>
          <w:pPr>
            <w:pStyle w:val="Contents4"/>
            <w:tabs>
              <w:tab w:val="clear" w:pos="8176"/>
              <w:tab w:val="right" w:pos="9026" w:leader="dot"/>
            </w:tabs>
            <w:rPr/>
          </w:pPr>
          <w:hyperlink w:anchor="__RefHeading___Toc1014975_1479056682">
            <w:r>
              <w:rPr>
                <w:webHidden/>
                <w:rStyle w:val="IndexLink"/>
                <w:rtl w:val="true"/>
              </w:rPr>
              <w:t>شرایط عمل به مصالح مرسله</w:t>
            </w:r>
            <w:r>
              <w:rPr>
                <w:rStyle w:val="IndexLink"/>
                <w:rtl w:val="true"/>
              </w:rPr>
              <w:tab/>
            </w:r>
            <w:r>
              <w:rPr>
                <w:rStyle w:val="IndexLink"/>
              </w:rPr>
              <w:t>338</w:t>
            </w:r>
          </w:hyperlink>
        </w:p>
        <w:p>
          <w:pPr>
            <w:pStyle w:val="Contents4"/>
            <w:tabs>
              <w:tab w:val="clear" w:pos="8176"/>
              <w:tab w:val="right" w:pos="9026" w:leader="dot"/>
            </w:tabs>
            <w:rPr/>
          </w:pPr>
          <w:hyperlink w:anchor="__RefHeading___Toc1014977_1479056682">
            <w:r>
              <w:rPr>
                <w:webHidden/>
                <w:rStyle w:val="IndexLink"/>
                <w:rtl w:val="true"/>
              </w:rPr>
              <w:t>پیشینه تاریخی عمل به مصالح مرسله</w:t>
            </w:r>
            <w:r>
              <w:rPr>
                <w:rStyle w:val="IndexLink"/>
                <w:rtl w:val="true"/>
              </w:rPr>
              <w:tab/>
            </w:r>
            <w:r>
              <w:rPr>
                <w:rStyle w:val="IndexLink"/>
              </w:rPr>
              <w:t>340</w:t>
            </w:r>
          </w:hyperlink>
        </w:p>
        <w:p>
          <w:pPr>
            <w:pStyle w:val="Contents4"/>
            <w:tabs>
              <w:tab w:val="clear" w:pos="8176"/>
              <w:tab w:val="right" w:pos="9026" w:leader="dot"/>
            </w:tabs>
            <w:rPr/>
          </w:pPr>
          <w:hyperlink w:anchor="__RefHeading___Toc1014979_1479056682">
            <w:r>
              <w:rPr>
                <w:webHidden/>
                <w:rStyle w:val="IndexLink"/>
                <w:rtl w:val="true"/>
              </w:rPr>
              <w:t>اختلاف فقها در حجّیّت مصالح مرسله</w:t>
            </w:r>
            <w:r>
              <w:rPr>
                <w:rStyle w:val="IndexLink"/>
                <w:rtl w:val="true"/>
              </w:rPr>
              <w:tab/>
            </w:r>
            <w:r>
              <w:rPr>
                <w:rStyle w:val="IndexLink"/>
              </w:rPr>
              <w:t>345</w:t>
            </w:r>
          </w:hyperlink>
        </w:p>
        <w:p>
          <w:pPr>
            <w:pStyle w:val="Contents4"/>
            <w:tabs>
              <w:tab w:val="clear" w:pos="8176"/>
              <w:tab w:val="right" w:pos="9026" w:leader="dot"/>
            </w:tabs>
            <w:rPr/>
          </w:pPr>
          <w:hyperlink w:anchor="__RefHeading___Toc1014981_1479056682">
            <w:r>
              <w:rPr>
                <w:webHidden/>
                <w:rStyle w:val="IndexLink"/>
                <w:rtl w:val="true"/>
              </w:rPr>
              <w:t>فرق بین مصالح مرسله و استحسان</w:t>
            </w:r>
            <w:r>
              <w:rPr>
                <w:rStyle w:val="IndexLink"/>
                <w:rtl w:val="true"/>
              </w:rPr>
              <w:tab/>
            </w:r>
            <w:r>
              <w:rPr>
                <w:rStyle w:val="IndexLink"/>
              </w:rPr>
              <w:t>348</w:t>
            </w:r>
          </w:hyperlink>
        </w:p>
        <w:p>
          <w:pPr>
            <w:pStyle w:val="Contents4"/>
            <w:tabs>
              <w:tab w:val="clear" w:pos="8176"/>
              <w:tab w:val="right" w:pos="9026" w:leader="dot"/>
            </w:tabs>
            <w:rPr/>
          </w:pPr>
          <w:hyperlink w:anchor="__RefHeading___Toc1014983_1479056682">
            <w:r>
              <w:rPr>
                <w:webHidden/>
                <w:rStyle w:val="IndexLink"/>
                <w:rtl w:val="true"/>
              </w:rPr>
              <w:t>اشکالات حاصل از کاربرد مصالح مرسله</w:t>
            </w:r>
            <w:r>
              <w:rPr>
                <w:rStyle w:val="IndexLink"/>
                <w:rtl w:val="true"/>
              </w:rPr>
              <w:tab/>
            </w:r>
            <w:r>
              <w:rPr>
                <w:rStyle w:val="IndexLink"/>
              </w:rPr>
              <w:t>349</w:t>
            </w:r>
          </w:hyperlink>
        </w:p>
        <w:p>
          <w:pPr>
            <w:pStyle w:val="Contents4"/>
            <w:tabs>
              <w:tab w:val="clear" w:pos="8176"/>
              <w:tab w:val="right" w:pos="9026" w:leader="dot"/>
            </w:tabs>
            <w:rPr/>
          </w:pPr>
          <w:hyperlink w:anchor="__RefHeading___Toc1014985_1479056682">
            <w:r>
              <w:rPr>
                <w:webHidden/>
                <w:rStyle w:val="IndexLink"/>
                <w:rtl w:val="true"/>
              </w:rPr>
              <w:t>جایگاه مصلحت در فقه شیعه</w:t>
            </w:r>
            <w:r>
              <w:rPr>
                <w:rStyle w:val="IndexLink"/>
                <w:rtl w:val="true"/>
              </w:rPr>
              <w:tab/>
            </w:r>
            <w:r>
              <w:rPr>
                <w:rStyle w:val="IndexLink"/>
              </w:rPr>
              <w:t>351</w:t>
            </w:r>
          </w:hyperlink>
        </w:p>
        <w:p>
          <w:pPr>
            <w:pStyle w:val="Contents4"/>
            <w:tabs>
              <w:tab w:val="clear" w:pos="8176"/>
              <w:tab w:val="right" w:pos="9026" w:leader="dot"/>
            </w:tabs>
            <w:rPr/>
          </w:pPr>
          <w:hyperlink w:anchor="__RefHeading___Toc1014987_1479056682">
            <w:r>
              <w:rPr>
                <w:webHidden/>
                <w:rStyle w:val="IndexLink"/>
                <w:rtl w:val="true"/>
              </w:rPr>
              <w:t xml:space="preserve">مجمع تشخیص مصلحت نظام در مقایسه با </w:t>
            </w:r>
            <w:r>
              <w:rPr>
                <w:rStyle w:val="IndexLink"/>
                <w:rtl w:val="true"/>
              </w:rPr>
              <w:t>«</w:t>
            </w:r>
            <w:r>
              <w:rPr>
                <w:rStyle w:val="IndexLink"/>
                <w:rtl w:val="true"/>
              </w:rPr>
              <w:t xml:space="preserve">مصالح مرسله </w:t>
            </w:r>
            <w:r>
              <w:rPr>
                <w:rStyle w:val="IndexLink"/>
                <w:rtl w:val="true"/>
              </w:rPr>
              <w:t>»</w:t>
              <w:tab/>
            </w:r>
            <w:r>
              <w:rPr>
                <w:rStyle w:val="IndexLink"/>
              </w:rPr>
              <w:t>356</w:t>
            </w:r>
          </w:hyperlink>
        </w:p>
        <w:p>
          <w:pPr>
            <w:pStyle w:val="Contents4"/>
            <w:tabs>
              <w:tab w:val="clear" w:pos="8176"/>
              <w:tab w:val="right" w:pos="9026" w:leader="dot"/>
            </w:tabs>
            <w:rPr/>
          </w:pPr>
          <w:hyperlink w:anchor="__RefHeading___Toc1014989_1479056682">
            <w:r>
              <w:rPr>
                <w:webHidden/>
                <w:rStyle w:val="IndexLink"/>
                <w:rtl w:val="true"/>
              </w:rPr>
              <w:t>اهمّیّت مصلحت در اسلام و مهمترین مصلحت</w:t>
            </w:r>
            <w:r>
              <w:rPr>
                <w:rStyle w:val="IndexLink"/>
                <w:rtl w:val="true"/>
              </w:rPr>
              <w:tab/>
            </w:r>
            <w:r>
              <w:rPr>
                <w:rStyle w:val="IndexLink"/>
              </w:rPr>
              <w:t>358</w:t>
            </w:r>
          </w:hyperlink>
        </w:p>
        <w:p>
          <w:pPr>
            <w:pStyle w:val="Contents4"/>
            <w:tabs>
              <w:tab w:val="clear" w:pos="8176"/>
              <w:tab w:val="right" w:pos="9026" w:leader="dot"/>
            </w:tabs>
            <w:rPr/>
          </w:pPr>
          <w:hyperlink w:anchor="__RefHeading___Toc1014991_1479056682">
            <w:r>
              <w:rPr>
                <w:webHidden/>
                <w:rStyle w:val="IndexLink"/>
                <w:rtl w:val="true"/>
              </w:rPr>
              <w:t>ولایت فقیه و مصلحت</w:t>
            </w:r>
            <w:r>
              <w:rPr>
                <w:rStyle w:val="IndexLink"/>
                <w:rtl w:val="true"/>
              </w:rPr>
              <w:tab/>
            </w:r>
            <w:r>
              <w:rPr>
                <w:rStyle w:val="IndexLink"/>
              </w:rPr>
              <w:t>358</w:t>
            </w:r>
          </w:hyperlink>
        </w:p>
        <w:p>
          <w:pPr>
            <w:pStyle w:val="Contents3"/>
            <w:tabs>
              <w:tab w:val="clear" w:pos="8459"/>
              <w:tab w:val="right" w:pos="9026" w:leader="dot"/>
            </w:tabs>
            <w:rPr/>
          </w:pPr>
          <w:hyperlink w:anchor="__RefHeading___Toc1014993_1479056682">
            <w:r>
              <w:rPr>
                <w:webHidden/>
                <w:rStyle w:val="IndexLink"/>
                <w:rtl w:val="true"/>
              </w:rPr>
              <w:t>حکم حکومتی</w:t>
            </w:r>
            <w:r>
              <w:rPr>
                <w:rStyle w:val="IndexLink"/>
                <w:rtl w:val="true"/>
              </w:rPr>
              <w:tab/>
            </w:r>
            <w:r>
              <w:rPr>
                <w:rStyle w:val="IndexLink"/>
              </w:rPr>
              <w:t>361</w:t>
            </w:r>
          </w:hyperlink>
        </w:p>
        <w:p>
          <w:pPr>
            <w:pStyle w:val="Contents4"/>
            <w:tabs>
              <w:tab w:val="clear" w:pos="8176"/>
              <w:tab w:val="right" w:pos="9026" w:leader="dot"/>
            </w:tabs>
            <w:rPr/>
          </w:pPr>
          <w:hyperlink w:anchor="__RefHeading___Toc1014995_1479056682">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1014997_1479056682">
            <w:r>
              <w:rPr>
                <w:webHidden/>
                <w:rStyle w:val="IndexLink"/>
                <w:rtl w:val="true"/>
              </w:rPr>
              <w:t>تفاوت احکام حکومتی با احکام اوّلی</w:t>
            </w:r>
            <w:r>
              <w:rPr>
                <w:rStyle w:val="IndexLink"/>
                <w:rtl w:val="true"/>
              </w:rPr>
              <w:tab/>
            </w:r>
            <w:r>
              <w:rPr>
                <w:rStyle w:val="IndexLink"/>
              </w:rPr>
              <w:t>362</w:t>
            </w:r>
          </w:hyperlink>
        </w:p>
        <w:p>
          <w:pPr>
            <w:pStyle w:val="Contents4"/>
            <w:tabs>
              <w:tab w:val="clear" w:pos="8176"/>
              <w:tab w:val="right" w:pos="9026" w:leader="dot"/>
            </w:tabs>
            <w:rPr/>
          </w:pPr>
          <w:hyperlink w:anchor="__RefHeading___Toc1014999_1479056682">
            <w:r>
              <w:rPr>
                <w:webHidden/>
                <w:rStyle w:val="IndexLink"/>
                <w:rtl w:val="true"/>
              </w:rPr>
              <w:t>مرجع تشخیص مصلحت</w:t>
            </w:r>
            <w:r>
              <w:rPr>
                <w:rStyle w:val="IndexLink"/>
                <w:rtl w:val="true"/>
              </w:rPr>
              <w:tab/>
            </w:r>
            <w:r>
              <w:rPr>
                <w:rStyle w:val="IndexLink"/>
              </w:rPr>
              <w:t>363</w:t>
            </w:r>
          </w:hyperlink>
        </w:p>
        <w:p>
          <w:pPr>
            <w:pStyle w:val="Contents4"/>
            <w:tabs>
              <w:tab w:val="clear" w:pos="8176"/>
              <w:tab w:val="right" w:pos="9026" w:leader="dot"/>
            </w:tabs>
            <w:rPr/>
          </w:pPr>
          <w:hyperlink w:anchor="__RefHeading___Toc1015001_1479056682">
            <w:r>
              <w:rPr>
                <w:webHidden/>
                <w:rStyle w:val="IndexLink"/>
                <w:rtl w:val="true"/>
              </w:rPr>
              <w:t>ضوابط تشخیص مصالح</w:t>
            </w:r>
            <w:r>
              <w:rPr>
                <w:rStyle w:val="IndexLink"/>
                <w:rtl w:val="true"/>
              </w:rPr>
              <w:tab/>
            </w:r>
            <w:r>
              <w:rPr>
                <w:rStyle w:val="IndexLink"/>
              </w:rPr>
              <w:t>364</w:t>
            </w:r>
          </w:hyperlink>
        </w:p>
        <w:p>
          <w:pPr>
            <w:pStyle w:val="Contents4"/>
            <w:tabs>
              <w:tab w:val="clear" w:pos="8176"/>
              <w:tab w:val="right" w:pos="9026" w:leader="dot"/>
            </w:tabs>
            <w:rPr/>
          </w:pPr>
          <w:hyperlink w:anchor="__RefHeading___Toc1015003_1479056682">
            <w:r>
              <w:rPr>
                <w:webHidden/>
                <w:rStyle w:val="IndexLink"/>
                <w:rtl w:val="true"/>
              </w:rPr>
              <w:t>دایره نفوذ حکم حکومتی</w:t>
            </w:r>
            <w:r>
              <w:rPr>
                <w:rStyle w:val="IndexLink"/>
                <w:rtl w:val="true"/>
              </w:rPr>
              <w:tab/>
            </w:r>
            <w:r>
              <w:rPr>
                <w:rStyle w:val="IndexLink"/>
              </w:rPr>
              <w:t>366</w:t>
            </w:r>
          </w:hyperlink>
        </w:p>
        <w:p>
          <w:pPr>
            <w:pStyle w:val="Contents4"/>
            <w:tabs>
              <w:tab w:val="clear" w:pos="8176"/>
              <w:tab w:val="right" w:pos="9026" w:leader="dot"/>
            </w:tabs>
            <w:rPr/>
          </w:pPr>
          <w:hyperlink w:anchor="__RefHeading___Toc1015005_1479056682">
            <w:r>
              <w:rPr>
                <w:webHidden/>
                <w:rStyle w:val="IndexLink"/>
                <w:rtl w:val="true"/>
              </w:rPr>
              <w:t>چند نمونه از احکام حکومتی</w:t>
            </w:r>
            <w:r>
              <w:rPr>
                <w:rStyle w:val="IndexLink"/>
                <w:rtl w:val="true"/>
              </w:rPr>
              <w:tab/>
            </w:r>
            <w:r>
              <w:rPr>
                <w:rStyle w:val="IndexLink"/>
              </w:rPr>
              <w:t>369</w:t>
            </w:r>
          </w:hyperlink>
        </w:p>
        <w:p>
          <w:pPr>
            <w:pStyle w:val="Contents5"/>
            <w:tabs>
              <w:tab w:val="clear" w:pos="7892"/>
              <w:tab w:val="right" w:pos="9026" w:leader="dot"/>
            </w:tabs>
            <w:rPr/>
          </w:pPr>
          <w:hyperlink w:anchor="__RefHeading___Toc1015007_1479056682">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1015009_1479056682">
            <w:r>
              <w:rPr>
                <w:webHidden/>
                <w:rStyle w:val="IndexLink"/>
                <w:rtl w:val="true"/>
              </w:rPr>
              <w:t xml:space="preserve">الف </w:t>
            </w:r>
            <w:r>
              <w:rPr>
                <w:rStyle w:val="IndexLink"/>
                <w:rtl w:val="true"/>
              </w:rPr>
              <w:t xml:space="preserve">- </w:t>
            </w:r>
            <w:r>
              <w:rPr>
                <w:rStyle w:val="IndexLink"/>
                <w:rtl w:val="true"/>
              </w:rPr>
              <w:t>نمونه احکام حکومتی در کلام معصومین علیهم‌السلام</w:t>
            </w:r>
            <w:r>
              <w:rPr>
                <w:rStyle w:val="IndexLink"/>
                <w:rtl w:val="true"/>
              </w:rPr>
              <w:tab/>
            </w:r>
            <w:r>
              <w:rPr>
                <w:rStyle w:val="IndexLink"/>
              </w:rPr>
              <w:t>369</w:t>
            </w:r>
          </w:hyperlink>
        </w:p>
        <w:p>
          <w:pPr>
            <w:pStyle w:val="Contents5"/>
            <w:tabs>
              <w:tab w:val="clear" w:pos="7892"/>
              <w:tab w:val="right" w:pos="9026" w:leader="dot"/>
            </w:tabs>
            <w:rPr/>
          </w:pPr>
          <w:hyperlink w:anchor="__RefHeading___Toc1015011_1479056682">
            <w:r>
              <w:rPr>
                <w:webHidden/>
                <w:rStyle w:val="IndexLink"/>
                <w:rtl w:val="true"/>
              </w:rPr>
              <w:t xml:space="preserve">ب </w:t>
            </w:r>
            <w:r>
              <w:rPr>
                <w:rStyle w:val="IndexLink"/>
                <w:rtl w:val="true"/>
              </w:rPr>
              <w:t xml:space="preserve">- </w:t>
            </w:r>
            <w:r>
              <w:rPr>
                <w:rStyle w:val="IndexLink"/>
                <w:rtl w:val="true"/>
              </w:rPr>
              <w:t>نمونه احکام حکومتی در کلام فقها</w:t>
            </w:r>
            <w:r>
              <w:rPr>
                <w:rStyle w:val="IndexLink"/>
                <w:rtl w:val="true"/>
              </w:rPr>
              <w:tab/>
            </w:r>
            <w:r>
              <w:rPr>
                <w:rStyle w:val="IndexLink"/>
              </w:rPr>
              <w:t>371</w:t>
            </w:r>
          </w:hyperlink>
        </w:p>
        <w:p>
          <w:pPr>
            <w:pStyle w:val="Contents3"/>
            <w:tabs>
              <w:tab w:val="clear" w:pos="8459"/>
              <w:tab w:val="right" w:pos="9026" w:leader="dot"/>
            </w:tabs>
            <w:rPr/>
          </w:pPr>
          <w:hyperlink w:anchor="__RefHeading___Toc1015013_1479056682">
            <w:r>
              <w:rPr>
                <w:webHidden/>
                <w:rStyle w:val="IndexLink"/>
                <w:rtl w:val="true"/>
              </w:rPr>
              <w:t>سدّ ذرایع</w:t>
            </w:r>
            <w:r>
              <w:rPr>
                <w:rStyle w:val="IndexLink"/>
                <w:rtl w:val="true"/>
              </w:rPr>
              <w:tab/>
            </w:r>
            <w:r>
              <w:rPr>
                <w:rStyle w:val="IndexLink"/>
              </w:rPr>
              <w:t>378</w:t>
            </w:r>
          </w:hyperlink>
        </w:p>
        <w:p>
          <w:pPr>
            <w:pStyle w:val="Contents4"/>
            <w:tabs>
              <w:tab w:val="clear" w:pos="8176"/>
              <w:tab w:val="right" w:pos="9026" w:leader="dot"/>
            </w:tabs>
            <w:rPr/>
          </w:pPr>
          <w:hyperlink w:anchor="__RefHeading___Toc1015015_1479056682">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1015017_1479056682">
            <w:r>
              <w:rPr>
                <w:webHidden/>
                <w:rStyle w:val="IndexLink"/>
                <w:rtl w:val="true"/>
              </w:rPr>
              <w:t>تعریف ذریعه</w:t>
            </w:r>
            <w:r>
              <w:rPr>
                <w:rStyle w:val="IndexLink"/>
                <w:rtl w:val="true"/>
              </w:rPr>
              <w:tab/>
            </w:r>
            <w:r>
              <w:rPr>
                <w:rStyle w:val="IndexLink"/>
              </w:rPr>
              <w:t>379</w:t>
            </w:r>
          </w:hyperlink>
        </w:p>
        <w:p>
          <w:pPr>
            <w:pStyle w:val="Contents4"/>
            <w:tabs>
              <w:tab w:val="clear" w:pos="8176"/>
              <w:tab w:val="right" w:pos="9026" w:leader="dot"/>
            </w:tabs>
            <w:rPr/>
          </w:pPr>
          <w:hyperlink w:anchor="__RefHeading___Toc1015019_1479056682">
            <w:r>
              <w:rPr>
                <w:webHidden/>
                <w:rStyle w:val="IndexLink"/>
                <w:rtl w:val="true"/>
              </w:rPr>
              <w:t>اقسام ذرایع و حکم آنها</w:t>
            </w:r>
            <w:r>
              <w:rPr>
                <w:rStyle w:val="IndexLink"/>
                <w:rtl w:val="true"/>
              </w:rPr>
              <w:tab/>
            </w:r>
            <w:r>
              <w:rPr>
                <w:rStyle w:val="IndexLink"/>
              </w:rPr>
              <w:t>380</w:t>
            </w:r>
          </w:hyperlink>
        </w:p>
        <w:p>
          <w:pPr>
            <w:pStyle w:val="Contents4"/>
            <w:tabs>
              <w:tab w:val="clear" w:pos="8176"/>
              <w:tab w:val="right" w:pos="9026" w:leader="dot"/>
            </w:tabs>
            <w:rPr/>
          </w:pPr>
          <w:hyperlink w:anchor="__RefHeading___Toc1015021_1479056682">
            <w:r>
              <w:rPr>
                <w:webHidden/>
                <w:rStyle w:val="IndexLink"/>
                <w:rtl w:val="true"/>
              </w:rPr>
              <w:t>حکم ذرایع</w:t>
            </w:r>
            <w:r>
              <w:rPr>
                <w:rStyle w:val="IndexLink"/>
                <w:rtl w:val="true"/>
              </w:rPr>
              <w:tab/>
            </w:r>
            <w:r>
              <w:rPr>
                <w:rStyle w:val="IndexLink"/>
              </w:rPr>
              <w:t>382</w:t>
            </w:r>
          </w:hyperlink>
        </w:p>
        <w:p>
          <w:pPr>
            <w:pStyle w:val="Contents5"/>
            <w:tabs>
              <w:tab w:val="clear" w:pos="7892"/>
              <w:tab w:val="right" w:pos="9026" w:leader="dot"/>
            </w:tabs>
            <w:rPr/>
          </w:pPr>
          <w:hyperlink w:anchor="__RefHeading___Toc1015023_1479056682">
            <w:r>
              <w:rPr>
                <w:webHidden/>
                <w:rStyle w:val="IndexLink"/>
                <w:rtl w:val="true"/>
              </w:rPr>
              <w:t>اشاره</w:t>
            </w:r>
            <w:r>
              <w:rPr>
                <w:rStyle w:val="IndexLink"/>
                <w:rtl w:val="true"/>
              </w:rPr>
              <w:tab/>
            </w:r>
            <w:r>
              <w:rPr>
                <w:rStyle w:val="IndexLink"/>
              </w:rPr>
              <w:t>382</w:t>
            </w:r>
          </w:hyperlink>
        </w:p>
        <w:p>
          <w:pPr>
            <w:pStyle w:val="Contents5"/>
            <w:tabs>
              <w:tab w:val="clear" w:pos="7892"/>
              <w:tab w:val="right" w:pos="9026" w:leader="dot"/>
            </w:tabs>
            <w:rPr/>
          </w:pPr>
          <w:hyperlink w:anchor="__RefHeading___Toc1015025_1479056682">
            <w:r>
              <w:rPr>
                <w:webHidden/>
                <w:rStyle w:val="IndexLink"/>
              </w:rPr>
              <w:t>1</w:t>
            </w:r>
            <w:r>
              <w:rPr>
                <w:rStyle w:val="IndexLink"/>
                <w:rtl w:val="true"/>
              </w:rPr>
              <w:t xml:space="preserve"> - </w:t>
            </w:r>
            <w:r>
              <w:rPr>
                <w:rStyle w:val="IndexLink"/>
                <w:rtl w:val="true"/>
              </w:rPr>
              <w:t>دیدگاه اوّل</w:t>
            </w:r>
            <w:r>
              <w:rPr>
                <w:rStyle w:val="IndexLink"/>
                <w:rtl w:val="true"/>
              </w:rPr>
              <w:tab/>
            </w:r>
            <w:r>
              <w:rPr>
                <w:rStyle w:val="IndexLink"/>
              </w:rPr>
              <w:t>382</w:t>
            </w:r>
          </w:hyperlink>
        </w:p>
        <w:p>
          <w:pPr>
            <w:pStyle w:val="Contents5"/>
            <w:tabs>
              <w:tab w:val="clear" w:pos="7892"/>
              <w:tab w:val="right" w:pos="9026" w:leader="dot"/>
            </w:tabs>
            <w:rPr/>
          </w:pPr>
          <w:hyperlink w:anchor="__RefHeading___Toc1015027_1479056682">
            <w:r>
              <w:rPr>
                <w:webHidden/>
                <w:rStyle w:val="IndexLink"/>
              </w:rPr>
              <w:t>2</w:t>
            </w:r>
            <w:r>
              <w:rPr>
                <w:rStyle w:val="IndexLink"/>
                <w:rtl w:val="true"/>
              </w:rPr>
              <w:t xml:space="preserve"> - </w:t>
            </w:r>
            <w:r>
              <w:rPr>
                <w:rStyle w:val="IndexLink"/>
                <w:rtl w:val="true"/>
              </w:rPr>
              <w:t>دیدگاه دوم</w:t>
            </w:r>
            <w:r>
              <w:rPr>
                <w:rStyle w:val="IndexLink"/>
                <w:rtl w:val="true"/>
              </w:rPr>
              <w:tab/>
            </w:r>
            <w:r>
              <w:rPr>
                <w:rStyle w:val="IndexLink"/>
              </w:rPr>
              <w:t>386</w:t>
            </w:r>
          </w:hyperlink>
        </w:p>
        <w:p>
          <w:pPr>
            <w:pStyle w:val="Contents4"/>
            <w:tabs>
              <w:tab w:val="clear" w:pos="8176"/>
              <w:tab w:val="right" w:pos="9026" w:leader="dot"/>
            </w:tabs>
            <w:rPr/>
          </w:pPr>
          <w:hyperlink w:anchor="__RefHeading___Toc1015029_1479056682">
            <w:r>
              <w:rPr>
                <w:webHidden/>
                <w:rStyle w:val="IndexLink"/>
                <w:rtl w:val="true"/>
              </w:rPr>
              <w:t>نمونه‌ای از عمل به سدّ ذرایع در میان صحابه</w:t>
            </w:r>
            <w:r>
              <w:rPr>
                <w:rStyle w:val="IndexLink"/>
                <w:rtl w:val="true"/>
              </w:rPr>
              <w:tab/>
            </w:r>
            <w:r>
              <w:rPr>
                <w:rStyle w:val="IndexLink"/>
              </w:rPr>
              <w:t>387</w:t>
            </w:r>
          </w:hyperlink>
        </w:p>
        <w:p>
          <w:pPr>
            <w:pStyle w:val="Contents4"/>
            <w:tabs>
              <w:tab w:val="clear" w:pos="8176"/>
              <w:tab w:val="right" w:pos="9026" w:leader="dot"/>
            </w:tabs>
            <w:rPr/>
          </w:pPr>
          <w:hyperlink w:anchor="__RefHeading___Toc1015031_1479056682">
            <w:r>
              <w:rPr>
                <w:webHidden/>
                <w:rStyle w:val="IndexLink"/>
                <w:rtl w:val="true"/>
              </w:rPr>
              <w:t>ادلّه حجّیّت سدّ ذرایع</w:t>
            </w:r>
            <w:r>
              <w:rPr>
                <w:rStyle w:val="IndexLink"/>
                <w:rtl w:val="true"/>
              </w:rPr>
              <w:tab/>
            </w:r>
            <w:r>
              <w:rPr>
                <w:rStyle w:val="IndexLink"/>
              </w:rPr>
              <w:t>389</w:t>
            </w:r>
          </w:hyperlink>
        </w:p>
        <w:p>
          <w:pPr>
            <w:pStyle w:val="Contents4"/>
            <w:tabs>
              <w:tab w:val="clear" w:pos="8176"/>
              <w:tab w:val="right" w:pos="9026" w:leader="dot"/>
            </w:tabs>
            <w:rPr/>
          </w:pPr>
          <w:hyperlink w:anchor="__RefHeading___Toc1015033_1479056682">
            <w:r>
              <w:rPr>
                <w:webHidden/>
                <w:rStyle w:val="IndexLink"/>
                <w:rtl w:val="true"/>
              </w:rPr>
              <w:t>خاتمه</w:t>
            </w:r>
            <w:r>
              <w:rPr>
                <w:rStyle w:val="IndexLink"/>
                <w:rtl w:val="true"/>
              </w:rPr>
              <w:tab/>
            </w:r>
            <w:r>
              <w:rPr>
                <w:rStyle w:val="IndexLink"/>
              </w:rPr>
              <w:t>391</w:t>
            </w:r>
          </w:hyperlink>
        </w:p>
        <w:p>
          <w:pPr>
            <w:pStyle w:val="Contents2"/>
            <w:tabs>
              <w:tab w:val="clear" w:pos="8743"/>
              <w:tab w:val="right" w:pos="9026" w:leader="dot"/>
            </w:tabs>
            <w:rPr/>
          </w:pPr>
          <w:hyperlink w:anchor="__RefHeading___Toc1015035_1479056682">
            <w:r>
              <w:rPr>
                <w:webHidden/>
                <w:rStyle w:val="IndexLink"/>
                <w:rtl w:val="true"/>
              </w:rPr>
              <w:t>مصادر و منابع تحقیق</w:t>
            </w:r>
            <w:r>
              <w:rPr>
                <w:rStyle w:val="IndexLink"/>
                <w:rtl w:val="true"/>
              </w:rPr>
              <w:tab/>
            </w:r>
            <w:r>
              <w:rPr>
                <w:rStyle w:val="IndexLink"/>
              </w:rPr>
              <w:t>394</w:t>
            </w:r>
          </w:hyperlink>
        </w:p>
        <w:p>
          <w:pPr>
            <w:pStyle w:val="Contents2"/>
            <w:tabs>
              <w:tab w:val="clear" w:pos="8743"/>
              <w:tab w:val="right" w:pos="9026" w:leader="dot"/>
            </w:tabs>
            <w:rPr/>
          </w:pPr>
          <w:hyperlink w:anchor="__RefHeading___Toc1015037_1479056682">
            <w:r>
              <w:rPr>
                <w:webHidden/>
                <w:rStyle w:val="IndexLink"/>
                <w:rtl w:val="true"/>
              </w:rPr>
              <w:t>نمایه</w:t>
            </w:r>
            <w:r>
              <w:rPr>
                <w:rStyle w:val="IndexLink"/>
                <w:rtl w:val="true"/>
              </w:rPr>
              <w:tab/>
            </w:r>
            <w:r>
              <w:rPr>
                <w:rStyle w:val="IndexLink"/>
              </w:rPr>
              <w:t>400</w:t>
            </w:r>
          </w:hyperlink>
        </w:p>
        <w:p>
          <w:pPr>
            <w:pStyle w:val="Contents3"/>
            <w:tabs>
              <w:tab w:val="clear" w:pos="8459"/>
              <w:tab w:val="right" w:pos="9026" w:leader="dot"/>
            </w:tabs>
            <w:rPr/>
          </w:pPr>
          <w:hyperlink w:anchor="__RefHeading___Toc1015039_1479056682">
            <w:r>
              <w:rPr>
                <w:webHidden/>
                <w:rStyle w:val="IndexLink"/>
                <w:rtl w:val="true"/>
              </w:rPr>
              <w:t>آیات قرآنی</w:t>
            </w:r>
            <w:r>
              <w:rPr>
                <w:rStyle w:val="IndexLink"/>
                <w:rtl w:val="true"/>
              </w:rPr>
              <w:tab/>
            </w:r>
            <w:r>
              <w:rPr>
                <w:rStyle w:val="IndexLink"/>
              </w:rPr>
              <w:t>400</w:t>
            </w:r>
          </w:hyperlink>
        </w:p>
        <w:p>
          <w:pPr>
            <w:pStyle w:val="Contents3"/>
            <w:tabs>
              <w:tab w:val="clear" w:pos="8459"/>
              <w:tab w:val="right" w:pos="9026" w:leader="dot"/>
            </w:tabs>
            <w:rPr/>
          </w:pPr>
          <w:hyperlink w:anchor="__RefHeading___Toc1015041_1479056682">
            <w:r>
              <w:rPr>
                <w:webHidden/>
                <w:rStyle w:val="IndexLink"/>
                <w:rtl w:val="true"/>
              </w:rPr>
              <w:t>احادیث</w:t>
            </w:r>
            <w:r>
              <w:rPr>
                <w:rStyle w:val="IndexLink"/>
                <w:rtl w:val="true"/>
              </w:rPr>
              <w:tab/>
            </w:r>
            <w:r>
              <w:rPr>
                <w:rStyle w:val="IndexLink"/>
              </w:rPr>
              <w:t>403</w:t>
            </w:r>
          </w:hyperlink>
        </w:p>
        <w:p>
          <w:pPr>
            <w:pStyle w:val="Contents3"/>
            <w:tabs>
              <w:tab w:val="clear" w:pos="8459"/>
              <w:tab w:val="right" w:pos="9026" w:leader="dot"/>
            </w:tabs>
            <w:rPr/>
          </w:pPr>
          <w:hyperlink w:anchor="__RefHeading___Toc1015043_1479056682">
            <w:r>
              <w:rPr>
                <w:webHidden/>
                <w:rStyle w:val="IndexLink"/>
                <w:rtl w:val="true"/>
              </w:rPr>
              <w:t>نامها، مکانها، فرق</w:t>
            </w:r>
            <w:r>
              <w:rPr>
                <w:rStyle w:val="IndexLink"/>
                <w:rtl w:val="true"/>
              </w:rPr>
              <w:tab/>
            </w:r>
            <w:r>
              <w:rPr>
                <w:rStyle w:val="IndexLink"/>
              </w:rPr>
              <w:t>409</w:t>
            </w:r>
          </w:hyperlink>
        </w:p>
        <w:p>
          <w:pPr>
            <w:pStyle w:val="Contents3"/>
            <w:tabs>
              <w:tab w:val="clear" w:pos="8459"/>
              <w:tab w:val="right" w:pos="9026" w:leader="dot"/>
            </w:tabs>
            <w:rPr/>
          </w:pPr>
          <w:hyperlink w:anchor="__RefHeading___Toc1015045_1479056682">
            <w:r>
              <w:rPr>
                <w:webHidden/>
                <w:rStyle w:val="IndexLink"/>
                <w:rtl w:val="true"/>
              </w:rPr>
              <w:t>کتابها</w:t>
            </w:r>
            <w:r>
              <w:rPr>
                <w:rStyle w:val="IndexLink"/>
                <w:rtl w:val="true"/>
              </w:rPr>
              <w:tab/>
            </w:r>
            <w:r>
              <w:rPr>
                <w:rStyle w:val="IndexLink"/>
              </w:rPr>
              <w:t>423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31_48854"/>
      <w:bookmarkStart w:id="1" w:name="pg4331_48854"/>
      <w:bookmarkEnd w:id="1"/>
    </w:p>
    <w:p>
      <w:pPr>
        <w:pStyle w:val="Heading2"/>
        <w:numPr>
          <w:ilvl w:val="1"/>
          <w:numId w:val="1"/>
        </w:numPr>
        <w:rPr/>
      </w:pPr>
      <w:bookmarkStart w:id="2" w:name="pg4331_48854"/>
      <w:bookmarkStart w:id="3" w:name="__RefHeading___Toc1014593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مصادر و منابع فقه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شریعتی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4595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31_48858"/>
      <w:bookmarkStart w:id="8" w:name="pg4331_48858"/>
      <w:bookmarkEnd w:id="8"/>
    </w:p>
    <w:p>
      <w:pPr>
        <w:pStyle w:val="Heading2"/>
        <w:numPr>
          <w:ilvl w:val="1"/>
          <w:numId w:val="1"/>
        </w:numPr>
        <w:rPr/>
      </w:pPr>
      <w:bookmarkStart w:id="9" w:name="pg4331_48858"/>
      <w:bookmarkStart w:id="10" w:name="__RefHeading___Toc1014597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بخش اوّل</w:t>
      </w:r>
    </w:p>
    <w:p>
      <w:pPr>
        <w:pStyle w:val="BookText"/>
        <w:rPr/>
      </w:pPr>
      <w:r>
        <w:rPr>
          <w:rFonts w:ascii="Amiri" w:hAnsi="Amiri" w:eastAsia="Amiri" w:cs="Amiri"/>
          <w:color w:val="111111"/>
          <w:sz w:val="28"/>
          <w:sz w:val="28"/>
          <w:szCs w:val="28"/>
          <w:rtl w:val="true"/>
          <w:lang w:bidi="ar-SA"/>
        </w:rPr>
        <w:t>مقدّمات بحث</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و اهمیّت آن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فقه پویا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امتیاز فقه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و رابطه آن با فقه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تعریف علم اصول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بررسی تاریخی و تحوّلات علم اصول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اوّلین تألیف در علم اصول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مؤلّفان علم اصول از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تحوّل و تکامل علم اصول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نقش میرزای قمی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نقش صاحب فصول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نقش شیخ انصاری در تکامل مباحث اصول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نقش آن در پویایی و تکامل فقه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پیدایش 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اجتهاد در دوره امامان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تحوّلات واژه 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مصادر احکام</w:t>
      </w:r>
    </w:p>
    <w:p>
      <w:pPr>
        <w:pStyle w:val="BookText"/>
        <w:rPr/>
      </w:pPr>
      <w:r>
        <w:rPr>
          <w:rFonts w:ascii="IRNazanin" w:hAnsi="IRNazanin" w:eastAsia="IRNazanin"/>
          <w:color w:val="111111"/>
          <w:sz w:val="28"/>
          <w:sz w:val="28"/>
          <w:szCs w:val="28"/>
          <w:rtl w:val="true"/>
          <w:lang w:bidi="fa-IR"/>
        </w:rPr>
        <w:t>تعریف حکم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اشکال بر تعریف 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حکم تکلیفی و حکم وضعی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حکم تکلیفی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تقسیم دیگری برای 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حکم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بررسی منابع 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منابع اصلی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منابع تبعی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مبانی فتوا و مصادر حکم از نظر مذاهب مختلف فقهی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بررسی تفصیلی منابع 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محتوای کلّی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حجّیّت ظواهر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محکمات و متشابهات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بواطن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آیا استنباط حکم از قرآن تفسیر به رأی است؟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سنّت در لغت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سنّت در اصطلاح فقها و متکلّمین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سنّت در اصطلاح اصولیّین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حجّیّت سنّت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دلیل حجّیّت سنّت از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سنّت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نقد و بررسی احادیث فوق</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سنّت اهل بیت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دلیل حجّیّت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دلالت حدیث ثقلین بر عصمت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تعریف 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اجماع در اصطلاح علمای اصول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وجه حجّیّت و دلیلیّت اجماع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ادلّه حجّیّت اجماع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سیر تاریخی دلیل عقلی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دلیل عقلی از نظر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مقدمه واجب</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مسأله ضد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اصل اباحه در منافع و اصل حرمت در مضار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مباحث مقدّماتی دلیل عقلی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دلیل عقلی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حسن و قبح و تصویر نزاع در آن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حسن و قبح ذاتی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ادراک حسن و قبح به وسیله عقل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ملازمه عقلیّه بین حکم عقل و حکم شرع</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تعریف دلیل عقلی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وجه حجّیّت 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تذکر دو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مباحث اصولی سیره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تعریف سیره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ارتباط سیره با سنّت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فرق ارتکاز متشرّعه و سیره متشرّعه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فرق حکم عقل و بنای عقلا و دلیل عقلی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تفاوت سیره عقلا با سیره متشرّعه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حجّیّت سیره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حجیّیّت سیره عقلائیه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حجّیّت سیره متشرّعه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تأثیر عادات در پیدایش برخی سیره‌ها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دامنه و محدوده دلالت سیره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عرف و رابطه آن با سیره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معنی عرف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تعریف عرف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عرف و عادت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فرق بین عرف و 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تقسیمات عرف</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موارد کاربرد عرف</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اهمّیّت 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عرف در مذاهب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عرف دلیل مستقل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تطبیق احکام با عرف</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نقش سیره در احکام فقهی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واجب غیری است نه واجب نفسی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شدن حیوانات مردارخوار با زوال عین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به سیره در مورد دادن قرآن به دست کودکان بدون وضو</w:t>
      </w:r>
    </w:p>
    <w:p>
      <w:pPr>
        <w:pStyle w:val="BookText"/>
        <w:rPr/>
      </w:pPr>
      <w:r>
        <w:rPr>
          <w:rFonts w:ascii="IRNazanin" w:hAnsi="IRNazanin" w:eastAsia="IRNazanin"/>
          <w:color w:val="111111"/>
          <w:sz w:val="28"/>
          <w:sz w:val="28"/>
          <w:szCs w:val="28"/>
          <w:rtl w:val="true"/>
          <w:lang w:bidi="fa-IR"/>
        </w:rPr>
        <w:t>برای تعلیم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پوشش و حجاب زن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حلق لحیه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تراشی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به سیره در این که غسل و تکفین و تدفین و نماز بر میّت</w:t>
      </w:r>
    </w:p>
    <w:p>
      <w:pPr>
        <w:pStyle w:val="BookText"/>
        <w:rPr/>
      </w:pPr>
      <w:r>
        <w:rPr>
          <w:rFonts w:ascii="IRNazanin" w:hAnsi="IRNazanin" w:eastAsia="IRNazanin"/>
          <w:color w:val="111111"/>
          <w:sz w:val="28"/>
          <w:sz w:val="28"/>
          <w:szCs w:val="28"/>
          <w:rtl w:val="true"/>
          <w:lang w:bidi="fa-IR"/>
        </w:rPr>
        <w:t>واجب کفایی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به سیره بر اشتراط سلطان عادل در وجوب نماز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قطعی بر جواز اعانت به ظالمین در امور مباح</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به سیره در معاطات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معاطات در قرض و استدلال به سیره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معاطات در مساقات و استدلال به سیره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به سیره در بیع فضولی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استدلال به سیره درجواز بیع مذوق ومشموم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چشیدنی و بوییدنی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جواز بیع نسبت به آنچه آزمایش آن منجر به افساد آن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به سیره در بعضی از مسائل صلح مربوط به تزاحم</w:t>
      </w:r>
    </w:p>
    <w:p>
      <w:pPr>
        <w:pStyle w:val="BookText"/>
        <w:rPr/>
      </w:pPr>
      <w:r>
        <w:rPr>
          <w:rFonts w:ascii="IRNazanin" w:hAnsi="IRNazanin" w:eastAsia="IRNazanin"/>
          <w:color w:val="111111"/>
          <w:sz w:val="28"/>
          <w:sz w:val="28"/>
          <w:szCs w:val="28"/>
          <w:rtl w:val="true"/>
          <w:lang w:bidi="fa-IR"/>
        </w:rPr>
        <w:t>حقوق و منازعات در املاک</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به سیره در بعضی از مسائل ودیعه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به سیره درباره جریان معاطات در عاریه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سیره مستمرّه بر مشروعیّت عاریه منحة</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به سیره در مورد عدم تعیین و قطعیّت اجرت اجیر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بر عدم لزوم تعیین وقت سیر در اجاره حیوان برای سفر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بر جواز زدن حیوان در حدّ معتاد و معمول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بر جواز وقف اشیاء 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واقف از موقوفه در وقف عامّ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به سیره درحبس مال</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سیره قطعیّه در مورد جریان معاطات در هبه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بر جواز اکل نثار عروسی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تمسّک به سیره در استمتاع</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بر جواز لمس محارم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بر نفقه زوجه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بر استعمال پوست سباع</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بر جواز استفاده از حقوق ارتقاقی راهها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بر این که معادن متعلّق به همه مردم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بر تملک آب با اسباب مملّکه مانند حیازت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بر تبعیّت اولاد مسلمین از پدران خود از نظر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بر ثبوت ولایت قاضی از راه شیاع</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بر حجّیّت کتابت در بعضی موارد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سیره بر تملّک یا اباحه مال مُعْرَضٌ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درباره شناخت امورقلبی مانند ایمان و عدالت شاهد</w:t>
      </w:r>
    </w:p>
    <w:p>
      <w:pPr>
        <w:pStyle w:val="BookText"/>
        <w:rPr/>
      </w:pPr>
      <w:r>
        <w:rPr>
          <w:rFonts w:ascii="IRNazanin" w:hAnsi="IRNazanin" w:eastAsia="IRNazanin"/>
          <w:color w:val="111111"/>
          <w:sz w:val="28"/>
          <w:sz w:val="28"/>
          <w:szCs w:val="28"/>
          <w:rtl w:val="true"/>
          <w:lang w:bidi="fa-IR"/>
        </w:rPr>
        <w:t>از روی آثار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تبعی فقه اهل سنّت</w:t>
      </w:r>
    </w:p>
    <w:p>
      <w:pPr>
        <w:pStyle w:val="BookText"/>
        <w:rPr/>
      </w:pPr>
      <w:r>
        <w:rPr>
          <w:rFonts w:ascii="IRNazanin" w:hAnsi="IRNazanin" w:eastAsia="IRNazanin"/>
          <w:color w:val="111111"/>
          <w:sz w:val="28"/>
          <w:sz w:val="28"/>
          <w:szCs w:val="28"/>
          <w:rtl w:val="true"/>
          <w:lang w:bidi="fa-IR"/>
        </w:rPr>
        <w:t>بحثی مختصر درباره قیاس</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تعریف قیاس</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ارکان قیاس</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اقسام قیاس</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تعریف استحسان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نقد و بررسی تعاریف استحسان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استحسان و امثله آن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ادلّه حجّیّت استحسان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اعتبار استحسان از نظر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استحسان از دیدگاه ظاهریّه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استحسان از دیدگاه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اشکالات حاصل از کاربرد استحسان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خلاصه ونتیجه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احکام از مصالح و مفاسد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مصالح و مفاسد احکام در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حکم بر اساس تغییر مصلحت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تعریف مصلحت و اقسام آن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تعریف ارسال</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تعریف مصالح مرسله</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انواع مصالح و مفاسد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اقسام مصلحت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شرایط عمل به مصالح مرسله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پیشینه تاریخی عمل به مصالح مرسله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اختلاف فقها در حجّیّت مصالح مرسله</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فرق بین مصالح مرسله و استحسان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اشکالات حاصل از کاربرد مصالح مرسله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جایگاه مصلحت در فقه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مجمع تشخیص مصلحت نظام در مقایسه با مصالح مرسله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اهمیّت مصلحت در اسلام و مهمترین مصلحت</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ولایت فقیه و مصلحت</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حکم حکومتی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تفاوت احکام حکومتی با احکام اوّلی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تشخیص مصلحت</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ضوابط تشخیص مصالح</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دایره نفوذ حکم حکومتی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چند نمونه از احکام حکومتی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احکام حکومتی در کلام معصومین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احکام حکومتی در کلام فقها</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سدّ ذرایع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تعریف 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اقسام ذرایع و حکم آنها</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حکم ذرایع</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نمونه‌ای از عمل به سدّ ذرایع در میان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ادلّه حجّیّت ذرایع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مصادر و منابع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آیات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نامها، مکانها، فرق</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bookmarkStart w:id="12" w:name="pg4331_48866"/>
    </w:p>
    <w:p>
      <w:pPr>
        <w:pStyle w:val="Heading2"/>
        <w:numPr>
          <w:ilvl w:val="1"/>
          <w:numId w:val="1"/>
        </w:numPr>
        <w:rPr/>
      </w:pPr>
      <w:bookmarkStart w:id="13" w:name="__RefHeading___Toc1014599_1479056682"/>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ای‌که با نامت جهان آغاز شد</w:t>
      </w:r>
    </w:p>
    <w:p>
      <w:pPr>
        <w:pStyle w:val="BookText"/>
        <w:rPr/>
      </w:pPr>
      <w:r>
        <w:rPr>
          <w:rFonts w:ascii="IRNazanin" w:hAnsi="IRNazanin" w:eastAsia="IRNazanin"/>
          <w:color w:val="111111"/>
          <w:sz w:val="28"/>
          <w:sz w:val="28"/>
          <w:szCs w:val="28"/>
          <w:rtl w:val="true"/>
          <w:lang w:bidi="fa-IR"/>
        </w:rPr>
        <w:t>دفتر ما هم به نامت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آغاز می‌کنم که همه چیز از تو است و سرانجام همه کارها به سوی تو است که خود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 اللّه‌ِ تُرْجَعُ الاُمُورُ</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پیامبرت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اَمْرٍ ذیبال لَمْ یُذْکَر فیهِ اِسْمُ اللّه‌ِ فَهُوَ اَبْتَر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بی حد خداوندی را سزاست که اوّل و آخر اوست، برای اولیّت او آغازی نیست و ابدیّتش پایانی ندارد، دیده‌ها از دیدنش فرومانده و اندیشه‌ها از درکش عاجز و</w:t>
      </w:r>
    </w:p>
    <w:p>
      <w:pPr>
        <w:pStyle w:val="BookText"/>
        <w:rPr/>
      </w:pPr>
      <w:r>
        <w:rPr>
          <w:rFonts w:ascii="IRNazanin" w:hAnsi="IRNazanin" w:eastAsia="IRNazanin"/>
          <w:color w:val="111111"/>
          <w:sz w:val="28"/>
          <w:sz w:val="28"/>
          <w:szCs w:val="28"/>
          <w:rtl w:val="true"/>
          <w:lang w:bidi="fa-IR"/>
        </w:rPr>
        <w:t>زبانها از توصیفش درمانده‌اند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بیکران بر امین وحی الهی و برگزیده بندگان و خاتم پیامبران حضرت محمّدمصطفی صلی‌الله‌علیه‌و‌آله و خاندان پاکش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به این بنده ناتوان، نیروی تفقه و بصیرت در دین و توفیق عمل به احکام نورانی قرآن و پیروی از اخلاق و آداب و سنن انسان ساز پیامبر گرامیت و</w:t>
      </w:r>
    </w:p>
    <w:p>
      <w:pPr>
        <w:pStyle w:val="BookText"/>
        <w:rPr/>
      </w:pPr>
      <w:r>
        <w:rPr>
          <w:rFonts w:ascii="IRNazanin" w:hAnsi="IRNazanin" w:eastAsia="IRNazanin"/>
          <w:color w:val="111111"/>
          <w:sz w:val="28"/>
          <w:sz w:val="28"/>
          <w:szCs w:val="28"/>
          <w:rtl w:val="true"/>
          <w:lang w:bidi="fa-IR"/>
        </w:rPr>
        <w:t xml:space="preserve">عترت پاکش را عطا فرمایی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ظلمت خود رهاییم ده</w:t>
      </w:r>
    </w:p>
    <w:p>
      <w:pPr>
        <w:pStyle w:val="BookText"/>
        <w:rPr/>
      </w:pPr>
      <w:r>
        <w:rPr>
          <w:rFonts w:ascii="IRNazanin" w:hAnsi="IRNazanin" w:eastAsia="IRNazanin"/>
          <w:color w:val="111111"/>
          <w:sz w:val="28"/>
          <w:sz w:val="28"/>
          <w:szCs w:val="28"/>
          <w:rtl w:val="true"/>
          <w:lang w:bidi="fa-IR"/>
        </w:rPr>
        <w:t xml:space="preserve">با نور خود آشناییم ده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یا ربّ العالمین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حاضر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مصادر و منابع فقه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پژوهشی درباره ادلّه احکام در مکتب فقهی شیعه و مکتب فقهی اهل سنّت پرداخته و در چهار بخش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مقدمه ذکر شده که حاوی مطالب اساسی و زیر بنایی است بطوری که مباحث اصلی کتاب مبتنی این مقدمات است از جمله این که اهمیّت علم فقه و جایگاه آن در زندگی فردی و اجتماعی در مقدمه اوّل ذکر</w:t>
      </w:r>
    </w:p>
    <w:p>
      <w:pPr>
        <w:pStyle w:val="BookText"/>
        <w:rPr/>
      </w:pPr>
      <w:r>
        <w:rPr>
          <w:rFonts w:ascii="IRNazanin" w:hAnsi="IRNazanin" w:eastAsia="IRNazanin"/>
          <w:color w:val="111111"/>
          <w:sz w:val="28"/>
          <w:sz w:val="28"/>
          <w:szCs w:val="28"/>
          <w:rtl w:val="true"/>
          <w:lang w:bidi="fa-IR"/>
        </w:rPr>
        <w:t xml:space="preserve">شده و در مقدمه دوم و سوم مباحثی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علم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روند تکاملی تحوّلات اجتهاد در این دو مکتب،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نقش اجتهاد در پویایی و تکامل</w:t>
      </w:r>
    </w:p>
    <w:p>
      <w:pPr>
        <w:pStyle w:val="BookText"/>
        <w:rPr/>
      </w:pPr>
      <w:r>
        <w:rPr>
          <w:rFonts w:ascii="IRNazanin" w:hAnsi="IRNazanin" w:eastAsia="IRNazanin"/>
          <w:color w:val="111111"/>
          <w:sz w:val="28"/>
          <w:sz w:val="28"/>
          <w:szCs w:val="28"/>
          <w:rtl w:val="true"/>
          <w:lang w:bidi="fa-IR"/>
        </w:rPr>
        <w:t>فقه بخوبی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و مصادر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تعریف حکم واقسام آن ذکر شده و سپس به تفصیل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اربعه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سنّت، اجماع، و عقل</w:t>
      </w:r>
    </w:p>
    <w:p>
      <w:pPr>
        <w:pStyle w:val="BookText"/>
        <w:rPr/>
      </w:pP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سوم مباحثی مفصّل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و جایگاه این دو در</w:t>
      </w:r>
    </w:p>
    <w:p>
      <w:pPr>
        <w:pStyle w:val="BookText"/>
        <w:rPr/>
      </w:pPr>
      <w:r>
        <w:rPr>
          <w:rFonts w:ascii="IRNazanin" w:hAnsi="IRNazanin" w:eastAsia="IRNazanin"/>
          <w:color w:val="111111"/>
          <w:sz w:val="28"/>
          <w:sz w:val="28"/>
          <w:szCs w:val="28"/>
          <w:rtl w:val="true"/>
          <w:lang w:bidi="fa-IR"/>
        </w:rPr>
        <w:t>احکام ارائه گردیده و نمونه‌ها و موارد زیادی از احکامی که بوسیله سیره ثابت شده، جداگانه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چهارم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تبعی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که خود از امتیازات این کتاب</w:t>
      </w:r>
    </w:p>
    <w:p>
      <w:pPr>
        <w:pStyle w:val="BookText"/>
        <w:rPr/>
      </w:pPr>
      <w:r>
        <w:rPr>
          <w:rFonts w:ascii="IRNazanin" w:hAnsi="IRNazanin" w:eastAsia="IRNazanin"/>
          <w:color w:val="111111"/>
          <w:sz w:val="28"/>
          <w:sz w:val="28"/>
          <w:szCs w:val="28"/>
          <w:rtl w:val="true"/>
          <w:lang w:bidi="fa-IR"/>
        </w:rPr>
        <w:t xml:space="preserve">نیز می‌باشد این است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احکام از مصالح و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علمای فریقین تبیین گردیده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در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w:t>
      </w:r>
    </w:p>
    <w:p>
      <w:pPr>
        <w:pStyle w:val="BookText"/>
        <w:rPr/>
      </w:pPr>
      <w:r>
        <w:rPr>
          <w:rFonts w:ascii="IRNazanin" w:hAnsi="IRNazanin" w:eastAsia="IRNazanin"/>
          <w:color w:val="111111"/>
          <w:sz w:val="28"/>
          <w:sz w:val="28"/>
          <w:szCs w:val="28"/>
          <w:rtl w:val="true"/>
          <w:lang w:bidi="fa-IR"/>
        </w:rPr>
        <w:t xml:space="preserve">تفصیل بیان شده و همچنین بحثی نسبةً مفصّل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تشخیص مصلحت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پیدایش این نهاد در جمهوری اسلامی ایران،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بحث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نمونه‌هایی از احکام حکومتی در احادیث نیز، بیان گردیده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این کتاب این است که در تمام مباحث خود از قرآن و حدیث و نیز از منابع معتبر فقهی و اصولی فریقین بهره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کار نگارنده</w:t>
      </w:r>
    </w:p>
    <w:p>
      <w:pPr>
        <w:pStyle w:val="BookText"/>
        <w:rPr/>
      </w:pPr>
      <w:r>
        <w:rPr>
          <w:rFonts w:ascii="IRNazanin" w:hAnsi="IRNazanin" w:eastAsia="IRNazanin"/>
          <w:color w:val="111111"/>
          <w:sz w:val="28"/>
          <w:sz w:val="28"/>
          <w:szCs w:val="28"/>
          <w:rtl w:val="true"/>
          <w:lang w:bidi="fa-IR"/>
        </w:rPr>
        <w:t>همان گونه که از عنوان این کتاب بر می‌آید در امر پژوهش و تحقیق، از منابع مهم شیعه و اهل سنّت استفاده شده است و کتب مورد استفاده از مهمترین و معتبرترین منابع فریقین به شمار می‌رود چنان که فهرست منابع که در پایان کتاب آمده نشانگر همین نکته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منابعی که مورد استفاده قرار گرفته عمدةً کتب اصولی بوده، گر چه از کتب</w:t>
      </w:r>
    </w:p>
    <w:p>
      <w:pPr>
        <w:pStyle w:val="BookText"/>
        <w:rPr/>
      </w:pPr>
      <w:r>
        <w:rPr>
          <w:rFonts w:ascii="IRNazanin" w:hAnsi="IRNazanin" w:eastAsia="IRNazanin"/>
          <w:color w:val="111111"/>
          <w:sz w:val="28"/>
          <w:sz w:val="28"/>
          <w:szCs w:val="28"/>
          <w:rtl w:val="true"/>
          <w:lang w:bidi="fa-IR"/>
        </w:rPr>
        <w:t>تفسیر و فقه و حدیث و تاریخ فقه و کتب دیگر نیز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منابع معتبر و مهم فقه شیعه که بسیار مورد مراجعه و استفاده این جانب قرار گرفته،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را شاکرم که توفیق مطالعه و استفاده از مطالب این کتاب را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تقریبا سه بار تمام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جواهر را مورد مطالعه و مرور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برای یافتن موارد استدلال و سیره</w:t>
      </w:r>
    </w:p>
    <w:p>
      <w:pPr>
        <w:pStyle w:val="BookText"/>
        <w:rPr/>
      </w:pPr>
      <w:r>
        <w:rPr>
          <w:rFonts w:ascii="IRNazanin" w:hAnsi="IRNazanin" w:eastAsia="IRNazanin"/>
          <w:color w:val="111111"/>
          <w:sz w:val="28"/>
          <w:sz w:val="28"/>
          <w:szCs w:val="28"/>
          <w:rtl w:val="true"/>
          <w:lang w:bidi="fa-IR"/>
        </w:rPr>
        <w:t>و بار دیگر برای موارد استناد به عرف و یک بار هم برای یافتن بعضی از مسائل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تنظیم مطالب این کتاب عموما دو نکته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تعریف مصطلحات و بررسی آنها از نظر اصولی و فقهی و بیان ادلّه حجّیّت آنها و دیگری ذکر شواهد و مسائلی فقهی در هر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آیات و احادیث و عبارات عربی را ذاخل گیومه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مطلبی از کتابی نقل و یا به آن استناد شده است، منبع و مأخذ آن را در پاورقی ذکر کرده‌ام در پایان کتاب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و منابع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کتابها و مراجع تحقیق به ترتیب حروف الفبا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نگارنده پیشاپیش بر بضاعت مزجاة و ناتوانی خود معترف است و از خوانندگان نکته‌سنج و باریک‌بین انتظار دارد خطاها و کاستیها و اشکالات این نوشتار را</w:t>
      </w:r>
    </w:p>
    <w:p>
      <w:pPr>
        <w:pStyle w:val="BookText"/>
        <w:rPr/>
      </w:pPr>
      <w:r>
        <w:rPr>
          <w:rFonts w:ascii="IRNazanin" w:hAnsi="IRNazanin" w:eastAsia="IRNazanin"/>
          <w:color w:val="111111"/>
          <w:sz w:val="28"/>
          <w:sz w:val="28"/>
          <w:szCs w:val="28"/>
          <w:rtl w:val="true"/>
          <w:lang w:bidi="fa-IR"/>
        </w:rPr>
        <w:t>یاد آور شوند تا در مراحل بعدی به اصطلاح و تکمیل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توفیقی الاّباللّه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w:t>
      </w:r>
    </w:p>
    <w:p>
      <w:pPr>
        <w:pStyle w:val="BookText"/>
        <w:rPr/>
      </w:pPr>
      <w:r>
        <w:rPr>
          <w:rFonts w:ascii="IRNazanin" w:hAnsi="IRNazanin" w:eastAsia="IRNazanin"/>
          <w:color w:val="111111"/>
          <w:sz w:val="28"/>
          <w:sz w:val="28"/>
          <w:szCs w:val="28"/>
          <w:rtl w:val="true"/>
          <w:lang w:bidi="fa-IR"/>
        </w:rPr>
        <w:t>برخود لازم می‌دانم که از تمام اساتید محترمی که با اظهار نظرها و ارشادهای خود این جانب را هدایت کرده و مورد عنایت قرار داده‌اند به ویژه از استاد گرانقدر و محقق</w:t>
      </w:r>
    </w:p>
    <w:p>
      <w:pPr>
        <w:pStyle w:val="BookText"/>
        <w:rPr/>
      </w:pPr>
      <w:r>
        <w:rPr>
          <w:rFonts w:ascii="IRNazanin" w:hAnsi="IRNazanin" w:eastAsia="IRNazanin"/>
          <w:color w:val="111111"/>
          <w:sz w:val="28"/>
          <w:sz w:val="28"/>
          <w:szCs w:val="28"/>
          <w:rtl w:val="true"/>
          <w:lang w:bidi="fa-IR"/>
        </w:rPr>
        <w:t>فرزانه جناب آقای شانه‌چی و نیز از علامه بزرگوار جناب آقای واعظ‌زاده خراسانی که در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مرا یاری کرده‌اند صمیمانه تشکر و قدردانی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ضمن تشکر از بنیاد پژوهشهای اسلامی برخود لازم می‌دانم از فاضل محترم جناب آقای جعفر شریعتمداری و زحمات و دقّت نظر آقایان سیّدرضا سیادت، رضا ارغیانی، احمد پهلوانزاده وابراهیم بصری، که در امر ویرایش، نمونه‌خوانی، آماده</w:t>
      </w:r>
    </w:p>
    <w:p>
      <w:pPr>
        <w:pStyle w:val="BookText"/>
        <w:rPr/>
      </w:pPr>
      <w:r>
        <w:rPr>
          <w:rFonts w:ascii="IRNazanin" w:hAnsi="IRNazanin" w:eastAsia="IRNazanin"/>
          <w:color w:val="111111"/>
          <w:sz w:val="28"/>
          <w:sz w:val="28"/>
          <w:szCs w:val="28"/>
          <w:rtl w:val="true"/>
          <w:lang w:bidi="fa-IR"/>
        </w:rPr>
        <w:t>سازی ، حروفچینی واجرای رایانه‌ای طرح جلد این اثر مساعدت کرده‌اند قدردانی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شریعتی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15" w:name="pg4331_48870"/>
    </w:p>
    <w:p>
      <w:pPr>
        <w:pStyle w:val="Heading2"/>
        <w:numPr>
          <w:ilvl w:val="1"/>
          <w:numId w:val="1"/>
        </w:numPr>
        <w:rPr/>
      </w:pPr>
      <w:bookmarkStart w:id="16" w:name="__RefHeading___Toc1014601_1479056682"/>
      <w:bookmarkStart w:id="17" w:name="_Toc5"/>
      <w:bookmarkEnd w:id="15"/>
      <w:bookmarkEnd w:id="16"/>
      <w:r>
        <w:rPr>
          <w:rtl w:val="true"/>
        </w:rPr>
        <w:t>بخش اوّل</w:t>
      </w:r>
      <w:r>
        <w:rPr>
          <w:rtl w:val="true"/>
        </w:rPr>
        <w:t xml:space="preserve">: </w:t>
      </w:r>
      <w:r>
        <w:rPr>
          <w:rtl w:val="true"/>
        </w:rPr>
        <w:t>مقدّمات بحث</w:t>
      </w:r>
      <w:bookmarkEnd w:id="17"/>
    </w:p>
    <w:p>
      <w:pPr>
        <w:pStyle w:val="Heading3"/>
        <w:numPr>
          <w:ilvl w:val="2"/>
          <w:numId w:val="1"/>
        </w:numPr>
        <w:rPr/>
      </w:pPr>
      <w:bookmarkStart w:id="18" w:name="__RefHeading___Toc1014603_1479056682"/>
      <w:bookmarkStart w:id="19" w:name="_Toc6"/>
      <w:bookmarkEnd w:id="18"/>
      <w:r>
        <w:rPr>
          <w:rtl w:val="true"/>
        </w:rPr>
        <w:t>اشاره</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فقه و اهمّیّت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و رابطه آن با فقه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و نقش آن در پویایی و تکامل فقه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331_48872"/>
      <w:bookmarkStart w:id="21" w:name="pg4331_48872"/>
      <w:bookmarkEnd w:id="21"/>
    </w:p>
    <w:p>
      <w:pPr>
        <w:pStyle w:val="BookText"/>
        <w:rPr/>
      </w:pPr>
      <w:bookmarkStart w:id="22" w:name="pg4331_48872"/>
      <w:bookmarkEnd w:id="22"/>
      <w:r>
        <w:rPr>
          <w:rFonts w:ascii="IRNazanin" w:hAnsi="IRNazanin" w:eastAsia="IRNazanin"/>
          <w:color w:val="111111"/>
          <w:sz w:val="28"/>
          <w:sz w:val="28"/>
          <w:szCs w:val="28"/>
          <w:rtl w:val="true"/>
          <w:lang w:bidi="fa-IR"/>
        </w:rPr>
        <w:t>عنوان اصلی این کتاب بررسی مصادر و منابع احکام در فقه فریقین است، ولی قبل از پرداختن به مباحث اصلی، ابتدا بیان چند مقدّمه لازم و ضروری به نظر می‌رسد، که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فقه و اهمّیّت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الفقه و اهمّیّت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نقش آن در تکامل و پویایی فقه</w:t>
      </w:r>
      <w:r>
        <w:rPr>
          <w:rFonts w:eastAsia="IRNazanin" w:cs="IRNazanin"/>
          <w:color w:val="111111"/>
          <w:sz w:val="28"/>
          <w:szCs w:val="28"/>
          <w:rtl w:val="true"/>
          <w:lang w:bidi="fa-IR"/>
        </w:rPr>
        <w:t>.</w:t>
      </w:r>
    </w:p>
    <w:p>
      <w:pPr>
        <w:pStyle w:val="Heading3"/>
        <w:numPr>
          <w:ilvl w:val="2"/>
          <w:numId w:val="1"/>
        </w:numPr>
        <w:rPr/>
      </w:pPr>
      <w:bookmarkStart w:id="23" w:name="__RefHeading___Toc1014605_1479056682"/>
      <w:bookmarkStart w:id="24" w:name="_Toc7"/>
      <w:bookmarkEnd w:id="23"/>
      <w:r>
        <w:rPr>
          <w:rtl w:val="true"/>
        </w:rPr>
        <w:t xml:space="preserve">مقدّمه اوّل </w:t>
      </w:r>
      <w:r>
        <w:rPr>
          <w:rtl w:val="true"/>
        </w:rPr>
        <w:t xml:space="preserve">: </w:t>
      </w:r>
      <w:r>
        <w:rPr>
          <w:rtl w:val="true"/>
        </w:rPr>
        <w:t>علم فقه و اهمّیّت آن</w:t>
      </w:r>
      <w:bookmarkEnd w:id="24"/>
    </w:p>
    <w:p>
      <w:pPr>
        <w:pStyle w:val="Heading4"/>
        <w:numPr>
          <w:ilvl w:val="3"/>
          <w:numId w:val="1"/>
        </w:numPr>
        <w:rPr/>
      </w:pPr>
      <w:bookmarkStart w:id="25" w:name="__RefHeading___Toc1014607_1479056682"/>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واژه فقه 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شخص مجتهد را از آن جهت فقیه می‌گویند که قرآن و سنّت را می‌فهمد و می‌تواند احکام اسلامی را از آن‌دو منبع اصیل</w:t>
      </w:r>
    </w:p>
    <w:p>
      <w:pPr>
        <w:pStyle w:val="BookText"/>
        <w:rPr/>
      </w:pPr>
      <w:r>
        <w:rPr>
          <w:rFonts w:ascii="IRNazanin" w:hAnsi="IRNazanin" w:eastAsia="IRNazanin"/>
          <w:color w:val="111111"/>
          <w:sz w:val="28"/>
          <w:sz w:val="28"/>
          <w:szCs w:val="28"/>
          <w:rtl w:val="true"/>
          <w:lang w:bidi="fa-IR"/>
        </w:rPr>
        <w:t>استنباط و استخراج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فقه را به معنی معرفت باطن شی‌ء و وصول به اعماق آن دانسته است و در مفردات خود می‌گوید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هو التوصل الی علم غائب بعلمٍ شاهد فهو اخصّ من العلم</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مرحوم محدث قمی در فوائدالرضویه ذیل شرح حال محقّق اوّل، درباره معنی فقه و این که واژه فقه در صدر اسلام بر علم آخرت و عظمت آن و نیز شناخت ظرایف مربوط به آفات نفس و حقارت دنیا اطلاق می‌شده، مطالب مستدلّی ارائه داده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بطور کلّی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بیشتر بر یکی از دو معنی زیر اطلاق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از قرآن و حدیث، لفظ فقه در همین معنی استعمال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کَیْف نُصَرِّفُ الایاتِ لَعَلَّهُمْ یَفْقَهُونَ</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ببین چگونه آیات و نشانه‌های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 شاید بفهمند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ِلهؤُلاءِالقَوْمِ لایَکادُونَ یَفْقَهُونَ حَدیثا</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گروه هیچ سخنی را درک نمی‌کنند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قُلُوبٌ لایَفقَهُونَ بِها</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دارند که با آن اندیشه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مِنْ شی‌ءٍ اِلاّ یُسَبِّحُ بِحَمْدِهِ وَ لکِنْ لاتَفْقَهُونَ تَسْبَیحَهُم</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اشیاء عالم تسبیح او می‌گویند، ولی شما تسبیح آنها را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شریف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طلبة العلم ثلاثة فاعرفهم بأعیانهم و صفاتهم ؛ صنف یطلبه للجهل و المراء و صنف یطلبه للإستطالة و الختل و صنف یطلبه للفقه و العقل</w:t>
      </w:r>
      <w:r>
        <w:rPr>
          <w:rStyle w:val="FootnoteAnchor"/>
          <w:rtl w:val="true"/>
        </w:rPr>
        <w:footnoteReference w:id="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جویندگان دانش سه دسته‌اند، ایشان را و صفاتشان را بشناس ؛ دسته‌ای دانش را برای نادانی و ستیزه جویی می‌طلبند و عده‌ای آن را برای سلطه جویی و فریفتن می‌جویند و گروهی آن را برای فهمیدن و خرد ورزیدن جستجو می‌کنند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فقه در این معنی بیشتر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به </w:t>
      </w:r>
      <w:bookmarkStart w:id="27" w:name="pg4331_48874"/>
    </w:p>
    <w:p>
      <w:pPr>
        <w:pStyle w:val="BookText"/>
        <w:rPr/>
      </w:pPr>
      <w:bookmarkEnd w:id="27"/>
      <w:r>
        <w:rPr>
          <w:rFonts w:ascii="IRNazanin" w:hAnsi="IRNazanin" w:eastAsia="IRNazanin"/>
          <w:color w:val="111111"/>
          <w:sz w:val="28"/>
          <w:sz w:val="28"/>
          <w:szCs w:val="28"/>
          <w:rtl w:val="true"/>
          <w:lang w:bidi="fa-IR"/>
        </w:rPr>
        <w:t>کار رفته که به معنی بصیرت و فهم دقیق و عمیق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فقیه که به معنی عالم و متبحر در دین است، جزء همین معنای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کلمه فقه را به معنی فهم دقیق و بصیرت در دین به کار برده‌است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فَلَوْلانَفَرَ مِنْ کُلِّ فِرقةٍ مِنهُمْ طائفةٌ لِیَتَفَقَّهُوا فِی الدّین</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هر گروهی، طایفه‌ای از آنان کوچ نمی‌کنند تا در دین بصیرت و آگاهی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معنی در احادیث شریف نیز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پیامبر اکرم صلی‌الله‌علیه‌و‌آله منقول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حفظ علی امتی اربعین حدیثا بعثه اللّه یوم القیامة فقیها</w:t>
      </w:r>
      <w:r>
        <w:rPr>
          <w:rStyle w:val="FootnoteAnchor"/>
          <w:rtl w:val="true"/>
        </w:rPr>
        <w:footnoteReference w:id="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برای امّت من چهل حدیث را حفظ کند، خداوند در روز قیامت او را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اصحابی ضُرِبتْ رؤوسهم بالسیاط حتّی یتفقّهوا</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دارم که اصحابم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تحمّل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ضربت تازیانه بر سرهایشان،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و بصیرت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موسی بن جعفر علیه‌السلام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تفقهوا فی دین اللّه فان الفقه مفتاح البصیرة و تمام العبادة و السبب الی المنازل الرفیعة و الرتب الجلیلة فی الدین و الدنیا و فضل الفقیه علی العابد کفضل الشمس علی الکواکب و من لم یتفقه فی دینه لم یرض اللّه له عملاً</w:t>
      </w:r>
      <w:r>
        <w:rPr>
          <w:rStyle w:val="FootnoteAnchor"/>
          <w:rtl w:val="true"/>
        </w:rPr>
        <w:footnoteReference w:id="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 خدا</w:t>
      </w:r>
    </w:p>
    <w:p>
      <w:pPr>
        <w:pStyle w:val="BookText"/>
        <w:rPr/>
      </w:pPr>
      <w:r>
        <w:rPr>
          <w:rFonts w:ascii="IRNazanin" w:hAnsi="IRNazanin" w:eastAsia="IRNazanin"/>
          <w:color w:val="111111"/>
          <w:sz w:val="28"/>
          <w:sz w:val="28"/>
          <w:szCs w:val="28"/>
          <w:rtl w:val="true"/>
          <w:lang w:bidi="fa-IR"/>
        </w:rPr>
        <w:t>بصیرت پیدا کنید، که فقه کلید بینش و بصیرت و مایه کمال عبادت است و باعث رسیدن به جایگاههای بلند و درجات عظیم در دین و دنیا می‌شود و برتری فقیه بر عابد مانند برتری خورشید بر ستارگان است و هر که در دینش بصیرت نیابد، هیچ عملی از اعمال او مورد خشنودی و رضایت خداوند قرار نمی‌گیرد</w:t>
      </w:r>
      <w:r>
        <w:rPr>
          <w:rFonts w:eastAsia="IRNazanin" w:cs="IRNazanin"/>
          <w:color w:val="111111"/>
          <w:sz w:val="28"/>
          <w:szCs w:val="28"/>
          <w:rtl w:val="true"/>
          <w:lang w:bidi="fa-IR"/>
        </w:rPr>
        <w:t>».</w:t>
      </w:r>
    </w:p>
    <w:p>
      <w:pPr>
        <w:pStyle w:val="Heading4"/>
        <w:numPr>
          <w:ilvl w:val="3"/>
          <w:numId w:val="1"/>
        </w:numPr>
        <w:rPr/>
      </w:pPr>
      <w:bookmarkStart w:id="28" w:name="__RefHeading___Toc1014609_1479056682"/>
      <w:bookmarkStart w:id="29" w:name="_Toc9"/>
      <w:bookmarkEnd w:id="28"/>
      <w:r>
        <w:rPr>
          <w:rtl w:val="true"/>
        </w:rPr>
        <w:t>علم فقه</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فقه دانشی بسیار گسترده و وسیع است که در آن از احکام و قوانین مختلف اسلامی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احکام به قدری وسیع است که تمام اعمال و روابط اجتماعی </w:t>
      </w:r>
    </w:p>
    <w:p>
      <w:pPr>
        <w:pStyle w:val="BookText"/>
        <w:rPr/>
      </w:pPr>
      <w:r>
        <w:rPr>
          <w:rFonts w:ascii="IRNazanin" w:hAnsi="IRNazanin" w:eastAsia="IRNazanin"/>
          <w:color w:val="111111"/>
          <w:sz w:val="28"/>
          <w:sz w:val="28"/>
          <w:szCs w:val="28"/>
          <w:rtl w:val="true"/>
          <w:lang w:bidi="fa-IR"/>
        </w:rPr>
        <w:t>فرد و جامعه و احوال شخصیه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عملی که از انسان مکلّف صادر شود، دارای حکمی از احکام خمسه تکلیفیه است و به تعبیر بسیار زیبا و جامع از امام خمینی قدس‌سره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تئوری و اقعی و کامل اداره انسان و اجتماع از گهواره تا گور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از آن جا که علم فقه عبارت است از علم به احکام افعال مکلفین و با تطور و تغییر زمان، افعال مکلفین پیوسته درحال رشد و دگرگونی است، پس علم فقه هم همانند یک موجود زنده و بالنده پیوسته در حال رشد و گستردگی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 رسول اکرم صلی‌الله‌علیه‌و‌آله و زمان صحابه گرامی او را پس از رحلت آن حضرت و گسترش فتوحات اسلامی و سپس زمان خود را با هم مقایسه کنیم، می‌بینیم از نظر محدودیت و توسعه احکام فقهی، بین این سه مقطع زمانی تفاوت بسیاری وجود دارد، به طوری که در زمان رسول اکرم صلی‌الله‌علیه‌و‌آله محدوده زندگی مسلمین کوچکتر و مسائل و مشکلات آنان کمتر بود، در حالی که در زمان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توسعه قلمرو حکومت مسلمین و گرویدن اقوام و ملل دیگر به اسلام و اختلاط و امتزاج آنان با اعراب مسلمان، مسلما مسائل مستحدثه جدید و بی‌سابقه‌ای پیش آمد که هر یک از آنها حکم جدیدی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 صحابه و تابعین را با زمانهای بعدی تا زمان خودمان مقایسه کنیم، می‌بینیم از نظر</w:t>
      </w:r>
    </w:p>
    <w:p>
      <w:pPr>
        <w:pStyle w:val="BookText"/>
        <w:rPr/>
      </w:pPr>
      <w:r>
        <w:rPr>
          <w:rFonts w:ascii="IRNazanin" w:hAnsi="IRNazanin" w:eastAsia="IRNazanin"/>
          <w:color w:val="111111"/>
          <w:sz w:val="28"/>
          <w:sz w:val="28"/>
          <w:szCs w:val="28"/>
          <w:rtl w:val="true"/>
          <w:lang w:bidi="fa-IR"/>
        </w:rPr>
        <w:t>گستردگی مسائل جدید بین زمان ما و زمان صدر اسلام تفاوت بسیاری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علم فقه از آن جا که محصول عقل و اندیشه انسانی است</w:t>
      </w:r>
      <w:r>
        <w:rPr>
          <w:rStyle w:val="FootnoteAnchor"/>
          <w:rtl w:val="true"/>
        </w:rPr>
        <w:footnoteReference w:id="16"/>
      </w:r>
      <w:r>
        <w:rPr>
          <w:rFonts w:ascii="IRNazanin" w:hAnsi="IRNazanin" w:eastAsia="IRNazanin"/>
          <w:color w:val="111111"/>
          <w:sz w:val="28"/>
          <w:sz w:val="28"/>
          <w:szCs w:val="28"/>
          <w:rtl w:val="true"/>
          <w:lang w:bidi="fa-IR"/>
        </w:rPr>
        <w:t>، معرفتی همانند دیگر معارف است، اما از آن جهت که حکم شرعی رفتار و اعمال انسان را بیان می‌کند، با سایر معارف دینی متفاوت است و به همین جهت است که علم فقه از صورت یک دانش نظری خارج شده و به صورت یک دانش عملی و کاربردی درآمده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فقه در اسلام دارای اهمّیّت و قداست ویژه‌ای است و فقیه از مقام و منزلت بسیار رفیعی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منقول از امام صادق علیه‌السلام آمده است</w:t>
      </w:r>
      <w:r>
        <w:rPr>
          <w:rFonts w:eastAsia="IRNazanin" w:cs="IRNazanin"/>
          <w:color w:val="111111"/>
          <w:sz w:val="28"/>
          <w:szCs w:val="28"/>
          <w:rtl w:val="true"/>
          <w:lang w:bidi="fa-IR"/>
        </w:rPr>
        <w:t xml:space="preserve">: </w:t>
      </w:r>
      <w:bookmarkStart w:id="30" w:name="pg4331_48876"/>
    </w:p>
    <w:p>
      <w:pPr>
        <w:pStyle w:val="BookText"/>
        <w:rPr/>
      </w:pPr>
      <w:bookmarkEnd w:id="30"/>
      <w:r>
        <w:rPr>
          <w:rFonts w:ascii="Amiri" w:hAnsi="Amiri" w:eastAsia="Amiri" w:cs="Amiri"/>
          <w:color w:val="111111"/>
          <w:sz w:val="28"/>
          <w:sz w:val="28"/>
          <w:szCs w:val="28"/>
          <w:rtl w:val="true"/>
          <w:lang w:bidi="ar-SA"/>
        </w:rPr>
        <w:t>اِذا اَرادَ اللّه‌ُ بِعبدٍ خیرا فَقَّهَهُ فی الدّینِ</w:t>
      </w:r>
      <w:r>
        <w:rPr>
          <w:rStyle w:val="FootnoteAnchor"/>
          <w:rtl w:val="true"/>
        </w:rPr>
        <w:footnoteReference w:id="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خداوند نسبت به بنده‌ای خیری را بخواهد، او را فقیه و آگاه در دین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باقر علیه‌السلام عالی ترین درجه کمال انسانی را تفقه در دین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الکمالُ کلّ الکمالِ التفقّهُ فی الدّینِ</w:t>
      </w:r>
      <w:r>
        <w:rPr>
          <w:rStyle w:val="FootnoteAnchor"/>
          <w:rtl w:val="true"/>
        </w:rPr>
        <w:footnoteReference w:id="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کمال، تفقه در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شهید مطهری درباره اهمّیّت و وسعت علم فقه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 از وسیعترین و گسترده‌ترین علوم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تاریخش از همه علوم دیگر اسلامی قدیمی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زمانها در سطح بسیار گسترده‌ای تحصیل و تدریس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زیادی در اسلام پدید آمده‌اند که غیر قابل احصایند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فقها، از نوابغ دنیا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فوق‌العاده زیادی در فقه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کتب، فوق العاده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فراوانی که شامل همه شؤون زندگی بشر می‌شود، در فقه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که در جهان امروز تحت عنوان حقوق طرح می‌شود، با انواع مختلفش ؛ حقوق اساسی، حقوق سیاسی، حقوق مدنی، حقوق خانوادگی، حقوق جزائی، حقوق اداری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گوناگون فقه با نامهای دیگر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فقه مسائلی هست که در حقوق امروز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می‌دانیم آنچه از فقه در حقوق امروز مطرح است، به صورت رشته‌های مختلف درآمده و در دانشکده‌های مختلف تحصیل و تدریس می‌شود، این است که فقه بالقوه مشتمل بر رشته‌های گوناگون است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1014611_1479056682"/>
      <w:bookmarkStart w:id="32" w:name="_Toc10"/>
      <w:bookmarkEnd w:id="31"/>
      <w:r>
        <w:rPr>
          <w:rtl w:val="true"/>
        </w:rPr>
        <w:t>فقه پویا</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ویژگیها و امتیازات بارز علم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بالندگی و پویایی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هر چه از زمان تشریع و زمان صدور نصوص دورتر می‌شویم، کار </w:t>
      </w:r>
    </w:p>
    <w:p>
      <w:pPr>
        <w:pStyle w:val="BookText"/>
        <w:rPr/>
      </w:pPr>
      <w:r>
        <w:rPr>
          <w:rFonts w:ascii="IRNazanin" w:hAnsi="IRNazanin" w:eastAsia="IRNazanin"/>
          <w:color w:val="111111"/>
          <w:sz w:val="28"/>
          <w:sz w:val="28"/>
          <w:szCs w:val="28"/>
          <w:rtl w:val="true"/>
          <w:lang w:bidi="fa-IR"/>
        </w:rPr>
        <w:t>استنباط احکام برای فقیه مشکلتر می‌شود و به قول شهید صدر در فهم و دریافت حکم از مدارک شرعی، از نواحی متعدّدی غموض حاصل می‌شود و در کار استنباط احکام، فاصله‌ها و موانع متنوعی پدید می‌آید، ولی از طرف دیگر هر چه زمان گذشته و علوم گسترش یافته، عمق و ژرفای سخنان پیامبر صلی‌الله‌علیه‌و‌آله و احکام اسلام بیشتر نمودار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رسول اکرم صلی‌الله‌علیه‌و‌آله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مرا بنویسید و به آیندگان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سخنان آن حضرت، اشاره و تعریضی به این مطلب شده است که نسلهای آینده معنی سخنان مرا بهتر از شما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علیه‌السلامنقل شده است که روزی پیامبر صلی‌الله‌علیه‌و‌آله در مسجد خیف برای مردم خطبه خواند و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نَضَّرَ اللّه‌ُ عبدا سَمِعَ مقالَتی فَوَعاها و حَفِظَها و بَلَّغَها من لَمْ یَسْمَعْها</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شاد و خرم کند بنده‌ای را که گفتار مرا بشنود و آنرا فرا گیرد و حفظ کند و به کسانی که آن را نشنیده‌اند،</w:t>
      </w:r>
    </w:p>
    <w:p>
      <w:p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 حاملِ فِقْهٍ غَیْرِ فَقیهٍ و رُبّ حاملِ فِقْهٍ إلی مَن هُوَ اَفْقَهُ مِنْهُ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حامل و رساننده فقهی که خود فقیه نیست و چه بسا حامل و رساننده فقهی که آن را به داناتر و فقیه تر از خود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اخیر پیامبر صلی‌الله‌علیه‌و‌آله بسیار قابل توجه و حائز اهمّیّت است، زیرا اشاره به آینده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پیامبر صلی‌الله‌علیه‌و‌آله خطاب به کسانی که در کنار منبر او هستند، اشاره به این مطلب می‌کند، که نسلهای آینده سخنان مرا بهتر از شما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جمله ربّ حاملِ فقْهٍ الی مَن هُو اَفقهُ مِنْهُ نکته‌ها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می‌گوید، چه بسا افرادی که حامل جمله بسیار عمیقی هستند، ولی خودشان به عمق آن توجه ندارند و دیگران که بعدا می‌آیند، به عمق آن پی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علوم اسلامی این حقیقت را به خوبی بر ما روشن می‌سازد که هر چه بر عمر معارف اسلامی افزوده شده است، دانشمندان به عمق سخنان پیامبر صلی‌الله‌علیه‌و‌آله و آیات قرآن و احکام اسلام بیشتر پی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علم تفسیر، مفسرینی که در دوره‌های بعد آمده 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نوشته‌اند، بهتر توانسته‌اند به عمق آیات قرآن و سخنان پیامبر صلی‌الله‌علیه‌و‌آله برسند</w:t>
      </w:r>
      <w:r>
        <w:rPr>
          <w:rFonts w:eastAsia="IRNazanin" w:cs="IRNazanin"/>
          <w:color w:val="111111"/>
          <w:sz w:val="28"/>
          <w:szCs w:val="28"/>
          <w:rtl w:val="true"/>
          <w:lang w:bidi="fa-IR"/>
        </w:rPr>
        <w:t xml:space="preserve">. </w:t>
      </w:r>
      <w:bookmarkStart w:id="33" w:name="pg4331_48878"/>
    </w:p>
    <w:p>
      <w:pPr>
        <w:pStyle w:val="BookText"/>
        <w:rPr/>
      </w:pPr>
      <w:bookmarkEnd w:id="33"/>
      <w:r>
        <w:rPr>
          <w:rFonts w:ascii="IRNazanin" w:hAnsi="IRNazanin" w:eastAsia="IRNazanin"/>
          <w:color w:val="111111"/>
          <w:sz w:val="28"/>
          <w:sz w:val="28"/>
          <w:szCs w:val="28"/>
          <w:rtl w:val="true"/>
          <w:lang w:bidi="fa-IR"/>
        </w:rPr>
        <w:t>خلاصه آن که، هر چه اطلاعات و آگاهی علمی بشر بیشتر فزونی یابد، عمق و عظمت آیات قرآن و سخنان پیامبر اسلام صلی‌الله‌علیه‌و‌آله بیشتر نمودار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مطهری در این زمینه مقایسه جالبی دارد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تنها فقه خودمان را در نظر بگیریم و یک نابغه هزار سال پیش مثل شیخ صدوق و شیخ مفید و شیخ طوسی را در فهم کلمات پیامبر اکرم صلی‌الله‌علیه‌و‌آله در مسائلی فقهی در نظر بگیریم، بعد بیاییم در نهصد سال بعد شیخ مرتضی انصاری را در نظر بگیریم، خواهیم دید که شیخ مرتضی انصاری در نهصد سال بعد، از شیخ طوسی و شیخ مفید و شیخ صدوق بهتر می‌تواند سخن پیامبر صلی‌الله‌علیه‌و‌آلهرا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از آن جهت است که شیخ مرتضی انصاری از شیخ طوسی نبوغ بیشتری داشته است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علم زمان او وسعت بیشتری دارد از علم زمان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جلوتر رفته است و چون علم جلوتر رفته است او بهتر می‌تواند به عمق سخن پیغمبر صلی‌الله‌علیه‌و‌آلهبرسد، تا آن</w:t>
      </w:r>
    </w:p>
    <w:p>
      <w:pPr>
        <w:pStyle w:val="BookText"/>
        <w:rPr/>
      </w:pPr>
      <w:r>
        <w:rPr>
          <w:rFonts w:ascii="IRNazanin" w:hAnsi="IRNazanin" w:eastAsia="IRNazanin"/>
          <w:color w:val="111111"/>
          <w:sz w:val="28"/>
          <w:sz w:val="28"/>
          <w:szCs w:val="28"/>
          <w:rtl w:val="true"/>
          <w:lang w:bidi="fa-IR"/>
        </w:rPr>
        <w:t>عالمی که در هزار سال قبل بوده است و آینده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دیگر، دویست سال دیگر، افرادی پیدا خواهند شد که سخنان پیامبر صلی‌الله‌علیه‌و‌آله را خیلی عمیق‌تر از شیخ انصاری درک می‌کنند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34" w:name="__RefHeading___Toc1014613_1479056682"/>
      <w:bookmarkStart w:id="35" w:name="_Toc11"/>
      <w:bookmarkEnd w:id="34"/>
      <w:r>
        <w:rPr>
          <w:rtl w:val="true"/>
        </w:rPr>
        <w:t>امتیاز فقه شیعه</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 پیامبر اکرم صلی‌الله‌علیه‌و‌آله اهل سنّت از دو منبع اصلی احکام، یعنی قرآن و سنّت استفاده کردند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آنان فقط احادیث منقول از پیامبر صلی‌الله‌علیه‌و‌آله را معتبر و حجّت دانستند و با توجه به این که نقل و تدوین حدیث از سوی خلیفه اوّل و دوم ممنوع شد و تا اوایل قرن دوم هجری این ممنوعیّت ادامه یافت، ایشان برای استنباط احکام ناگزیر به اجتهاد به رأی و توسل به قیاس و استحسان گردیدند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ذهبی در تذکرة الحفاظ روایت کرده است که ؛ ابابکر بعد از رحلت پیامبر مردم را جمع کرد و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احادیث رسول خدا صلی‌الله‌علیه‌و‌آله را بیان می‌کنید و خودتان درباره آنها با هم اختلاف نظر دارید و بعد از شما مردم اختلاف شدیدتری پیدا می‌کنند، پس هیچ حدیثی از احادیث پیامبر صلی‌الله‌علیه‌و‌آله را بیان نکنید و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پرسشی کند، در پاسخ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شما کتاب خدا وجود دارد، حلال آن را حلال و حرامش را حرام بدانید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طبقات ابن‌سعد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عمر بن خطاب احادیث رو به فزونی نهاد، پس عمر از مردم خواست تا احادیثی را که نزد خود دارند بیاورند، و چون آنها را نزد عمر آوردند، دستور داد تا همه آنها را بسوزانند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دستنوشته‌هایی غیر کتاب خداست، مانند آنچه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 به طور مسلم، یکی از عوامل مهم پیدایش اجتهاد به رأی در فقه اهل سنّت و توسل به قیاس و استحسان و دیگر ادلّه ظنی، همان منع از تدوین حدیث و نیز محدودیت سنّت و انحصار آن به احادیث منقوله از پیامبر صلی‌الله‌علیه‌و‌آله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رحلت پیامبر صلی‌الله‌علیه‌و‌آلهتشیّع نقش مهمّی در تحکیم مبانی فقه اسلامی داشته است، زیرا اولاً ؛ احادیث پیامبر صلی‌الله‌علیه‌و‌آله را تدوین کردند و ثانیا ؛ با مراجعه به ائمه معصومین علیهم‌السلام که وارثان علم پیامبر صلی‌الله‌علیه‌و‌آله و مبیّن احکام و عِدْل قرآن بودند، منابع بیشتری از اهل سنّت در اختیار حتّی طبق آنچه از برخی روایات برمی‌آید، خود حضرت علی علیه‌السلام در زمان حیات رسول اکرم صلی‌الله‌علیه‌و‌آله فقه و حدیث را تدوین فرمود و چنان‌که مشهور است، آن حضرت صحیفه‌ای داشته است که در آن قسمت معظمی از ابواب حلال و حرام را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احادیث زیادی از طریق اهل بیت در این مورد رسیده مبنی بر این که آن حضرت کتابی </w:t>
      </w:r>
    </w:p>
    <w:p>
      <w:pPr>
        <w:pStyle w:val="BookText"/>
        <w:rPr/>
      </w:pPr>
      <w:r>
        <w:rPr>
          <w:rFonts w:ascii="IRNazanin" w:hAnsi="IRNazanin" w:eastAsia="IRNazanin"/>
          <w:color w:val="111111"/>
          <w:sz w:val="28"/>
          <w:sz w:val="28"/>
          <w:szCs w:val="28"/>
          <w:rtl w:val="true"/>
          <w:lang w:bidi="fa-IR"/>
        </w:rPr>
        <w:t xml:space="preserve">در قضا و کتابی در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ابواب فقه نوشته و بعضی از این نوشته‌ها املای خود پیامبر صلی‌الله‌علیه‌و‌آله بر حضرت علی علیه‌السلام بوده‌است، چنان که بصائرالدرجات در بابی خاصّ، در این زمینه بیست و چهار حدیث ذکر می‌کند که از آن جمله حدیث زیر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 قال دخلت علی أبی عبداللّه الصادق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عندنا الجامعة و ما یدریهم ما الجامعة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الجامعة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طولها سبعون ذراعا بذراع رسول اللّه باملائه و خط علیّ بیمینه، فیها کل حلال و حرام و کل شی‌ء یحتاج الیه الناس حتّی الأرش فی الخدش</w:t>
      </w:r>
      <w:r>
        <w:rPr>
          <w:rStyle w:val="FootnoteAnchor"/>
          <w:rtl w:val="true"/>
        </w:rPr>
        <w:footnoteReference w:id="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صلی‌الله‌علیه‌و‌آله وارد شدم،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و مردم چه می‌دانند که جامعه چیست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صحیفه‌ای است که طول آن هفتاد ذراع با ذراع پیامبر صلی‌الله‌علیه‌و‌آله است، که آن</w:t>
      </w:r>
    </w:p>
    <w:p>
      <w:pPr>
        <w:pStyle w:val="BookText"/>
        <w:rPr/>
      </w:pPr>
      <w:r>
        <w:rPr>
          <w:rFonts w:ascii="IRNazanin" w:hAnsi="IRNazanin" w:eastAsia="IRNazanin"/>
          <w:color w:val="111111"/>
          <w:sz w:val="28"/>
          <w:sz w:val="28"/>
          <w:szCs w:val="28"/>
          <w:rtl w:val="true"/>
          <w:lang w:bidi="fa-IR"/>
        </w:rPr>
        <w:t>را پیامبر صلی‌الله‌علیه‌و‌آله خود املاء فرموده و علی علیه‌السلام با دست خود نوشته، در آن تمام احکام حلال و حرام و هر چیزی که مردم نیاز دارند،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دیه خراش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امام باقر علیه‌السلام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عندنا صحیفة من کتب علی طولها سبعون ذراعا فنحن نتّبع ما فیها لانعدوها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کتب العلم کله؛ القضاء و الفرائض</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صحیفه‌ای از کتابهای علی است که طول آن هفتاد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احکام آن پیروی می‌کنیم و از آن، تجاوز نمی‌کنیم، همانا علی تمام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و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درباره کتاب جامعه و نهی از قیاس 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شیبة قال سمعت أبا عبداللّه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علم ابن شبرمة عندالجامعة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 رسول اللّه و خط علیّ بیده، اِنّ الجامعة لم تدع لأحد کلاما، فیها علم الحلال و الحرام اِنّ اصحاب القیاس طلبوا العلم بالقیاس فلم یزدادوا من الحق اِلاّ بعدا، انّ دین اللّه لایصاب بالقیاس</w:t>
      </w:r>
      <w:r>
        <w:rPr>
          <w:rStyle w:val="FootnoteAnchor"/>
          <w:rtl w:val="true"/>
        </w:rPr>
        <w:footnoteReference w:id="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ابی شیبه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ابن شبرمه در برابر کتاب جامعه ضلالت و گمراهی است، کتاب جامعه املای پیامبر و خط علی است که با دست خود آن را نوشته </w:t>
      </w:r>
    </w:p>
    <w:p>
      <w:pPr>
        <w:pStyle w:val="BookText"/>
        <w:rPr/>
      </w:pPr>
      <w:r>
        <w:rPr>
          <w:rFonts w:ascii="IRNazanin" w:hAnsi="IRNazanin" w:eastAsia="IRNazanin"/>
          <w:color w:val="111111"/>
          <w:sz w:val="28"/>
          <w:sz w:val="28"/>
          <w:szCs w:val="28"/>
          <w:rtl w:val="true"/>
          <w:lang w:bidi="fa-IR"/>
        </w:rPr>
        <w:t>است، همانا جامعه برای هیچ کس جای حرفی باقی نگذاشته است، در این کتاب تمام احکام حلال و حرام وجود دارد، همانا طرفداران قیاس علم به احکام را از طریق قیاس می‌جویند که جز دوری از حق چیزی به آنها افزوده نمی‌شود، دین خدا با قیاس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شیعه از صحابه، از همان ابتدای تکوّن و پیدایش فقه شیعه، با تمسّک به ائمه معصومین علیهم‌السلام منابع بیشتری از اهل سنّت در اختیار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 یکی از منابع اولیه فقه شیعه که جزء اوّلین تألیفات شیعه است، کتاب سلیم بن قیس هلالی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آقا بزرگ تهرانی در کتاب ارزشمند خود،الذّریعة الی تصانیف الشیعة به نقل</w:t>
      </w:r>
    </w:p>
    <w:p>
      <w:pPr>
        <w:pStyle w:val="BookText"/>
        <w:rPr/>
      </w:pPr>
      <w:r>
        <w:rPr>
          <w:rFonts w:ascii="IRNazanin" w:hAnsi="IRNazanin" w:eastAsia="IRNazanin"/>
          <w:color w:val="111111"/>
          <w:sz w:val="28"/>
          <w:sz w:val="28"/>
          <w:szCs w:val="28"/>
          <w:rtl w:val="true"/>
          <w:lang w:bidi="fa-IR"/>
        </w:rPr>
        <w:t>از کتاب الغیبه نعمانی درباره این کتاب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تمام شیعیانی که حاملان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روایت کنندگان از ائمه علیهم‌السلام هستند، اختلافی نیست در این که کتاب سلیم بن قیس هلالی، اصلی از بزرگترین و از قدیم ترین و اوّلین کتب اصول است که عالمان و حاملان حدیث اهل بیت علیهم‌السلام آن را روایت کرده‌اند، زیرا تمام مطالبی را که این کتاب دربر دارد، از پیامبر صلی‌الله‌علیه‌و‌آله و امیرالمؤمنین علیه‌السلام و مقداد و سلمان فارسی و ابوذر و امثال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رسول خدا صلی‌الله‌علیه‌و‌آلهو امیرالمؤمنین علیه‌السلام را دیده و از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اصول و منابع اولیه‌ای است که شیعیان به آن مراجعه و بر آن اعتماد می‌کنند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نیز همان کتاب روایتی را از امام صادق علیه‌السلام درباره اهمّیّت کتاب سلیم بن قیس آورده است که آن حضرت می‌فرماید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لم یکن عنده من شیعتنا و محبّینا کتاب سلیم بن قیس الهلالی، فلیس عنده من امرنا شی‌ء و لایعلم من اسبابنا شیئاً و هو ابجد الشیعة و هو سرّ من اسرار آل محمد صلی‌الله‌علیه‌و‌آله</w:t>
      </w:r>
      <w:r>
        <w:rPr>
          <w:rStyle w:val="FootnoteAnchor"/>
          <w:rtl w:val="true"/>
        </w:rPr>
        <w:footnoteReference w:id="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پیروان و دوستداران ما کتاب سلیم بن قیس هلالی را نداشته باشد، چیزی از </w:t>
      </w:r>
    </w:p>
    <w:p>
      <w:pPr>
        <w:pStyle w:val="BookText"/>
        <w:rPr/>
      </w:pPr>
      <w:r>
        <w:rPr>
          <w:rFonts w:ascii="IRNazanin" w:hAnsi="IRNazanin" w:eastAsia="IRNazanin"/>
          <w:color w:val="111111"/>
          <w:sz w:val="28"/>
          <w:sz w:val="28"/>
          <w:szCs w:val="28"/>
          <w:rtl w:val="true"/>
          <w:lang w:bidi="fa-IR"/>
        </w:rPr>
        <w:t>مسائل امامت ما نزد او نیست و از وسیله‌های ما هیچ آگاهی ندارد، این کتاب الفبای شیعه و رازی از اسرار آل محمد صلی‌الله‌علیه‌و‌آلهاست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علی بن ابی رافع که از فقهای شیعه و خواصّ امیرالمؤمنین علیه‌السلام بوده است، کتابی را در مسائل مختلف فقهی مانند وضو و صلاة و غیره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کتاب رجال خود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تابعین و از بزرگان شیعه است و از اصحاب امیرالمؤمنین و کاتب آن حضرت بوده و مقدار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کرده است و کتابی را در ابواب فقه مانند وضو و نماز و سایر ابواب فراهم آورده است، علما از این کتاب به عظمت یاد کرده‌اند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به هر حال تمام صحابه و حتّی خلفای قبل از علی علیه‌السلام به علم و فقاهت آن حضرت معترف بودند، چنان که عمر، خلیفه دوم، بارها در مسائل و مشکلات فقهی از آن حضرت کمک می‌گرفت وخود به این موضوع اقرار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 و یا گفته است اعوذ باللّه من معضلة و لا ابوحسن لها و یا این که اعتراف کرده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اقضانا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کتابها و نوشته‌های آن حضرت بعد از شهادتش به فرزندانش رسید و از آنها استفاده می‌کردند؛ امّا اوضاع سیاسی حاکم اجازه انتشار آنها را نمی‌داد، تا این که در زمان امام</w:t>
      </w:r>
    </w:p>
    <w:p>
      <w:pPr>
        <w:pStyle w:val="BookText"/>
        <w:rPr/>
      </w:pPr>
      <w:r>
        <w:rPr>
          <w:rFonts w:ascii="IRNazanin" w:hAnsi="IRNazanin" w:eastAsia="IRNazanin"/>
          <w:color w:val="111111"/>
          <w:sz w:val="28"/>
          <w:sz w:val="28"/>
          <w:szCs w:val="28"/>
          <w:rtl w:val="true"/>
          <w:lang w:bidi="fa-IR"/>
        </w:rPr>
        <w:t>باقر و امام صادق علیهماالسلام فرصتی پدید آمد که این دو امام بزرگوار توانستند محتوای آن کتب را انتشار دهند و مکتب فقه تشیّع و فقه جعفری را پایه گذاری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اشاره کردیم نکته قابل توجه آن است که بعد از رحلت پیامبر اکرم صلی‌الله‌علیه‌و‌آله تا قرن چهارم هجری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فقهای شیعه با تمسک به ائمه معصومین علیهم‌السلام منابع</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 از اهل سنّت در اختیار داشتند و این عامل خود از بزرگترین عوامل تکامل و پویایی فقه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اواخر دوره بنی امیه و اوایل عصر عباسی، برای دو امام بزرگوار شیعه، یعنی امام باقر و امام صادق علیهماالسلام فرصت بسیار مغتنمی به دست آمد به این معنا که این دو بزرگوار با ایجاد حلقه‌های درس و با تربیت شاگردانی همچون </w:t>
      </w:r>
    </w:p>
    <w:p>
      <w:pPr>
        <w:pStyle w:val="BookText"/>
        <w:rPr/>
      </w:pPr>
      <w:r>
        <w:rPr>
          <w:rFonts w:ascii="IRNazanin" w:hAnsi="IRNazanin" w:eastAsia="IRNazanin"/>
          <w:color w:val="111111"/>
          <w:sz w:val="28"/>
          <w:sz w:val="28"/>
          <w:szCs w:val="28"/>
          <w:rtl w:val="true"/>
          <w:lang w:bidi="fa-IR"/>
        </w:rPr>
        <w:t>هشام و ابوبصیر و محمّد بن مسلم و زراره، پشتوانه‌های محکمی برای فقه شیعه ایجاد کردند و به مذهب تشیع غنای خاصّی بخشیدند و به خاطر تحکیم و توسعه مذهب تشیع در زمان امام صادق علیه‌السلام است که این مذهب، به مذهب جعفری اشتهار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شد علما و فقهای شیعه به خاطر استفاده از سخنان ائمه معصومین علیهم‌السلام به عنوان مبین احکام، منابع بیشتری از اهل سنّت در اختیار داشتند، بنابراین در استنباط</w:t>
      </w:r>
    </w:p>
    <w:p>
      <w:pPr>
        <w:pStyle w:val="BookText"/>
        <w:rPr/>
      </w:pPr>
      <w:r>
        <w:rPr>
          <w:rFonts w:ascii="IRNazanin" w:hAnsi="IRNazanin" w:eastAsia="IRNazanin"/>
          <w:color w:val="111111"/>
          <w:sz w:val="28"/>
          <w:sz w:val="28"/>
          <w:szCs w:val="28"/>
          <w:rtl w:val="true"/>
          <w:lang w:bidi="fa-IR"/>
        </w:rPr>
        <w:t>احکام و صدور فتوی متوسّل به رأی و قیاس و استحسان نگردیدند و در بعضی موارد که شبهه قیاس در ذهن آنان پدید می‌آمد،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منع می‌کردند، چنان که وقتی ابان بن تغلب از امام صادق علیه‌السلام درباره مردی که یک انگشت زنی را قطع کرده بود، از مقدار دیه آن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یک انگشت زن، ده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پرسید اگر دو انگشت زنی را قطع کند، دیه آن چقدر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 پرسید اگر سه انگشت زنی را قطع کند، دیه‌اش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شتر، ابان پرسید اگر چهار انگشت را قطع کند، دیه آن چقدر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گفتم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سه انگشت را قطع می‌کند، باید سی شتر بدهد، چهار انگشت را قطع می‌کند، آیا باید بیست شتر بدهد؟ وقتی ما در عراق بودیم، خبر این حکم به ما می‌رسید، از گوینده آن بیزاری می‌جستیم و می‌گفتیم این حکم را شیطان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مهلاً، یا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رسول اللّه، انّ المرأة تعاقل الرجل الی ثلث الدیة، فاذا بلغت الثلث رجعت الی النصف، یا ابان انّک اخذتنی بالقیاس و السنّة اذا قیست مُحِق الدین</w:t>
      </w:r>
      <w:r>
        <w:rPr>
          <w:rStyle w:val="FootnoteAnchor"/>
          <w:rtl w:val="true"/>
        </w:rPr>
        <w:footnoteReference w:id="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تو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پیامبر است، زیرا زن از نظر حکم دیه تا یک سوم با مرد برابر است و</w:t>
      </w:r>
    </w:p>
    <w:p>
      <w:pPr>
        <w:pStyle w:val="BookText"/>
        <w:rPr/>
      </w:pPr>
      <w:r>
        <w:rPr>
          <w:rFonts w:ascii="IRNazanin" w:hAnsi="IRNazanin" w:eastAsia="IRNazanin"/>
          <w:color w:val="111111"/>
          <w:sz w:val="28"/>
          <w:sz w:val="28"/>
          <w:szCs w:val="28"/>
          <w:rtl w:val="true"/>
          <w:lang w:bidi="fa-IR"/>
        </w:rPr>
        <w:t>هرگاه دیه او به یک سوم برسد، به نصف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برابر من قیاس کردی، هرگاه قیاس وارد سنّت شود، دین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علیه‌السلام چنین نقل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اصحاب المقائیس طلبوا العلم بالمقائیس فلم تزدهم المقائیس من الحق الا بعدا و انّ دین اللّه لایصاب </w:t>
      </w:r>
      <w:bookmarkStart w:id="36" w:name="pg4331_48884"/>
    </w:p>
    <w:p>
      <w:pPr>
        <w:pStyle w:val="BookText"/>
        <w:rPr/>
      </w:pPr>
      <w:bookmarkEnd w:id="36"/>
      <w:r>
        <w:rPr>
          <w:rFonts w:ascii="IRNazanin" w:hAnsi="IRNazanin" w:eastAsia="IRNazanin"/>
          <w:color w:val="111111"/>
          <w:sz w:val="28"/>
          <w:sz w:val="28"/>
          <w:szCs w:val="28"/>
          <w:rtl w:val="true"/>
          <w:lang w:bidi="fa-IR"/>
        </w:rPr>
        <w:t>بالمقائیس</w:t>
      </w:r>
      <w:r>
        <w:rPr>
          <w:rStyle w:val="FootnoteAnchor"/>
          <w:rtl w:val="true"/>
        </w:rPr>
        <w:footnoteReference w:id="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طرفداران قیاس علم به احکام را از طریق قیاس می‌جویند که جز دوری از حق چیزی به آنها افزوده نمی شود، دین خدا با قیاس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علما و فقهای شیعه در قرون اوّلیه اسلامی در مسائل و مشکلات علمی و فقهی خود به ائمه اهل بیت علیهم‌السلام مراجعه می‌کردند و برای استنباط احکام نیازی نداشتند که به قیاس و استحسان متوسّل شوند و همین عامل خود یکی از بزرگترین امتیازات فقه شیعه و یکی از عوامل تکامل و پویایی آن بوده است، زیرا ایشان با تمسّک به ائمه اهل بیت علیهم‌السلام از نظر تبیین و استنباط احکام، در غنای کامل بوده و تحت ارشاد و مراقبت ائمه علیهم‌السلام فقه شیعه را شکوفا کرده‌اند</w:t>
      </w:r>
      <w:r>
        <w:rPr>
          <w:rFonts w:eastAsia="IRNazanin" w:cs="IRNazanin"/>
          <w:color w:val="111111"/>
          <w:sz w:val="28"/>
          <w:szCs w:val="28"/>
          <w:rtl w:val="true"/>
          <w:lang w:bidi="fa-IR"/>
        </w:rPr>
        <w:t>.</w:t>
      </w:r>
    </w:p>
    <w:p>
      <w:pPr>
        <w:pStyle w:val="Heading3"/>
        <w:numPr>
          <w:ilvl w:val="2"/>
          <w:numId w:val="1"/>
        </w:numPr>
        <w:rPr/>
      </w:pPr>
      <w:bookmarkStart w:id="37" w:name="__RefHeading___Toc1014615_1479056682"/>
      <w:bookmarkStart w:id="38" w:name="_Toc12"/>
      <w:bookmarkEnd w:id="37"/>
      <w:r>
        <w:rPr>
          <w:rtl w:val="true"/>
        </w:rPr>
        <w:t>مقدّمه دوم</w:t>
      </w:r>
      <w:r>
        <w:rPr>
          <w:rtl w:val="true"/>
        </w:rPr>
        <w:t xml:space="preserve">: </w:t>
      </w:r>
      <w:r>
        <w:rPr>
          <w:rtl w:val="true"/>
        </w:rPr>
        <w:t>علم اصول و رابطه آن با فقه</w:t>
      </w:r>
      <w:bookmarkEnd w:id="38"/>
    </w:p>
    <w:p>
      <w:pPr>
        <w:pStyle w:val="Heading4"/>
        <w:numPr>
          <w:ilvl w:val="3"/>
          <w:numId w:val="1"/>
        </w:numPr>
        <w:rPr/>
      </w:pPr>
      <w:bookmarkStart w:id="39" w:name="__RefHeading___Toc1014617_1479056682"/>
      <w:bookmarkStart w:id="40" w:name="_Toc13"/>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علم اصول و رابطه آن با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فهم است، صاحب</w:t>
      </w:r>
    </w:p>
    <w:p>
      <w:pPr>
        <w:pStyle w:val="BookText"/>
        <w:rPr/>
      </w:pPr>
      <w:r>
        <w:rPr>
          <w:rFonts w:ascii="IRNazanin" w:hAnsi="IRNazanin" w:eastAsia="IRNazanin"/>
          <w:color w:val="111111"/>
          <w:sz w:val="28"/>
          <w:sz w:val="28"/>
          <w:szCs w:val="28"/>
          <w:rtl w:val="true"/>
          <w:lang w:bidi="fa-IR"/>
        </w:rPr>
        <w:t>معالم در تعریف اصطلاحی فقه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 فی اللغة الفهم و فی الاصطلاح هو العلم بالاحکام الشرعیّة عن أدلّتها التفصیلیّة</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در لغت به معنی فهمیدن است و در اصطلاح عبارت است از علم به احکام شرعی، که از ادلّه تفصیلی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مصادر و منابع اوّلیّه احکام اسلامی به زبان عربی است، برای آن که فقیه و مجتهد بتواند احکام شرعی را از منابع و مصادر اصلی آن استخراج و استنباط کند، باید به عنوان مقدمات اجتهاد، بر علوم زیادی تسلط و مهارت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 لغت، معانی،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تفسیر، علم منطق، علم حدیث،</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رجال و علم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فقه برای فقیه از مهمترین علوم و مهمترین مقدّمات برای استخراج و استنباط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مرحوم شهید سیّد محمّد باقر </w:t>
      </w:r>
      <w:bookmarkStart w:id="41" w:name="pg4331_48885"/>
    </w:p>
    <w:p>
      <w:pPr>
        <w:pStyle w:val="BookText"/>
        <w:rPr/>
      </w:pPr>
      <w:bookmarkEnd w:id="41"/>
      <w:r>
        <w:rPr>
          <w:rFonts w:ascii="IRNazanin" w:hAnsi="IRNazanin" w:eastAsia="IRNazanin"/>
          <w:color w:val="111111"/>
          <w:sz w:val="28"/>
          <w:sz w:val="28"/>
          <w:szCs w:val="28"/>
          <w:rtl w:val="true"/>
          <w:lang w:bidi="fa-IR"/>
        </w:rPr>
        <w:t>صدر علم اصول فقه، منطق علم فقه است، یعنی همان طور که علم منطق برای شیوه استدلال و نتیجه‌گیری از قضایا به کار می‌رود، علم اصول فقه نیز منطق و روش استنباط</w:t>
      </w:r>
    </w:p>
    <w:p>
      <w:pPr>
        <w:pStyle w:val="BookText"/>
        <w:rPr/>
      </w:pPr>
      <w:r>
        <w:rPr>
          <w:rFonts w:ascii="IRNazanin" w:hAnsi="IRNazanin" w:eastAsia="IRNazanin"/>
          <w:color w:val="111111"/>
          <w:sz w:val="28"/>
          <w:sz w:val="28"/>
          <w:szCs w:val="28"/>
          <w:rtl w:val="true"/>
          <w:lang w:bidi="fa-IR"/>
        </w:rPr>
        <w:t>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علم، روش صحیح استنباط احکام را از منابع فقه، به ما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صدر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جهت علم اصول مشابه علم منطق است، با این تفاوت که علم فقه از کاربرد نوعی تفکر خاص، یعنی از کاربرد تفکر فقهی در استنباط احکام، بحث می‌کند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قابل توجه آن که اجتهاد و استنباط احکام در دوره معصوم علیه‌السلام کار نسبةً آسانی بوده است و هر چه فقیه از زمان صدور نصوص دورتر می‌شد، کار استنباط احکام دشوارتر می‌گردید، مرحوم شهید صدر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اندازه که فقیه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دورتر می‌شود، در فهم حکم از مدارک شرعی آن، از نواحی متعددی دچار تیرگی و ابهام می‌گردد و در نتیجه بعد زمانی، مشکلات و رخنه‌های متنوعی در کاربرد استنباط پدید می‌آید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42" w:name="__RefHeading___Toc1014619_1479056682"/>
      <w:bookmarkStart w:id="43" w:name="_Toc14"/>
      <w:bookmarkEnd w:id="42"/>
      <w:r>
        <w:rPr>
          <w:rtl w:val="true"/>
        </w:rPr>
        <w:t>تعریف علم اصول</w:t>
      </w:r>
      <w:bookmarkEnd w:id="43"/>
    </w:p>
    <w:p>
      <w:pPr>
        <w:pStyle w:val="BookText"/>
        <w:rPr/>
      </w:pPr>
      <w:r>
        <w:rPr>
          <w:rFonts w:ascii="IRNazanin" w:hAnsi="IRNazanin" w:eastAsia="IRNazanin"/>
          <w:color w:val="111111"/>
          <w:sz w:val="28"/>
          <w:sz w:val="28"/>
          <w:szCs w:val="28"/>
          <w:rtl w:val="true"/>
          <w:lang w:bidi="fa-IR"/>
        </w:rPr>
        <w:t>برای علم اصول تعاریف مختلفی بیان شده است که بر اغلب آنها اشکالاتی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بهترین و خلاصه ترین تعریفها این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عبارت است از قواعد ممهّده برای استنباط احکام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سیّد محمّد باقر صدر نیز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بالقواعد الممهدة لاستنباط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علم به قواعدی است که برای استنباط حکم شرعی، تهیه و تمهید شده‌اند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بر تعریف فوق اشکالاتی وارد است، زیرا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اولاً ؛ این تعریف شامل قواعد فقهیّه نیز می‌شود، زیرا قواعد فقه هم در استنباط احکام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در دایره‌ای محدودتر از قواعد اصولی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ثانیا ؛ تعریف فوق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زیرا اصول عملیه ادلّه محرزه نیستند،</w:t>
      </w:r>
      <w:r>
        <w:rPr>
          <w:rStyle w:val="FootnoteAnchor"/>
          <w:rtl w:val="true"/>
        </w:rPr>
        <w:footnoteReference w:id="38"/>
      </w:r>
      <w:r>
        <w:rPr>
          <w:rFonts w:ascii="IRNazanin" w:hAnsi="IRNazanin" w:eastAsia="IRNazanin"/>
          <w:color w:val="111111"/>
          <w:sz w:val="28"/>
          <w:sz w:val="28"/>
          <w:szCs w:val="28"/>
          <w:rtl w:val="true"/>
          <w:lang w:bidi="fa-IR"/>
        </w:rPr>
        <w:t>یعنی حکم شرعی واقعی را ثابت نمی‌کنند، بلکه وظیفه عملی مکلف را معیّن می‌کنند و او را به هنگام شک از حیرت و سرگردانی بیرون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دربر می‌گیرد،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وجه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ظهور در استنباط حکم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همین اشکالات وارد بر تعریف است که مرحوم آخوند در کفایه پس از ذکر تعریف</w:t>
      </w:r>
    </w:p>
    <w:p>
      <w:pPr>
        <w:pStyle w:val="BookText"/>
        <w:rPr/>
      </w:pPr>
      <w:r>
        <w:rPr>
          <w:rFonts w:ascii="IRNazanin" w:hAnsi="IRNazanin" w:eastAsia="IRNazanin"/>
          <w:color w:val="111111"/>
          <w:sz w:val="28"/>
          <w:sz w:val="28"/>
          <w:szCs w:val="28"/>
          <w:rtl w:val="true"/>
          <w:lang w:bidi="fa-IR"/>
        </w:rPr>
        <w:t>مذکور،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که علم اصول چنین تعریف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اصول صفت و مهارتی است که به وسیله آن قواعدی که ممکن است در طریق استنباط احکام واقع شود، شناخته می‌شود، یا قواعدی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به آن منتهی می‌شود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مرحوم حاج شیخ محمدحسین اصفهانی در حاشیه خود بر کفایه به نام نهایة الدّرایة پس از آن که حقیقت استنباط و اجتهاد را تحصیل حجت بر حکم شرعی دانسته، در تعریف علم اصول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علم اصول، علمی است که در آن از قواعد مهیا شده برای تحصیل حجت بر حکم شرعی بحث می‌شود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شیخ محمّد خضری در کتاب اصول الفقه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فقه عبارت است از قواعدی که می‌توان به وسیله آنها احکام شرعی را از ادلّه آنها استنباط کرد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سیّد حسین یوسف مکی در کتاب قواعد استنباط الاحکام می‌نویسد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عبارت است ؛ از علم به قواعدی که برای استنباط احکام شرعی فرعی کلی از ادلّه آنها،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عبارت است از شناخت وظیفه </w:t>
      </w:r>
      <w:bookmarkStart w:id="44" w:name="pg4331_48887"/>
    </w:p>
    <w:p>
      <w:pPr>
        <w:pStyle w:val="BookText"/>
        <w:rPr/>
      </w:pPr>
      <w:bookmarkEnd w:id="44"/>
      <w:r>
        <w:rPr>
          <w:rFonts w:ascii="IRNazanin" w:hAnsi="IRNazanin" w:eastAsia="IRNazanin"/>
          <w:color w:val="111111"/>
          <w:sz w:val="28"/>
          <w:sz w:val="28"/>
          <w:szCs w:val="28"/>
          <w:rtl w:val="true"/>
          <w:lang w:bidi="fa-IR"/>
        </w:rPr>
        <w:t>شرعی یا وظیفه عقلی‌ای که فقیه به هنگام مأیوس شدن از دلیل به آنها متوسّل می‌شود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همان طور که از تعاریف مختلف علم اصول برمی‌آید، علم اصول مقدمه‌ای برای علم فقه است و به عبارت دیگر، غایت و هدف از علم اصول، فراهم آوردن قوه و ملکه‌ای است برای استنباط احکام از ادلّه آن و همان طور که قبلاً اشاره شد، به تعبیر</w:t>
      </w:r>
    </w:p>
    <w:p>
      <w:pPr>
        <w:pStyle w:val="BookText"/>
        <w:rPr/>
      </w:pPr>
      <w:r>
        <w:rPr>
          <w:rFonts w:ascii="IRNazanin" w:hAnsi="IRNazanin" w:eastAsia="IRNazanin"/>
          <w:color w:val="111111"/>
          <w:sz w:val="28"/>
          <w:sz w:val="28"/>
          <w:szCs w:val="28"/>
          <w:rtl w:val="true"/>
          <w:lang w:bidi="fa-IR"/>
        </w:rPr>
        <w:t>شهید صدر، علم اصول، منطق علم فقه است، چنان که در جای دیگر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این اساس گاهی بر علم اصول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اطلاق می‌کنیم، زیرا علم اصول نسبت به علم فقه نقش ایجابی و مثبتی را ایفا می‌کند که مانند نقش مثبتی است که علم منطق به صورتی عامّ و کلّی نسبت به علوم بشری ایفا می‌کند، پس بر این اساس، علم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کاربرد استنباط‌است</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45" w:name="__RefHeading___Toc1014621_1479056682"/>
      <w:bookmarkStart w:id="46" w:name="_Toc15"/>
      <w:bookmarkEnd w:id="45"/>
      <w:r>
        <w:rPr>
          <w:rtl w:val="true"/>
        </w:rPr>
        <w:t>بررسی تاریخی و تحوّلات علم اصول</w:t>
      </w:r>
      <w:bookmarkEnd w:id="46"/>
    </w:p>
    <w:p>
      <w:pPr>
        <w:pStyle w:val="BookText"/>
        <w:rPr/>
      </w:pPr>
      <w:r>
        <w:rPr>
          <w:rFonts w:ascii="IRNazanin" w:hAnsi="IRNazanin" w:eastAsia="IRNazanin"/>
          <w:color w:val="111111"/>
          <w:sz w:val="28"/>
          <w:sz w:val="28"/>
          <w:szCs w:val="28"/>
          <w:rtl w:val="true"/>
          <w:lang w:bidi="fa-IR"/>
        </w:rPr>
        <w:t>از نظر تاریخ پیدایش علم اصول، عده‌ای را عقیده بر این است که علمای اهل سنّت قبل از علمای امامیّه‌در زمینه علم اصول فقه کتاب نوشته‌اند و سبب تقدم اهل سنّت در</w:t>
      </w:r>
    </w:p>
    <w:p>
      <w:pPr>
        <w:pStyle w:val="BookText"/>
        <w:rPr/>
      </w:pPr>
      <w:r>
        <w:rPr>
          <w:rFonts w:ascii="IRNazanin" w:hAnsi="IRNazanin" w:eastAsia="IRNazanin"/>
          <w:color w:val="111111"/>
          <w:sz w:val="28"/>
          <w:sz w:val="28"/>
          <w:szCs w:val="28"/>
          <w:rtl w:val="true"/>
          <w:lang w:bidi="fa-IR"/>
        </w:rPr>
        <w:t>تألیف کتب اصولی این بود که اهل سنّت بعد از رحلت پیامبر صلی‌الله‌علیه‌و‌آله منابع احکام را منحصر به قرآن و سنّت کردند و سنّت را نیز منحصر به احادیث منقول از پیامبر صلی‌الله‌علیه‌و‌آلهمی‌دانستند 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تا اوایل قرن دوم هجری تدوین و کتابت حدیث در میان آنها ممنوع شده بود، به همین جهت در استنباط احکام دچار فقر منابع شدند و ناچار به تألیف کتب اصولی پرداختند تا ضوابط و قواعد کلی استنباط احکام را در آنها مشخص کنند؛ امّا امامیّه‌بعد از رحلت پیامبر صلی‌الله‌علیه‌و‌آله مدت سه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 پرفیض ائمه اهل بیت علیهم‌السلام بهره‌های علمی وافری برده و احکام فقهی خود را از آنان فرا گرفتند؛ زیرا از نظر امامیّه دایره سنّت وسیعتر بوده، به طوری که قول و فعل و تقریر ائمه را مانند قول و فعل </w:t>
      </w:r>
    </w:p>
    <w:p>
      <w:pPr>
        <w:pStyle w:val="BookText"/>
        <w:rPr/>
      </w:pPr>
      <w:r>
        <w:rPr>
          <w:rFonts w:ascii="IRNazanin" w:hAnsi="IRNazanin" w:eastAsia="IRNazanin"/>
          <w:color w:val="111111"/>
          <w:sz w:val="28"/>
          <w:sz w:val="28"/>
          <w:szCs w:val="28"/>
          <w:rtl w:val="true"/>
          <w:lang w:bidi="fa-IR"/>
        </w:rPr>
        <w:t>و تقریر پیامبر صلی‌الله‌علیه‌و‌آله حجت می‌دانستند، به همین جهت نیازی به تدوین کتب اصولی احساس نکردند و تنها بعد از غیبت کبری بود که علمای امامیّه احساس نیاز به تعیین و تدوین ضوابط و قواعدی کلّی کردند تا در استنباط احکام از آنها استفاده کنند و در این</w:t>
      </w:r>
    </w:p>
    <w:p>
      <w:pPr>
        <w:pStyle w:val="BookText"/>
        <w:rPr/>
      </w:pPr>
      <w:r>
        <w:rPr>
          <w:rFonts w:ascii="IRNazanin" w:hAnsi="IRNazanin" w:eastAsia="IRNazanin"/>
          <w:color w:val="111111"/>
          <w:sz w:val="28"/>
          <w:sz w:val="28"/>
          <w:szCs w:val="28"/>
          <w:rtl w:val="true"/>
          <w:lang w:bidi="fa-IR"/>
        </w:rPr>
        <w:t>زمینه به طور رسمی به تدوین و تألیف کتب اصولی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بذرها و مایه اوّلیّه</w:t>
      </w:r>
    </w:p>
    <w:p>
      <w:pPr>
        <w:pStyle w:val="BookText"/>
        <w:rPr/>
      </w:pPr>
      <w:r>
        <w:rPr>
          <w:rFonts w:ascii="IRNazanin" w:hAnsi="IRNazanin" w:eastAsia="IRNazanin"/>
          <w:color w:val="111111"/>
          <w:sz w:val="28"/>
          <w:sz w:val="28"/>
          <w:szCs w:val="28"/>
          <w:rtl w:val="true"/>
          <w:lang w:bidi="fa-IR"/>
        </w:rPr>
        <w:t>قواعد کلّی استنباط را قبلاً خود ائمه علیهم‌السلام تعیین و پایه‌گذاری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اصحاب و شاگردان فقیه و اهل نظر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وسائل‌الشیعه در این مورد دو روایت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َعلَیْنا أن نُلْقیَ إلیکُم الأُصولَ وَ عَلَیکم أنْ تُفَرِّعوُا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بر ما لازم است که اصول و کلّیّات را بر شما القا کنیم و بر شماست که از آن اصول فروعی را به دست آورید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مِنْ کتاب أحمد بن محمّد بن أبی نَصْر عَن الرّضا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عَلَیْنا إلقاءُ الأُصولِ وَ عَلَیکُم التفریعُ</w:t>
      </w:r>
      <w:r>
        <w:rPr>
          <w:rStyle w:val="FootnoteAnchor"/>
          <w:rtl w:val="true"/>
        </w:rPr>
        <w:footnoteReference w:id="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القای اصول و کلیات بر ماست، و بر شماست که تفریع فروع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اصحاب و راویانی که از بلاد دیگر به خدمت امام می‌آمدند، پس از سؤال از احکام مورد نظر خود و اخذ جواب، به بلاد خود بازمی‌گشتند و چون پیوسته دسترسی به امام نداشتند، لذا خود امام برای استنباط احکام در مواردی که مسأله‌ای پیش آید و نصّی در بین نباشد، قواعد و اصولی کلّی و قانونمند را به آنها تعلیم می‌دادند،</w:t>
      </w:r>
    </w:p>
    <w:p>
      <w:pPr>
        <w:pStyle w:val="BookText"/>
        <w:rPr/>
      </w:pPr>
      <w:r>
        <w:rPr>
          <w:rFonts w:ascii="IRNazanin" w:hAnsi="IRNazanin" w:eastAsia="IRNazanin"/>
          <w:color w:val="111111"/>
          <w:sz w:val="28"/>
          <w:sz w:val="28"/>
          <w:szCs w:val="28"/>
          <w:rtl w:val="true"/>
          <w:lang w:bidi="fa-IR"/>
        </w:rPr>
        <w:t>تا در کشف و استخراج حکم مسأله، آنها را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و قواعد کلّی، اصولی</w:t>
      </w:r>
    </w:p>
    <w:p>
      <w:pPr>
        <w:pStyle w:val="BookText"/>
        <w:rPr/>
      </w:pPr>
      <w:r>
        <w:rPr>
          <w:rFonts w:ascii="IRNazanin" w:hAnsi="IRNazanin" w:eastAsia="IRNazanin"/>
          <w:color w:val="111111"/>
          <w:sz w:val="28"/>
          <w:sz w:val="28"/>
          <w:szCs w:val="28"/>
          <w:rtl w:val="true"/>
          <w:lang w:bidi="fa-IR"/>
        </w:rPr>
        <w:t>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برائت، احتیاط و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قواعد فقهیّه</w:t>
      </w:r>
    </w:p>
    <w:p>
      <w:pPr>
        <w:pStyle w:val="BookText"/>
        <w:rPr/>
      </w:pPr>
      <w:r>
        <w:rPr>
          <w:rFonts w:ascii="IRNazanin" w:hAnsi="IRNazanin" w:eastAsia="IRNazanin"/>
          <w:color w:val="111111"/>
          <w:sz w:val="28"/>
          <w:sz w:val="28"/>
          <w:szCs w:val="28"/>
          <w:rtl w:val="true"/>
          <w:lang w:bidi="fa-IR"/>
        </w:rPr>
        <w:t>مثل قاعده طهارت، حلّیّت، لاضرر، لاحرج و غیره، مثلاً اصل استصحاب در صحیحه زراره پایه‌گذاری شده است که در پایان حدیث،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لایَنْقُض الیقیَن بِالشَّکِ</w:t>
      </w:r>
    </w:p>
    <w:p>
      <w:pPr>
        <w:pStyle w:val="BookText"/>
        <w:rPr/>
      </w:pPr>
      <w:r>
        <w:rPr>
          <w:rFonts w:ascii="IRNazanin" w:hAnsi="IRNazanin" w:eastAsia="IRNazanin"/>
          <w:color w:val="111111"/>
          <w:sz w:val="28"/>
          <w:sz w:val="28"/>
          <w:szCs w:val="28"/>
          <w:rtl w:val="true"/>
          <w:lang w:bidi="fa-IR"/>
        </w:rPr>
        <w:t>أبدا وَ لکنهّ یَنقُضُه بیقین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گاه نباید یقین خود را به وسیله شک نقض کند،</w:t>
      </w:r>
    </w:p>
    <w:p>
      <w:pPr>
        <w:pStyle w:val="BookText"/>
        <w:rPr/>
      </w:pPr>
      <w:r>
        <w:rPr>
          <w:rFonts w:ascii="IRNazanin" w:hAnsi="IRNazanin" w:eastAsia="IRNazanin"/>
          <w:color w:val="111111"/>
          <w:sz w:val="28"/>
          <w:sz w:val="28"/>
          <w:szCs w:val="28"/>
          <w:rtl w:val="true"/>
          <w:lang w:bidi="fa-IR"/>
        </w:rPr>
        <w:t>بلکه آن را به وسیله یقین دیگری نقض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 که در مورد اصل برائت به حدیث رفع تمسّک جسته‌اند که پیامبر صلی‌الله‌علیه‌و‌آله فرمود</w:t>
      </w:r>
      <w:r>
        <w:rPr>
          <w:rFonts w:eastAsia="IRNazanin" w:cs="IRNazanin"/>
          <w:color w:val="111111"/>
          <w:sz w:val="28"/>
          <w:szCs w:val="28"/>
          <w:rtl w:val="true"/>
          <w:lang w:bidi="fa-IR"/>
        </w:rPr>
        <w:t xml:space="preserve">: </w:t>
      </w:r>
      <w:bookmarkStart w:id="47" w:name="pg4331_48889"/>
    </w:p>
    <w:p>
      <w:pPr>
        <w:pStyle w:val="BookText"/>
        <w:rPr/>
      </w:pPr>
      <w:bookmarkEnd w:id="47"/>
      <w:r>
        <w:rPr>
          <w:rFonts w:ascii="Amiri" w:hAnsi="Amiri" w:eastAsia="Amiri" w:cs="Amiri"/>
          <w:color w:val="111111"/>
          <w:sz w:val="28"/>
          <w:sz w:val="28"/>
          <w:szCs w:val="28"/>
          <w:rtl w:val="true"/>
          <w:lang w:bidi="ar-SA"/>
        </w:rPr>
        <w:t xml:space="preserve">رُفِعَ عَنْ اُمَّتی تِسعة الخَطَأُ وَ النِسیان وَ ما استُکرِهوا عَلیْه و ما لایَعْلَموُنَ </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مؤاخذه نه چیز از امت من برداشته شد ؛ خطا و فراموشی و آنچه بر آن با کراهت و بدون میل خود وادار شوند و آنچه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 در مورد اصالة الاحتیاط به حدیث امیر المؤمنین علیه‌السلام تمسّک کرده‌اند، که آن حضرت به کمیل 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اخوک دینک فاحتط لدینک بما شئت</w:t>
      </w:r>
      <w:r>
        <w:rPr>
          <w:rStyle w:val="FootnoteAnchor"/>
          <w:rtl w:val="true"/>
        </w:rPr>
        <w:footnoteReference w:id="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تو به منزله برادر تو است، پس تا آن جا که می‌توانی نسبت به دینت احتیاط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تبیین این قواعد کلی از سوی امام در آن عصر، به معنی اجتهاد رایج و متعارفی که امروزه در کلّ ابواب فقه جاری است نبوده است</w:t>
      </w:r>
      <w:r>
        <w:rPr>
          <w:rFonts w:eastAsia="IRNazanin" w:cs="IRNazanin"/>
          <w:color w:val="111111"/>
          <w:sz w:val="28"/>
          <w:szCs w:val="28"/>
          <w:rtl w:val="true"/>
          <w:lang w:bidi="fa-IR"/>
        </w:rPr>
        <w:t>.</w:t>
      </w:r>
    </w:p>
    <w:p>
      <w:pPr>
        <w:pStyle w:val="Heading4"/>
        <w:numPr>
          <w:ilvl w:val="3"/>
          <w:numId w:val="1"/>
        </w:numPr>
        <w:rPr/>
      </w:pPr>
      <w:bookmarkStart w:id="48" w:name="__RefHeading___Toc1014623_1479056682"/>
      <w:bookmarkStart w:id="49" w:name="_Toc16"/>
      <w:bookmarkEnd w:id="48"/>
      <w:r>
        <w:rPr>
          <w:rtl w:val="true"/>
        </w:rPr>
        <w:t>اوّلین تألیف در علم اصول</w:t>
      </w:r>
      <w:bookmarkEnd w:id="49"/>
    </w:p>
    <w:p>
      <w:pPr>
        <w:pStyle w:val="BookText"/>
        <w:rPr/>
      </w:pPr>
      <w:r>
        <w:rPr>
          <w:rFonts w:ascii="IRNazanin" w:hAnsi="IRNazanin" w:eastAsia="IRNazanin"/>
          <w:color w:val="111111"/>
          <w:sz w:val="28"/>
          <w:sz w:val="28"/>
          <w:szCs w:val="28"/>
          <w:rtl w:val="true"/>
          <w:lang w:bidi="fa-IR"/>
        </w:rPr>
        <w:t>آنچه بین علما مشهور است، این است که اوّلین مؤلّف علم اصول محمّد بن ادریس شافعی بوده که کتاب الرّساله را در این 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این کتاب را در مکه نوشته و آن را برای عبدالرحمن بن مهدی محدّث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 زیرا او از شافعی خواسته بود که برای او کتابی که شامل معانی قرآن باشد</w:t>
      </w:r>
    </w:p>
    <w:p>
      <w:pPr>
        <w:pStyle w:val="BookText"/>
        <w:rPr/>
      </w:pPr>
      <w:r>
        <w:rPr>
          <w:rFonts w:ascii="IRNazanin" w:hAnsi="IRNazanin" w:eastAsia="IRNazanin"/>
          <w:color w:val="111111"/>
          <w:sz w:val="28"/>
          <w:sz w:val="28"/>
          <w:szCs w:val="28"/>
          <w:rtl w:val="true"/>
          <w:lang w:bidi="fa-IR"/>
        </w:rPr>
        <w:t>تهیه کند و در آن راجع به اخبار و حجّیّت اجماع و بیان ناسخ و منسوخ از قرآن و سنّت</w:t>
      </w:r>
    </w:p>
    <w:p>
      <w:pPr>
        <w:pStyle w:val="BookText"/>
        <w:rPr/>
      </w:pPr>
      <w:r>
        <w:rPr>
          <w:rFonts w:ascii="IRNazanin" w:hAnsi="IRNazanin" w:eastAsia="IRNazanin"/>
          <w:color w:val="111111"/>
          <w:sz w:val="28"/>
          <w:sz w:val="28"/>
          <w:szCs w:val="28"/>
          <w:rtl w:val="true"/>
          <w:lang w:bidi="fa-IR"/>
        </w:rPr>
        <w:t>بحث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درخواست عبدالرحمن را اجابت کرده و آن را نوشت و برای او فرستاد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 شافعی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نگذاشته، بلکه در</w:t>
      </w:r>
    </w:p>
    <w:p>
      <w:pPr>
        <w:pStyle w:val="BookText"/>
        <w:rPr/>
      </w:pPr>
      <w:r>
        <w:rPr>
          <w:rFonts w:ascii="IRNazanin" w:hAnsi="IRNazanin" w:eastAsia="IRNazanin"/>
          <w:color w:val="111111"/>
          <w:sz w:val="28"/>
          <w:sz w:val="28"/>
          <w:szCs w:val="28"/>
          <w:rtl w:val="true"/>
          <w:lang w:bidi="fa-IR"/>
        </w:rPr>
        <w:t xml:space="preserve">ضمن مطالب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یک بار دیگر در مصر آن را بر شاگردان خود املاء کرد، تا مقدمه‌ای باشد بر کتاب فقهی خود، یعنی کتاب الامّ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 معجم الادباء می‌نویسد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شافعی جوان بود، عبدالرحمن بن مهدی به او نامه‌ای نوشت که </w:t>
      </w:r>
    </w:p>
    <w:p>
      <w:pPr>
        <w:pStyle w:val="BookText"/>
        <w:rPr/>
      </w:pPr>
      <w:r>
        <w:rPr>
          <w:rFonts w:ascii="IRNazanin" w:hAnsi="IRNazanin" w:eastAsia="IRNazanin"/>
          <w:color w:val="111111"/>
          <w:sz w:val="28"/>
          <w:sz w:val="28"/>
          <w:szCs w:val="28"/>
          <w:rtl w:val="true"/>
          <w:lang w:bidi="fa-IR"/>
        </w:rPr>
        <w:t>برای او کتابی بنویسد که در آن معانی و تفسیر قرآن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اخبار مورد قبول و اجماع حجت و مورد قبول را در آن جمع‌آوری کند و ناسخ و منسوخ کتاب و سنّت را بیان کند، پس شافعی برای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همین کتاب نیز از قول احمد بن حنبل درباره شافعی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فقه بر اهلش قفل و در بسته بود، تا آن که خداوند آن را به وسیله شافعی باز کرد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نیز در کتاب مذکور از قول محمّد بن مسلم بن وراة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حضور ابا عبداللّه احمد بن حنبل رسیده بر او سلام کردم،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کتابهای شافعی را نوشته‌ای ؟ گفتم 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سهل انگاری نمودی، زیرا تا وقتی که ما با شافعی مجالست نکردیم، عموم را از خصوص و ناسخ حدیث پیامبر را از منسوخ آن بازنشناختیم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وراة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گفته‌ها مرا بر آن داشت که به مصر بازگشتم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شافعی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ولی مؤلّف کتاب تأسیس الشّیعة لعلوم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 سیّد حسن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w:t>
      </w:r>
    </w:p>
    <w:p>
      <w:pPr>
        <w:pStyle w:val="BookText"/>
        <w:rPr/>
      </w:pPr>
      <w:r>
        <w:rPr>
          <w:rFonts w:ascii="IRNazanin" w:hAnsi="IRNazanin" w:eastAsia="IRNazanin"/>
          <w:color w:val="111111"/>
          <w:sz w:val="28"/>
          <w:sz w:val="28"/>
          <w:szCs w:val="28"/>
          <w:rtl w:val="true"/>
          <w:lang w:bidi="fa-IR"/>
        </w:rPr>
        <w:t xml:space="preserve">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أسّس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علیهماالسلام را اوّلین مؤسسان اصول فقه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امام بزرگوار قواعد کلّی، این علم را بر اصحاب خود املا کردند و بعدها متأخرین از همان قواعد کلی، کتب اصول فقه را تألیف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ذکر چند کتاب در اصول فقه، قول جلال الدین سیوطی را در کتاب الاوائل مبنی بر این که اوّلین مؤلّف در علم اصول، شافعی است، رد کرده و گفته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جلال الدین سیوطی در کتاب الاوائل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و اتّفاق آرای علما اوّلین کسی که در اصول فقه کتاب نوشته، شافعی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سیوطی تأسیس و ابتکار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تألیف علم اصول</w:t>
      </w:r>
      <w:r>
        <w:rPr>
          <w:rFonts w:eastAsia="IRNazanin" w:cs="IRNazanin"/>
          <w:color w:val="111111"/>
          <w:sz w:val="28"/>
          <w:szCs w:val="28"/>
          <w:rtl w:val="true"/>
          <w:lang w:bidi="fa-IR"/>
        </w:rPr>
        <w:t xml:space="preserve">) </w:t>
      </w:r>
      <w:bookmarkStart w:id="50" w:name="pg4331_48891"/>
    </w:p>
    <w:p>
      <w:pPr>
        <w:pStyle w:val="BookText"/>
        <w:rPr/>
      </w:pPr>
      <w:bookmarkEnd w:id="50"/>
      <w:r>
        <w:rPr>
          <w:rFonts w:ascii="IRNazanin" w:hAnsi="IRNazanin" w:eastAsia="IRNazanin"/>
          <w:color w:val="111111"/>
          <w:sz w:val="28"/>
          <w:sz w:val="28"/>
          <w:szCs w:val="28"/>
          <w:rtl w:val="true"/>
          <w:lang w:bidi="fa-IR"/>
        </w:rPr>
        <w:t>است، سخنی نابجاست و اگر منظورش معنی متعارف از تصنیف است، پس در علم اصول، هشام بن حکم متکلّم معروف از اصحاب امام صادق بر امام شافعی مقدم است، چنان که در صحیفه دوم این مطلب را خواهی شناخت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بعد در صحیفه دوم از همین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یازدهم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اوّلین کسی که در علم اصول کتاب تصنیف کرده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اوّلین کسی که در این علم، کتاب تصنیف کرده، هشام بن حکم، استاد متکلّمین اصولیّین امامیّه است، که کتاب الفاظ و مباحث آن را تألیف کرد، که از مهمترین مباحث این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یونس بن عبد الرّحمن،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یقطین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آن را نوشته است، که مربوط به مبحث تعارض دو حدیث و مسائل مربوط به تعادل و تراجیح در دو حدیث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کتاب را از امام کاظم موسی بن جعفر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نجاشی این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و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رجال خود ذکر کرده است، در حالی که امام شافعی از آن دو متأخّر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مؤلّف کتاب الوجیز فی اصول الفقه و تاریخ التشریع الاسلامی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w:t>
      </w:r>
    </w:p>
    <w:p>
      <w:pPr>
        <w:pStyle w:val="BookText"/>
        <w:rPr/>
      </w:pPr>
      <w:r>
        <w:rPr>
          <w:rFonts w:ascii="IRNazanin" w:hAnsi="IRNazanin" w:eastAsia="IRNazanin"/>
          <w:color w:val="111111"/>
          <w:sz w:val="28"/>
          <w:sz w:val="28"/>
          <w:szCs w:val="28"/>
          <w:rtl w:val="true"/>
          <w:lang w:bidi="fa-IR"/>
        </w:rPr>
        <w:t xml:space="preserve">در اصول اثری از خود باقی گذارده، امام ابو یوسف پیرو ابو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نقل می‌کند که گفته شده اولین مؤلف اصول، هشام بن حکم، یکی از شاگردان امام جعفر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بحث الفاظ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به نام اصول فقه کتابی نوشته است، امام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51" w:name="__RefHeading___Toc1014625_1479056682"/>
      <w:bookmarkStart w:id="52" w:name="_Toc17"/>
      <w:bookmarkEnd w:id="51"/>
      <w:r>
        <w:rPr>
          <w:rtl w:val="true"/>
        </w:rPr>
        <w:t>مؤلفان علم اصول از امامیّه</w:t>
      </w:r>
      <w:bookmarkEnd w:id="5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بعضی مانند مؤلّف تأسیس الشیعة، در تألیف علم اصول، شیعه را بر اهل سنّت </w:t>
      </w:r>
    </w:p>
    <w:p>
      <w:pPr>
        <w:pStyle w:val="BookText"/>
        <w:rPr/>
      </w:pPr>
      <w:r>
        <w:rPr>
          <w:rFonts w:ascii="IRNazanin" w:hAnsi="IRNazanin" w:eastAsia="IRNazanin"/>
          <w:color w:val="111111"/>
          <w:sz w:val="28"/>
          <w:sz w:val="28"/>
          <w:szCs w:val="28"/>
          <w:rtl w:val="true"/>
          <w:lang w:bidi="fa-IR"/>
        </w:rPr>
        <w:t>مقدم می‌دانند، ولی به نظر نگارنده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امامیّه چون بعد از رحلت پیامبر اکرم صلی‌الله‌علیه‌و‌آلهمسائل و احکام خود را از ائمه معصومین علیهم‌السلام اخذ می‌کردند، نیازی به تدوین قواعد علم اصول، برای استنباط احکام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ضوابط و قواعد کلّی و بذرهای اولیه آن را از امام باقر و امام صادق علیهماالسلام فراگرفته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به عقیده شیعه، قول و فعل و تقریر ائمه علیهم‌السلام مانند قول و فعل و تقریر پیامبر صلی‌الله‌علیه‌و‌آله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تا زمان شروع غیبت کبری، یعنی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شیعیان احکام خود را بی‌واسطه یا با واسطه از ائمه معصومین علیهم‌السلام می‌گرفتند و احتیاجی به تدوین قواعد اصول، برای اجتهاد و استنباط احکام نداشتند؛ لیکن بعد از شروع غیبت کبرا طبق توقیع 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الْحَوادِثُ الواقعةُ فَاْرجِعُوا فیها إلی رُواةِ حَدیثنا فَانّهُمْ حُجّتی عَلیْکُمْ وَ أنَا حُجَّهُ‌اللّه‌ِ</w:t>
      </w:r>
      <w:r>
        <w:rPr>
          <w:rStyle w:val="FootnoteAnchor"/>
          <w:rtl w:val="true"/>
        </w:rPr>
        <w:footnoteReference w:id="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درباره‌حوادث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راویان احادیث ما مراجعه کنید، زیرا آنان حجّت من بر شما هستند و من حجّت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فقهای امامیّه موظف شدند که در امور شرعی، شیعیان را رهبری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ناچار به علم اصول روی آوردند و این در هنگامی بود که علم اصول فقه به وسیله علمای اهل سنّت به صورت علم مدوّنی در آمده و در آن باره کتابهای متعدّدی نوشته بودند و سرانجام علمای شیعه نزدیک به دو قرن دیرتر از علمای اهل سنّت به طور رسمی دست به تألیفاتی در علم اصول زدند و پس از ورود به علم اصول در آن مطالعه و مناقشه فراوان</w:t>
      </w:r>
    </w:p>
    <w:p>
      <w:pPr>
        <w:pStyle w:val="BookText"/>
        <w:rPr/>
      </w:pPr>
      <w:r>
        <w:rPr>
          <w:rFonts w:ascii="IRNazanin" w:hAnsi="IRNazanin" w:eastAsia="IRNazanin"/>
          <w:color w:val="111111"/>
          <w:sz w:val="28"/>
          <w:sz w:val="28"/>
          <w:szCs w:val="28"/>
          <w:rtl w:val="true"/>
          <w:lang w:bidi="fa-IR"/>
        </w:rPr>
        <w:t>کردند و مباحث آن را بسیار توسعه و گسترش دادند و تألیفات بسیار گرانبهایی در این زمینه پدید آوردند، به طوری که از علمای اهل سنّت گوی سبقت را ربودند و مسائل و مباحث این علم را بسیار وسیعتر و عمیقتر مورد بحث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علمای شیعه،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است که در این علم صاحب تألیف بوده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شیخ مفید،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الذریعة إلی اصول الشریعة را در علم اصول تألیف کرده و مباحث اصولی را بسیار دقیق مورد بررسی قرار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سیّد مرتضی،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عدّة الاصول را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شیخ طوسی در مقدمه کتاب معلوم می‌شود که تا آن زمان کتاب کاملی در علم اصول نوشته نشده بود، جز کتاب اصول الفقه شیخ مفید که تمام مسائل و ابواب</w:t>
      </w:r>
    </w:p>
    <w:p>
      <w:pPr>
        <w:pStyle w:val="BookText"/>
        <w:rPr/>
      </w:pPr>
      <w:r>
        <w:rPr>
          <w:rFonts w:ascii="IRNazanin" w:hAnsi="IRNazanin" w:eastAsia="IRNazanin"/>
          <w:color w:val="111111"/>
          <w:sz w:val="28"/>
          <w:sz w:val="28"/>
          <w:szCs w:val="28"/>
          <w:rtl w:val="true"/>
          <w:lang w:bidi="fa-IR"/>
        </w:rPr>
        <w:t>اصول را نداشته و نیز سید مرتضی همان مسائل اصولی شیخ مفید را در کتاب امالی خود</w:t>
      </w:r>
    </w:p>
    <w:p>
      <w:pPr>
        <w:pStyle w:val="BookText"/>
        <w:rPr/>
      </w:pPr>
      <w:r>
        <w:rPr>
          <w:rFonts w:ascii="IRNazanin" w:hAnsi="IRNazanin" w:eastAsia="IRNazanin"/>
          <w:color w:val="111111"/>
          <w:sz w:val="28"/>
          <w:sz w:val="28"/>
          <w:szCs w:val="28"/>
          <w:rtl w:val="true"/>
          <w:lang w:bidi="fa-IR"/>
        </w:rPr>
        <w:t>شرح و بسط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مقدمه کتاب عدّة الاصول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 در این باب کتابی تألیف نشده، مگر آنچه شیخ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مختصر خود در اصول فقه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مسائل اصول را کاملاً بیان نکرده و چیزهایی را فروگذار کرده که نیاز به استدراک دارد و همچنین به نوشته‌هایی غیر از نوشته‌های او نیاز است، و سید مرتضی، که خداوند مقام بلند او را مستدام بدارد، گرچه در امالی و آنچه بر آن خوانده می‌شود، شرح زیادی داده است، ولی در مورد این علم کتابی که مرجع و تکیه‌گاه و نیز مستند باشد تألیف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نسبت به آنچه از من درخواست کردید، جواب می‌دهم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نکته قابل توجه آن که، کتب اوّلیّه علم اصول فقه، بیشتر به مباحث مربوط به الفاظ پرداخته و از ادلّه عقلی کمتر بحث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این جانب، شاید دلیل آن، اخبار و روایاتی است که ائمه علیهم‌السلام در آنها به طور کلّی به کار بردن عقل و قیاس را در احکام شرعی منع کرده‌اند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شیعه نگران این امر بودند که اگر در اجتهاد و استنباط احکام، بیش از حد به عنصر عقل تکیه کنند، نصوص شرعی مورد بی‌توجهی و غفلت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مکتب رأی و قیاس اهل سنّت چنین شد و تکیه بر عقل در استنباط احکام شریعت کم‌کم آنان را به سمت قیاس و استحسان و مصالح مرسله سوق داد و بر آن شدند که احکام شرعی را به کمک این گونه ادلّه ظنّی استنباط کنند</w:t>
      </w:r>
      <w:r>
        <w:rPr>
          <w:rFonts w:eastAsia="IRNazanin" w:cs="IRNazanin"/>
          <w:color w:val="111111"/>
          <w:sz w:val="28"/>
          <w:szCs w:val="28"/>
          <w:rtl w:val="true"/>
          <w:lang w:bidi="fa-IR"/>
        </w:rPr>
        <w:t xml:space="preserve">. </w:t>
      </w:r>
      <w:bookmarkStart w:id="53" w:name="pg4331_48894"/>
    </w:p>
    <w:p>
      <w:pPr>
        <w:pStyle w:val="Heading4"/>
        <w:numPr>
          <w:ilvl w:val="3"/>
          <w:numId w:val="1"/>
        </w:numPr>
        <w:rPr/>
      </w:pPr>
      <w:bookmarkStart w:id="54" w:name="__RefHeading___Toc1014627_1479056682"/>
      <w:bookmarkStart w:id="55" w:name="_Toc18"/>
      <w:bookmarkEnd w:id="53"/>
      <w:bookmarkEnd w:id="54"/>
      <w:r>
        <w:rPr>
          <w:rtl w:val="true"/>
        </w:rPr>
        <w:t>تحول و تکامل علم اصول</w:t>
      </w:r>
      <w:bookmarkEnd w:id="55"/>
    </w:p>
    <w:p>
      <w:pPr>
        <w:pStyle w:val="BookText"/>
        <w:rPr/>
      </w:pPr>
      <w:r>
        <w:rPr>
          <w:rFonts w:ascii="IRNazanin" w:hAnsi="IRNazanin" w:eastAsia="IRNazanin"/>
          <w:color w:val="111111"/>
          <w:sz w:val="28"/>
          <w:sz w:val="28"/>
          <w:szCs w:val="28"/>
          <w:rtl w:val="true"/>
          <w:lang w:bidi="fa-IR"/>
        </w:rPr>
        <w:t>بعد از شیخ طوسی، حرکت و نهضت علمی شیعه در تألیف اصول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 و نوابغی مانند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به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گرانبهایی در فقه و اصول از خود باقی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در علم اصول کتاب نهج الوصول الی معرفة الاصول و کتاب معارج الاصول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نوابغ بزرگ علمای شیعه، علاّمه حلّی، شاگرد و خواهرزاده محقّق ح حلّی است که کتب متعددی در اصول نوشته، از قبیل کتاب تهذیب الوصول الی علم الاصول و کتاب مبادئ الوصول الی علم الاصول</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گرچه کتاب تهذیب علاّمه مهمتر و مفصلتر از کتاب معالم الاصول است، ولی شاید</w:t>
      </w:r>
    </w:p>
    <w:p>
      <w:pPr>
        <w:pStyle w:val="BookText"/>
        <w:rPr/>
      </w:pPr>
      <w:r>
        <w:rPr>
          <w:rFonts w:ascii="IRNazanin" w:hAnsi="IRNazanin" w:eastAsia="IRNazanin"/>
          <w:color w:val="111111"/>
          <w:sz w:val="28"/>
          <w:sz w:val="28"/>
          <w:szCs w:val="28"/>
          <w:rtl w:val="true"/>
          <w:lang w:bidi="fa-IR"/>
        </w:rPr>
        <w:t xml:space="preserve">بتوان گفت که علم اصول عملاً حرکت به سوی تکامل خود را بیشتر در زمان شیخ حسن فرزند شهید ثانی، معروف به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معالم الاصول این فقیه بزرگوار، از زمان تألیف تاکنون یکی از کتب درسی حوزه برای آموزش مراحل ابتدایی علم اصول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محور خوبی برای پژوهشها و تحقیقات اصولی بوده و حاشیه‌ها و شرحهای زیادی بر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تحقیقاتی که درباره این کتاب انجام گرفته، حاشیه هدایة المسترشدین نوشته</w:t>
      </w:r>
    </w:p>
    <w:p>
      <w:pPr>
        <w:pStyle w:val="BookText"/>
        <w:rPr/>
      </w:pPr>
      <w:r>
        <w:rPr>
          <w:rFonts w:ascii="IRNazanin" w:hAnsi="IRNazanin" w:eastAsia="IRNazanin"/>
          <w:color w:val="111111"/>
          <w:sz w:val="28"/>
          <w:sz w:val="28"/>
          <w:szCs w:val="28"/>
          <w:rtl w:val="true"/>
          <w:lang w:bidi="fa-IR"/>
        </w:rPr>
        <w:t xml:space="preserve">شیخ محمّد تقی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اهمّیّت این اثر ارزشمند همین بس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مرتضی انصاری سؤل شد که چرا ایشان کتابی در مباحث الفاظ نمی‌نویسد تا در کنار مباحث عقلی فرائد الاصول، تألیف یک دوره کامل علم اصول را تکمیل کرده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اصفهانی با تعلیقه خود بر معالم، ما را از این کار</w:t>
      </w:r>
    </w:p>
    <w:p>
      <w:pPr>
        <w:pStyle w:val="BookText"/>
        <w:rPr/>
      </w:pPr>
      <w:r>
        <w:rPr>
          <w:rFonts w:ascii="IRNazanin" w:hAnsi="IRNazanin" w:eastAsia="IRNazanin"/>
          <w:color w:val="111111"/>
          <w:sz w:val="28"/>
          <w:sz w:val="28"/>
          <w:szCs w:val="28"/>
          <w:rtl w:val="true"/>
          <w:lang w:bidi="fa-IR"/>
        </w:rPr>
        <w:t>بی نیاز کرده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علمای بزرگواری که اثر ارزشمندی در علم اصول از خود باقی گذارده مولی عبد اللّه بن محمّد تونی معروف به فاضل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کتاب الوافیه این عالم بزرگ، با همه اختصارش، از بهترین کتابهایی است که در علم اصول نوشته شده، این کتاب از نظر حجم به اندازه کتاب معالم است، ولی از نظر سطح</w:t>
      </w:r>
    </w:p>
    <w:p>
      <w:pPr>
        <w:pStyle w:val="BookText"/>
        <w:rPr/>
      </w:pPr>
      <w:r>
        <w:rPr>
          <w:rFonts w:ascii="IRNazanin" w:hAnsi="IRNazanin" w:eastAsia="IRNazanin"/>
          <w:color w:val="111111"/>
          <w:sz w:val="28"/>
          <w:sz w:val="28"/>
          <w:szCs w:val="28"/>
          <w:rtl w:val="true"/>
          <w:lang w:bidi="fa-IR"/>
        </w:rPr>
        <w:t>علمی، بسیار عمیقتر و بالاتر از کتاب معالم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سالها پیش در هند به چاپ رسید، ولی بعدها نایاب شد و مدّتها در محافل علمی اثری از آن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فکر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تصحیح بسیار خوبی آن را چاپ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فرائدالاصول توجه زیادی به این کتاب داشته است و از آن نام می‌برد</w:t>
      </w:r>
    </w:p>
    <w:p>
      <w:pPr>
        <w:pStyle w:val="BookText"/>
        <w:rPr/>
      </w:pPr>
      <w:r>
        <w:rPr>
          <w:rFonts w:ascii="IRNazanin" w:hAnsi="IRNazanin" w:eastAsia="IRNazanin"/>
          <w:color w:val="111111"/>
          <w:sz w:val="28"/>
          <w:sz w:val="28"/>
          <w:szCs w:val="28"/>
          <w:rtl w:val="true"/>
          <w:lang w:bidi="fa-IR"/>
        </w:rPr>
        <w:t>و دیدگاههای فاضل تونی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کم حجم، از خود ابتکار و نوآوری نشان داده و میدانهای جدیدی از اندیشه و نوآوری را عرضه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ابتکارات او این است که باتوجه به تقسیم مباحث علم اصول به دو بخش مباحث الفاظ و مباحث عقلی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ضمن مباحث عقلی آورده شود، نه در مبحث الفاظ، در حالی که علمای قبل از فاضل و علمای معاصر وی و حتّی علمای بعد از او، این مباحث را در مبحث الفاظ قرار داده‌اند و تنها کسی که در مورد تقسیم بندی مباحث لفظی و عقلی علم اصول، همان نظم و روش صاحب وافیه رارعایت کرده است، مرحوم محقّق اصفهانی صاحب نهایة الدرایة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کتاب اصولی گرانقدر خود به نام الاصول علی النهج الحدیث مانند صاحب وافیه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اثر گرانقدر ناتمام مانده و مؤلف قسمتی از مباحث اصول را نوشته و اجل به وی مهلت نداده است که مباحث اصولی این کتاب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ابتکارات صاحب وافیه در این کتاب، تقسیم بندی ادلّه اصولی به ادلّه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عقلی است که ادلّه عقلی را نیز به دو قسم دلیل عقلی مستقلّ و دلیل عقلی غیر مستقلّ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کتاب یکی از کتب قابل توجه و ارزشمند در علم اصول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 نضج و تکامل علم اصول در میان اصولیّین شیعه، پیدایش پدیده </w:t>
      </w:r>
      <w:bookmarkStart w:id="56" w:name="pg4331_48896"/>
    </w:p>
    <w:p>
      <w:pPr>
        <w:pStyle w:val="BookText"/>
        <w:rPr/>
      </w:pPr>
      <w:bookmarkEnd w:id="56"/>
      <w:r>
        <w:rPr>
          <w:rFonts w:ascii="IRNazanin" w:hAnsi="IRNazanin" w:eastAsia="IRNazanin"/>
          <w:color w:val="111111"/>
          <w:sz w:val="28"/>
          <w:sz w:val="28"/>
          <w:szCs w:val="28"/>
          <w:rtl w:val="true"/>
          <w:lang w:bidi="fa-IR"/>
        </w:rPr>
        <w:t xml:space="preserve">جدیدی به نام اخباری گری بود، که نخستین بار به وسیله شیخ محمّد امین استرآبادی مؤلّف کتاب فوائد المدنیّه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اعتباری دلیل عقل در استنباط</w:t>
      </w:r>
    </w:p>
    <w:p>
      <w:pPr>
        <w:pStyle w:val="BookText"/>
        <w:rPr/>
      </w:pPr>
      <w:r>
        <w:rPr>
          <w:rFonts w:ascii="IRNazanin" w:hAnsi="IRNazanin" w:eastAsia="IRNazanin"/>
          <w:color w:val="111111"/>
          <w:sz w:val="28"/>
          <w:sz w:val="28"/>
          <w:szCs w:val="28"/>
          <w:rtl w:val="true"/>
          <w:lang w:bidi="fa-IR"/>
        </w:rPr>
        <w:t>احکام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اخباریّون حجّیّت عقل و ملازمه بین حکم عقل و حکم شرع را انکار کردند، ولی مجتهدین و اصولیّون شیعه بر حجّیّت دلیل عقل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علمی بین اخباریون و اصولیون تا مدتها فقهای شیعه را به خود مشغول داشت و آنان را وادار به مبارزات علمی بی‌سابقه‌ای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اوج مبارزه و آتش این ستیزه فکری بین دو تن</w:t>
      </w:r>
    </w:p>
    <w:p>
      <w:pPr>
        <w:pStyle w:val="BookText"/>
        <w:rPr/>
      </w:pPr>
      <w:r>
        <w:rPr>
          <w:rFonts w:ascii="IRNazanin" w:hAnsi="IRNazanin" w:eastAsia="IRNazanin"/>
          <w:color w:val="111111"/>
          <w:sz w:val="28"/>
          <w:sz w:val="28"/>
          <w:szCs w:val="28"/>
          <w:rtl w:val="true"/>
          <w:lang w:bidi="fa-IR"/>
        </w:rPr>
        <w:t>از برجسته‌ترین فقهای این دو مکتب شعله 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که از لحاظ علم و عمل و انصاف و تقوا سرآمد همگان بودند،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یوسف بحرانی صاحب حدائق و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بساط مکتب اخباری‌گری به دست مجتهد توانا، یعنی وحید بهبهانی در هم پیچیده شد و نتیجه این مبارزات به نفع علم اصول تمام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بزرگانی از علمای اصول در صدد برآمدند که در شیوه بحثهای اصولی دگرگونی بنیادین به وجود آورند</w:t>
      </w:r>
      <w:r>
        <w:rPr>
          <w:rFonts w:eastAsia="IRNazanin" w:cs="IRNazanin"/>
          <w:color w:val="111111"/>
          <w:sz w:val="28"/>
          <w:szCs w:val="28"/>
          <w:rtl w:val="true"/>
          <w:lang w:bidi="fa-IR"/>
        </w:rPr>
        <w:t>.</w:t>
      </w:r>
    </w:p>
    <w:p>
      <w:pPr>
        <w:pStyle w:val="Heading4"/>
        <w:numPr>
          <w:ilvl w:val="3"/>
          <w:numId w:val="1"/>
        </w:numPr>
        <w:rPr/>
      </w:pPr>
      <w:bookmarkStart w:id="57" w:name="__RefHeading___Toc1014629_1479056682"/>
      <w:bookmarkStart w:id="58" w:name="_Toc19"/>
      <w:bookmarkEnd w:id="57"/>
      <w:r>
        <w:rPr>
          <w:rtl w:val="true"/>
        </w:rPr>
        <w:t xml:space="preserve">نقش میرزای قمی </w:t>
      </w:r>
      <w:r>
        <w:rPr>
          <w:rtl w:val="true"/>
        </w:rPr>
        <w:t>(</w:t>
      </w:r>
      <w:r>
        <w:rPr>
          <w:rtl w:val="true"/>
        </w:rPr>
        <w:t>صاحب قوانین</w:t>
      </w:r>
      <w:r>
        <w:rPr>
          <w:rtl w:val="true"/>
        </w:rPr>
        <w:t>)</w:t>
      </w:r>
      <w:bookmarkEnd w:id="58"/>
    </w:p>
    <w:p>
      <w:pPr>
        <w:pStyle w:val="BookText"/>
        <w:rPr/>
      </w:pPr>
      <w:r>
        <w:rPr>
          <w:rFonts w:ascii="IRNazanin" w:hAnsi="IRNazanin" w:eastAsia="IRNazanin"/>
          <w:color w:val="111111"/>
          <w:sz w:val="28"/>
          <w:sz w:val="28"/>
          <w:szCs w:val="28"/>
          <w:rtl w:val="true"/>
          <w:lang w:bidi="fa-IR"/>
        </w:rPr>
        <w:t>گفته شد که کتب اوّلیّه، بیشتر در مباحث الفاظ بوده و به مباحث ادلّه عقلی کمتر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کسانی که به مباحث عقلی در اصول بیشتر پرداخته میزا ابوالقاسم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قوانین الاصول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این کتاب در</w:t>
      </w:r>
    </w:p>
    <w:p>
      <w:pPr>
        <w:pStyle w:val="BookText"/>
        <w:rPr/>
      </w:pPr>
      <w:r>
        <w:rPr>
          <w:rFonts w:ascii="IRNazanin" w:hAnsi="IRNazanin" w:eastAsia="IRNazanin"/>
          <w:color w:val="111111"/>
          <w:sz w:val="28"/>
          <w:sz w:val="28"/>
          <w:szCs w:val="28"/>
          <w:rtl w:val="true"/>
          <w:lang w:bidi="fa-IR"/>
        </w:rPr>
        <w:t>ادلّه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مقایسه آن با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مباحث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w:t>
      </w:r>
    </w:p>
    <w:p>
      <w:pPr>
        <w:pStyle w:val="BookText"/>
        <w:rPr/>
      </w:pPr>
      <w:r>
        <w:rPr>
          <w:rFonts w:ascii="IRNazanin" w:hAnsi="IRNazanin" w:eastAsia="IRNazanin"/>
          <w:color w:val="111111"/>
          <w:sz w:val="28"/>
          <w:sz w:val="28"/>
          <w:szCs w:val="28"/>
          <w:rtl w:val="true"/>
          <w:lang w:bidi="fa-IR"/>
        </w:rPr>
        <w:t>تا زمان صاحب قوانین و حتّی نزد خود او، ادلّه عقلی در درجه دوم اهمّیّت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بحث حجّت بودن دلیل عقلی و بحث ملازمه بین حکم عقل و شرع را به طور مفصّل در این کتاب ارزشمند مطرح کرده است</w:t>
      </w:r>
      <w:r>
        <w:rPr>
          <w:rFonts w:eastAsia="IRNazanin" w:cs="IRNazanin"/>
          <w:color w:val="111111"/>
          <w:sz w:val="28"/>
          <w:szCs w:val="28"/>
          <w:rtl w:val="true"/>
          <w:lang w:bidi="fa-IR"/>
        </w:rPr>
        <w:t>.</w:t>
      </w:r>
    </w:p>
    <w:p>
      <w:pPr>
        <w:pStyle w:val="Heading4"/>
        <w:numPr>
          <w:ilvl w:val="3"/>
          <w:numId w:val="1"/>
        </w:numPr>
        <w:rPr/>
      </w:pPr>
      <w:bookmarkStart w:id="59" w:name="__RefHeading___Toc1014631_1479056682"/>
      <w:bookmarkStart w:id="60" w:name="_Toc20"/>
      <w:bookmarkEnd w:id="59"/>
      <w:r>
        <w:rPr>
          <w:rtl w:val="true"/>
        </w:rPr>
        <w:t>نقش صاحب فصول</w:t>
      </w:r>
      <w:bookmarkEnd w:id="6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کتابهای بسیار مهمّ و مؤثّر در تکامل علم اصول، کتاب فصول است، که مؤلّف </w:t>
      </w:r>
      <w:bookmarkStart w:id="61" w:name="pg4331_48897"/>
    </w:p>
    <w:p>
      <w:pPr>
        <w:pStyle w:val="BookText"/>
        <w:rPr/>
      </w:pPr>
      <w:bookmarkEnd w:id="61"/>
      <w:r>
        <w:rPr>
          <w:rFonts w:ascii="IRNazanin" w:hAnsi="IRNazanin" w:eastAsia="IRNazanin"/>
          <w:color w:val="111111"/>
          <w:sz w:val="28"/>
          <w:sz w:val="28"/>
          <w:szCs w:val="28"/>
          <w:rtl w:val="true"/>
          <w:lang w:bidi="fa-IR"/>
        </w:rPr>
        <w:t xml:space="preserve">آن شیخ محمّدحسین بن عبدالرحیم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شیخ محمدتقی، صاحب حاشیه هدایة المسترشدین می‌باشد و به صاحب فصول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این کتاب الفصول الغرویّة فی الاصول الفقهیّة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فصول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در بسیاری از مباحث این کتاب بر مباحث کتاب قوانین محقّق قمی اعتراضات و ایراداتی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مدتها در حوزه‌های علمیه به عنوان یک کتاب درسی متداول تدریس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در این کتاب، با روشی فلسفی و کلامی، به مباحث عقلی پرداخته است و به همین جهت مصطلحات فلسفی و کلامی در آن بسیار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تبریزی در کتاب ریحانة الادب درباره</w:t>
      </w:r>
    </w:p>
    <w:p>
      <w:pPr>
        <w:pStyle w:val="BookText"/>
        <w:rPr/>
      </w:pPr>
      <w:r>
        <w:rPr>
          <w:rFonts w:ascii="IRNazanin" w:hAnsi="IRNazanin" w:eastAsia="IRNazanin"/>
          <w:color w:val="111111"/>
          <w:sz w:val="28"/>
          <w:sz w:val="28"/>
          <w:szCs w:val="28"/>
          <w:rtl w:val="true"/>
          <w:lang w:bidi="fa-IR"/>
        </w:rPr>
        <w:t>اهمّیّت این اثر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تحقیقات انیقه و تدقیقات وثیقه اجمع و اکمل</w:t>
      </w:r>
    </w:p>
    <w:p>
      <w:pPr>
        <w:pStyle w:val="BookText"/>
        <w:rPr/>
      </w:pPr>
      <w:r>
        <w:rPr>
          <w:rFonts w:ascii="IRNazanin" w:hAnsi="IRNazanin" w:eastAsia="IRNazanin"/>
          <w:color w:val="111111"/>
          <w:sz w:val="28"/>
          <w:sz w:val="28"/>
          <w:szCs w:val="28"/>
          <w:rtl w:val="true"/>
          <w:lang w:bidi="fa-IR"/>
        </w:rPr>
        <w:t>کتب اصولیّه بوده و محلّ استفاده اکابر و فحول و فهم مطالب و تفطّن بر نکات و دقایق آن</w:t>
      </w:r>
    </w:p>
    <w:p>
      <w:pPr>
        <w:pStyle w:val="BookText"/>
        <w:rPr/>
      </w:pPr>
      <w:r>
        <w:rPr>
          <w:rFonts w:ascii="IRNazanin" w:hAnsi="IRNazanin" w:eastAsia="IRNazanin"/>
          <w:color w:val="111111"/>
          <w:sz w:val="28"/>
          <w:sz w:val="28"/>
          <w:szCs w:val="28"/>
          <w:rtl w:val="true"/>
          <w:lang w:bidi="fa-IR"/>
        </w:rPr>
        <w:t>مایه افتخار افاضل و بهترین معرف مقامات علمی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فهم و تدریس مقاصد آن بی‌اطلاع از اصطلاحات معقولی مشکل بلکه خارج از امکان عادی است</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62" w:name="__RefHeading___Toc1014633_1479056682"/>
      <w:bookmarkStart w:id="63" w:name="_Toc21"/>
      <w:bookmarkEnd w:id="62"/>
      <w:r>
        <w:rPr>
          <w:rtl w:val="true"/>
        </w:rPr>
        <w:t>نقش شیخ انصاری در تکامل مباحث اصول</w:t>
      </w:r>
      <w:bookmarkEnd w:id="63"/>
    </w:p>
    <w:p>
      <w:pPr>
        <w:pStyle w:val="BookText"/>
        <w:rPr/>
      </w:pPr>
      <w:r>
        <w:rPr>
          <w:rFonts w:ascii="IRNazanin" w:hAnsi="IRNazanin" w:eastAsia="IRNazanin"/>
          <w:color w:val="111111"/>
          <w:sz w:val="28"/>
          <w:sz w:val="28"/>
          <w:szCs w:val="28"/>
          <w:rtl w:val="true"/>
          <w:lang w:bidi="fa-IR"/>
        </w:rPr>
        <w:t xml:space="preserve">شیخ انصاری با نوشتن کتاب 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رسائل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ادلّه عقلی را مشروحا و مفصلتر از علمای قبل از خود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فرائد الاصول شیخ، مفصلترین کتاب در ادلّه عقلی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در این کتاب، مباحث قطع، ظنّ، حجّیّت ظن مطلق، امارات ظنّ‌آور و اصول عملیّه را بسیار مفصّل و دقیق مورد بحث و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تکمیل آنچه که به صورت ناقص در مباحث اصول متداول بوده، بخصوص بحث در مباحث عقلی، به وسیله شیخ انصاری صورت گرفته است و با توجه به محتوای کتاب رسائل شیخ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ادلّه عقلی و اصول عملیه را تا آن زمان هیچ کس بهتر و کاملتر از شیخ انصاری مطرح نکرده است</w:t>
      </w:r>
      <w:r>
        <w:rPr>
          <w:rFonts w:eastAsia="IRNazanin" w:cs="IRNazanin"/>
          <w:color w:val="111111"/>
          <w:sz w:val="28"/>
          <w:szCs w:val="28"/>
          <w:rtl w:val="true"/>
          <w:lang w:bidi="fa-IR"/>
        </w:rPr>
        <w:t xml:space="preserve">. </w:t>
      </w:r>
      <w:bookmarkStart w:id="64" w:name="pg4331_48898"/>
    </w:p>
    <w:p>
      <w:pPr>
        <w:pStyle w:val="BookText"/>
        <w:rPr/>
      </w:pPr>
      <w:bookmarkEnd w:id="64"/>
      <w:r>
        <w:rPr>
          <w:rFonts w:ascii="IRNazanin" w:hAnsi="IRNazanin" w:eastAsia="IRNazanin"/>
          <w:color w:val="111111"/>
          <w:sz w:val="28"/>
          <w:sz w:val="28"/>
          <w:szCs w:val="28"/>
          <w:rtl w:val="true"/>
          <w:lang w:bidi="fa-IR"/>
        </w:rPr>
        <w:t xml:space="preserve">مطالعه کتاب ارزشمند دیگر شیخ، یعنی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همین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 کتاب، نخست مکاسب محرّمه و سپس بیع و خیارات را مورد بحث قرار داده و در سراسر این کتاب همان ادلّه اصولی را که در کتاب رسائل بیان کرده، مورد</w:t>
      </w:r>
    </w:p>
    <w:p>
      <w:pPr>
        <w:pStyle w:val="BookText"/>
        <w:rPr/>
      </w:pPr>
      <w:r>
        <w:rPr>
          <w:rFonts w:ascii="IRNazanin" w:hAnsi="IRNazanin" w:eastAsia="IRNazanin"/>
          <w:color w:val="111111"/>
          <w:sz w:val="28"/>
          <w:sz w:val="28"/>
          <w:szCs w:val="28"/>
          <w:rtl w:val="true"/>
          <w:lang w:bidi="fa-IR"/>
        </w:rPr>
        <w:t>استفاده قرار داده و حکم هر مسأله را به وسیله همان قواعد اصولی استنباط کرده است، یعنی عملاً روش استفاده از قواعد اصولی و ادلّه عقلی را در کتاب مکاسب نشان داده که خود مبیّن اثر و ارزش ادلّه عقلی در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شیخ در کتاب مکاسب چنین است که ابتدا فروع مسائل را ذکر کرده، پس از آن به ذکر اقوال فقها و یا نقل اجماع پرداخته و سپس دلائل لفظی از قرآن و سنّت را بیان</w:t>
      </w:r>
    </w:p>
    <w:p>
      <w:pPr>
        <w:pStyle w:val="BookText"/>
        <w:rPr/>
      </w:pPr>
      <w:r>
        <w:rPr>
          <w:rFonts w:ascii="IRNazanin" w:hAnsi="IRNazanin" w:eastAsia="IRNazanin"/>
          <w:color w:val="111111"/>
          <w:sz w:val="28"/>
          <w:sz w:val="28"/>
          <w:szCs w:val="28"/>
          <w:rtl w:val="true"/>
          <w:lang w:bidi="fa-IR"/>
        </w:rPr>
        <w:t>کرده و آنگاه به تأسیس اصل پرداخته است، یعنی به فرض آن که دلیل لفظی در کار نباشد، حکم مسأله با استفاده از ادلّه عقلی و اصول عملیّه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w:t>
      </w:r>
    </w:p>
    <w:p>
      <w:pPr>
        <w:pStyle w:val="BookText"/>
        <w:rPr/>
      </w:pPr>
      <w:r>
        <w:rPr>
          <w:rFonts w:ascii="IRNazanin" w:hAnsi="IRNazanin" w:eastAsia="IRNazanin"/>
          <w:color w:val="111111"/>
          <w:sz w:val="28"/>
          <w:sz w:val="28"/>
          <w:szCs w:val="28"/>
          <w:rtl w:val="true"/>
          <w:lang w:bidi="fa-IR"/>
        </w:rPr>
        <w:t>گفت که تحول و تکامل علم اصول و استفاده کامل از ادلّه عقلی و اصول عملیه به وسیله شیخ انصاری در ضمن مباحث دو کتاب مهم و ارزشمند او یعنی رسائل و مکاسب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شیخ انصاری علمای بزرگ شیعه روش او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آخوند خراسانی در کتاب ارزشمند کفایة الاصول اهتمام خاصّی به ادلّه عقلی نشان داده و همچنین میرزای نائینی که تقریرات او به وسیله شاگردانش جمع آوری شد، و نیز آقاضیاءالدین عراقی که مقالات الاصول و بدائع الافکار را نوشته است حق مطلب را کاملاً ادا کرده‌اند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014635_1479056682"/>
      <w:bookmarkStart w:id="66" w:name="_Toc22"/>
      <w:bookmarkEnd w:id="65"/>
      <w:r>
        <w:rPr>
          <w:rtl w:val="true"/>
        </w:rPr>
        <w:t xml:space="preserve">مقدمه سوم </w:t>
      </w:r>
      <w:r>
        <w:rPr>
          <w:rtl w:val="true"/>
        </w:rPr>
        <w:t xml:space="preserve">: </w:t>
      </w:r>
      <w:r>
        <w:rPr>
          <w:rtl w:val="true"/>
        </w:rPr>
        <w:t>اجتهاد و نقش آن در پویایی و تکامل فقه</w:t>
      </w:r>
      <w:bookmarkEnd w:id="66"/>
    </w:p>
    <w:p>
      <w:pPr>
        <w:pStyle w:val="Heading4"/>
        <w:numPr>
          <w:ilvl w:val="3"/>
          <w:numId w:val="1"/>
        </w:numPr>
        <w:rPr/>
      </w:pPr>
      <w:bookmarkStart w:id="67" w:name="__RefHeading___Toc1014637_1479056682"/>
      <w:bookmarkStart w:id="68" w:name="_Toc23"/>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در این قسمت به عنوان مقدمه سوم، برآنیم تا از پیدایش اجتهاد و سیر تاریخی و نقش آن در پاسخگویی به نیازها و مشکلات جامعه اسلامی، به اختصار بحث 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افتعال از ریشه 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معنی نهایت </w:t>
      </w:r>
    </w:p>
    <w:p>
      <w:pPr>
        <w:pStyle w:val="BookText"/>
        <w:rPr/>
      </w:pPr>
      <w:r>
        <w:rPr>
          <w:rFonts w:ascii="IRNazanin" w:hAnsi="IRNazanin" w:eastAsia="IRNazanin"/>
          <w:color w:val="111111"/>
          <w:sz w:val="28"/>
          <w:sz w:val="28"/>
          <w:szCs w:val="28"/>
          <w:rtl w:val="true"/>
          <w:lang w:bidi="fa-IR"/>
        </w:rPr>
        <w:t>و حداکثر سعی و تلاش می‌باشد، به شخص فقیه از آن جهت مجتهد گفته می‌شود که باید برای استخراج و استنباط احکام، نهایت جُهد و سعی خود را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مفردات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الجَهد و الجُهد؛ الطاقة و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الإجتهاد أخذ النفس ببذل الطاقة و تحمّل المشقة</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 و جُهد به معنی طاقت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اجتهاد یعنی خود را وادار به تلاش کردن و تحمّل مشقّت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جُهد به ضمّ جیم در حجاز و به فتح آن در غیر حجاز به کار می‌رود ؛ و به معنی توان و طاقت است و گفته شده به ضمّ 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طاقت و به فتح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امری اجتهاد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 و طاقت خود را در طلب آن به کار برد تا به مقصود خود برسد و به نهایت آن واصل 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غزّالی در المستصفی در تعریف اجتهاد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 عبارت است از به کار بردن نهایت تلاش و به نهایت رساندن وسع و توانایی در انجام کاری از کارها و این کلمه به کار نمی‌رود، مگر در موردی که در آن مشقّت و تلاش لازم باشد، پس در مورد حمل کردن سنگ آسیاب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نهایت تلاش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حمل یک دانه خردل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عرف علما، این کلمه اختصاص دارد به این که مجتهد برای حصول علم به احکام شریعت تا آن جا که توان دارد، تلاش کند و اجتهاد تام و کامل آن است که در جستجوی حکمی آن قدر تلاش کند که دیگر از جستجوی بیش از آن عاجز باشد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مرحوم آخوند خراسانی اجتهاد را چنین تعریف می‌کند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 ملکه و نیرویی است که مجتهد به وسیله آن قادر است حکم شرعی </w:t>
      </w:r>
      <w:bookmarkStart w:id="69" w:name="pg4331_48900"/>
    </w:p>
    <w:p>
      <w:pPr>
        <w:pStyle w:val="BookText"/>
        <w:rPr/>
      </w:pPr>
      <w:bookmarkEnd w:id="69"/>
      <w:r>
        <w:rPr>
          <w:rFonts w:ascii="IRNazanin" w:hAnsi="IRNazanin" w:eastAsia="IRNazanin"/>
          <w:color w:val="111111"/>
          <w:sz w:val="28"/>
          <w:sz w:val="28"/>
          <w:szCs w:val="28"/>
          <w:rtl w:val="true"/>
          <w:lang w:bidi="fa-IR"/>
        </w:rPr>
        <w:t xml:space="preserve">فرعی را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کند، خواه بالفعل توان اجتهاد داشته باشد، یا نیروی نزدیک به مرحله فعلیت داشته باشد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تعریف آخوند، مورد تأیید امام خمینی قدس‌سره نیز قرار گرفته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به هر حال، در تعریف اصطلاحی اجتهاد، مهمترین و اساسی‌ترین عنصر، اقتدار بر استنباط حکم شرعی است و مجتهد کسی است که با مراجعه به منابع اصلی احکام بتواند حکم الهی را به دست آورد</w:t>
      </w:r>
      <w:r>
        <w:rPr>
          <w:rFonts w:eastAsia="IRNazanin" w:cs="IRNazanin"/>
          <w:color w:val="111111"/>
          <w:sz w:val="28"/>
          <w:szCs w:val="28"/>
          <w:rtl w:val="true"/>
          <w:lang w:bidi="fa-IR"/>
        </w:rPr>
        <w:t>.</w:t>
      </w:r>
    </w:p>
    <w:p>
      <w:pPr>
        <w:pStyle w:val="Heading4"/>
        <w:numPr>
          <w:ilvl w:val="3"/>
          <w:numId w:val="1"/>
        </w:numPr>
        <w:rPr/>
      </w:pPr>
      <w:bookmarkStart w:id="70" w:name="__RefHeading___Toc1014639_1479056682"/>
      <w:bookmarkStart w:id="71" w:name="_Toc24"/>
      <w:bookmarkEnd w:id="70"/>
      <w:r>
        <w:rPr>
          <w:rtl w:val="true"/>
        </w:rPr>
        <w:t>پیدایش اجتهاد</w:t>
      </w:r>
      <w:bookmarkEnd w:id="71"/>
    </w:p>
    <w:p>
      <w:pPr>
        <w:pStyle w:val="BookText"/>
        <w:rPr/>
      </w:pPr>
      <w:r>
        <w:rPr>
          <w:rFonts w:ascii="IRNazanin" w:hAnsi="IRNazanin" w:eastAsia="IRNazanin"/>
          <w:color w:val="111111"/>
          <w:sz w:val="28"/>
          <w:sz w:val="28"/>
          <w:szCs w:val="28"/>
          <w:rtl w:val="true"/>
          <w:lang w:bidi="fa-IR"/>
        </w:rPr>
        <w:t xml:space="preserve">پیامبر اکرم صلی‌الله‌علیه‌و‌آله در طی دوره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رسالت، احکامی را برای پیروان خود آورد که قسمتی از آن ضمن آیات قرآن آمده است و بخشی تحت عنوان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بیان قولی و عملی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 که می‌توان در زمینه حجّیّت اقوال و افعال پیامبر صلی‌الله‌علیه‌و‌آله به این آیه استناد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رسول خدا صلی‌الله‌علیه‌و‌آلهبرای شما آورده، بگیرید و اجرا کنید و هر چه از آن نهی کرده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سند روشنی است بر حجت بودن سنّت پیامبر صلی‌الله‌علیه‌و‌آله که طبق آن، تمام مسلمانان موظفند از اوامر و نواهی پیامبر صلی‌الله‌علیه‌و‌آله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رسول اکرم صلی‌الله‌علیه‌و‌آله گاهی در زمینه تفسیر و تشریح آیات قرآن است و گاهی مستقلاً برای تشریع حکمی از احکام، و باز این خود قرآن است که شرط ایمان راستین مسلمانان را پذیرش اقوال و قضاوتها و داوریهای پیامبر صلی‌الله‌علیه‌و‌آله دانسته و می‌گوید مسلمانان هیچ‌گاه نباید در برابر قضاوتها و فرمانهای پیامبر صلی‌الله‌علیه‌و‌آله که همان فرمان خداست، ناراحت شوند و باید داوریها و احکام و دستورات او را به جان و دل پذیرا باشند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رَبِّکَ لایُؤمِنُونَ حتّی یُحَکِّمُوکَ فیما شَجَرَ بَیْنَهُم ثُمَّ لایَجِدوُا فی أنْفُسِهِمْ حَرَجا مِمّا </w:t>
      </w:r>
    </w:p>
    <w:p>
      <w:pPr>
        <w:pStyle w:val="BookText"/>
        <w:rPr/>
      </w:pPr>
      <w:r>
        <w:rPr>
          <w:rFonts w:ascii="Amiri" w:hAnsi="Amiri" w:eastAsia="Amiri" w:cs="Amiri"/>
          <w:color w:val="111111"/>
          <w:sz w:val="28"/>
          <w:sz w:val="28"/>
          <w:szCs w:val="28"/>
          <w:rtl w:val="true"/>
          <w:lang w:bidi="ar-SA"/>
        </w:rPr>
        <w:t>قَضَیْتَ وَ یُسَلِّموُا تَسْلیما</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پروردگارت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نمی‌آورند مگر این که تو را در اختلافات خود داور قرار دهند و سپس در درون خود احساس ناراحتّی نکنند و کاملاً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یکی از دلایل عصمت پیامبر صلی‌الله‌علیه‌و‌آله نیز هست، زیرا دستور به تسلیم مطلق از نظر گفتار و کردار در برابر همه فرمانهایش و حتّی تسلیم قلبی در برابر او نشانه روشنی</w:t>
      </w:r>
    </w:p>
    <w:p>
      <w:pPr>
        <w:pStyle w:val="BookText"/>
        <w:rPr/>
      </w:pPr>
      <w:r>
        <w:rPr>
          <w:rFonts w:ascii="IRNazanin" w:hAnsi="IRNazanin" w:eastAsia="IRNazanin"/>
          <w:color w:val="111111"/>
          <w:sz w:val="28"/>
          <w:sz w:val="28"/>
          <w:szCs w:val="28"/>
          <w:rtl w:val="true"/>
          <w:lang w:bidi="fa-IR"/>
        </w:rPr>
        <w:t>است بر این که او در احکام و فرمان‌ها و داوری‌هایش نه اشتباه می‌کند و نه عملاً چیزی</w:t>
      </w:r>
    </w:p>
    <w:p>
      <w:pPr>
        <w:pStyle w:val="BookText"/>
        <w:rPr/>
      </w:pPr>
      <w:r>
        <w:rPr>
          <w:rFonts w:ascii="IRNazanin" w:hAnsi="IRNazanin" w:eastAsia="IRNazanin"/>
          <w:color w:val="111111"/>
          <w:sz w:val="28"/>
          <w:sz w:val="28"/>
          <w:szCs w:val="28"/>
          <w:rtl w:val="true"/>
          <w:lang w:bidi="fa-IR"/>
        </w:rPr>
        <w:t>را برخلاف حق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رسول اکرم صلی‌الله‌علیه‌و‌آله در میان مردم حضور داشت، خود مرجعی برای پاسخگویی به سؤلها و مشکلات و بیان حکم مسائل مستحدثه بود و نیز خود پیامبر صلی‌الله‌علیه‌و‌آله قولاً و عملاً احکام اسلامی را تبیین و تفسیر می‌کرد، چنان که پیامبر صلی‌الله‌علیه‌و‌آله خود نماز می‌گزارد و به مردم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کما رأیتمونی أصلّی</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آن حضرت حج می‌گزارد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عنّی مناسککم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این امر مسلم است که اقوال و افعال پیامبر صلی‌الله‌علیه‌و‌آله یا برای توضیح و تفسیر همان احکام صادره، به وسیله قرآن بوده و یا برای صدور حکم جدید و مستقل، اما بحث در این است که آیا در زمان حضور پیامبر صلی‌الله‌علیه‌و‌آله و در دوره تشریع، صحابه بزرگوار آن حضرت در مواردی اجتهاد کرده‌اند یا نه ؟ پس سؤل اساسی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زمان پیامبر صلی‌الله‌علیه‌و‌آله اجتهاد صورت گرفته است؟</w:t>
      </w:r>
    </w:p>
    <w:p>
      <w:pPr>
        <w:pStyle w:val="BookText"/>
        <w:rPr/>
      </w:pPr>
      <w:r>
        <w:rPr>
          <w:rFonts w:ascii="IRNazanin" w:hAnsi="IRNazanin" w:eastAsia="IRNazanin"/>
          <w:color w:val="111111"/>
          <w:sz w:val="28"/>
          <w:sz w:val="28"/>
          <w:szCs w:val="28"/>
          <w:rtl w:val="true"/>
          <w:lang w:bidi="fa-IR"/>
        </w:rPr>
        <w:t>در مورد این که آیا در زمان حضور پیامبر صلی‌الله‌علیه‌و‌آله اجتهاد وجود داشته یا خیر، اختلاف شده؛ عده‌ای قایل به عدم وجود اجتهاد شده و آن را منع کرده‌اند و گروهی قایل به وجود</w:t>
      </w:r>
    </w:p>
    <w:p>
      <w:pPr>
        <w:pStyle w:val="BookText"/>
        <w:rPr/>
      </w:pPr>
      <w:r>
        <w:rPr>
          <w:rFonts w:ascii="IRNazanin" w:hAnsi="IRNazanin" w:eastAsia="IRNazanin"/>
          <w:color w:val="111111"/>
          <w:sz w:val="28"/>
          <w:sz w:val="28"/>
          <w:szCs w:val="28"/>
          <w:rtl w:val="true"/>
          <w:lang w:bidi="fa-IR"/>
        </w:rPr>
        <w:t>و تجویز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المستصفی می‌گوید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جواز تعبد به قیاس و اجتهاد در زمان پیامبر صلی‌الله‌علیه‌و‌آله اختلاف کرده‌اند، گروهی آن را منع و عده‌ای اجازه داده‌اند و گروهی گفته‌اند در غیاب پیامبر صلی‌الله‌علیه‌و‌آله اجتهاد </w:t>
      </w:r>
    </w:p>
    <w:p>
      <w:pPr>
        <w:pStyle w:val="BookText"/>
        <w:rPr/>
      </w:pPr>
      <w:r>
        <w:rPr>
          <w:rFonts w:ascii="IRNazanin" w:hAnsi="IRNazanin" w:eastAsia="IRNazanin"/>
          <w:color w:val="111111"/>
          <w:sz w:val="28"/>
          <w:sz w:val="28"/>
          <w:szCs w:val="28"/>
          <w:rtl w:val="true"/>
          <w:lang w:bidi="fa-IR"/>
        </w:rPr>
        <w:t>برای قاضیان و والیان جایز است، ولی در حضور او جایز نیست و کسانی هم که آن را تجویز کرده‌اند دو دسته‌اند ؛ بعضی از آنها می‌گویند با اذن پیامبر صلی‌الله‌علیه‌و‌آله اجتهاد جایز است و بعضی دیگر می‌گویند سکوت پیامبر صلی‌الله‌علیه‌و‌آلهکافی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مجوزین اجتهاد، درباره وقوع آن نیز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من آن است که در حضور و در غیاب پیامبر صلی‌الله‌علیه‌و‌آله اجتهاد جایز است و دلیل آن اذن یا سکوت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تعبد به آن ذاتا امر محالی وجود ندارد و نیز تعبد به آن منجر به محال و مفسده‌ای نمی‌شود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قیّم در کتاب اعلام الموقّعین می‌گوید صحابه در زمان پیامبر صلی‌الله‌علیه‌و‌آله در بسیاری از</w:t>
      </w:r>
    </w:p>
    <w:p>
      <w:pPr>
        <w:pStyle w:val="BookText"/>
        <w:rPr/>
      </w:pPr>
      <w:r>
        <w:rPr>
          <w:rFonts w:ascii="IRNazanin" w:hAnsi="IRNazanin" w:eastAsia="IRNazanin"/>
          <w:color w:val="111111"/>
          <w:sz w:val="28"/>
          <w:sz w:val="28"/>
          <w:szCs w:val="28"/>
          <w:rtl w:val="true"/>
          <w:lang w:bidi="fa-IR"/>
        </w:rPr>
        <w:t>احکام اجتهاد می‌کردند و پیامبر مانع نمی‌شد، 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در زمان پیامبر در بسیاری از احکام اجتهاد کرده‌اند و پیامبر ایشان را از آن باز نداشت، چنان که در جنگ احزاب به ایشان دستور داد که نماز عصر را در محله بنی‌قریظه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صحابه نسبت به فرمان پیامبر دو گونه اجتهاد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بعضی‌شان نماز عصر را در بین راه خواندند و در مقام اجتهاد گفتند منظور پیامبر آن نبوده که نماز را به تأخیر اندازیم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محله بنی قریظه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منظورش سرعت حرکت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نظر به معنی داشته‌اند و گروه دیگر از صحابه در مقام اجتهاد نماز عصر را تا رسیدن به بنی قریظه به تأخیر انداختند و در شب نماز گزاردند، این گروه نظرشان به ظاهر لفظ بوده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قایلین به عدم جواز اجتهاد در زمان حضور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 با حضور پیامبر صلی‌الله‌علیه‌و‌آله و دسترسی به آن حضرت، مسلمانان از اجتهاد و تلاش فکری برای کشف حکم بی‌نیاز بودند، زیرا پیامبر صلی‌الله‌علیه‌و‌آله احکام الهی را با گفتار و کردار خود تبیین می‌فرمود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با امکان دسترسی به حکم از راه یقین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 از خود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پیمودن طریق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ندارد؛ ولی در پاسخ باید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 در صدر اسلام اجتهاد و استنباط حکم از نصوص، کاری بسیار ساده و با اجتهاد رایج زمان ما بسیار متفاوت بوده است، زیرا در آغاز اسلام، علم شریعت در جمع و حفظ احادیث پیامبر صلی‌الله‌علیه‌و‌آله خلاصه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احکام شریعت در مرحله اولیه‌اش، در سطح علم حدیث بوده است و کار اساسی در آن تقریبا منحصر به جمع‌آوری روایات و حفظ نصوص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اجتهاد و استنباط حکم از نصوص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آن مرحله، روش فهمیدن و به دست آوردن حکم شرعی از آن نصوص و روایات کار مهم و مشکلّی نبود، زیرا فهم حکم از نصوص شرعی، از طریقه و روش ساده‌ای که مردم برای فهم کلام یکدیگر در محاورات معمولی و عادی خود دارند، خارج نبوده و از حدّ آن تجاور نمی‌کرده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ثانیا؛ در این که در زمان حضور پیامبر صلی‌الله‌علیه‌و‌آله اجتهاد و استنباط حکم از نصوص رواج داشته، جای تردید نیست، زیرا برخی از صحابه، بعضی مواقع برای مدتی به پیامبر صلی‌الله‌علیه‌و‌آله دسترسی نداشتند، مانند مسلمانانی که به حبشه مهاجرت کردند یا آنان که به عنوان قضاوت یا امارت به نقاط دیگر می‌رفتند، طبعا برای آنها مسائلی پیش می‌آمد که عین آن</w:t>
      </w:r>
    </w:p>
    <w:p>
      <w:pPr>
        <w:pStyle w:val="BookText"/>
        <w:rPr/>
      </w:pPr>
      <w:r>
        <w:rPr>
          <w:rFonts w:ascii="IRNazanin" w:hAnsi="IRNazanin" w:eastAsia="IRNazanin"/>
          <w:color w:val="111111"/>
          <w:sz w:val="28"/>
          <w:sz w:val="28"/>
          <w:szCs w:val="28"/>
          <w:rtl w:val="true"/>
          <w:lang w:bidi="fa-IR"/>
        </w:rPr>
        <w:t xml:space="preserve">را از پیامبر صلی‌الله‌علیه‌و‌آله نشنیده بودند، ولی حکم آن مسائل در عمومات و اطلاقات آیات قرآن و کلام پیامبر صلی‌الله‌علیه‌و‌آله وجود داشت، مسلما آنها با تطبیق کلّیّات بر جزئیات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فروع به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آن مسائل جدید را به دست می‌آوردند و این خود نوعی اجتهاد است که نمونه‌های فراوانی از این نوع اجتهاد ساده، در صدر اسلام وجود داشته که به ذکر چند مورد از آنها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هشام در سیره خود از قول کعب بن مالک داستانی را نقل 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بن مالک با عده‌ای به همراه براءبن معرور از مدینه به سوی مکّه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براء گفت من رأی جدیدی پیدا کرده‌ام و آن این است که شایسته نمی‌دانم پشت به کعبه کنم، بلکه رو به کعبه نماز می‌گزارم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 فعل و عمل رسول خدا خلاف این است و ما هرگز با رسول خدا مخالفت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شب براء رو به کعبه نماز گزارد و بقیّه رو به سوی بیت المقدس و چون به مکه رسیدند و قصّه را به پیامبر </w:t>
      </w:r>
    </w:p>
    <w:p>
      <w:pPr>
        <w:pStyle w:val="BookText"/>
        <w:rPr/>
      </w:pPr>
      <w:r>
        <w:rPr>
          <w:rFonts w:ascii="IRNazanin" w:hAnsi="IRNazanin" w:eastAsia="IRNazanin"/>
          <w:color w:val="111111"/>
          <w:sz w:val="28"/>
          <w:sz w:val="28"/>
          <w:szCs w:val="28"/>
          <w:rtl w:val="true"/>
          <w:lang w:bidi="fa-IR"/>
        </w:rPr>
        <w:t>گفتند، پیامبر خطاب به براء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کنت علی قبلة لو صبرت علیها</w:t>
      </w:r>
      <w:r>
        <w:rPr>
          <w:rStyle w:val="FootnoteAnchor"/>
          <w:rtl w:val="true"/>
        </w:rPr>
        <w:footnoteReference w:id="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قبلاً قبله‌ای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بیت المقدس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 همان قبله صبر می‌کردی و باقی می‌ماندی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این قصه مشهود است، کعب و پیروانش از راه استناد به فعل پیامبر صلی‌الله‌علیه‌و‌آله حکمی را استنباط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عمل پیامبر صلی‌الله‌علیه‌و‌آله را مشاهده کرده بودند که به سوی بیت المقدس نماز می‌خواند و چون در سفر بودند و دسترسی به پیامبر صلی‌الله‌علیه‌و‌آلهنداشتند، بر</w:t>
      </w:r>
    </w:p>
    <w:p>
      <w:pPr>
        <w:pStyle w:val="BookText"/>
        <w:rPr/>
      </w:pPr>
      <w:r>
        <w:rPr>
          <w:rFonts w:ascii="IRNazanin" w:hAnsi="IRNazanin" w:eastAsia="IRNazanin"/>
          <w:color w:val="111111"/>
          <w:sz w:val="28"/>
          <w:sz w:val="28"/>
          <w:szCs w:val="28"/>
          <w:rtl w:val="true"/>
          <w:lang w:bidi="fa-IR"/>
        </w:rPr>
        <w:t>همان حکم قبلی باقی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شهرستانی در کتاب ملل و نحل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بطور استفاضه از پیامبر رسیده که چون خواست معاذ را به یمن فرستد،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معاذ بم 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پیغمبر،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أجتهد سپس پیامبر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وَفَّقَ رَسُولَ رَسُولِه لِما یَرْضاهُ</w:t>
      </w:r>
      <w:r>
        <w:rPr>
          <w:rStyle w:val="FootnoteAnchor"/>
          <w:rtl w:val="true"/>
        </w:rPr>
        <w:footnoteReference w:id="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فرستاده پیامبرش را در آنچه که مورد رضای اوست موفق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 عمار در مسأله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در سرائر روایتی را از امام باقر علیه‌السلام نقل کرده که خلاصه آن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پیامبر عرض کرد دیشب جنب شدم و آب نداشتم،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خود را درآورده و در خاک غلتیدم،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یصنع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طریقه تیمّم صحیح را به او تعلیم داد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سیّد بحر العلوم نیز در کتاب رجال خود در ذیل ترجمه عمّار می‌گوید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عمّار در تیمم مشهور است، گر چه او در این مسأله درست عمل نکرد، امّا عمل او از کار عمر درست‌تر بود، زیرا وقتی که عمر دچار جنابت شد و آبی نیافت، نماز را ترک کرد، ولی عمّار چون که می‌دانست نماز با جنابت ساقط نمی‌شود، به هنگام تیمم، بین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و برابری را </w:t>
      </w:r>
      <w:bookmarkStart w:id="72" w:name="pg4331_48905"/>
    </w:p>
    <w:p>
      <w:pPr>
        <w:pStyle w:val="BookText"/>
        <w:rPr/>
      </w:pPr>
      <w:bookmarkEnd w:id="72"/>
      <w:r>
        <w:rPr>
          <w:rFonts w:ascii="IRNazanin" w:hAnsi="IRNazanin" w:eastAsia="IRNazanin"/>
          <w:color w:val="111111"/>
          <w:sz w:val="28"/>
          <w:sz w:val="28"/>
          <w:szCs w:val="28"/>
          <w:rtl w:val="true"/>
          <w:lang w:bidi="fa-IR"/>
        </w:rPr>
        <w:t>رعایت کرد و گمان کرد که تیمّم بدل از غسل، مقتضی استیعاب و فراگیری تمام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مورد عمل عمّار چنین قضاوت و اظهار نظر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گفتار پیامبر به عمار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عمل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لطیفی است به این که عمار چون اهل‌نظر و استنباط بوده، سزاوار بود که چنان عمل کند و یا اشاره است به این که اگر چنان عمل می‌کرد، عملش صحیح بود و حال آن که به مقتضای اصول و قواعد امامیه، آن عمل از کسی که اهل نظر و استنباط نباشد، صحیح نیست گرچه درست هم عمل کند و عملش مطابق با واقع باشد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به مأموریتی فرستاد در شبی بسیار سرد محتلم شدم و از بیم جان تیمم کرده و با یاران خود نماز صبح را به جای آوردم، چون بازگشتم ماجرا را به رسول خدا گفتم،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اصحابت نماز خواندی در حالی که جنب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شب بسیار سرد بود، ترسیدم که اگر غسل کنم از سرما هلاک شوم و این آیه به یادم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لاتَقتُلُوا أنْفُسَکُمْ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رسول خدا تبسّم فرمود و چیزی نگفت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73" w:name="__RefHeading___Toc1014641_1479056682"/>
      <w:bookmarkStart w:id="74" w:name="_Toc25"/>
      <w:bookmarkEnd w:id="73"/>
      <w:r>
        <w:rPr>
          <w:rtl w:val="true"/>
        </w:rPr>
        <w:t>اجتهاد در دوره امامان علیهم السلام</w:t>
      </w:r>
      <w:bookmarkEnd w:id="7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ائمه معصومین علیهم‌السلام که احکام شریعت به وسیله ایشان بیان می‌شد، پیروان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می‌توانستند برای شناخت احکام و وظیفه عملی خود به محضر ایشان می‌رسیدند و حکم قطعی مورد نیاز خود را از آنان فرا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شرایطی پدید می‌آمد که برای شیعیان امکان دسترسی به امام علیه‌السلام فراهم نبود، شرایطی مانند دوری از محلّ زندگی امام، یا محدودیت پدید آمده توسط حاکمان جبار، حتّی کار به جایی می‌رسید که برای پرسیدن مسأله، به شکل فروشنده دوره‌گرد به خدمت امام صادق علیه‌السلام می‌رسیدند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مجلسی در بحارالانوار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شیعیان آن حضرت برای پرسش مسأله‌ای، خود را به شکل خیار فروشی در آورده بود و با این حیله به خدمت امام علیه‌السلام می‌رسید، تا حکم مسأله را از امام بپرسد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چنین شرایط سخت و خطرناکی، چون دسترسی به امام علیه‌السلام مشکل بود، شیعیان</w:t>
      </w:r>
    </w:p>
    <w:p>
      <w:pPr>
        <w:pStyle w:val="BookText"/>
        <w:rPr/>
      </w:pPr>
      <w:r>
        <w:rPr>
          <w:rFonts w:ascii="IRNazanin" w:hAnsi="IRNazanin" w:eastAsia="IRNazanin"/>
          <w:color w:val="111111"/>
          <w:sz w:val="28"/>
          <w:sz w:val="28"/>
          <w:szCs w:val="28"/>
          <w:rtl w:val="true"/>
          <w:lang w:bidi="fa-IR"/>
        </w:rPr>
        <w:t>احکام خود را از فقها و شاگردان معروف امام علیه‌السلام می‌پرسیدند، آنان هم با استفاده از آیات و روایات فتوا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دوره امامان هرگاه اصحاب ائمه با مسأله‌ای مواجه</w:t>
      </w:r>
    </w:p>
    <w:p>
      <w:pPr>
        <w:pStyle w:val="BookText"/>
        <w:rPr/>
      </w:pPr>
      <w:r>
        <w:rPr>
          <w:rFonts w:ascii="IRNazanin" w:hAnsi="IRNazanin" w:eastAsia="IRNazanin"/>
          <w:color w:val="111111"/>
          <w:sz w:val="28"/>
          <w:sz w:val="28"/>
          <w:szCs w:val="28"/>
          <w:rtl w:val="true"/>
          <w:lang w:bidi="fa-IR"/>
        </w:rPr>
        <w:t>می‌شدند که در قرآن و سنّت نظیر آن نبود، حکم آن را از قواعد کلّی حاصله از آموزشهای دینی به دست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 به معنی صحیح کلمه یعنی تفریع و ردّ فروع بر اصول و تطبیق اصول بر فروع، از زمان ائمه اطهار علیهم‌السلام در شیعه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واسطه روایات زیادی که از ائمه اطهار علیهم‌السلام در موضوعات و مسائل مختلف وارد شده است، فقه شیعه بسی غنی تر شده است و نیاز به تلاشهای اجتهادی کمتر گردیده است، در عین حال شیعه خود را از تفقّه و اجتهاد بی نیاز نمی‌دانسته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روایات بسیاری وجود دارد که حاکی از افتاء اصحاب و شاگردان ائمه اطهار علیهم‌السلام در میان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تأسیس الشّیعه نقل می‌کند که در دوران امام سجاد علیه‌السلام سعید بن مسیّب در شمار فقهای ستّه‌ای بود که در مدینه فتوی می‌دادند و مورد وثوق و اعتماد</w:t>
      </w:r>
    </w:p>
    <w:p>
      <w:pPr>
        <w:pStyle w:val="BookText"/>
        <w:rPr/>
      </w:pPr>
      <w:r>
        <w:rPr>
          <w:rFonts w:ascii="IRNazanin" w:hAnsi="IRNazanin" w:eastAsia="IRNazanin"/>
          <w:color w:val="111111"/>
          <w:sz w:val="28"/>
          <w:sz w:val="28"/>
          <w:szCs w:val="28"/>
          <w:rtl w:val="true"/>
          <w:lang w:bidi="fa-IR"/>
        </w:rPr>
        <w:t>امام سجاد علیه‌السلامبود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ابن خلکان از هفت تن فقهای مشهور مدینه در دوره تابعین نام می‌برد که سعید بن مسیب و سلیمان بن یسار و عروة بن زبیر و خارجة بن زید را در شمار آن هفت تن ذکر کرده است و می‌گوید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این هفت تن به عنوان فقهای سبعه نامیده شده و به این نام اختصاص </w:t>
      </w:r>
      <w:bookmarkStart w:id="75" w:name="pg4331_48907"/>
    </w:p>
    <w:p>
      <w:pPr>
        <w:pStyle w:val="BookText"/>
        <w:rPr/>
      </w:pPr>
      <w:bookmarkEnd w:id="75"/>
      <w:r>
        <w:rPr>
          <w:rFonts w:ascii="IRNazanin" w:hAnsi="IRNazanin" w:eastAsia="IRNazanin"/>
          <w:color w:val="111111"/>
          <w:sz w:val="28"/>
          <w:sz w:val="28"/>
          <w:szCs w:val="28"/>
          <w:rtl w:val="true"/>
          <w:lang w:bidi="fa-IR"/>
        </w:rPr>
        <w:t>یافته‌اند به خاطر این است که بعد از صحابه، اینان مرجع فتوا بوده و به فتوا اشتهار یافته‌اند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76" w:name="__RefHeading___Toc1014643_1479056682"/>
      <w:bookmarkStart w:id="77" w:name="_Toc26"/>
      <w:bookmarkEnd w:id="76"/>
      <w:r>
        <w:rPr>
          <w:rtl w:val="true"/>
        </w:rPr>
        <w:t>تحوّلات واژه اجتهاد</w:t>
      </w:r>
      <w:bookmarkEnd w:id="77"/>
    </w:p>
    <w:p>
      <w:pPr>
        <w:pStyle w:val="BookText"/>
        <w:rPr/>
      </w:pPr>
      <w:r>
        <w:rPr>
          <w:rFonts w:ascii="IRNazanin" w:hAnsi="IRNazanin" w:eastAsia="IRNazanin"/>
          <w:color w:val="111111"/>
          <w:sz w:val="28"/>
          <w:sz w:val="28"/>
          <w:szCs w:val="28"/>
          <w:rtl w:val="true"/>
          <w:lang w:bidi="fa-IR"/>
        </w:rPr>
        <w:t xml:space="preserve">بررسی تاریخی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می‌سازد که این کلمه از زمان پیدایش تا کنون تحوّلات زیادی پیدا کرده، چنان که در آغاز به معنی استدلال به رأی و نظر شخص فقیه بوده و یکی از منابع صدور حکم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رواج اصطلاح‌اجتهاد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 کلمه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عسکری در معالم المدرستین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پس از عصر صحابه و تابعین رایج بوده است، زیرا صحابه و تابعین، تغییر احکام رااز نزد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در خبر</w:t>
      </w:r>
    </w:p>
    <w:p>
      <w:pPr>
        <w:pStyle w:val="BookText"/>
        <w:rPr/>
      </w:pPr>
      <w:r>
        <w:rPr>
          <w:rFonts w:ascii="IRNazanin" w:hAnsi="IRNazanin" w:eastAsia="IRNazanin"/>
          <w:color w:val="111111"/>
          <w:sz w:val="28"/>
          <w:sz w:val="28"/>
          <w:szCs w:val="28"/>
          <w:rtl w:val="true"/>
          <w:lang w:bidi="fa-IR"/>
        </w:rPr>
        <w:t>کشته شدن مالک‌بن‌نویره به دست خالدبن‌ولید آمده است که خالد از رفتار خود در محضر ابوبکر چنین عذر آورد و به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 انّی تَأوَّلْتُ وَ أصَبْتُ وَ أخْطَأتُ، و نیز ابوبکر در پاسخ عمر که می‌گفت خالد زنا کرده و باید سنگسار شود،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أرْجُمُهُ فَاِنَّهُ تَاوّل فَأخْطَأَ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سنگسار نمی‌کنم، زیرا اوتأویل‌کرده</w:t>
      </w:r>
    </w:p>
    <w:p>
      <w:pPr>
        <w:pStyle w:val="BookText"/>
        <w:rPr/>
      </w:pPr>
      <w:r>
        <w:rPr>
          <w:rFonts w:ascii="IRNazanin" w:hAnsi="IRNazanin" w:eastAsia="IRNazanin"/>
          <w:color w:val="111111"/>
          <w:sz w:val="28"/>
          <w:sz w:val="28"/>
          <w:szCs w:val="28"/>
          <w:rtl w:val="true"/>
          <w:lang w:bidi="fa-IR"/>
        </w:rPr>
        <w:t>و مرتکب خطا و اشتباه شده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نیز در روایت زهری از عروه آمده که عایشه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برای نخستین بار واجب شده بود، دو رکعتی بود، که همان نماز سفر شد و نماز در حضر تمام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عروه پرسیدم پس چرا عایشه نماز را در سفر تمام به جا می‌آورد؟ عروه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تأوّلتْ کما تاوّل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همچون عثمان تأویل کرده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عسکری در پایان این بحث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ترتیب عمل به رأی و نظر </w:t>
      </w:r>
    </w:p>
    <w:p>
      <w:pPr>
        <w:pStyle w:val="BookText"/>
        <w:rPr/>
      </w:pPr>
      <w:r>
        <w:rPr>
          <w:rFonts w:ascii="IRNazanin" w:hAnsi="IRNazanin" w:eastAsia="IRNazanin"/>
          <w:color w:val="111111"/>
          <w:sz w:val="28"/>
          <w:sz w:val="28"/>
          <w:szCs w:val="28"/>
          <w:rtl w:val="true"/>
          <w:lang w:bidi="fa-IR"/>
        </w:rPr>
        <w:t xml:space="preserve">شخصی،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نامیده 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به هر حال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معنی استدلال به رأی و نظر شخص فقیه بوده و نزد علمای اهل سنّت یکی از منابع صدور حکم به شمار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تحوّلات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مکتب فقهی، یعنی مکتب فقهی اهل سنّت و مکتب فقهی شیعه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مکتب فقهی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 فقهی اهل سنّت بخصوص مکتب ابوحنیفه، اجتهاد فقیه به عنوان یکی از منابع احکام به شمار رفته است، از این رو</w:t>
      </w:r>
    </w:p>
    <w:p>
      <w:pPr>
        <w:pStyle w:val="BookText"/>
        <w:rPr/>
      </w:pPr>
      <w:r>
        <w:rPr>
          <w:rFonts w:ascii="IRNazanin" w:hAnsi="IRNazanin" w:eastAsia="IRNazanin"/>
          <w:color w:val="111111"/>
          <w:sz w:val="28"/>
          <w:sz w:val="28"/>
          <w:szCs w:val="28"/>
          <w:rtl w:val="true"/>
          <w:lang w:bidi="fa-IR"/>
        </w:rPr>
        <w:t>آنها را اهل قیاس یا صاحبان اجتهاد به رأی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به رأی بدین معنی است که</w:t>
      </w:r>
    </w:p>
    <w:p>
      <w:pPr>
        <w:pStyle w:val="BookText"/>
        <w:rPr/>
      </w:pPr>
      <w:r>
        <w:rPr>
          <w:rFonts w:ascii="IRNazanin" w:hAnsi="IRNazanin" w:eastAsia="IRNazanin"/>
          <w:color w:val="111111"/>
          <w:sz w:val="28"/>
          <w:sz w:val="28"/>
          <w:szCs w:val="28"/>
          <w:rtl w:val="true"/>
          <w:lang w:bidi="fa-IR"/>
        </w:rPr>
        <w:t>هر گاه فقیه در موردی نصی از کتاب و سنّت نیابد، طبق رأی و نظر خود فتوا می‌دهد و حکم شرعی را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در فقه اهل سنّت اجتهاد، خود از مصادر تشریع به حساب می‌آید و لذا به هنگام عدم وجدان نصّ، از طریق اجتهاد شخصی حکم شرعی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در فقه اهل سنّت، در اغلب مذاهب فقهی ایشان وجود دارد، که در رأس آنها مکتب فقهی ابوحنیفه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طرز تفکر درباره اجتهاد، همواره از ناحیه امامان شیعه و فقهای مکتب تشیّع مورد هجوم قرار گرفته و شدیدا مردود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روایات اهل بیت اجتهاد مورد مذمت و ملامت و منع قرار گرفته، همین نوع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 بیت در سخنان خود این مطلب را به شیعیان خود القا کرده‌اند که آراء و استنباطات شخصی نمی‌تواند ملاک بیان احکام شرعی باشد و لذا با صراحت اعلام کرده‌اند که اگر دین با قیاس به دست آید، موجب نابودی و از بین رفتن آن خواهد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عسکری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اجتهاد نزد اهل سنّت عبارت است از عمل به رأی و منشأ آن عمل اصحاب و خلفا به آرا و نظریات شخصی خود بود، که پیروان ایشان همانها را الگوی خود قرار داده‌اند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وی سپس به نقل از کتاب المدخل اِلی علم اصول الفقه تألیف محمّد معروف الدوالیبی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صحابه قضایایی را ارائه </w:t>
      </w:r>
    </w:p>
    <w:p>
      <w:pPr>
        <w:pStyle w:val="BookText"/>
        <w:rPr/>
      </w:pPr>
      <w:r>
        <w:rPr>
          <w:rFonts w:ascii="IRNazanin" w:hAnsi="IRNazanin" w:eastAsia="IRNazanin"/>
          <w:color w:val="111111"/>
          <w:sz w:val="28"/>
          <w:sz w:val="28"/>
          <w:szCs w:val="28"/>
          <w:rtl w:val="true"/>
          <w:lang w:bidi="fa-IR"/>
        </w:rPr>
        <w:t xml:space="preserve">می‌دادند که برای پاسخ آنها نصی در کتاب خدا یا سنّت پیامبر صلی‌الله‌علیه‌و‌آله نمی‌یافتند، در چنین صورتی به اجتهاد متوسّل می‌شدند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می‌کردند، چنان که ابوبکر و عمر چنین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دوالیبی سپس نامه‌ای را که عمر به شریح و ابوموسی نوشته، گواه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در اجتهاد خود قواعد و مقرّراتی موضوعه یا موازینی شناخته شده را در نظر نداشتند، بلکه دلیل آنها و تکیه‌گاه ایشان چیزی بود که آن را از روح تشریع احساس و لمس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درک معرفت احکام برای کسانی که بعد از ایشان آمدند، به همان سادگی میسر نبود و از این روی بود که بعد از ایشان اجتهاد دستخوش تحول و دگرگونی شدید و محسوسی گردید و تا حد زیادی متأثر از محیط زندگی مجتهد بود و هر قدر که بین زمان مجتهد و عصر تنزیل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بیشتر می‌شد، به همان نسبت اختلاف و نزاع علمی درباره احکام فقهی بیشتر می‌گردید و همین امر مجتهدان را بر آن می‌داشت که به وضع قوانینی در اجتهاد بپردازند</w:t>
      </w:r>
    </w:p>
    <w:p>
      <w:pPr>
        <w:pStyle w:val="BookText"/>
        <w:rPr/>
      </w:pPr>
      <w:r>
        <w:rPr>
          <w:rFonts w:ascii="IRNazanin" w:hAnsi="IRNazanin" w:eastAsia="IRNazanin"/>
          <w:color w:val="111111"/>
          <w:sz w:val="28"/>
          <w:sz w:val="28"/>
          <w:szCs w:val="28"/>
          <w:rtl w:val="true"/>
          <w:lang w:bidi="fa-IR"/>
        </w:rPr>
        <w:t>که بعدها آن را علم اصول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دوالیبی برای تشریع، چهار مصدر یا اصل قایل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سنّت، اجماع و اجتهاد؛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گفتیم روشن می‌شود که اصل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شهرستانی در کتاب الملل و النحل اجتهاد و قیاس را همانند می‌داند و دلیل لزوم و وجوب اجتهاد را چنین بیان می‌کند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و یقین می‌دانیم که حوادث و وقایع مربوط به عبادات و معاملات قابل حصر و شمارش نیست، و نیز قطعا می‌دانیم که در مورد هر حادثه، نصّی وارد نشده و چنین چیزی قابل تصور هم نمی‌باشد، حال که نصوص شرعی محدود و متناهی و حوادث و وقایع نامحدود و غیر متناهی است، و نیز نصوص محدود نمی‌تواند ضابطه و قاعده حوادث نامحدود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معلوم می‌شود که اجتهاد و قیاس واجب الاعتبار است، تا </w:t>
      </w:r>
    </w:p>
    <w:p>
      <w:pPr>
        <w:pStyle w:val="BookText"/>
        <w:rPr/>
      </w:pPr>
      <w:r>
        <w:rPr>
          <w:rFonts w:ascii="IRNazanin" w:hAnsi="IRNazanin" w:eastAsia="IRNazanin"/>
          <w:color w:val="111111"/>
          <w:sz w:val="28"/>
          <w:sz w:val="28"/>
          <w:szCs w:val="28"/>
          <w:rtl w:val="true"/>
          <w:lang w:bidi="fa-IR"/>
        </w:rPr>
        <w:t>آن که درباره هر حادثه‌ای، اجتهادی مطرح 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به هر روی، اجتهاد به رأی و قیاس، از آغاز پیدایش محلّ نزاع و تضارب آرای علما و فقها بوده است و چنان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مبحث قیاس و استحسان نیز مفصلتر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تاریخی قیاس و اجتهاد به رأی، به عصر خلفای پیامبر صلی‌الله‌علیه‌و‌آله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ائمه اهل بیت علیهم‌السلام در مذمت اهل قیاس و اجتهاد به رأی وارد شده در مورد همان کسانی است که فکر و نظر شخصی خود را به عنوان مصدری از مصادر تشریع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صدور این گونه روایات، در همان عصر ائمه اهل بیت علیهم‌السلامعلمای شیعه نیز مبارزه با اهل قیاس را شروع کرده، و بر ردّ آنها کتابهایی را تألیف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عبداللّه بن عبدالرحمن الزبیری کتابی تصنیف کرده است به نام الاستفادة فی الطعون علی الاوائل و الرد علی اصحاب الإجتهاد و القیاس</w:t>
      </w:r>
      <w:r>
        <w:rPr>
          <w:rStyle w:val="FootnoteAnchor"/>
          <w:rtl w:val="true"/>
        </w:rPr>
        <w:footnoteReference w:id="87"/>
      </w:r>
      <w:r>
        <w:rPr>
          <w:rFonts w:ascii="IRNazanin" w:hAnsi="IRNazanin" w:eastAsia="IRNazanin"/>
          <w:color w:val="111111"/>
          <w:sz w:val="28"/>
          <w:sz w:val="28"/>
          <w:szCs w:val="28"/>
          <w:rtl w:val="true"/>
          <w:lang w:bidi="fa-IR"/>
        </w:rPr>
        <w:t>و نیز در موضوع ردّ قیاس، هلال بن ابراهیم بن أبی الفتح مدنی کتابی تألیف کرده به نام الردّ علی من ردّ آثار الرسول و اعتمد علی نتائج العقول</w:t>
      </w:r>
      <w:r>
        <w:rPr>
          <w:rStyle w:val="FootnoteAnchor"/>
          <w:rtl w:val="true"/>
        </w:rPr>
        <w:footnoteReference w:id="88"/>
      </w:r>
      <w:r>
        <w:rPr>
          <w:rFonts w:ascii="IRNazanin" w:hAnsi="IRNazanin" w:eastAsia="IRNazanin"/>
          <w:color w:val="111111"/>
          <w:sz w:val="28"/>
          <w:sz w:val="28"/>
          <w:szCs w:val="28"/>
          <w:rtl w:val="true"/>
          <w:lang w:bidi="fa-IR"/>
        </w:rPr>
        <w:t>و در عصر غیبت صغری، اسماعیل بن علی بن اسحاق بن أبی سهل نوبختی کتابهای ردّیه زیادی نوشته که از جمله آنها کتاب النقض علی عیسی بن أبان</w:t>
      </w:r>
    </w:p>
    <w:p>
      <w:pPr>
        <w:pStyle w:val="BookText"/>
        <w:rPr/>
      </w:pPr>
      <w:r>
        <w:rPr>
          <w:rFonts w:ascii="IRNazanin" w:hAnsi="IRNazanin" w:eastAsia="IRNazanin"/>
          <w:color w:val="111111"/>
          <w:sz w:val="28"/>
          <w:sz w:val="28"/>
          <w:szCs w:val="28"/>
          <w:rtl w:val="true"/>
          <w:lang w:bidi="fa-IR"/>
        </w:rPr>
        <w:t>فی الاجتهاد می‌باشد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اواسط قرن چهارم می‌بینیم که شیخ صدوق بر اهل اجتهاد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داستان حضرت موسی و خضر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که حضرت موسی در کمال عقل و فضیلت و نزد خداوند دارای مقام و منزلت بود، با استنباط و استدلال شخصی خود معنی کارهای خضر را درک نکرد، به طوری که وجه فرمان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متابعت از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مشتبه شد،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صورتی که قیاس و استدلال و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انبیاء و پیامبران الهی جایز نباشد، به طریق اولی برای دیگران هم 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موسی با آن فضیلت و مقامش، صلاحیت انتخاب نداشته باشد، پس </w:t>
      </w:r>
    </w:p>
    <w:p>
      <w:pPr>
        <w:pStyle w:val="BookText"/>
        <w:rPr/>
      </w:pPr>
      <w:r>
        <w:rPr>
          <w:rFonts w:ascii="IRNazanin" w:hAnsi="IRNazanin" w:eastAsia="IRNazanin"/>
          <w:color w:val="111111"/>
          <w:sz w:val="28"/>
          <w:sz w:val="28"/>
          <w:szCs w:val="28"/>
          <w:rtl w:val="true"/>
          <w:lang w:bidi="fa-IR"/>
        </w:rPr>
        <w:t>امت چگونه صلاحیت اختیار و انتخاب امام را داشته باشد؟ و چگونه صلاحیت داشته باشند تا با عقلهای ناقص و آرای گوناگون خود احکام شرعی را استخراج کنند؟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اواخر قرن چهارم، شیخ مفید، هجوم بر اجتهاد را ادامه می‌دهد و اجتهاد را به عنوان مصدر و مبدأ احکام فقهی محکوم می‌کند و در این مورد کتابی دارد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علی ابن الجنید فی إجتهاد الرأی</w:t>
      </w:r>
      <w:r>
        <w:rPr>
          <w:rStyle w:val="FootnoteAnchor"/>
          <w:rtl w:val="true"/>
        </w:rPr>
        <w:footnoteReference w:id="91"/>
      </w:r>
      <w:r>
        <w:rPr>
          <w:rFonts w:ascii="IRNazanin" w:hAnsi="IRNazanin" w:eastAsia="IRNazanin"/>
          <w:color w:val="111111"/>
          <w:sz w:val="28"/>
          <w:sz w:val="28"/>
          <w:szCs w:val="28"/>
          <w:rtl w:val="true"/>
          <w:lang w:bidi="fa-IR"/>
        </w:rPr>
        <w:t>و در اوایل قرن پنجم نیز سیّد مرتضی را می‌بینیم که با اجتهاد به رأی به مبارزه برخاسته، چنان که در کتاب الذریعة إلی اصول الشریعة در موارد متعددی در مذمت و بطلان اجتهاد و قیاس و عمل به ظنّ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یا عدم جواز صدور حکم از طریق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سندل علی أنّ الإجتهاد فی‌الشریعة باطلٌ</w:t>
      </w:r>
      <w:r>
        <w:rPr>
          <w:rStyle w:val="FootnoteAnchor"/>
          <w:rtl w:val="true"/>
        </w:rPr>
        <w:footnoteReference w:id="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دلیل خواهیم آورد که اجتهاد در دین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قد یُجمعون علی ما طریقه الظنّ، کالقیاس و الإجتهاد و أخبار الآحاد، و المدعاةُ غیرُ صحیحةٍ و لامعلومةٍ</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بر طریقه ظنّی، مانند قیاس و اجتهاد و اخبار آحاد، اتّفاق نظر دارند، در حالی که این عادت و روش مورد ادعای آنان، نادرست و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سیّد مرتضی در کتاب فقهی خود یعنی الانتصار در مخالفت با ابن جنید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عوّل ابن الجنید فی هذه المسألة علی ضرب من الرأی و الإجتهاد و خطأه ظاهرٌ</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ابن جنید در این مسأله به نوعی رأی و اجتهاد شخصی اعتماد کرده است، در صورتی که خطای او ظاهر و روشن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ذکر شد نتیجه می‌گیریم که مبارزه و ضدیّت علمای شیعه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بوده که در آن زمان، این کلمه غالبا در معنایی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اجتهاد به معنای قیاس، در زمان شیخ طوسی نیز ادامه داشت، وی که در اواسط قرن پنجم از دنیا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عدّة الاصول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القیاس و الاجتهاد فعندنا انهما لیسا بدلیلین، بل محظورٌ فی الشریعة استعمالهما</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و اجتهاد نزد امامیّه‌به عنوان دو دلیل مطرح نمی‌شوند، بلکه کاربرد آنها در شرع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ششم، ابن ادریس نیز با اجتهاد مبارزه و مخالفت کرده است، چنان که در کتاب السرائر در مسأله تعارض دو بیّنه، تعدادی از مرجحات را ذکر می‌کند و به دنبال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لاترجیح بغیر ذلک عند أصحابنا، و القیاس و الإستحسان و الإجتهاد باطلٌ عندنا</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امامیّه‌با غیر اینها نمی‌توان ترجیح داد، قیاس و استحسان و اجتهاد نزد ما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سیر تاریخی 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تهاد نشان می‌دهد که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اوایل قرن هفتم ، واژه اجتهاد به عنوان یکی از مصادر و منابع احکام در میان اهل سنّت رایج بوده و بر همین اساس این واژه نزد فقهای امامیّه‌مبغوض و محکوم به بطلان بوده و سخت با آن مبارزه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در مکتب فقهی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قرن هفتم به کار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از همان معنای مصطلح نزد اهل سنت، در مباحث فقه امامیّه ممنوع بود و حتّی به</w:t>
      </w:r>
    </w:p>
    <w:p>
      <w:pPr>
        <w:pStyle w:val="BookText"/>
        <w:rPr/>
      </w:pPr>
      <w:r>
        <w:rPr>
          <w:rFonts w:ascii="IRNazanin" w:hAnsi="IRNazanin" w:eastAsia="IRNazanin"/>
          <w:color w:val="111111"/>
          <w:sz w:val="28"/>
          <w:sz w:val="28"/>
          <w:szCs w:val="28"/>
          <w:rtl w:val="true"/>
          <w:lang w:bidi="fa-IR"/>
        </w:rPr>
        <w:t>کار بردن کلمه اجتهاد در استنباط احکام، برایشان بسیار ثقیل می‌نمود و از این که فقهای</w:t>
      </w:r>
    </w:p>
    <w:p>
      <w:pPr>
        <w:pStyle w:val="BookText"/>
        <w:rPr/>
      </w:pPr>
      <w:r>
        <w:rPr>
          <w:rFonts w:ascii="IRNazanin" w:hAnsi="IRNazanin" w:eastAsia="IRNazanin"/>
          <w:color w:val="111111"/>
          <w:sz w:val="28"/>
          <w:sz w:val="28"/>
          <w:szCs w:val="28"/>
          <w:rtl w:val="true"/>
          <w:lang w:bidi="fa-IR"/>
        </w:rPr>
        <w:t xml:space="preserve">شیعه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 سخت پرهیز و امتناع می‌کردند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خصوصیات مباحث و متون فقهی‌ای که در زمان غیبت صغری و تا حدودی متون فقهی پس از آن که تا اوایل قرن پنجم پدید آمده، این است که این مباحث و متون از حدود فروع فقهی که در احادیث اهل بیت علیهم‌السلام ذکر شده تجاوز نمی‌کند، زیرا در سراسر </w:t>
      </w:r>
    </w:p>
    <w:p>
      <w:pPr>
        <w:pStyle w:val="BookText"/>
        <w:rPr/>
      </w:pPr>
      <w:r>
        <w:rPr>
          <w:rFonts w:ascii="IRNazanin" w:hAnsi="IRNazanin" w:eastAsia="IRNazanin"/>
          <w:color w:val="111111"/>
          <w:sz w:val="28"/>
          <w:sz w:val="28"/>
          <w:szCs w:val="28"/>
          <w:rtl w:val="true"/>
          <w:lang w:bidi="fa-IR"/>
        </w:rPr>
        <w:t xml:space="preserve">دوره غیبت صغری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شیعه در آثار فقیهان و محدثانی نمودار است که تنها از طریق ظاهر نص قرآن و حدیث به مسائل فقهی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رسائل جوابیّه‌ای که در پاسخ استفتاها می‌نگاشتند، فقط به ارائه اصل و متن حدیث رسیده از معصومین علیهم‌السلام اکتفا می‌کردند و هیچ گاه وارد مناقشه و بحث و استدلال و اجتهاد نمی‌شدند و اغلب فتاوای صادره از فقهای این دوره، همان نصوص و احادیث وارده از معصومین علیهم‌السلامبود که با اسقاط سند از متن احادیث، به عنوان فتوا استفاده می‌کردند و در پاره‌ای موارد ممکن بود متن بعضی از احادیث را به طور فشرده و مختصر و یا به صورت نقل به معنی، در افتا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مراجعه به رسائل و کتب فقهی آن دوره</w:t>
      </w:r>
    </w:p>
    <w:p>
      <w:pPr>
        <w:pStyle w:val="BookText"/>
        <w:rPr/>
      </w:pP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رساله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فرزندش که</w:t>
      </w:r>
    </w:p>
    <w:p>
      <w:pPr>
        <w:pStyle w:val="BookText"/>
        <w:rPr/>
      </w:pPr>
      <w:r>
        <w:rPr>
          <w:rFonts w:ascii="IRNazanin" w:hAnsi="IRNazanin" w:eastAsia="IRNazanin"/>
          <w:color w:val="111111"/>
          <w:sz w:val="28"/>
          <w:sz w:val="28"/>
          <w:szCs w:val="28"/>
          <w:rtl w:val="true"/>
          <w:lang w:bidi="fa-IR"/>
        </w:rPr>
        <w:t>در آن، متن احادیث را به عنوان فتاوای خود عرضه کرده است و نیز مانند کتابهای المقنع فی الفقه و الهدایة بالخبر تألیف شیخ صدوق که شامل فتاوای او به صورت متن احادیث است، چنان که خود صدوق در کتاب المقنع فی الفقه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صنفت کتابی هذا و سمّیته المقنع لقنوع من یقرأ بما فیه و حذفت الأسناد لئلاّ یثقل حمله و یصعب حفظه و لایملّه قاریه </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کتاب خود را تصنیف کردم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نامیدم، زیرا خواننده با خواندن مطالب آن قانع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کتب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اسناد آن را حذف کردم تا حمل آن سنگین و حفظ آن مشکل نباشد و خواننده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غیبت صغری اوّلین فقهای بزرگی که تفکّر اجتهاد را در عرصه فقه شیعی مطرح می‌کنند، ابن عقیل و ابن جنید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حسن بن علی بن ابی عقیل 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حدود سال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ابی عقیل، فقیه و متکلّمی شیعی است که در نیمه اوّل قرن چهارم هجری برای تجدید حیات اجتهاد در فقه شیعه قیام می‌کند و در استنباط احکام به مسائل اصول فقه تمسک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الجنات درباره او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شیخ همان کسی است که ابتکار و پایه‌گذاری اظهار نظر در ادلّه و روش </w:t>
      </w:r>
    </w:p>
    <w:p>
      <w:pPr>
        <w:pStyle w:val="BookText"/>
        <w:rPr/>
      </w:pPr>
      <w:r>
        <w:rPr>
          <w:rFonts w:ascii="IRNazanin" w:hAnsi="IRNazanin" w:eastAsia="IRNazanin"/>
          <w:color w:val="111111"/>
          <w:sz w:val="28"/>
          <w:sz w:val="28"/>
          <w:szCs w:val="28"/>
          <w:rtl w:val="true"/>
          <w:lang w:bidi="fa-IR"/>
        </w:rPr>
        <w:t xml:space="preserve">جمع بین مدارک احکام به وسیله اجتهاد صحیح، به او نسبت داده می‌شود و به همین جهت است که در کلمات فقهای امامیه، از او و از شیخ ابوعلی‌بن جنید، صاحب مختصر مشهور،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سپس صاحب روضات به نقل از سید بحرالعلوم درباره ابن ابی عقیل و ابن جنید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اوّلین کسی است که در آغاز غیبت کبری فقه را پاکسازی و مهذّب ساخت و در آن اظهار نظر کرد و بحث و جستجو از اصول و فروع را باز کرد و پس از او شیخ فاضل ابن جنید قرار دارد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ابن ابی عقیل با نوشتن کتاب المتمسّک بحبل آل الرّسول اوّلین مجموعه مدوّن فقهی را در فقه شیعه ارائه می‌دهد که فقه را به عنوان دانشی مستقلّ و جدای از کتب حدیث مطرح می‌کند، این کتاب در همان زمان تألیف میان فقهای امامیّه مشهور و مورد استقبال</w:t>
      </w:r>
    </w:p>
    <w:p>
      <w:pPr>
        <w:pStyle w:val="BookText"/>
        <w:rPr/>
      </w:pPr>
      <w:r>
        <w:rPr>
          <w:rFonts w:ascii="IRNazanin" w:hAnsi="IRNazanin" w:eastAsia="IRNazanin"/>
          <w:color w:val="111111"/>
          <w:sz w:val="28"/>
          <w:sz w:val="28"/>
          <w:szCs w:val="28"/>
          <w:rtl w:val="true"/>
          <w:lang w:bidi="fa-IR"/>
        </w:rPr>
        <w:t>شیعیان قرار گرفت، چنان که نجاشی در رجال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میان امامیه، کتاب مشهوری است و گفته شده که هر حاجی که از خراسان وارد می‌شد، نسخه‌هایی از این کتاب از او درخواست و خریداری می‌شد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به هر حال همچنان که در آغاز این بحث اشاره شد، تا اوایل قرن هفتم کاربرد واژه اجتهاد به طور رسمی در کتب فقهی شیعه ممنوع بود و اکثریت فقهای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عدّه معدودی مانند ابن ابی عقیل یا 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کاربردن این اصطلاح و از اعمال قواعد آن در کتب فقهی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اواسط قرن هفتم این واژه در تعابیر و اصطلاحات فقهای امامیّه‌دچار تغییر و تطور شد و معنای جدیدی پیدا کرد که عبارت بود از</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 جهد و استفراغ وسع برای استخراج و استنباط احکام از منابع چهارگانه اصلی یعنی کتاب و سنّت و عقل و اجماع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نظر نگارنده، شاید قدیمی‌ترین مدرکی که بر این تطور دلالت می‌کند کتاب معارج الاصول تألیف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عرف فقها عبارت است از به کاربردن نهایت سعی و تلاش در استخراج احکام شرعی و به همین اعتبار استخراج احکام از ادلّه شرعی، اجتهاد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ادلّه شرعی مبتنی بر اعتبارات نظری است که در اکثر موارد مستفاد، از ظواهر نصوص نمی‌باشد، خواه آن دلیل قیاس باشد، یا غیرقیاس و با این بیان، قیاس یکی از اقسام اجتهاد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بنابراین لازم می‌آید که امامیّه‌اهل اجتهاد باشند، در جواب می‌گوییم همین طور است، لکن چون قیاس از اقسام اجتهاد است، این ایهام وجود دارد که امامیّه‌اهل قیاس باشند، پس هرگاه قیاس استثنا شود، ما در تحصیل احکام به وسیله طرق نظری، اهل اجتهاد خواهیم بود و قیاس را از اقسام اجتهاد و از طرق نظری نمی‌دانیم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مقایسه اجتهاد به معنی مصطلح نزد اهل سنّت با اجتهاد مصطلح نزد شیعه تفاوت اساسی و ماهوی آن دو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اجتهاد به معنی اول، در صورت فقدان نص، فقیه می‌تواند از ذوق و استعداد و فکر خود استفاده کند و فتوا دهد و فی‌المثل اگر</w:t>
      </w:r>
    </w:p>
    <w:p>
      <w:pPr>
        <w:pStyle w:val="BookText"/>
        <w:rPr/>
      </w:pPr>
      <w:r>
        <w:rPr>
          <w:rFonts w:ascii="IRNazanin" w:hAnsi="IRNazanin" w:eastAsia="IRNazanin"/>
          <w:color w:val="111111"/>
          <w:sz w:val="28"/>
          <w:sz w:val="28"/>
          <w:szCs w:val="28"/>
          <w:rtl w:val="true"/>
          <w:lang w:bidi="fa-IR"/>
        </w:rPr>
        <w:t>از او سؤال شود که مبنا و دلیل حکم و فتوای تو چیست ؟ او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اجتهاد و فکر خاصّ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مصطلح دوم، اجتهاد مبدأ و مصدر حکم شرعی نخواهد بود، زیرا اجتهاد به معنای دوم عبارت است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و استخراج احکام از مصادر و منابع اصلی چهارگانه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نماند که واژه اجتهاد در معنای دوم نیز دچار تطوّر و تحّول شد، زیرا در آغاز، محقّق حلّی اجتهاد را محدود به استنباطی می‌کند که مستند به ظواهر نصوص نباشد، شاید علّت تحدید، آن بود که در استنباط حکم از ظاهر نصّ، جُهد کثیر و تلاش علمی وسیعی وجود ندارد که بتوان آن را اجتهاد نامید، ولی بعدها قلمرو و محدوده اجتهاد وسعت یافت و حتّی بر استنباط حکم از ظاهر، نیز اجتهاد اطلاق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اصولیین بعدا متوجه شدند که استنباط احکام از ظاهر ادلّه نیز نیاز به جُهد کثیر و تلاش علمی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تدوین علم اصول و گسترش مباحث و اصطلاحات اصولی، به عنوان مقدمه برای استنباط احکام، ضروری و لازم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چکیده بحث این شد که تمایز اصلی اجتهاد در دو مکتب شیعه و اهل سنّت به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در نظر اهل سنت، در ردیف کتاب و سنّت قرار دارد و خود یکی از منابع و مصادر تشریع به شمار می‌رود، ولی از دیدگاه فقهای شیعه، اجتهاد از مصادر تشریع نمی‌باشد، بلکه یکی از راههای به دست آوردن احکام شریعت، از مصادر و منابع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اجتهاد تلاش وسیع و بلیغ و همه جانبه مجتهد است برای به دست آوردن احکام شرعی از مصادر و منابع معتبر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رواج علم اصول در مجامع علمی فقهای شیعه، عده‌ای از علمای شیعه که با اجتهاد مخالف بودند، با مجتهدین و اصولیین به مبارزه برخاستند که در اصطلاح، اینان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اجتهاد به معنای اول، که از طرف ائمه اهل</w:t>
      </w:r>
    </w:p>
    <w:p>
      <w:pPr>
        <w:pStyle w:val="BookText"/>
        <w:rPr/>
      </w:pPr>
      <w:r>
        <w:rPr>
          <w:rFonts w:ascii="IRNazanin" w:hAnsi="IRNazanin" w:eastAsia="IRNazanin"/>
          <w:color w:val="111111"/>
          <w:sz w:val="28"/>
          <w:sz w:val="28"/>
          <w:szCs w:val="28"/>
          <w:rtl w:val="true"/>
          <w:lang w:bidi="fa-IR"/>
        </w:rPr>
        <w:t>بیت علیهم‌السلام شدیدا مورد حمله واقع شد، اخباریون را بر آن داشت که به طور کلّی با هر نوع اجتهادی مخالفت کنند و قواعد علم اصول را نیز نادرست بدانند، در حالی که اینان توجه</w:t>
      </w:r>
    </w:p>
    <w:p>
      <w:pPr>
        <w:pStyle w:val="BookText"/>
        <w:rPr/>
      </w:pPr>
      <w:r>
        <w:rPr>
          <w:rFonts w:ascii="IRNazanin" w:hAnsi="IRNazanin" w:eastAsia="IRNazanin"/>
          <w:color w:val="111111"/>
          <w:sz w:val="28"/>
          <w:sz w:val="28"/>
          <w:szCs w:val="28"/>
          <w:rtl w:val="true"/>
          <w:lang w:bidi="fa-IR"/>
        </w:rPr>
        <w:t>ندارند که اجتهاد مذموم، همان اجتهاد به معنای اوّل است، نه اجتهاد متداوّل در محافل</w:t>
      </w:r>
    </w:p>
    <w:p>
      <w:pPr>
        <w:pStyle w:val="BookText"/>
        <w:rPr/>
      </w:pPr>
      <w:r>
        <w:rPr>
          <w:rFonts w:ascii="IRNazanin" w:hAnsi="IRNazanin" w:eastAsia="IRNazanin"/>
          <w:color w:val="111111"/>
          <w:sz w:val="28"/>
          <w:sz w:val="28"/>
          <w:szCs w:val="28"/>
          <w:rtl w:val="true"/>
          <w:lang w:bidi="fa-IR"/>
        </w:rPr>
        <w:t>فقهای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بحث آن گذشت، اخباریّون حتّی منکر حجّیّت ظواهر قرآن می‌شوند و تأکید می‌کنند که معنی قرآن را جز مخاطبان حقیقی آن یعنی ائمه علیهم‌السلام نمی‌فهمند و می‌گویند جز ائمه معصومین علیهم‌السلام کسی حق اظهار نظر و استنباط حکمی از قرآن را ندارد، ولی اصولیون با این نظر مخالف هستند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 هر کلامی که در معنایی ظهور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ظواهر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واضح است، نیازی به تفسیر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 آیات قرآن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و متشابه، آیات متشابه در استنباط احکام، حجّیّت و اعتباری ندارد و آیاتی که مربوط به احکام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 جزء</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ظواهر است و در بعضی موارد نصّ می‌باشد، که استنباط حکم از آن اشکالی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ثالثا ؛ قایلین به حجّیّت ظواهر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عمل به ظاهر قرآن باید از وجود مخصص و مقیّد و ناسخ و معارض و قرینه صارفه، تا سرحد حصول اطمینان فحص و جستجو کرد و بعد از فحص،درصورت یأس از وجود مخصص و ناسخ، می‌توان به ظاهر کتاب عمل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مقدّمات بحث، اکنون به مبحث اصلی کتاب،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منابع فقه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xml:space="preserve">. </w:t>
      </w:r>
      <w:bookmarkStart w:id="78" w:name="pg4331_48918"/>
    </w:p>
    <w:p>
      <w:pPr>
        <w:pStyle w:val="Heading2"/>
        <w:numPr>
          <w:ilvl w:val="1"/>
          <w:numId w:val="1"/>
        </w:numPr>
        <w:rPr/>
      </w:pPr>
      <w:bookmarkStart w:id="79" w:name="__RefHeading___Toc1014645_1479056682"/>
      <w:bookmarkStart w:id="80" w:name="_Toc27"/>
      <w:bookmarkEnd w:id="78"/>
      <w:bookmarkEnd w:id="79"/>
      <w:r>
        <w:rPr>
          <w:rtl w:val="true"/>
        </w:rPr>
        <w:t>بخش دوم</w:t>
      </w:r>
      <w:r>
        <w:rPr>
          <w:rtl w:val="true"/>
        </w:rPr>
        <w:t xml:space="preserve">: </w:t>
      </w:r>
      <w:r>
        <w:rPr>
          <w:rtl w:val="true"/>
        </w:rPr>
        <w:t>منابع و مصادر احکام</w:t>
      </w:r>
      <w:bookmarkEnd w:id="80"/>
    </w:p>
    <w:p>
      <w:pPr>
        <w:pStyle w:val="Heading3"/>
        <w:numPr>
          <w:ilvl w:val="2"/>
          <w:numId w:val="1"/>
        </w:numPr>
        <w:rPr/>
      </w:pPr>
      <w:bookmarkStart w:id="81" w:name="__RefHeading___Toc1014647_1479056682"/>
      <w:bookmarkStart w:id="82" w:name="_Toc28"/>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بحث در ادلّه اربعه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سنّت، اجماع، عقل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4331_48920"/>
      <w:bookmarkStart w:id="84" w:name="pg4331_48920"/>
      <w:bookmarkEnd w:id="84"/>
    </w:p>
    <w:p>
      <w:pPr>
        <w:pStyle w:val="BookText"/>
        <w:rPr/>
      </w:pPr>
      <w:bookmarkStart w:id="85" w:name="pg4331_48920"/>
      <w:bookmarkEnd w:id="85"/>
      <w:r>
        <w:rPr>
          <w:rFonts w:ascii="IRNazanin" w:hAnsi="IRNazanin" w:eastAsia="IRNazanin"/>
          <w:color w:val="111111"/>
          <w:sz w:val="28"/>
          <w:sz w:val="28"/>
          <w:szCs w:val="28"/>
          <w:rtl w:val="true"/>
          <w:lang w:bidi="fa-IR"/>
        </w:rPr>
        <w:t>در فقه اسلامی از احکام و قوانین مختلف اسلامی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اسلامی مانند هر قانونی دارای منابع و مصادری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منابع احکام، ابتدا لازم است درباره</w:t>
      </w:r>
    </w:p>
    <w:p>
      <w:pPr>
        <w:pStyle w:val="BookText"/>
        <w:rPr/>
      </w:pPr>
      <w:r>
        <w:rPr>
          <w:rFonts w:ascii="IRNazanin" w:hAnsi="IRNazanin" w:eastAsia="IRNazanin"/>
          <w:color w:val="111111"/>
          <w:sz w:val="28"/>
          <w:sz w:val="28"/>
          <w:szCs w:val="28"/>
          <w:rtl w:val="true"/>
          <w:lang w:bidi="fa-IR"/>
        </w:rPr>
        <w:t>حکم و اقسام آن به اختصار مطالبی ذکر شود</w:t>
      </w:r>
      <w:r>
        <w:rPr>
          <w:rFonts w:eastAsia="IRNazanin" w:cs="IRNazanin"/>
          <w:color w:val="111111"/>
          <w:sz w:val="28"/>
          <w:szCs w:val="28"/>
          <w:rtl w:val="true"/>
          <w:lang w:bidi="fa-IR"/>
        </w:rPr>
        <w:t>:</w:t>
      </w:r>
    </w:p>
    <w:p>
      <w:pPr>
        <w:pStyle w:val="Heading3"/>
        <w:numPr>
          <w:ilvl w:val="2"/>
          <w:numId w:val="1"/>
        </w:numPr>
        <w:rPr/>
      </w:pPr>
      <w:bookmarkStart w:id="86" w:name="__RefHeading___Toc1014649_1479056682"/>
      <w:bookmarkStart w:id="87" w:name="_Toc29"/>
      <w:bookmarkEnd w:id="86"/>
      <w:r>
        <w:rPr>
          <w:rtl w:val="true"/>
        </w:rPr>
        <w:t>تعریف حکم</w:t>
      </w:r>
      <w:bookmarkEnd w:id="87"/>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حکم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معانی متعددی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بازداشتن و منع، پابرجا و محکم کردن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العرب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علم و فقه است، خدای تعالی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دادیم، یعنی به او علم و فقه عطا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علم و فقه و قضاوت به عدل است و از همین جاست که به حاکم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زیرا او ستمگر را از ستم کردن باز می‌دارد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در المصباح المنیر آمده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معنی قضاوت است و اصل آن بازداشتن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علیه بکذا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چنین حکم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گفته می‌شود که کسی را از چیزی منع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قوم حکم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آنها فصل خصومت کردم، </w:t>
      </w:r>
    </w:p>
    <w:p>
      <w:pPr>
        <w:pStyle w:val="BookText"/>
        <w:rPr/>
      </w:pPr>
      <w:r>
        <w:rPr>
          <w:rFonts w:ascii="IRNazanin" w:hAnsi="IRNazanin" w:eastAsia="IRNazanin"/>
          <w:color w:val="111111"/>
          <w:sz w:val="28"/>
          <w:sz w:val="28"/>
          <w:szCs w:val="28"/>
          <w:rtl w:val="true"/>
          <w:lang w:bidi="fa-IR"/>
        </w:rPr>
        <w:t xml:space="preserve">پس من نسبت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چهار پایان است و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که چهار پا را برای صاحبش رام می‌کند و آن را از چموشی باز می‌دارد و اشتقاق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معنی است، زیرا حکمت صاحب خود را از اخلاق افراد پست باز می‌دارد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حکم در اصطلاح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در اصطلاح فقها، تعاریف متعددی بیان شده است که اکثر آنها با اندک اختلاف مانند یکدیگرند و بر اغلب آنها اشکالاتی وارد شده است و از مجموع آنها چنین بر می‌آید که حکم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شارع به مکلّفین در مورد افعال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در تعریف حکم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خطاب الشرع المتعلّق بافعال المکلفین بالاقتضاء او التخییر او الوضع</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شرع که مربوط به کارها و رفتار افراد مکلف است، به گونه اقتضا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بعد از اشکال بر این تعریف، به این که خطاب حکم نیست، بلکه کاشف از حکم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تشریعی که از طرف خدا به خاطر منظم ساختن زندگی انسان صادر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 کتاب و سنت، حکم شرعی نیستند، بلکه کاشف از حکم شرعی می‌باشند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غزّالی در تعریف حکم شرعی می‌گوید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عندنا عبارة عن خطاب الشرع إذا تعلق بأفعال المکلّفین فالحرام هو المقول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اُترکوه و لاتفعلوه و الواجب هو المقول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افعلوه و لاتترکوه و المباح هو المقول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 فافعلوه و ان شئتم فاترکوه، فان لم یوجد هذا </w:t>
      </w:r>
      <w:bookmarkStart w:id="88" w:name="pg4331_48922"/>
    </w:p>
    <w:p>
      <w:pPr>
        <w:pStyle w:val="BookText"/>
        <w:rPr/>
      </w:pPr>
      <w:bookmarkEnd w:id="88"/>
      <w:r>
        <w:rPr>
          <w:rFonts w:ascii="IRNazanin" w:hAnsi="IRNazanin" w:eastAsia="IRNazanin"/>
          <w:color w:val="111111"/>
          <w:sz w:val="28"/>
          <w:sz w:val="28"/>
          <w:szCs w:val="28"/>
          <w:rtl w:val="true"/>
          <w:lang w:bidi="fa-IR"/>
        </w:rPr>
        <w:t>الخطاب من الشارع فلاحکم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در نزد ما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شرع، آن گاه که به افعال افراد مکلف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حرام آن است که درباره 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ترک کنید و انجام ندهید و واجب آن است که درباره 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دهید و ترک نکنید و مباح آن است که درباره‌اش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دهید و اگر خواستید می‌توانید آن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خطابی از سوی شارع نباشد، حکمی نخواهد بود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89" w:name="__RefHeading___Toc1014651_1479056682"/>
      <w:bookmarkStart w:id="90" w:name="_Toc30"/>
      <w:bookmarkEnd w:id="89"/>
      <w:r>
        <w:rPr>
          <w:rtl w:val="true"/>
        </w:rPr>
        <w:t>اشکال بر تعریف غزّالی</w:t>
      </w:r>
      <w:bookmarkEnd w:id="90"/>
    </w:p>
    <w:p>
      <w:pPr>
        <w:pStyle w:val="BookText"/>
        <w:rPr/>
      </w:pPr>
      <w:r>
        <w:rPr>
          <w:rFonts w:ascii="IRNazanin" w:hAnsi="IRNazanin" w:eastAsia="IRNazanin"/>
          <w:color w:val="111111"/>
          <w:sz w:val="28"/>
          <w:sz w:val="28"/>
          <w:szCs w:val="28"/>
          <w:rtl w:val="true"/>
          <w:lang w:bidi="fa-IR"/>
        </w:rPr>
        <w:t>بر تعریف غزالی اشکال شده و خلاصه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خطابهای شرعی مذکور در کتاب و سنّت عین حکم شرعی نیستند، بلکه کاشف و حاکی از آنند و حکم شرعی مدلول و معنی خطاب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حکم شرعی همیشه به فعل مکلف تعلق نمی‌گیرد، بلکه گاهی حکم شرعی مربوط به خود مکلف و زمانی مربوط به اموری در رابطه با مکلف است، زیرا غایت و هدف از حکم شرعی تنظیم زندگی دنیوی و سعادت اخروی انسان است و این هدف همان طور که با خطاب مربوط به فعل مکلف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همچنین این هدف به وسیله خطاب مربوط به خود مکلف یا خطاب مربوط به اشیاء و امور مربوط به زندگی او نیز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خود زوجین مربوط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دیگری است که به اموال و دارایی آنها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صدر به همین اشکال وارد بر غزالی اشاره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پرتو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تعریف حکم، به همان قالبی که بین قدمای اصولیّین مشهور است، خطا می‌باشد، چه این که آن را چنین تعریف می‌کنند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خطاب شرعی متعلق به افعال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خطاب شرعی، </w:t>
      </w:r>
      <w:bookmarkStart w:id="91" w:name="pg4331_48923"/>
    </w:p>
    <w:p>
      <w:pPr>
        <w:pStyle w:val="BookText"/>
        <w:rPr/>
      </w:pPr>
      <w:bookmarkEnd w:id="91"/>
      <w:r>
        <w:rPr>
          <w:rFonts w:ascii="IRNazanin" w:hAnsi="IRNazanin" w:eastAsia="IRNazanin"/>
          <w:color w:val="111111"/>
          <w:sz w:val="28"/>
          <w:sz w:val="28"/>
          <w:szCs w:val="28"/>
          <w:rtl w:val="true"/>
          <w:lang w:bidi="fa-IR"/>
        </w:rPr>
        <w:t>کاشف از حکم است و حکم مدلول و معنی خطاب شارع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شیخ محمّد خضری در تعریف حکم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نزد اصولیین عبارت است از خطابی که به افعال مکلفین تعلق می‌گیرد، خواه خطابی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تخییری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وضعی باشد و حکم نزد فقها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که اثر خطاب شارع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مرحوم شهید اوّل در القواعد و الفوائد حکم را چنین تعریف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شارع که متعلق است به افعال مکلفین به گونه اقتضا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علما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را افزوده‌اند و وضع عبارت است از حکم به این که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92" w:name="__RefHeading___Toc1014653_1479056682"/>
      <w:bookmarkStart w:id="93" w:name="_Toc31"/>
      <w:bookmarkEnd w:id="92"/>
      <w:r>
        <w:rPr>
          <w:rtl w:val="true"/>
        </w:rPr>
        <w:t>حکم تکلیفی و حکم وضعی</w:t>
      </w:r>
      <w:bookmarkEnd w:id="93"/>
    </w:p>
    <w:p>
      <w:pPr>
        <w:pStyle w:val="Heading4"/>
        <w:numPr>
          <w:ilvl w:val="3"/>
          <w:numId w:val="1"/>
        </w:numPr>
        <w:rPr/>
      </w:pPr>
      <w:bookmarkStart w:id="94" w:name="__RefHeading___Toc1014655_1479056682"/>
      <w:bookmarkStart w:id="95" w:name="_Toc32"/>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باتوجه به تعریف اخیری که برای حکم شرعی بیان شد، حکم به‌دو قسم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تکلیفی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w:t>
      </w:r>
    </w:p>
    <w:p>
      <w:pPr>
        <w:pStyle w:val="Heading4"/>
        <w:numPr>
          <w:ilvl w:val="3"/>
          <w:numId w:val="1"/>
        </w:numPr>
        <w:rPr/>
      </w:pPr>
      <w:bookmarkStart w:id="96" w:name="__RefHeading___Toc1014657_1479056682"/>
      <w:bookmarkStart w:id="97" w:name="_Toc33"/>
      <w:bookmarkEnd w:id="96"/>
      <w:r>
        <w:rPr>
          <w:rtl w:val="true"/>
        </w:rPr>
        <w:t>حکم تکلیفی</w:t>
      </w:r>
      <w:bookmarkEnd w:id="9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حکمی شرعی است که به افعال مکلّفین تعلّق می‌گیرد، زیرا تمام افعال یک انسان مکلف در دایره قوانین و احکام شرع قرار می‌گیرد و هیچ فعل و عملی از افعال انسان نیست مگر آن که اسلام درباره آن حکم دارد و حدیث رسیده از امام صادق علیه‌السلاماشاره به همین مطلب دارد که می‌فرماید</w:t>
      </w:r>
      <w:r>
        <w:rPr>
          <w:rFonts w:eastAsia="IRNazanin" w:cs="IRNazanin"/>
          <w:color w:val="111111"/>
          <w:sz w:val="28"/>
          <w:szCs w:val="28"/>
          <w:rtl w:val="true"/>
          <w:lang w:bidi="fa-IR"/>
        </w:rPr>
        <w:t xml:space="preserve">: </w:t>
      </w:r>
      <w:bookmarkStart w:id="98" w:name="pg4331_48924"/>
    </w:p>
    <w:p>
      <w:pPr>
        <w:pStyle w:val="BookText"/>
        <w:rPr/>
      </w:pPr>
      <w:bookmarkEnd w:id="98"/>
      <w:r>
        <w:rPr>
          <w:rFonts w:ascii="Amiri" w:hAnsi="Amiri" w:eastAsia="Amiri" w:cs="Amiri"/>
          <w:color w:val="111111"/>
          <w:sz w:val="28"/>
          <w:sz w:val="28"/>
          <w:szCs w:val="28"/>
          <w:rtl w:val="true"/>
          <w:lang w:bidi="ar-SA"/>
        </w:rPr>
        <w:t>و ما مِن شی‌ءٍ اِلاّ وفیه کتابٌ أو سنّةٌ</w:t>
      </w:r>
      <w:r>
        <w:rPr>
          <w:rStyle w:val="FootnoteAnchor"/>
          <w:rtl w:val="true"/>
        </w:rPr>
        <w:footnoteReference w:id="1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چیز نیست مگر آن‌که درباره آن از کتاب یا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بیان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احکام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عملی که مکلف انجام می‌دهد به صورت یکی از اقسام پنج گانه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آن عمل و فعل مکلف را واجب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واجب عبارت است از هر عملی که خداوند ما را به انجام آن امر فرموده و بر انجام آن وعده ثواب و در ترک آن وعده عقاب داده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حج و جهادو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عمل و فعل مکلف را حرام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حرام عبارت است از هر عملی که خداوند ما را از انجام آن نهی فرموده و الزاما ترک آن را از ما خواسته و بر انجام آن وعده عقوبت داده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خمر و قتل نفس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عمل مکلف را مستحب یا مندوب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w:t>
      </w:r>
    </w:p>
    <w:p>
      <w:pPr>
        <w:pStyle w:val="BookText"/>
        <w:rPr/>
      </w:pPr>
      <w:r>
        <w:rPr>
          <w:rFonts w:ascii="IRNazanin" w:hAnsi="IRNazanin" w:eastAsia="IRNazanin"/>
          <w:color w:val="111111"/>
          <w:sz w:val="28"/>
          <w:sz w:val="28"/>
          <w:szCs w:val="28"/>
          <w:rtl w:val="true"/>
          <w:lang w:bidi="fa-IR"/>
        </w:rPr>
        <w:t>خلاصه، مستحب عبارت است از عملی که خداوند ما را به انجام آن ترغیب فرموده و بر آن وعده ثواب داده است، اما ترک آن عمل جایز می‌باشد و عقاب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w:t>
      </w:r>
    </w:p>
    <w:p>
      <w:pPr>
        <w:pStyle w:val="BookText"/>
        <w:rPr/>
      </w:pP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مکلّف را مکروه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مکروه، عملی است که خداوند ترک آن را از ما خواسته و بر ترک آن وعده ثواب داده، اما در انجام آن عقابی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بین الطلوعین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w:t>
      </w:r>
    </w:p>
    <w:p>
      <w:pPr>
        <w:pStyle w:val="BookText"/>
        <w:rPr/>
      </w:pPr>
      <w:r>
        <w:rPr>
          <w:rFonts w:ascii="IRNazanin" w:hAnsi="IRNazanin" w:eastAsia="IRNazanin"/>
          <w:color w:val="111111"/>
          <w:sz w:val="28"/>
          <w:sz w:val="28"/>
          <w:szCs w:val="28"/>
          <w:rtl w:val="true"/>
          <w:lang w:bidi="fa-IR"/>
        </w:rPr>
        <w:t>در نظر داشت که ثواب بر ترک مکروه مشروط به آن است که مکلف باتوجه به نهی شارع از مکروه آن را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عمل مکلف را مباح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مباح عملی است که فعل و ترک آن جایز و یکسان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پیاده‌روی و گردش و </w:t>
      </w:r>
      <w:r>
        <w:rPr>
          <w:rFonts w:eastAsia="IRNazanin" w:cs="IRNazanin"/>
          <w:color w:val="111111"/>
          <w:sz w:val="28"/>
          <w:szCs w:val="28"/>
          <w:rtl w:val="true"/>
          <w:lang w:bidi="fa-IR"/>
        </w:rPr>
        <w:t>....</w:t>
      </w:r>
    </w:p>
    <w:p>
      <w:pPr>
        <w:pStyle w:val="Heading4"/>
        <w:numPr>
          <w:ilvl w:val="3"/>
          <w:numId w:val="1"/>
        </w:numPr>
        <w:rPr/>
      </w:pPr>
      <w:bookmarkStart w:id="99" w:name="__RefHeading___Toc1014659_1479056682"/>
      <w:bookmarkStart w:id="100" w:name="_Toc34"/>
      <w:bookmarkEnd w:id="99"/>
      <w:r>
        <w:rPr>
          <w:rtl w:val="true"/>
        </w:rPr>
        <w:t>حکم وضعی</w:t>
      </w:r>
      <w:bookmarkEnd w:id="10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حکم وضعی تعریفهای زیادی شده است و باید توجه داشت که هم در تعریف </w:t>
      </w:r>
    </w:p>
    <w:p>
      <w:pPr>
        <w:pStyle w:val="BookText"/>
        <w:rPr/>
      </w:pPr>
      <w:r>
        <w:rPr>
          <w:rFonts w:ascii="IRNazanin" w:hAnsi="IRNazanin" w:eastAsia="IRNazanin"/>
          <w:color w:val="111111"/>
          <w:sz w:val="28"/>
          <w:sz w:val="28"/>
          <w:szCs w:val="28"/>
          <w:rtl w:val="true"/>
          <w:lang w:bidi="fa-IR"/>
        </w:rPr>
        <w:t>و هم در تعداد آن،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 محمدباقر صدر در تعریف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 هر حکمی است که وضعیت معینی را تشریع می‌کند و بر رفتار انسان تأثیر غیر مستقیم دارد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کتاب الاصول العامه للفقه المقارن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حکم وضعی تعاریف مختلفی بیان شده و شاید محکمترین آنها این تعریف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حکم وضعی عبارت است از اعتبار شرعی که متضمن 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عبدالوهاب خلاّف در تعریف حکم وضعی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 عبارت است از این که وضع شی‌ء مقتضی آن باشد که آن شی‌ء برای شی‌ء دیگر، سبب یا شرط و یا مانع باشد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مثلاً در آیه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 السّارِقة فَاقْطَعُوا اَیْدیهما</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سرقت سبب است در وجوب قطع دست سارق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سببیّت از احکام وضعی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یا در 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اِلیهِ سَبیلاً</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استطاعت شرط</w:t>
      </w:r>
    </w:p>
    <w:p>
      <w:pPr>
        <w:pStyle w:val="BookText"/>
        <w:rPr/>
      </w:pPr>
      <w:r>
        <w:rPr>
          <w:rFonts w:ascii="IRNazanin" w:hAnsi="IRNazanin" w:eastAsia="IRNazanin"/>
          <w:color w:val="111111"/>
          <w:sz w:val="28"/>
          <w:sz w:val="28"/>
          <w:szCs w:val="28"/>
          <w:rtl w:val="true"/>
          <w:lang w:bidi="fa-IR"/>
        </w:rPr>
        <w:t>است برای وجوب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از احکام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در حدیث لیس للقاتل میراث قتل مورّث به وسیله وارث، مانع ارث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مانعیّت از احکام وضعی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حکم وضعی مجعول شرعی ابتدایی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 شرعی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منتزع از احکام تکلیفی است، بین اصولیّین اختلاف است و در تعداد احکام وضعیّه نیز اختلاف است</w:t>
      </w:r>
      <w:r>
        <w:rPr>
          <w:rFonts w:eastAsia="IRNazanin" w:cs="IRNazanin"/>
          <w:color w:val="111111"/>
          <w:sz w:val="28"/>
          <w:szCs w:val="28"/>
          <w:rtl w:val="true"/>
          <w:lang w:bidi="fa-IR"/>
        </w:rPr>
        <w:t xml:space="preserve">. </w:t>
      </w:r>
      <w:bookmarkStart w:id="101" w:name="pg4331_48926"/>
    </w:p>
    <w:p>
      <w:pPr>
        <w:pStyle w:val="BookText"/>
        <w:rPr/>
      </w:pPr>
      <w:bookmarkEnd w:id="101"/>
      <w:r>
        <w:rPr>
          <w:rFonts w:ascii="IRNazanin" w:hAnsi="IRNazanin" w:eastAsia="IRNazanin"/>
          <w:color w:val="111111"/>
          <w:sz w:val="28"/>
          <w:sz w:val="28"/>
          <w:szCs w:val="28"/>
          <w:rtl w:val="true"/>
          <w:lang w:bidi="fa-IR"/>
        </w:rPr>
        <w:t>بعضی مانند شهید اوّل احکام وضعیّه را سه قسم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سببیّب، شرطیّت، مانعیّت</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بعضی با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را به پنج قسم رسانده‌اند و بعضی با افزودن چهار قسم دیگر تعداد آنها را به نُه قسم رسانیده‌اند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قسم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102" w:name="__RefHeading___Toc1014661_1479056682"/>
      <w:bookmarkStart w:id="103" w:name="_Toc35"/>
      <w:bookmarkEnd w:id="102"/>
      <w:r>
        <w:rPr>
          <w:rtl w:val="true"/>
        </w:rPr>
        <w:t>تقسیم دیگری برای احکام</w:t>
      </w:r>
      <w:bookmarkEnd w:id="103"/>
    </w:p>
    <w:p>
      <w:pPr>
        <w:pStyle w:val="Heading4"/>
        <w:numPr>
          <w:ilvl w:val="3"/>
          <w:numId w:val="1"/>
        </w:numPr>
        <w:rPr/>
      </w:pPr>
      <w:bookmarkStart w:id="104" w:name="__RefHeading___Toc1014663_1479056682"/>
      <w:bookmarkStart w:id="105" w:name="_Toc36"/>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حکم شرعی بر اساس آن که از طریق علم یا از طریق ظنّ حاصل شود و یا آن که در موضوع آن شک در حکم شرعی اخذ شده باشد، به دو قسم دیگر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واقعی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w:t>
      </w:r>
    </w:p>
    <w:p>
      <w:pPr>
        <w:pStyle w:val="Heading4"/>
        <w:numPr>
          <w:ilvl w:val="3"/>
          <w:numId w:val="1"/>
        </w:numPr>
        <w:rPr/>
      </w:pPr>
      <w:bookmarkStart w:id="106" w:name="__RefHeading___Toc1014665_1479056682"/>
      <w:bookmarkStart w:id="107" w:name="_Toc37"/>
      <w:bookmarkEnd w:id="106"/>
      <w:r>
        <w:rPr>
          <w:rtl w:val="true"/>
        </w:rPr>
        <w:t>حکم واقعی</w:t>
      </w:r>
      <w:bookmarkEnd w:id="10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واقعی حکمی است که به ملاحظه خود اشیاء و به اقتضای ذات آنها جعل شده و به عبارت دیگر حکمی است که به خاطر مصلحت و مفسده ذاتیه اشیاء جعل شده است و علم و جهل مکلف در آن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مصلحتی که در آن هست ذاتا اقتضای وجوب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مفسده‌ای که در آن هست، ذاتا اقتضای حرمت دارد و لذا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بداند یا نداند، نماز واجب و خمر حرام است، البته اگر به آن حکم علم پیدا کند برای او منجّز می‌شود و به مرحله فعلیت می‌رسد و اگر حکم را نداند، برای او منجّز نخواهدبود بلکه معذوراست، یعنی علم مکلف جنبه منجزیّت و معذّریّت دارد</w:t>
      </w:r>
      <w:r>
        <w:rPr>
          <w:rFonts w:eastAsia="IRNazanin" w:cs="IRNazanin"/>
          <w:color w:val="111111"/>
          <w:sz w:val="28"/>
          <w:szCs w:val="28"/>
          <w:rtl w:val="true"/>
          <w:lang w:bidi="fa-IR"/>
        </w:rPr>
        <w:t xml:space="preserve">. </w:t>
      </w:r>
      <w:bookmarkStart w:id="108" w:name="pg4331_48927"/>
    </w:p>
    <w:p>
      <w:pPr>
        <w:pStyle w:val="Heading4"/>
        <w:numPr>
          <w:ilvl w:val="3"/>
          <w:numId w:val="1"/>
        </w:numPr>
        <w:rPr/>
      </w:pPr>
      <w:bookmarkStart w:id="109" w:name="__RefHeading___Toc1014667_1479056682"/>
      <w:bookmarkStart w:id="110" w:name="_Toc38"/>
      <w:bookmarkEnd w:id="108"/>
      <w:bookmarkEnd w:id="109"/>
      <w:r>
        <w:rPr>
          <w:rtl w:val="true"/>
        </w:rPr>
        <w:t>حکم ظاهری</w:t>
      </w:r>
      <w:bookmarkEnd w:id="110"/>
    </w:p>
    <w:p>
      <w:pPr>
        <w:pStyle w:val="BookText"/>
        <w:rPr/>
      </w:pPr>
      <w:r>
        <w:rPr>
          <w:rFonts w:ascii="IRNazanin" w:hAnsi="IRNazanin" w:eastAsia="IRNazanin"/>
          <w:color w:val="111111"/>
          <w:sz w:val="28"/>
          <w:sz w:val="28"/>
          <w:szCs w:val="28"/>
          <w:rtl w:val="true"/>
          <w:lang w:bidi="fa-IR"/>
        </w:rPr>
        <w:t>احکام ظاهری احکامی را می‌گویند که ذات اشیاء آنها را اقتضا نمی‌کند، بلکه ندانستن و جهل مکلّف، باعث جعل آنها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احکام واقعی که علم و جهل مکلف در جعل آنها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که گاهی بندگانش از احکام واقعی اطلاعی ندارند و در حال شک و حیرت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این شک و برای رفع حیرت، احکامی را جعل فرموده که به آنها احکام ظاهری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احکام ظاهری،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 محمّدباقر صدر درباره تقسیم حکم به واقعی و ظاهری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به حکم واقعی و ظاهری تقسیم می‌شود، حکم واقعی هر حکمی است که در موضوع آن نسبت به حکم شرعی قبلی، شک فرض نشده و حکم ظاهری هر حکمی است که در موضوع آن نسبت به حکم شرعی قبلی شک فرض شده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وی سپس درباره تأخر رتبه حکم ظاهری از حکم واقعی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اساس درباره احکام ظاهری گفته می‌شود که این احکام از نظر رتبه، از احکام واقعی متأخرند، زیرا در مورد احکام ظاهری، نسبت به حکم واقعی، شک فرض شده است و اگر در شریعت، احکام واقعی وجود نمی‌داشت، احکام ظاهری در کار نبود</w:t>
      </w:r>
      <w:r>
        <w:rPr>
          <w:rFonts w:eastAsia="IRNazanin" w:cs="IRNazanin"/>
          <w:color w:val="111111"/>
          <w:sz w:val="28"/>
          <w:szCs w:val="28"/>
          <w:rtl w:val="true"/>
          <w:lang w:bidi="fa-IR"/>
        </w:rPr>
        <w:t>».</w:t>
      </w:r>
    </w:p>
    <w:p>
      <w:pPr>
        <w:pStyle w:val="Heading3"/>
        <w:numPr>
          <w:ilvl w:val="2"/>
          <w:numId w:val="1"/>
        </w:numPr>
        <w:rPr/>
      </w:pPr>
      <w:bookmarkStart w:id="111" w:name="__RefHeading___Toc1014669_1479056682"/>
      <w:bookmarkStart w:id="112" w:name="_Toc39"/>
      <w:bookmarkEnd w:id="111"/>
      <w:r>
        <w:rPr>
          <w:rtl w:val="true"/>
        </w:rPr>
        <w:t>بررسی منابع احکام</w:t>
      </w:r>
      <w:bookmarkEnd w:id="112"/>
    </w:p>
    <w:p>
      <w:pPr>
        <w:pStyle w:val="Heading4"/>
        <w:numPr>
          <w:ilvl w:val="3"/>
          <w:numId w:val="1"/>
        </w:numPr>
        <w:rPr/>
      </w:pPr>
      <w:bookmarkStart w:id="113" w:name="__RefHeading___Toc1014671_1479056682"/>
      <w:bookmarkStart w:id="114" w:name="_Toc40"/>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علما و فقهای مذاهب مختلف اسلامی درباره منابع و مصادر احکام نظریات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تعداد منابع از نظر آنها متفاوت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تمام منابع از نظر حجّیّت و اعتبار در یک درجه نیستند</w:t>
      </w:r>
      <w:r>
        <w:rPr>
          <w:rFonts w:eastAsia="IRNazanin" w:cs="IRNazanin"/>
          <w:color w:val="111111"/>
          <w:sz w:val="28"/>
          <w:szCs w:val="28"/>
          <w:rtl w:val="true"/>
          <w:lang w:bidi="fa-IR"/>
        </w:rPr>
        <w:t xml:space="preserve">. </w:t>
      </w:r>
      <w:bookmarkStart w:id="115" w:name="pg4331_48928"/>
    </w:p>
    <w:p>
      <w:pPr>
        <w:pStyle w:val="BookText"/>
        <w:rPr/>
      </w:pPr>
      <w:bookmarkEnd w:id="115"/>
      <w:r>
        <w:rPr>
          <w:rFonts w:ascii="IRNazanin" w:hAnsi="IRNazanin" w:eastAsia="IRNazanin"/>
          <w:color w:val="111111"/>
          <w:sz w:val="28"/>
          <w:sz w:val="28"/>
          <w:szCs w:val="28"/>
          <w:rtl w:val="true"/>
          <w:lang w:bidi="fa-IR"/>
        </w:rPr>
        <w:t>قبل از آن که به بیان تعداد منابع از نظر مکتب فقهی شیعه و مکاتب فقهی اهل سنّت بپردازیم، به یک تقسیم بندی کلی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مصادر فقه اسلامی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قرآن و سنّت و اجماع و عرف و قول صحابی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قیاس و استحسان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دیگر مصادر احکام به دو قسم دیگر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منابع اصلی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تبعی</w:t>
      </w:r>
    </w:p>
    <w:p>
      <w:pPr>
        <w:pStyle w:val="Heading4"/>
        <w:numPr>
          <w:ilvl w:val="3"/>
          <w:numId w:val="1"/>
        </w:numPr>
        <w:rPr/>
      </w:pPr>
      <w:bookmarkStart w:id="116" w:name="__RefHeading___Toc1014673_1479056682"/>
      <w:bookmarkStart w:id="117" w:name="_Toc41"/>
      <w:bookmarkEnd w:id="116"/>
      <w:r>
        <w:rPr>
          <w:rtl w:val="true"/>
        </w:rPr>
        <w:t>منابع اصلی</w:t>
      </w:r>
      <w:bookmarkEnd w:id="117"/>
    </w:p>
    <w:p>
      <w:pPr>
        <w:pStyle w:val="BookText"/>
        <w:rPr/>
      </w:pPr>
      <w:r>
        <w:rPr>
          <w:rFonts w:ascii="IRNazanin" w:hAnsi="IRNazanin" w:eastAsia="IRNazanin"/>
          <w:color w:val="111111"/>
          <w:sz w:val="28"/>
          <w:sz w:val="28"/>
          <w:szCs w:val="28"/>
          <w:rtl w:val="true"/>
          <w:lang w:bidi="fa-IR"/>
        </w:rPr>
        <w:t>آنهایی هستند که دلالتشان بر احکام، متوقف بر دلیل دیگر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مصادر، منحصر به قرآن و سنّت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استثنای دلیل عقل که مستقلّ است و حتّی حجّیّت و دلیلیّت قرآن و سنّت به عقل ثابت می‌شود</w:t>
      </w:r>
      <w:r>
        <w:rPr>
          <w:rFonts w:eastAsia="IRNazanin" w:cs="IRNazanin"/>
          <w:color w:val="111111"/>
          <w:sz w:val="28"/>
          <w:szCs w:val="28"/>
          <w:rtl w:val="true"/>
          <w:lang w:bidi="fa-IR"/>
        </w:rPr>
        <w:t>).</w:t>
      </w:r>
    </w:p>
    <w:p>
      <w:pPr>
        <w:pStyle w:val="Heading4"/>
        <w:numPr>
          <w:ilvl w:val="3"/>
          <w:numId w:val="1"/>
        </w:numPr>
        <w:rPr/>
      </w:pPr>
      <w:bookmarkStart w:id="118" w:name="__RefHeading___Toc1014675_1479056682"/>
      <w:bookmarkStart w:id="119" w:name="_Toc42"/>
      <w:bookmarkEnd w:id="118"/>
      <w:r>
        <w:rPr>
          <w:rtl w:val="true"/>
        </w:rPr>
        <w:t>منابع تبعی</w:t>
      </w:r>
      <w:bookmarkEnd w:id="119"/>
    </w:p>
    <w:p>
      <w:pPr>
        <w:pStyle w:val="BookText"/>
        <w:rPr/>
      </w:pPr>
      <w:r>
        <w:rPr>
          <w:rFonts w:ascii="IRNazanin" w:hAnsi="IRNazanin" w:eastAsia="IRNazanin"/>
          <w:color w:val="111111"/>
          <w:sz w:val="28"/>
          <w:sz w:val="28"/>
          <w:szCs w:val="28"/>
          <w:rtl w:val="true"/>
          <w:lang w:bidi="fa-IR"/>
        </w:rPr>
        <w:t>آنهایی هستند که دلالت آنها بر احکام و نیز اعتبار و دلیلیّت آنها متوقف بر دلیل دیگر است، یعنی دلیلیّت و اعتبار خود را از کتاب و سنّت می‌گیرند،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قیاس، استحسان، مصالح مرسله، سدّ ذرایع، قول صحابی و عرف</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تبعی از نظر حجّیّت و اعتبار یکسان نیستند، در مورد حجّیّت و اعتبار بعضی از آنها تقریبا بین فقها اتّفاق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اختلافی که در نحوه حجّیّت آن بین امامیّه‌و اهل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اعتبار و حجّیّت برخی از منابع، بین فقها اختلاف نظر وجود دارد، به طوری که بعضی تعداد آنها را تا شش و بعضی تا نه یا بیشتر گفته‌اند</w:t>
      </w:r>
      <w:r>
        <w:rPr>
          <w:rFonts w:eastAsia="IRNazanin" w:cs="IRNazanin"/>
          <w:color w:val="111111"/>
          <w:sz w:val="28"/>
          <w:szCs w:val="28"/>
          <w:rtl w:val="true"/>
          <w:lang w:bidi="fa-IR"/>
        </w:rPr>
        <w:t xml:space="preserve">. </w:t>
      </w:r>
      <w:bookmarkStart w:id="120" w:name="pg4331_48929"/>
    </w:p>
    <w:p>
      <w:pPr>
        <w:pStyle w:val="BookText"/>
        <w:rPr/>
      </w:pPr>
      <w:bookmarkEnd w:id="120"/>
      <w:r>
        <w:rPr>
          <w:rFonts w:ascii="IRNazanin" w:hAnsi="IRNazanin" w:eastAsia="IRNazanin"/>
          <w:color w:val="111111"/>
          <w:sz w:val="28"/>
          <w:sz w:val="28"/>
          <w:szCs w:val="28"/>
          <w:rtl w:val="true"/>
          <w:lang w:bidi="fa-IR"/>
        </w:rPr>
        <w:t xml:space="preserve">در اغلب کتب اصولی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جدید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ادلّه احکام را تا ده دلیل شمرده‌اند که حجّیّت و اعتبار چهار مورد آنها از نظر ایشان اتفاقی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اجماع، قیاس و حجّیّت بقیه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مصطفی شلبی در کتاب اصول الفقه الاسلامی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ادلّه مشهور نزد اصولیین تا اندازه‌ای به تفصیل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ادلّه عبارتند از کتاب، سنت، اجماع، قیاس، استحسان، استصلاح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قول صحابی، شریعت پیشین و استصحاب</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عبدالوّهاب خلاّف در مورد ادلّه اختلافی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این ادلّه اربعه، ادلّه دیگری وجود دارد که تمام مسلمانان در مورد استدلال به آنها اتّفاق نظر ندارند، بلکه برخی از ایشان به این ادلّه بر حکم شرعی استدلال کرده‌اند و برخی دیگر منکر استدلال به آنها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ادلّه‌ای که در مورد استدلال به آنها اختلاف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 مصلحت مرسله، استصحاب، عرف، مذهب صحابی و شریعت قبل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ادلّه شرعیه ده دلیل است که در استدلال به چهار دلیل از آنها، تمام مسلمانان اتّفاق نظر دارند و شش دلیل دیگر از نظر استدلال مورد اختلاف است</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121" w:name="__RefHeading___Toc1014677_1479056682"/>
      <w:bookmarkStart w:id="122" w:name="_Toc43"/>
      <w:bookmarkEnd w:id="121"/>
      <w:r>
        <w:rPr>
          <w:rtl w:val="true"/>
        </w:rPr>
        <w:t>مبانی فتوا و مصادر حکم از نظر مذاهب مختلف فقهی</w:t>
      </w:r>
      <w:bookmarkEnd w:id="122"/>
    </w:p>
    <w:p>
      <w:pPr>
        <w:pStyle w:val="BookText"/>
        <w:rPr/>
      </w:pPr>
      <w:r>
        <w:rPr>
          <w:rFonts w:ascii="IRNazanin" w:hAnsi="IRNazanin" w:eastAsia="IRNazanin"/>
          <w:color w:val="111111"/>
          <w:sz w:val="28"/>
          <w:sz w:val="28"/>
          <w:szCs w:val="28"/>
          <w:rtl w:val="true"/>
          <w:lang w:bidi="fa-IR"/>
        </w:rPr>
        <w:t>قبل از بررسی تفصیلی منابع احکام، آنها را به طور مختصر و فشرده از نظر مذاهب مختلف فقهی دسته‌بندی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احکام از نظر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منابع حکم از نظر فقه امامیّه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احکام از نظر مذهب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سنّت متواتره، قول </w:t>
      </w:r>
    </w:p>
    <w:p>
      <w:pPr>
        <w:pStyle w:val="BookText"/>
        <w:rPr/>
      </w:pPr>
      <w:r>
        <w:rPr>
          <w:rFonts w:ascii="IRNazanin" w:hAnsi="IRNazanin" w:eastAsia="IRNazanin"/>
          <w:color w:val="111111"/>
          <w:sz w:val="28"/>
          <w:sz w:val="28"/>
          <w:szCs w:val="28"/>
          <w:rtl w:val="true"/>
          <w:lang w:bidi="fa-IR"/>
        </w:rPr>
        <w:t xml:space="preserve">صحابی، اجماع صحابه، اجتهاد به رأی، قیاس، استحسان و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اهمّیّت و فقدان دلیل قبلی</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احکام از نظر مذهب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سنت، عمل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آن را بر خبر واحد مقدم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صحابی، قیاس منصوص العلّه، مصالح مرسله</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فتوا و مصادر حکم از نظر مذهب شافعی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خبر واحد ثقه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قیاس مستنبط العله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 علّت آن منضبطه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با عمل به استحسان که مورد استناد حنفیه بوده، بسیار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ادوار علم الفقه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شدیدا عمل حنفیه به استحسان رارد کرده و در این باره کتابی تألیف نموده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فتوا از نظر مذهب حنبلی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حدیث مرسل و ضعیف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فتاوای صحابه و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کم و در حدّ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در اعلام الموقّعین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نزد امام احمد، در مسأله نصّی و یا قول صحابه یا قول یکی از ایشان و یا اثر مرسل یا ضعیفی نباشد، به دلیل پنجم، یعنی قیاس رجوع و عدول می‌کند، پس از باب ضرورت آن را به کار می‌برد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مورد عمل به حدیث ضعیف، امام احمد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ضعیف الحدیث احبّ اِلیّ من رأی الرجال</w:t>
      </w:r>
      <w:r>
        <w:rPr>
          <w:rStyle w:val="FootnoteAnchor"/>
          <w:rtl w:val="true"/>
        </w:rPr>
        <w:footnoteReference w:id="12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ضعیف نزد من از رأی و نظر افراد محبوب‌تر است</w:t>
      </w:r>
      <w:r>
        <w:rPr>
          <w:rFonts w:eastAsia="IRNazanin" w:cs="IRNazanin"/>
          <w:color w:val="111111"/>
          <w:sz w:val="28"/>
          <w:szCs w:val="28"/>
          <w:rtl w:val="true"/>
          <w:lang w:bidi="fa-IR"/>
        </w:rPr>
        <w:t xml:space="preserve">.» </w:t>
      </w:r>
      <w:bookmarkStart w:id="123" w:name="pg4331_48931"/>
    </w:p>
    <w:p>
      <w:pPr>
        <w:pStyle w:val="Heading3"/>
        <w:numPr>
          <w:ilvl w:val="2"/>
          <w:numId w:val="1"/>
        </w:numPr>
        <w:rPr/>
      </w:pPr>
      <w:bookmarkStart w:id="124" w:name="__RefHeading___Toc1014679_1479056682"/>
      <w:bookmarkStart w:id="125" w:name="_Toc44"/>
      <w:bookmarkEnd w:id="123"/>
      <w:bookmarkEnd w:id="124"/>
      <w:r>
        <w:rPr>
          <w:rtl w:val="true"/>
        </w:rPr>
        <w:t>بررسی تفصیلی منابع احکام</w:t>
      </w:r>
      <w:bookmarkEnd w:id="125"/>
    </w:p>
    <w:p>
      <w:pPr>
        <w:pStyle w:val="Heading4"/>
        <w:numPr>
          <w:ilvl w:val="3"/>
          <w:numId w:val="1"/>
        </w:numPr>
        <w:rPr/>
      </w:pPr>
      <w:bookmarkStart w:id="126" w:name="__RefHeading___Toc1014681_1479056682"/>
      <w:bookmarkStart w:id="127" w:name="_Toc45"/>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بعد از ذکرکلّیّاتی درباره منابع احکام اکنون هر یک از آنها را مورد بحث و ارزیابی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 منابعی که در این کتاب به طور مفصّل مورد بررسی قرار می‌گیرند،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متشرّعه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 ذرایع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قبل از ورود به مباحث اصلی و تفصیلی این کتاب، ابتدا به اختصار مباحثی درباره ادلّه اربعه ارائه می‌شود و چنان که در تعریف استحسان خواهد آمد، چون قیاس با</w:t>
      </w:r>
    </w:p>
    <w:p>
      <w:pPr>
        <w:pStyle w:val="BookText"/>
        <w:rPr/>
      </w:pPr>
      <w:r>
        <w:rPr>
          <w:rFonts w:ascii="IRNazanin" w:hAnsi="IRNazanin" w:eastAsia="IRNazanin"/>
          <w:color w:val="111111"/>
          <w:sz w:val="28"/>
          <w:sz w:val="28"/>
          <w:szCs w:val="28"/>
          <w:rtl w:val="true"/>
          <w:lang w:bidi="fa-IR"/>
        </w:rPr>
        <w:t>استحسان ارتباط نزدیکی دارد، مقداری هم به اختصار درباره قیاس بحث خواهد شد و آنگاه به یاری خدا وارد مباحث اصلی و تفصیلی خواهیم شد</w:t>
      </w:r>
      <w:r>
        <w:rPr>
          <w:rFonts w:eastAsia="IRNazanin" w:cs="IRNazanin"/>
          <w:color w:val="111111"/>
          <w:sz w:val="28"/>
          <w:szCs w:val="28"/>
          <w:rtl w:val="true"/>
          <w:lang w:bidi="fa-IR"/>
        </w:rPr>
        <w:t>.</w:t>
      </w:r>
    </w:p>
    <w:p>
      <w:pPr>
        <w:pStyle w:val="Heading4"/>
        <w:numPr>
          <w:ilvl w:val="3"/>
          <w:numId w:val="1"/>
        </w:numPr>
        <w:rPr/>
      </w:pPr>
      <w:bookmarkStart w:id="128" w:name="__RefHeading___Toc1014683_1479056682"/>
      <w:bookmarkStart w:id="129" w:name="_Toc46"/>
      <w:bookmarkEnd w:id="128"/>
      <w:r>
        <w:rPr/>
        <w:t>1</w:t>
      </w:r>
      <w:r>
        <w:rPr>
          <w:rtl w:val="true"/>
        </w:rPr>
        <w:t xml:space="preserve"> - </w:t>
      </w:r>
      <w:r>
        <w:rPr>
          <w:rtl w:val="true"/>
        </w:rPr>
        <w:t>قرآن</w:t>
      </w:r>
      <w:bookmarkEnd w:id="129"/>
    </w:p>
    <w:p>
      <w:pPr>
        <w:pStyle w:val="Heading5"/>
        <w:numPr>
          <w:ilvl w:val="4"/>
          <w:numId w:val="1"/>
        </w:numPr>
        <w:rPr/>
      </w:pPr>
      <w:bookmarkStart w:id="130" w:name="__RefHeading___Toc1014685_1479056682"/>
      <w:bookmarkStart w:id="131" w:name="_Toc47"/>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قرآن کریم به عنوان اوّلین منبع احکام و مقررات اسلامی مورد اتّفاق نظر تمام دانشمندان و فقهای مذاهب مختلف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مقدس، کلام خدا و سخن مستقیم ذات اقدس الهی است، الفاظ و معانی و اسلوب آن، همه از سوی خداوند است، متن کامل قرآن طی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تدریج بر پیامبر اسلام صلی‌الله‌علیه‌و‌آله نازل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دارای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است؛ امّا در تعداد آیات آن اختلاف شده است، که از </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صاحب مجمع البیان صحیحترین عدد در مورد آیات قرآن، عدد کوفی است که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می‌باشد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البته آیات قرآن منحصر به احکام فقهی </w:t>
      </w:r>
      <w:bookmarkStart w:id="132" w:name="pg4331_48932"/>
    </w:p>
    <w:p>
      <w:pPr>
        <w:pStyle w:val="BookText"/>
        <w:rPr/>
      </w:pPr>
      <w:bookmarkEnd w:id="132"/>
      <w:r>
        <w:rPr>
          <w:rFonts w:ascii="IRNazanin" w:hAnsi="IRNazanin" w:eastAsia="IRNazanin"/>
          <w:color w:val="111111"/>
          <w:sz w:val="28"/>
          <w:sz w:val="28"/>
          <w:szCs w:val="28"/>
          <w:rtl w:val="true"/>
          <w:lang w:bidi="fa-IR"/>
        </w:rPr>
        <w:t>نیست، بلکه اکثر آیات آن مربوط به توحید و اسرار خلقت و معاد و مسائل اخلاقی و صدها گونه مسأله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آیات قرآن مربوط به احکام می‌باشد و علمای اسلام در طول قرون متمادی درباره آیات‌الاحکام تحقیقات عمیقی انجام داده و کتب فراوانی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و ترجمه قرآن به هیچ وجه به عنوان قرآن محسوب نمی‌شود و به همین جهت احکام قرآن بر آنها بار نمی‌شود و حجّیّت و اعتبار تفسیر صادره از پیامبر صلی‌الله‌علیه‌و‌آله یا ائمه اهل</w:t>
      </w:r>
    </w:p>
    <w:p>
      <w:pPr>
        <w:pStyle w:val="BookText"/>
        <w:rPr/>
      </w:pPr>
      <w:r>
        <w:rPr>
          <w:rFonts w:ascii="IRNazanin" w:hAnsi="IRNazanin" w:eastAsia="IRNazanin"/>
          <w:color w:val="111111"/>
          <w:sz w:val="28"/>
          <w:sz w:val="28"/>
          <w:szCs w:val="28"/>
          <w:rtl w:val="true"/>
          <w:lang w:bidi="fa-IR"/>
        </w:rPr>
        <w:t>البیت علیهم‌السلام بدان جهت است که تفسیر قرآن جزء سنّت به حساب می‌آید، نه جزء کتاب و تمام مذاهب مختلف اسلامی در این امور اتّفاق نظر دارند، جز ابوحنیفه که در نماز قراءت قرآن را به فارسی برای کسی که قادر بر قراءت عربی نیست، تجویز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وی از این رأی و نظر عدول کرده و فتوا داده که شخص غیر قادر بر قراءت عربی، باید نماز خود را با سکوت برگزار کند</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133" w:name="__RefHeading___Toc1014687_1479056682"/>
      <w:bookmarkStart w:id="134" w:name="_Toc48"/>
      <w:bookmarkEnd w:id="133"/>
      <w:r>
        <w:rPr>
          <w:rtl w:val="true"/>
        </w:rPr>
        <w:t>محتوای کلّی قرآن</w:t>
      </w:r>
      <w:bookmarkEnd w:id="134"/>
    </w:p>
    <w:p>
      <w:pPr>
        <w:pStyle w:val="BookText"/>
        <w:rPr/>
      </w:pPr>
      <w:r>
        <w:rPr>
          <w:rFonts w:ascii="IRNazanin" w:hAnsi="IRNazanin" w:eastAsia="IRNazanin"/>
          <w:color w:val="111111"/>
          <w:sz w:val="28"/>
          <w:sz w:val="28"/>
          <w:szCs w:val="28"/>
          <w:rtl w:val="true"/>
          <w:lang w:bidi="fa-IR"/>
        </w:rPr>
        <w:t>قرآن که آخرین کتاب آسمانی و کتاب هدایت و انسان سازی است، درباره موضوعات کاملاً متنوع سخن می‌گوید؛ گاهی درباره توحید و اسرار آفرینش و زمانی درباره احکام و قوانین و آداب و سنن و زمانی دیگر درباره امتهای گذشته و عبرت گرفتن</w:t>
      </w:r>
    </w:p>
    <w:p>
      <w:pPr>
        <w:pStyle w:val="BookText"/>
        <w:rPr/>
      </w:pPr>
      <w:r>
        <w:rPr>
          <w:rFonts w:ascii="IRNazanin" w:hAnsi="IRNazanin" w:eastAsia="IRNazanin"/>
          <w:color w:val="111111"/>
          <w:sz w:val="28"/>
          <w:sz w:val="28"/>
          <w:szCs w:val="28"/>
          <w:rtl w:val="true"/>
          <w:lang w:bidi="fa-IR"/>
        </w:rPr>
        <w:t>از سرگذشت آنان و گاهی درباره مواعظ و نصایح و عبادات و رابطه بندگان با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 وَ هُدیً وَ رَحْمَةً وَ بُشْری لِلْمُسْلِمینَ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کتاب را بر تو نازل کردیم که بیانگر همه چیز است و برای مسلمانان مایه هدایت و رحمت و بشارت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علیه‌السلام درباره محتوای کلّی قرآن می‌فرماید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 القرآن اربعة ارباع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فینا و ربع فی عدوّنا و ربع قصص و امثالُ و ربع قضایا و احکام و لنا اهل </w:t>
      </w:r>
      <w:bookmarkStart w:id="135" w:name="pg4331_48933"/>
    </w:p>
    <w:p>
      <w:pPr>
        <w:pStyle w:val="BookText"/>
        <w:rPr/>
      </w:pPr>
      <w:bookmarkEnd w:id="135"/>
      <w:r>
        <w:rPr>
          <w:rFonts w:ascii="IRNazanin" w:hAnsi="IRNazanin" w:eastAsia="IRNazanin"/>
          <w:color w:val="111111"/>
          <w:sz w:val="28"/>
          <w:sz w:val="28"/>
          <w:szCs w:val="28"/>
          <w:rtl w:val="true"/>
          <w:lang w:bidi="fa-IR"/>
        </w:rPr>
        <w:t>البیت فضائل القرآن</w:t>
      </w:r>
      <w:r>
        <w:rPr>
          <w:rStyle w:val="FootnoteAnchor"/>
          <w:rtl w:val="true"/>
        </w:rPr>
        <w:footnoteReference w:id="1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صورت چهار بخش نازل شده است، که یک چهارم آن درباره ما و یک چهارم درباره دشمن ما و یک چهارم آن داستانها و مثلهاست و یک چهارم دیگر قضایا و احکام است و فضائل قرآن اختصاص به ما اهل 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درباره جامعیت قرآن بسیار تأکید شده است، چنان که از امام صادق علیه‌السلامروایت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أمر یختلف فیه اثنان اِلاّ و له اصلٌ فی کتاب اللّه و لکن لاتبلغه عقول الرجال</w:t>
      </w:r>
      <w:r>
        <w:rPr>
          <w:rStyle w:val="FootnoteAnchor"/>
          <w:rtl w:val="true"/>
        </w:rPr>
        <w:footnoteReference w:id="1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امری</w:t>
      </w:r>
    </w:p>
    <w:p>
      <w:pPr>
        <w:pStyle w:val="BookText"/>
        <w:rPr/>
      </w:pPr>
      <w:r>
        <w:rPr>
          <w:rFonts w:ascii="IRNazanin" w:hAnsi="IRNazanin" w:eastAsia="IRNazanin"/>
          <w:color w:val="111111"/>
          <w:sz w:val="28"/>
          <w:sz w:val="28"/>
          <w:szCs w:val="28"/>
          <w:rtl w:val="true"/>
          <w:lang w:bidi="fa-IR"/>
        </w:rPr>
        <w:t>نیست که دو نفر در آن اختلاف دارند، مگر آن که اصل و ضابطه‌ای در قرآن دارد، ولی عقل و درک مردم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در قرآن تمام اموری که مربوط به تربیت و هدایت و تکامل انسان است، بیان شده، با این تفاوت که گاهی به صورت کلّی بیان شده، مانند دعوت به علم و دانش و گاهی به جزئیّات هم پرداخته است، مانند بسیاری از احکام اسلامی و مسائل اخلاقی، که در تبیین احکام، حتّی جزئیات مسائل را نیز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احکام</w:t>
      </w:r>
    </w:p>
    <w:p>
      <w:pPr>
        <w:pStyle w:val="BookText"/>
        <w:rPr/>
      </w:pPr>
      <w:r>
        <w:rPr>
          <w:rFonts w:ascii="IRNazanin" w:hAnsi="IRNazanin" w:eastAsia="IRNazanin"/>
          <w:color w:val="111111"/>
          <w:sz w:val="28"/>
          <w:sz w:val="28"/>
          <w:szCs w:val="28"/>
          <w:rtl w:val="true"/>
          <w:lang w:bidi="fa-IR"/>
        </w:rPr>
        <w:t xml:space="preserve">نوشتن قراردادهای تجاری و تنظیم اسناد بدهکاری، در طولانی ترین آیه قرآن یعنی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ِاذا تَدایَنْتُم بِدَیْنٍ اِلی اَجَلٍ مُسَمّیً فَاکْتبُوهُ وَلْیَکْتُبْ بَیْنَکُم کاتِبٌ بِالْعَدلِ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صورت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معلوم معامله کردید، آن را بنویسید و باید نویسنده‌ای از روی عدالت آن را بنویسد</w:t>
      </w:r>
      <w:r>
        <w:rPr>
          <w:rFonts w:eastAsia="IRNazanin" w:cs="IRNazanin"/>
          <w:color w:val="111111"/>
          <w:sz w:val="28"/>
          <w:szCs w:val="28"/>
          <w:rtl w:val="true"/>
          <w:lang w:bidi="fa-IR"/>
        </w:rPr>
        <w:t>.»</w:t>
      </w:r>
    </w:p>
    <w:p>
      <w:pPr>
        <w:pStyle w:val="Heading5"/>
        <w:numPr>
          <w:ilvl w:val="4"/>
          <w:numId w:val="1"/>
        </w:numPr>
        <w:rPr/>
      </w:pPr>
      <w:bookmarkStart w:id="136" w:name="__RefHeading___Toc1014689_1479056682"/>
      <w:bookmarkStart w:id="137" w:name="_Toc49"/>
      <w:bookmarkEnd w:id="136"/>
      <w:r>
        <w:rPr>
          <w:rtl w:val="true"/>
        </w:rPr>
        <w:t>حجّیّت ظواهر قرآن</w:t>
      </w:r>
      <w:bookmarkEnd w:id="137"/>
    </w:p>
    <w:p>
      <w:pPr>
        <w:pStyle w:val="BookText"/>
        <w:rPr/>
      </w:pPr>
      <w:r>
        <w:rPr>
          <w:rFonts w:ascii="IRNazanin" w:hAnsi="IRNazanin" w:eastAsia="IRNazanin"/>
          <w:color w:val="111111"/>
          <w:sz w:val="28"/>
          <w:sz w:val="28"/>
          <w:szCs w:val="28"/>
          <w:rtl w:val="true"/>
          <w:lang w:bidi="fa-IR"/>
        </w:rPr>
        <w:t>ظواهر قرآن از نظر اکثر علما و فقهای اسلامی حجّت است و اصولیین حجّیّت آن را با ادلّه عقلی و نقلی ثابت کرده‌اند و بهترین دلیل بر حجّیّت ظواهر قرآن و بلکه حجّیّت</w:t>
      </w:r>
    </w:p>
    <w:p>
      <w:pPr>
        <w:pStyle w:val="BookText"/>
        <w:rPr/>
      </w:pPr>
      <w:r>
        <w:rPr>
          <w:rFonts w:ascii="IRNazanin" w:hAnsi="IRNazanin" w:eastAsia="IRNazanin"/>
          <w:color w:val="111111"/>
          <w:sz w:val="28"/>
          <w:sz w:val="28"/>
          <w:szCs w:val="28"/>
          <w:rtl w:val="true"/>
          <w:lang w:bidi="fa-IR"/>
        </w:rPr>
        <w:t>ظاهر هر کلامی، سیره عقلاست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اصالة الظهور یک اصل عقلایی است، زیرا تمام عقلا و خردمندان عالم از هر ملت و </w:t>
      </w:r>
      <w:bookmarkStart w:id="138" w:name="pg4331_48934"/>
    </w:p>
    <w:p>
      <w:pPr>
        <w:pStyle w:val="BookText"/>
        <w:rPr/>
      </w:pPr>
      <w:bookmarkEnd w:id="138"/>
      <w:r>
        <w:rPr>
          <w:rFonts w:ascii="IRNazanin" w:hAnsi="IRNazanin" w:eastAsia="IRNazanin"/>
          <w:color w:val="111111"/>
          <w:sz w:val="28"/>
          <w:sz w:val="28"/>
          <w:szCs w:val="28"/>
          <w:rtl w:val="true"/>
          <w:lang w:bidi="fa-IR"/>
        </w:rPr>
        <w:t>مذهبی که باشند ظاهر کلام را حجت می‌دانند و به آن عمل می‌کنند و شارع هم از این سیره منع نفرموده و برای تفهیم و تفاهم روش دیگری ایجاد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آیات</w:t>
      </w:r>
    </w:p>
    <w:p>
      <w:pPr>
        <w:pStyle w:val="BookText"/>
        <w:rPr/>
      </w:pPr>
      <w:r>
        <w:rPr>
          <w:rFonts w:ascii="IRNazanin" w:hAnsi="IRNazanin" w:eastAsia="IRNazanin"/>
          <w:color w:val="111111"/>
          <w:sz w:val="28"/>
          <w:sz w:val="28"/>
          <w:szCs w:val="28"/>
          <w:rtl w:val="true"/>
          <w:lang w:bidi="fa-IR"/>
        </w:rPr>
        <w:t>قرآن از نظر ظهور معنی در یک سطح نیستند، بعضی از آیات نصّ‌اند و برخی ظاهر و پاره‌ای از آنها اظهرند و نیز در قرآن آیات محکم و متشابه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عامّ و خاص، مطلق و مقید نیز در قرآن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حجّیّت نصوص قرآنی قطعی است و ظواهر آن هم طبق اصل عقلایی اصالة الظهور حجت می‌باشد</w:t>
      </w:r>
      <w:r>
        <w:rPr>
          <w:rFonts w:eastAsia="IRNazanin" w:cs="IRNazanin"/>
          <w:color w:val="111111"/>
          <w:sz w:val="28"/>
          <w:szCs w:val="28"/>
          <w:rtl w:val="true"/>
          <w:lang w:bidi="fa-IR"/>
        </w:rPr>
        <w:t>.</w:t>
      </w:r>
    </w:p>
    <w:p>
      <w:pPr>
        <w:pStyle w:val="Heading5"/>
        <w:numPr>
          <w:ilvl w:val="4"/>
          <w:numId w:val="1"/>
        </w:numPr>
        <w:rPr/>
      </w:pPr>
      <w:bookmarkStart w:id="139" w:name="__RefHeading___Toc1014691_1479056682"/>
      <w:bookmarkStart w:id="140" w:name="_Toc50"/>
      <w:bookmarkEnd w:id="139"/>
      <w:r>
        <w:rPr>
          <w:rtl w:val="true"/>
        </w:rPr>
        <w:t>محکمات و متشابهات</w:t>
      </w:r>
      <w:bookmarkEnd w:id="140"/>
    </w:p>
    <w:p>
      <w:pPr>
        <w:pStyle w:val="BookText"/>
        <w:rPr/>
      </w:pPr>
      <w:r>
        <w:rPr>
          <w:rFonts w:ascii="IRNazanin" w:hAnsi="IRNazanin" w:eastAsia="IRNazanin"/>
          <w:color w:val="111111"/>
          <w:sz w:val="28"/>
          <w:sz w:val="28"/>
          <w:szCs w:val="28"/>
          <w:rtl w:val="true"/>
          <w:lang w:bidi="fa-IR"/>
        </w:rPr>
        <w:t>خود قرآن کریم آیاتش را به دو دسته محکم و متشابه تقسیم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اُمُّ الْکِتابِ وَ اُخَرُ مُتَشابِهاتٌ</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این کتاب را بر تو نازل کرد که قسمتی از آن، آیاتی‌محکم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اساس این کتاب می‌باشد و قسمتی دیگر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آیات محکمات، آیاتی است که مفهوم آن به قدری روشن است که جای تردید و بحث و گفتگو در معنی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نِصفُ ماتَرکَ اَزواجُکُمْ اِنْ لَمْ یَکُن لهنّ و 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آیاتی دیگر مانند آنها که درباره عقائد، مواعظ و احکام می‌باشد،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محکم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آیات،</w:t>
      </w:r>
    </w:p>
    <w:p>
      <w:pPr>
        <w:pStyle w:val="BookText"/>
        <w:rPr/>
      </w:pPr>
      <w:r>
        <w:rPr>
          <w:rFonts w:ascii="IRNazanin" w:hAnsi="IRNazanin" w:eastAsia="IRNazanin"/>
          <w:color w:val="111111"/>
          <w:sz w:val="28"/>
          <w:sz w:val="28"/>
          <w:szCs w:val="28"/>
          <w:rtl w:val="true"/>
          <w:lang w:bidi="fa-IR"/>
        </w:rPr>
        <w:t>اصل و مرجع و مفسّر آیات 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آیات متشابه، آیاتی است که معانی آنها در اوّلین نظر، مبهم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متشابهات، آیاتی است که از نظر معنی احتمالات متعددی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آیات قرآن باید همه آیات را در کنار هم بگذاریم و از مقایسه آنها با هم معنی آنها را دریافت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ابتدای امر ابهامی باشد، با توجه به آیات دیگر می‌توان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ابهام را برطرف کرد و این که از محکمات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مؤیّد همین </w:t>
      </w:r>
      <w:bookmarkStart w:id="141" w:name="pg4331_48935"/>
    </w:p>
    <w:p>
      <w:pPr>
        <w:pStyle w:val="BookText"/>
        <w:rPr/>
      </w:pPr>
      <w:bookmarkEnd w:id="141"/>
      <w:r>
        <w:rPr>
          <w:rFonts w:ascii="IRNazanin" w:hAnsi="IRNazanin" w:eastAsia="IRNazanin"/>
          <w:color w:val="111111"/>
          <w:sz w:val="28"/>
          <w:sz w:val="28"/>
          <w:szCs w:val="28"/>
          <w:rtl w:val="true"/>
          <w:lang w:bidi="fa-IR"/>
        </w:rPr>
        <w:t xml:space="preserve">مطلب است،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اصل و اساس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محکمات، اساس و ریشه آیات دیگر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فهم آیات متشابه باید آنها را در کنار آیات محکم قرار داد تا معنی و مفهوم آنها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w:t>
      </w:r>
    </w:p>
    <w:p>
      <w:pPr>
        <w:pStyle w:val="BookText"/>
        <w:rPr/>
      </w:pPr>
      <w:r>
        <w:rPr>
          <w:rFonts w:ascii="IRNazanin" w:hAnsi="IRNazanin" w:eastAsia="IRNazanin"/>
          <w:color w:val="111111"/>
          <w:sz w:val="28"/>
          <w:sz w:val="28"/>
          <w:szCs w:val="28"/>
          <w:rtl w:val="true"/>
          <w:lang w:bidi="fa-IR"/>
        </w:rPr>
        <w:t>علی بن موسی الرضا علیه‌السلام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ردّ متشابه القرآن إلی محکمه، هدی إلی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آیات متشابه قرآن را به آیات محکم‌بازگرداند، به راه راست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 ذیل آیه هفتم سوره آل عمران</w:t>
      </w:r>
      <w:r>
        <w:rPr>
          <w:rFonts w:eastAsia="IRNazanin" w:cs="IRNazanin"/>
          <w:color w:val="111111"/>
          <w:sz w:val="28"/>
          <w:szCs w:val="28"/>
          <w:rtl w:val="true"/>
          <w:lang w:bidi="fa-IR"/>
        </w:rPr>
        <w:t>.</w:t>
      </w:r>
    </w:p>
    <w:p>
      <w:pPr>
        <w:pStyle w:val="Heading5"/>
        <w:numPr>
          <w:ilvl w:val="4"/>
          <w:numId w:val="1"/>
        </w:numPr>
        <w:rPr/>
      </w:pPr>
      <w:bookmarkStart w:id="142" w:name="__RefHeading___Toc1014693_1479056682"/>
      <w:bookmarkStart w:id="143" w:name="_Toc51"/>
      <w:bookmarkEnd w:id="142"/>
      <w:r>
        <w:rPr>
          <w:rtl w:val="true"/>
        </w:rPr>
        <w:t>بواطن قرآن</w:t>
      </w:r>
      <w:bookmarkEnd w:id="143"/>
    </w:p>
    <w:p>
      <w:pPr>
        <w:pStyle w:val="BookText"/>
        <w:rPr/>
      </w:pPr>
      <w:r>
        <w:rPr>
          <w:rFonts w:ascii="IRNazanin" w:hAnsi="IRNazanin" w:eastAsia="IRNazanin"/>
          <w:color w:val="111111"/>
          <w:sz w:val="28"/>
          <w:sz w:val="28"/>
          <w:szCs w:val="28"/>
          <w:rtl w:val="true"/>
          <w:lang w:bidi="fa-IR"/>
        </w:rPr>
        <w:t>قرآن کلامی است بسیار ژرف و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دارد و باطنی و به تعبیر حدیث، نه یک بطن، بلکه بطونی دارد که جز خداوند و خاندان وحی، کسی از عمق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زمان نزول قرآن تا کنون، هر چه دانش بشری پیشرفت کرده و هر چه در این کتاب مقدّس بیشتر فحص و بحث شده، بر طراوت و تازگی آن افزوده شده و عمق و عظمت آن آشکارتر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محدود به بینش یک عصر و زمان نیست، بلکه برای همه عصرها و نسلها همیشه سخن تازه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رازی در کار است که قرآن هر چه بیشتر خوانده می‌شود و هر چه بیشتر در آن فحص و بررسی می‌شود، باز هم تازه و باطراوت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برای یک زمان خاصّ و برای مردم خاصی نازل نشده، بلکه برای همه زمانها و همه ملتهاست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به متن حدیث توجه کنیم که بسیار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عن‌الرضاعن أبیه 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ابو عبداللّه علیه‌السلام مابالُ القرآن لایزداد علی‌النشر والدرس الاّ غضاضة؟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تبارک و تعالی لم‌یجعله لزمانٍ دون زمان و لا لناسٍ دون ناس، فهو فی کل زمان جدیدٌ و عند کل ناسٍ غضّ إلی یوم القیامة</w:t>
      </w:r>
      <w:r>
        <w:rPr>
          <w:rStyle w:val="FootnoteAnchor"/>
          <w:rtl w:val="true"/>
        </w:rPr>
        <w:footnoteReference w:id="1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حضرت رضا علیه‌السلام از قول پدرش روایت شده که از امام صادق علیه‌السلام پرسیدند وضعیت و حالت قرآن چگونه است که بر اثر نشر و بررسی و </w:t>
      </w:r>
    </w:p>
    <w:p>
      <w:pPr>
        <w:pStyle w:val="BookText"/>
        <w:rPr/>
      </w:pPr>
      <w:r>
        <w:rPr>
          <w:rFonts w:ascii="IRNazanin" w:hAnsi="IRNazanin" w:eastAsia="IRNazanin"/>
          <w:color w:val="111111"/>
          <w:sz w:val="28"/>
          <w:sz w:val="28"/>
          <w:szCs w:val="28"/>
          <w:rtl w:val="true"/>
          <w:lang w:bidi="fa-IR"/>
        </w:rPr>
        <w:t>خواندن آن، جز بر تازگی و طراوت آن افزوده نمی‌شود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تبارک و تعالی آن را برای زمانی خاصّ و مردمی خاصّ قرار نداده، این کتاب در هر زمانی، نو و تا</w:t>
      </w:r>
    </w:p>
    <w:p>
      <w:pPr>
        <w:pStyle w:val="BookText"/>
        <w:rPr/>
      </w:pPr>
      <w:r>
        <w:rPr>
          <w:rFonts w:ascii="IRNazanin" w:hAnsi="IRNazanin" w:eastAsia="IRNazanin"/>
          <w:color w:val="111111"/>
          <w:sz w:val="28"/>
          <w:sz w:val="28"/>
          <w:szCs w:val="28"/>
          <w:rtl w:val="true"/>
          <w:lang w:bidi="fa-IR"/>
        </w:rPr>
        <w:t>روز قیامت نزد تمام مردم باطراوت و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فهم متشابهات قرآن بدون مراجعه به معصومین علیهم‌السلام ممکن نیست،</w:t>
      </w:r>
    </w:p>
    <w:p>
      <w:pPr>
        <w:pStyle w:val="BookText"/>
        <w:rPr/>
      </w:pPr>
      <w:r>
        <w:rPr>
          <w:rFonts w:ascii="IRNazanin" w:hAnsi="IRNazanin" w:eastAsia="IRNazanin"/>
          <w:color w:val="111111"/>
          <w:sz w:val="28"/>
          <w:sz w:val="28"/>
          <w:szCs w:val="28"/>
          <w:rtl w:val="true"/>
          <w:lang w:bidi="fa-IR"/>
        </w:rPr>
        <w:t>درک باطن و روح قرآن نیز بدون مراجعه به خاندان وحی میسر نخواهد بود، زیرا عقول ناقص بشر به تنهایی و بدون راهنمایی مفسران حقیقی قرآن از درک و فهم عمیق این کتاب، عاجزند و برای فهم آن باید از خود قرآن و از مفسران واقعی آن، که به تعبیر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مدد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ینطق بعضه ببعض و یشهد بعضه علی بعض</w:t>
      </w:r>
      <w:r>
        <w:rPr>
          <w:rStyle w:val="FootnoteAnchor"/>
          <w:rtl w:val="true"/>
        </w:rPr>
        <w:footnoteReference w:id="1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آن ناطق به بعضی دیگر و پاره‌ای از آن شاهد بر بعض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یزید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درباره تفسیر قسمتی از قرآن سؤل کردم، حضرت پاسخ مرا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روزی دیگر برای دومین بار از همان قسمت سؤل کردم، حضرت جواب دیگری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مسأله قبلاً به من جواب دیگری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للقرآن بطنا و للبطن بطنٌ و له ظهرٌ و للظّهر ظهرٌ،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أبعد من عقول الرجال من تفسیر القرآن إنّ الآیة تکون اوّلها فی شی‌ءٍ و آخرها فی شی‌ءٍ و هو کلام متّصل متصرف علی وجوه</w:t>
      </w:r>
      <w:r>
        <w:rPr>
          <w:rStyle w:val="FootnoteAnchor"/>
          <w:rtl w:val="true"/>
        </w:rPr>
        <w:footnoteReference w:id="1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باطنی دارد و باطن آن باطنی دارد و نیز دارای ظاهری است و ظاهر آن ظاهری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عقل و فهم مردم دورتر از تفسیر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 آیه درباره چیزی است و آخر آن درباره چیزی، و</w:t>
      </w:r>
    </w:p>
    <w:p>
      <w:pPr>
        <w:pStyle w:val="BookText"/>
        <w:rPr/>
      </w:pPr>
      <w:r>
        <w:rPr>
          <w:rFonts w:ascii="IRNazanin" w:hAnsi="IRNazanin" w:eastAsia="IRNazanin"/>
          <w:color w:val="111111"/>
          <w:sz w:val="28"/>
          <w:sz w:val="28"/>
          <w:szCs w:val="28"/>
          <w:rtl w:val="true"/>
          <w:lang w:bidi="fa-IR"/>
        </w:rPr>
        <w:t>در حالی که کلام متصلی است که قابل تصرف بر وجوهی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 همه عمق و ژرفا و این همه بواطن قرآن است که کسی حق تفسیر به رأی و برداشت شخصی و سلیقه‌ای از قرآن را ندارد و در احادیث زیادی تفسیر به رأی ممنوع و حرام اعلام شده و برای مفسر به رأی وعده عذاب داده شده است، که به ذکر متن چند مورد از این روایات اکتفا می‌کنیم</w:t>
      </w:r>
      <w:r>
        <w:rPr>
          <w:rFonts w:eastAsia="IRNazanin" w:cs="IRNazanin"/>
          <w:color w:val="111111"/>
          <w:sz w:val="28"/>
          <w:szCs w:val="28"/>
          <w:rtl w:val="true"/>
          <w:lang w:bidi="fa-IR"/>
        </w:rPr>
        <w:t xml:space="preserve">: </w:t>
      </w:r>
      <w:bookmarkStart w:id="144" w:name="pg4331_48937"/>
    </w:p>
    <w:p>
      <w:pPr>
        <w:pStyle w:val="BookText"/>
        <w:rPr/>
      </w:pPr>
      <w:bookmarkEnd w:id="144"/>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قال فی القرآن بغیر علم فَلْیتبوّء مقعده من النّار</w:t>
      </w:r>
      <w:r>
        <w:rPr>
          <w:rStyle w:val="FootnoteAnchor"/>
          <w:rtl w:val="true"/>
        </w:rPr>
        <w:footnoteReference w:id="1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درباره قرآن بدون علم و آگاهی سخن بگوید، جایگاهش در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تکلّم فی القرآن برأیه فأصاب فقد أخطأ</w:t>
      </w:r>
      <w:r>
        <w:rPr>
          <w:rStyle w:val="FootnoteAnchor"/>
          <w:rtl w:val="true"/>
        </w:rPr>
        <w:footnoteReference w:id="1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رأی و نظر خود سخن بگوید، خطا کرده هر چند که رأی او درست و مطابق با واقع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قال فی القرآن بغیر علم جاء یوم القیامة مُلجما بلجام من نار</w:t>
      </w:r>
      <w:r>
        <w:rPr>
          <w:rStyle w:val="FootnoteAnchor"/>
          <w:rtl w:val="true"/>
        </w:rPr>
        <w:footnoteReference w:id="1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بدون علم و آگاهی درباره قرآن سخن بگوید، روز قیامت افسارزده به افساری از آتش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احادیث فوق و بسیاری از احادیث دیگر که در حرمت تفسیر به رأی وارد شده، اکنون این سؤل مطرح است که ؛</w:t>
      </w:r>
    </w:p>
    <w:p>
      <w:pPr>
        <w:pStyle w:val="Heading5"/>
        <w:numPr>
          <w:ilvl w:val="4"/>
          <w:numId w:val="1"/>
        </w:numPr>
        <w:rPr/>
      </w:pPr>
      <w:bookmarkStart w:id="145" w:name="__RefHeading___Toc1014695_1479056682"/>
      <w:bookmarkStart w:id="146" w:name="_Toc52"/>
      <w:bookmarkEnd w:id="145"/>
      <w:r>
        <w:rPr>
          <w:rtl w:val="true"/>
        </w:rPr>
        <w:t>آیا استنباط احکام از قرآن تفسیر به رأی است؟</w:t>
      </w:r>
      <w:bookmarkEnd w:id="146"/>
    </w:p>
    <w:p>
      <w:pPr>
        <w:pStyle w:val="BookText"/>
        <w:rPr/>
      </w:pPr>
      <w:r>
        <w:rPr>
          <w:rFonts w:ascii="IRNazanin" w:hAnsi="IRNazanin" w:eastAsia="IRNazanin"/>
          <w:color w:val="111111"/>
          <w:sz w:val="28"/>
          <w:sz w:val="28"/>
          <w:szCs w:val="28"/>
          <w:rtl w:val="true"/>
          <w:lang w:bidi="fa-IR"/>
        </w:rPr>
        <w:t>چون در احادیث از تفسیر به رأی نهی شده، جمعی از اخباریوّن منکر حجّیّت ظواهر قرآن شده و تأکید می‌کنند که بدون بیان و تفسیر از ناحیه معصومین برداشت و استنباط از</w:t>
      </w:r>
    </w:p>
    <w:p>
      <w:pPr>
        <w:pStyle w:val="BookText"/>
        <w:rPr/>
      </w:pPr>
      <w:r>
        <w:rPr>
          <w:rFonts w:ascii="IRNazanin" w:hAnsi="IRNazanin" w:eastAsia="IRNazanin"/>
          <w:color w:val="111111"/>
          <w:sz w:val="28"/>
          <w:sz w:val="28"/>
          <w:szCs w:val="28"/>
          <w:rtl w:val="true"/>
          <w:lang w:bidi="fa-IR"/>
        </w:rPr>
        <w:t>قرآن ممنوع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اخباریّون معتقدند که معنی قرآن را جز مخاطبان حقیقی قرآن کسی نمی‌فهمد و می‌گویند جز خاندان رسالت که مخاطبین حقیقی قرآن هستند کسی حق اظهار نظر و استنباط حکم از قرآن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اکثر فقهای شیعه و غیر شیعه که به 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با نظر اخباریون مخالف بوده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کلامی که در معنایی ظهور دارد و معنای آن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ظواهر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تفسیر ندارد وعمل کردن به ظاهر کلام را عرفا تفسیر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شد آیات قرآن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و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قایلین به حجّیّت ظواهر، آیات متشابه در استنباط احکام حجّیّت و اعتباری ندارد و اکثر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مربوط به احکام است، جزء ظواهر است و در بعضی موارد هم نصّ است که از ظاهر در دلالت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پاسخ به اشکال اخباریون می‌گوییم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 تنها عمل کردن به محکمات جایز است و عمل به متشابهات بدون تفسیر از جانب پیامبر صلی‌الله‌علیه‌و‌آله یا ائمه علیهم‌السلام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 قبل از عمل به ظاهر قرآن باید از وجود مخصّص و ناسخ و معارض، تا حصول اطمینان، فحص و بررسی کرد و بعد از فحص، در صورت یأس از وجود مخصص و معارض می‌توان به ظاهر کتاب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 از یک سلسله روایات بوضوح استفاده می‌شود، که ظواهر کتاب، با قطع نظر از تفسیر و بیان از ناحیه ائمه علیهم‌السلام، حجت و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چند نمونه از این روایات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تعادل و تراجیح اخبار متعارض، روایاتی وارد شده است که از امام سؤل می‌کنند که وقتی دو روایت متعارض درباره یک موضوع وارد شده چه باید کرد؟</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ورد علیکم حدیثان مختلفان، فاعرضوهما علی کتاب اللّه فما وافق کتاب اللّه فخذوه و ما خالف کتاب اللّه فردّوه</w:t>
      </w:r>
      <w:r>
        <w:rPr>
          <w:rStyle w:val="FootnoteAnchor"/>
          <w:rtl w:val="true"/>
        </w:rPr>
        <w:footnoteReference w:id="1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دو حدیث مختلف بر شما وارد شود، آن دو را بر کتاب خدا عرضه کنید، پس حدیثی که موافق کتاب خداست آن را اخذ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مخالف کتاب خداست، آن را رد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بعضی از روایات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روایتی به شما برسد که با کتاب خدا مخالف باشد آن را طرد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وافق کتابَ اللّه فخذوه و ما خالف کتابَ اللّه فدعوه</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موافق با کتاب خداست، بپذیرید و آنچه را که با کتاب خدا مخالف است،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مردود إلی الکتاب و السّنة و کلّ حدیث لایوافق کتاب اللّه فهو زخرف</w:t>
      </w:r>
      <w:r>
        <w:rPr>
          <w:rStyle w:val="FootnoteAnchor"/>
          <w:rtl w:val="true"/>
        </w:rPr>
        <w:footnoteReference w:id="1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به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و سنّت بازگشت داده می‌شود و هر حدیثی که موافق کتاب خدا نباشد باطل و نادرست است</w:t>
      </w:r>
      <w:r>
        <w:rPr>
          <w:rFonts w:eastAsia="IRNazanin" w:cs="IRNazanin"/>
          <w:color w:val="111111"/>
          <w:sz w:val="28"/>
          <w:szCs w:val="28"/>
          <w:rtl w:val="true"/>
          <w:lang w:bidi="fa-IR"/>
        </w:rPr>
        <w:t xml:space="preserve">». </w:t>
      </w:r>
      <w:bookmarkStart w:id="147" w:name="pg4331_48939"/>
    </w:p>
    <w:p>
      <w:pPr>
        <w:pStyle w:val="BookText"/>
        <w:rPr/>
      </w:pPr>
      <w:bookmarkEnd w:id="14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دلالت بر جواز تمسک به کتاب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این روایات امام علیه‌السلامبه سائل می‌فرماید، این مطلب احتیاج به پرسش ندارد، زیرا از ظاهر قرآن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روایتی هست که در آن زراره از امام باقر علیه‌السلام سؤل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علمتَ أنّ المسح ببعض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در وضو باید قسمتی از سر مسح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در آیه وضو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امسحوا برؤوسکم، و چون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تبعیض است، پس باید بعضی از سر مسح شود، نه تمام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امام علیه‌السلام به زراره می‌آموزد که چگونه باید از ظاهر قرآن استنباط حکم کند؟ پس نتیجه می‌گیریم که چون امام علیه‌السلام در این احادیث، اصحاب را به آیات قرآن ارجاع داده‌اند، از مجموع این روایات فهمیده می‌شود که ظواهر کتاب، حجت است و احتیاج به تفسیر و بیان از ناحیه ائمه علیهم‌السلام ندارد</w:t>
      </w:r>
      <w:r>
        <w:rPr>
          <w:rFonts w:eastAsia="IRNazanin" w:cs="IRNazanin"/>
          <w:color w:val="111111"/>
          <w:sz w:val="28"/>
          <w:szCs w:val="28"/>
          <w:rtl w:val="true"/>
          <w:lang w:bidi="fa-IR"/>
        </w:rPr>
        <w:t>.</w:t>
      </w:r>
    </w:p>
    <w:p>
      <w:pPr>
        <w:pStyle w:val="Heading4"/>
        <w:numPr>
          <w:ilvl w:val="3"/>
          <w:numId w:val="1"/>
        </w:numPr>
        <w:rPr/>
      </w:pPr>
      <w:bookmarkStart w:id="148" w:name="__RefHeading___Toc1014697_1479056682"/>
      <w:bookmarkStart w:id="149" w:name="_Toc53"/>
      <w:bookmarkEnd w:id="148"/>
      <w:r>
        <w:rPr/>
        <w:t>2</w:t>
      </w:r>
      <w:r>
        <w:rPr>
          <w:rtl w:val="true"/>
        </w:rPr>
        <w:t xml:space="preserve"> - </w:t>
      </w:r>
      <w:r>
        <w:rPr>
          <w:rtl w:val="true"/>
        </w:rPr>
        <w:t>سنّت</w:t>
      </w:r>
      <w:bookmarkEnd w:id="149"/>
    </w:p>
    <w:p>
      <w:pPr>
        <w:pStyle w:val="Heading5"/>
        <w:numPr>
          <w:ilvl w:val="4"/>
          <w:numId w:val="1"/>
        </w:numPr>
        <w:rPr/>
      </w:pPr>
      <w:bookmarkStart w:id="150" w:name="__RefHeading___Toc1014699_1479056682"/>
      <w:bookmarkStart w:id="151" w:name="_Toc54"/>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بعد از کتاب خدا، سنّت دومین و مهمترین منبع و مأخذ برای احکام اسلامی است که در این‌جا، ابتدا به تعریف سنّت در لغت و اصطلاح و سپس به بحث درباره حجّیّت آن می‌پردازیم</w:t>
      </w:r>
      <w:r>
        <w:rPr>
          <w:rFonts w:eastAsia="IRNazanin" w:cs="IRNazanin"/>
          <w:color w:val="111111"/>
          <w:sz w:val="28"/>
          <w:szCs w:val="28"/>
          <w:rtl w:val="true"/>
          <w:lang w:bidi="fa-IR"/>
        </w:rPr>
        <w:t>:</w:t>
      </w:r>
    </w:p>
    <w:p>
      <w:pPr>
        <w:pStyle w:val="Heading5"/>
        <w:numPr>
          <w:ilvl w:val="4"/>
          <w:numId w:val="1"/>
        </w:numPr>
        <w:rPr/>
      </w:pPr>
      <w:bookmarkStart w:id="152" w:name="__RefHeading___Toc1014701_1479056682"/>
      <w:bookmarkStart w:id="153" w:name="_Toc55"/>
      <w:bookmarkEnd w:id="152"/>
      <w:r>
        <w:rPr>
          <w:rtl w:val="true"/>
        </w:rPr>
        <w:t>سنّت در لغت</w:t>
      </w:r>
      <w:bookmarkEnd w:id="153"/>
    </w:p>
    <w:p>
      <w:pPr>
        <w:pStyle w:val="BookText"/>
        <w:rPr/>
      </w:pPr>
      <w:r>
        <w:rPr>
          <w:rFonts w:ascii="IRNazanin" w:hAnsi="IRNazanin" w:eastAsia="IRNazanin"/>
          <w:color w:val="111111"/>
          <w:sz w:val="28"/>
          <w:sz w:val="28"/>
          <w:szCs w:val="28"/>
          <w:rtl w:val="true"/>
          <w:lang w:bidi="fa-IR"/>
        </w:rPr>
        <w:t>سنّت در لغت به معنی طریقه و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به معنی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موقعی که آب را به طور متوالی بریزد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را پشت سر هم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سنّت این است که به سخن پیامبر صلی‌الله‌علیه‌و‌آله عملاً ادامه</w:t>
      </w:r>
    </w:p>
    <w:p>
      <w:pPr>
        <w:pStyle w:val="BookText"/>
        <w:rPr/>
      </w:pPr>
      <w:r>
        <w:rPr>
          <w:rFonts w:ascii="IRNazanin" w:hAnsi="IRNazanin" w:eastAsia="IRNazanin"/>
          <w:color w:val="111111"/>
          <w:sz w:val="28"/>
          <w:sz w:val="28"/>
          <w:szCs w:val="28"/>
          <w:rtl w:val="true"/>
          <w:lang w:bidi="fa-IR"/>
        </w:rPr>
        <w:t>می‌دهیم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به طور مطلق به معنای روش و راه پسندیده است و با کمک قرینه در معنای روش ناپسند 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 سیّئة </w:t>
      </w:r>
      <w:bookmarkStart w:id="154" w:name="pg4331_48940"/>
    </w:p>
    <w:p>
      <w:pPr>
        <w:pStyle w:val="BookText"/>
        <w:rPr/>
      </w:pPr>
      <w:bookmarkEnd w:id="154"/>
      <w:r>
        <w:rPr>
          <w:rFonts w:ascii="IRNazanin" w:hAnsi="IRNazanin" w:eastAsia="IRNazanin"/>
          <w:color w:val="111111"/>
          <w:sz w:val="28"/>
          <w:sz w:val="28"/>
          <w:szCs w:val="28"/>
          <w:rtl w:val="true"/>
          <w:lang w:bidi="fa-IR"/>
        </w:rPr>
        <w:t>برخی گفته‌اند سنّت به معنای روش و راه و رسم عادی است، اعم از این که پسندیده یا ناپسند باشد، چنان که در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سنّ سنّة حسنة فله اجرها و اجر من عمل بها إلی یوم القیامة و من سنّ سنّة سیّئة کان علیه و زر مَنْ عمل بها إلی یوم القیامة</w:t>
      </w:r>
      <w:r>
        <w:rPr>
          <w:rStyle w:val="FootnoteAnchor"/>
          <w:rtl w:val="true"/>
        </w:rPr>
        <w:footnoteReference w:id="1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روش پسندیده‌ای را پایه‌گذاری کند، اجر و پاداش آن را خواهد دید و در پاداش کلیه کسانی که تا روز قیامت بدان عمل کنند، شریک خواهد بود و هر که روش ناپسندی را رسم کند وزر و وبال آن بر گردن اوست و در عذاب و گرفتاری تمام کسانی که بدان عمل کنند، شریک خواهد بود</w:t>
      </w:r>
      <w:r>
        <w:rPr>
          <w:rFonts w:eastAsia="IRNazanin" w:cs="IRNazanin"/>
          <w:color w:val="111111"/>
          <w:sz w:val="28"/>
          <w:szCs w:val="28"/>
          <w:rtl w:val="true"/>
          <w:lang w:bidi="fa-IR"/>
        </w:rPr>
        <w:t>».</w:t>
      </w:r>
    </w:p>
    <w:p>
      <w:pPr>
        <w:pStyle w:val="Heading5"/>
        <w:numPr>
          <w:ilvl w:val="4"/>
          <w:numId w:val="1"/>
        </w:numPr>
        <w:rPr/>
      </w:pPr>
      <w:bookmarkStart w:id="155" w:name="__RefHeading___Toc1014703_1479056682"/>
      <w:bookmarkStart w:id="156" w:name="_Toc56"/>
      <w:bookmarkEnd w:id="155"/>
      <w:r>
        <w:rPr>
          <w:rtl w:val="true"/>
        </w:rPr>
        <w:t>سنّت در اصطلاح فقها و متکلّمین</w:t>
      </w:r>
      <w:bookmarkEnd w:id="156"/>
    </w:p>
    <w:p>
      <w:pPr>
        <w:pStyle w:val="BookText"/>
        <w:rPr/>
      </w:pPr>
      <w:r>
        <w:rPr>
          <w:rFonts w:ascii="IRNazanin" w:hAnsi="IRNazanin" w:eastAsia="IRNazanin"/>
          <w:color w:val="111111"/>
          <w:sz w:val="28"/>
          <w:sz w:val="28"/>
          <w:szCs w:val="28"/>
          <w:rtl w:val="true"/>
          <w:lang w:bidi="fa-IR"/>
        </w:rPr>
        <w:t>سنّت در اصطلاح فقها، در برابر بدعت به کار می‌رود و منظور از آن هر حکمی است که مستند به اصول شریعت باشد و بدعت در مقابل آن است، زیرا بدعت عبارت از هر حکمی است که برخلاف اصول شریعت باشد و موافق سنّت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علمای کلام، سنّت به دو معنی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معنایی که در اصطلاح فقها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مرادف مستحب است و نیز گاهی، آن را از باب اطلاق عامّ بر خاصّ بر نماز نافله اطلاق می‌کنند،</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ابن اثیر در نهایه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به طور مکرر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آمده است، سنّت در اصل به معنی طریقه و روش است و هرگاه در شرع به طور مطلق آورده شود، منظور از آن، چیزی است که پیامبر صلی‌الله‌علیه‌و‌آلهبا گفتار یا با عمل خود به آن امر کرده یا از آن نهی فرموده و یا به آن فراخوانده است و این در موردی است که قرآن درباره آن چیزی نگفته است و به همین جهت در ادلّه شرع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یعنی قرآن و حدیث</w:t>
      </w:r>
      <w:r>
        <w:rPr>
          <w:rFonts w:eastAsia="IRNazanin" w:cs="IRNazanin"/>
          <w:color w:val="111111"/>
          <w:sz w:val="28"/>
          <w:szCs w:val="28"/>
          <w:rtl w:val="true"/>
          <w:lang w:bidi="fa-IR"/>
        </w:rPr>
        <w:t>.»</w:t>
      </w:r>
      <w:r>
        <w:rPr>
          <w:rStyle w:val="FootnoteAnchor"/>
          <w:rtl w:val="true"/>
        </w:rPr>
        <w:footnoteReference w:id="14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شاطبی در الموافقات می‌گوید</w:t>
      </w:r>
      <w:r>
        <w:rPr>
          <w:rFonts w:eastAsia="IRNazanin" w:cs="IRNazanin"/>
          <w:color w:val="111111"/>
          <w:sz w:val="28"/>
          <w:szCs w:val="28"/>
          <w:rtl w:val="true"/>
          <w:lang w:bidi="fa-IR"/>
        </w:rPr>
        <w:t xml:space="preserve">: </w:t>
      </w:r>
      <w:bookmarkStart w:id="157" w:name="pg4331_48941"/>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سنّت بر چیزی اطلاق می‌شود که به طور منقول از پیامبر صلی‌الله‌علیه‌و‌آله آمده است، بخصوص در موردی که نصّی و تصریحی از قرآن درباره آن نیامده باشد، بلکه از ناحیه پیامبر صلی‌الله‌علیه‌و‌آله نصی صادر شده تا بیانی باشد برای آنچه که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و همچنین سنّت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فلانی بر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طبق عمل پیامبر صلی‌الله‌علیه‌و‌آله عمل کند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بر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خلاف عمل پیامبر صلی‌الله‌علیه‌و‌آلهعمل کرده باشد</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158" w:name="__RefHeading___Toc1014705_1479056682"/>
      <w:bookmarkStart w:id="159" w:name="_Toc57"/>
      <w:bookmarkEnd w:id="158"/>
      <w:r>
        <w:rPr>
          <w:rtl w:val="true"/>
        </w:rPr>
        <w:t>سنّت در اصطلاح اصولیّین</w:t>
      </w:r>
      <w:bookmarkEnd w:id="159"/>
    </w:p>
    <w:p>
      <w:pPr>
        <w:pStyle w:val="BookText"/>
        <w:rPr/>
      </w:pPr>
      <w:r>
        <w:rPr>
          <w:rFonts w:ascii="IRNazanin" w:hAnsi="IRNazanin" w:eastAsia="IRNazanin"/>
          <w:color w:val="111111"/>
          <w:sz w:val="28"/>
          <w:sz w:val="28"/>
          <w:szCs w:val="28"/>
          <w:rtl w:val="true"/>
          <w:lang w:bidi="fa-IR"/>
        </w:rPr>
        <w:t>تمام علمای اصول اعم از شیعه و سنی اتّفاق نظر دارند که سنّت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فعل و تقریر پیامبر صلی‌الله‌علیه‌و‌آله است و آنچه میان ایشان مورد اختلاف است، مدلول سنّت از حیث سعه و ضیق است، یعنی اطلاق سنّت بر قول و فعل و تقریر صحابه پیامبر صلی‌الله‌علیه‌و‌آله و ائمه اهل البیت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شاطبی، از علمای اهل سنت، در معنای سنّت قایل به توسعه و تعمیم شده و آن را شامل قول و فعل صحابه نیز می‌داند و همچنان که سنّت پیامبر صلی‌الله‌علیه‌و‌آله حجت است، سنّت صحابه را نیز حجت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الموافقات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سنّت بر عمل صحابه نیز اطلاق می‌شود،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عمل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یا سنّت موجود باشد یا نباشد، زیرا عمل آنها پیروی از سنّتی است که نزد ایشان ثابت شده و به ما نرسیده، یا پیروی از اجتهادی است که خود صحابه یا خلفا بر آن اتّفاق نظر داشته‌اند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علمای امامیّه نیز در معنای سنّت قایل به توسعه و تعمیم شده و آن را شامل قول و فعل و تقریر ائمه معصومین علیهم‌السلام نیز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سنّت از نظر امامیّه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 فعل و تقریر معصوم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پیامبر صلی‌الله‌علیه‌و‌آله و ائمه اهل بیت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امامیّه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و فعل و تقریر صحابه را سنّت به حساب نمی‌آورند</w:t>
      </w:r>
      <w:r>
        <w:rPr>
          <w:rFonts w:eastAsia="IRNazanin" w:cs="IRNazanin"/>
          <w:color w:val="111111"/>
          <w:sz w:val="28"/>
          <w:szCs w:val="28"/>
          <w:rtl w:val="true"/>
          <w:lang w:bidi="fa-IR"/>
        </w:rPr>
        <w:t xml:space="preserve">. </w:t>
      </w:r>
      <w:bookmarkStart w:id="160" w:name="pg4331_48942"/>
    </w:p>
    <w:p>
      <w:pPr>
        <w:pStyle w:val="Heading5"/>
        <w:numPr>
          <w:ilvl w:val="4"/>
          <w:numId w:val="1"/>
        </w:numPr>
        <w:rPr/>
      </w:pPr>
      <w:bookmarkStart w:id="161" w:name="__RefHeading___Toc1014707_1479056682"/>
      <w:bookmarkStart w:id="162" w:name="_Toc58"/>
      <w:bookmarkEnd w:id="160"/>
      <w:bookmarkEnd w:id="161"/>
      <w:r>
        <w:rPr>
          <w:rtl w:val="true"/>
        </w:rPr>
        <w:t>حجّیّت سنّت پیامبر صلی‌الله‌علیه‌و‌آله</w:t>
      </w:r>
      <w:bookmarkEnd w:id="162"/>
    </w:p>
    <w:p>
      <w:pPr>
        <w:pStyle w:val="BookText"/>
        <w:rPr/>
      </w:pPr>
      <w:r>
        <w:rPr>
          <w:rFonts w:ascii="IRNazanin" w:hAnsi="IRNazanin" w:eastAsia="IRNazanin"/>
          <w:color w:val="111111"/>
          <w:sz w:val="28"/>
          <w:sz w:val="28"/>
          <w:szCs w:val="28"/>
          <w:rtl w:val="true"/>
          <w:lang w:bidi="fa-IR"/>
        </w:rPr>
        <w:t>حجّیّت و اعتبار سنّت پیامبر صلی‌الله‌علیه‌و‌آله به عنوان دومین منبع و مصدر اصلی احکام اسلامی مورد اتّفاق عامّه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سنّت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عبارت از قول و فعل و تقریر پیامبر صلی‌الله‌علیه‌و‌آلهاست یعنی تمام</w:t>
      </w:r>
    </w:p>
    <w:p>
      <w:pPr>
        <w:pStyle w:val="BookText"/>
        <w:rPr/>
      </w:pPr>
      <w:r>
        <w:rPr>
          <w:rFonts w:ascii="IRNazanin" w:hAnsi="IRNazanin" w:eastAsia="IRNazanin"/>
          <w:color w:val="111111"/>
          <w:sz w:val="28"/>
          <w:sz w:val="28"/>
          <w:szCs w:val="28"/>
          <w:rtl w:val="true"/>
          <w:lang w:bidi="fa-IR"/>
        </w:rPr>
        <w:t>گفتار و رفتار پیامبر اکرم صلی‌الله‌علیه‌و‌آله به عنوان مبیّن احکام حجت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شاطبی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در معنای خود به کتاب باز می‌گردد، زیرا سنت، تفصیلی از مجمل قرآن و بیانی بر مشکل آن و بسط و توسعه مختصر آن است و این بدان جهت است که سنت، خود بیانی برای کتاب است و گفتار خدای تعالی بر آن دلالت می‌کند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بر تو نازل کردیم، تا برای مردم آنچه را که برای آنان نازل گردیده است، بیان کنی</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به طور کلّی در مورد تشریع احکام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بسیاری از احکام در قرآن به طور مطلق و کلّی ذکر شده و شرایط و قیود آنها به وسیله سنّت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کریم به اقامه نماز و پرداخت زکات و حج خانه خدا امر فرموده است، ولی تعداد رکعات نماز و همچنین مقادیر زکات و مناسک حج را به تفصیل بیان نفرموده و این سنّت عملی و قولی پیامبر است که اجمال قرآن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اسلام احکامی داریم که در قرآن اصلاً بیان نشده و تشریع آنها به سنّت واگذار شده است، چنان که دیه عین و دیه نفس و حرمت نبیذ و تحریم جمع بین زوجه و عمه و خاله وی و یا حرمت پوشیدن ابریشم بر مرد و نظائر اینها، همه در سنّت تشریع شده است، همچنین حرمت رضاعی با سنّت بیان شده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بالنسب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باقر علیه‌السلام نقل کرده که آن حضرت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رسول اللّه صلی‌الله‌علیه‌و‌آله دیة العین و دیة النفس و حرّم النبیذ و کل مسکر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رسول‌اللّه صلی‌الله‌علیه‌و‌آله </w:t>
      </w:r>
      <w:bookmarkStart w:id="163" w:name="pg4331_48943"/>
    </w:p>
    <w:p>
      <w:pPr>
        <w:pStyle w:val="BookText"/>
        <w:rPr/>
      </w:pPr>
      <w:bookmarkEnd w:id="163"/>
      <w:r>
        <w:rPr>
          <w:rFonts w:ascii="IRNazanin" w:hAnsi="IRNazanin" w:eastAsia="IRNazanin"/>
          <w:color w:val="111111"/>
          <w:sz w:val="28"/>
          <w:sz w:val="28"/>
          <w:szCs w:val="28"/>
          <w:rtl w:val="true"/>
          <w:lang w:bidi="fa-IR"/>
        </w:rPr>
        <w:t>من غیر أن‌یکون جاء فیه شی‌ء؟ قال نعم لیعلم من یطیع‌الرسول ممن یعصیه</w:t>
      </w:r>
      <w:r>
        <w:rPr>
          <w:rStyle w:val="FootnoteAnchor"/>
          <w:rtl w:val="true"/>
        </w:rPr>
        <w:footnoteReference w:id="1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دیه چشم و دیه قتل نفس را وضع کرد و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مست کننده‌ای را حرام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صلی‌الله‌علیه‌و‌آله این احکام را وضع فرمود، بدون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درباره آن آمده باشد ؟ فرمود بلی تا آن که از پیامبر صلی‌الله‌علیه‌و‌آلهاطاعت می‌کند از آن که او را نافرمانی می‌کند،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خود قرآن نیز پیامبر صلی‌الله‌علیه‌و‌آله را مبیّن احکام دانسته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اَنْزَلْنا اِلَیْکَ الذِّکرَ لِتُبَیّنَ لِلناسِ ما نُِزّلَ إلَیهم</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بر تو نازل کردیم تا برای مردم آنچه برای آنان نازل شده است،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حجّیّت سنّت پیامبر صلی‌الله‌علیه‌و‌آله از ضروریات دین است و برای اثبات آن نیازی به اقامه دلیل نیست، ولی علمای اصول برای اثبات حجّیّت آن ادلّه‌ای از قرآن و سنّت و اجماع و عقل ذکر می‌کنند و حجّیّت آن را با ادلّه اربعه ثابت می‌کنند و ما برای حجّیّت</w:t>
      </w:r>
    </w:p>
    <w:p>
      <w:pPr>
        <w:pStyle w:val="BookText"/>
        <w:rPr/>
      </w:pPr>
      <w:r>
        <w:rPr>
          <w:rFonts w:ascii="IRNazanin" w:hAnsi="IRNazanin" w:eastAsia="IRNazanin"/>
          <w:color w:val="111111"/>
          <w:sz w:val="28"/>
          <w:sz w:val="28"/>
          <w:szCs w:val="28"/>
          <w:rtl w:val="true"/>
          <w:lang w:bidi="fa-IR"/>
        </w:rPr>
        <w:t>سنّت به ذکر دو آیه از قرآن اکتفا می‌کنیم</w:t>
      </w:r>
      <w:r>
        <w:rPr>
          <w:rFonts w:eastAsia="IRNazanin" w:cs="IRNazanin"/>
          <w:color w:val="111111"/>
          <w:sz w:val="28"/>
          <w:szCs w:val="28"/>
          <w:rtl w:val="true"/>
          <w:lang w:bidi="fa-IR"/>
        </w:rPr>
        <w:t>.</w:t>
      </w:r>
    </w:p>
    <w:p>
      <w:pPr>
        <w:pStyle w:val="Heading5"/>
        <w:numPr>
          <w:ilvl w:val="4"/>
          <w:numId w:val="1"/>
        </w:numPr>
        <w:rPr/>
      </w:pPr>
      <w:bookmarkStart w:id="164" w:name="__RefHeading___Toc1014709_1479056682"/>
      <w:bookmarkStart w:id="165" w:name="_Toc59"/>
      <w:bookmarkEnd w:id="164"/>
      <w:r>
        <w:rPr>
          <w:rtl w:val="true"/>
        </w:rPr>
        <w:t>دلیل حجّیّت سنّت از قرآن</w:t>
      </w:r>
      <w:bookmarkEnd w:id="165"/>
    </w:p>
    <w:p>
      <w:pPr>
        <w:pStyle w:val="BookText"/>
        <w:rPr/>
      </w:pPr>
      <w:r>
        <w:rPr>
          <w:rFonts w:ascii="IRNazanin" w:hAnsi="IRNazanin" w:eastAsia="IRNazanin"/>
          <w:color w:val="111111"/>
          <w:sz w:val="28"/>
          <w:sz w:val="28"/>
          <w:szCs w:val="28"/>
          <w:rtl w:val="true"/>
          <w:lang w:bidi="fa-IR"/>
        </w:rPr>
        <w:t>در مورد حجّیّت سنّت، به آیاتی از قرآن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ذکر دو آیه اکتفا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رسول خدا برای شما آورده است، بگیرید و اجرا کنید و از آنچه شما را از آن نهی کرده است،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آیه یک دستور عمومی است در تمام زمینه‌ها و برنامه‌های زندگی مسلمانان و سند روشنی است بر حجّیّت سنّت پیامبر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این مورد می‌فرماید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عزّ و جلّ فوّض إلی نبیّه أمْرَ خلقه لینظر کیف طاعتهم ثم تلا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ماآتاکم‌الرسول فخذوه </w:t>
      </w:r>
    </w:p>
    <w:p>
      <w:pPr>
        <w:pStyle w:val="BookText"/>
        <w:rPr/>
      </w:pPr>
      <w:r>
        <w:rPr>
          <w:rFonts w:ascii="IRNazanin" w:hAnsi="IRNazanin" w:eastAsia="IRNazanin"/>
          <w:color w:val="111111"/>
          <w:sz w:val="28"/>
          <w:sz w:val="28"/>
          <w:szCs w:val="28"/>
          <w:rtl w:val="true"/>
          <w:lang w:bidi="fa-IR"/>
        </w:rPr>
        <w:t>ومانهاکم عنه فانتهوا</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امر مردم را به پیامبرش تفویض فرموده تا بنگرد چگونه از او اطاعت می‌کنند، سپس این آیه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پیامبر برای</w:t>
      </w:r>
    </w:p>
    <w:p>
      <w:pPr>
        <w:pStyle w:val="BookText"/>
        <w:rPr/>
      </w:pPr>
      <w:r>
        <w:rPr>
          <w:rFonts w:ascii="IRNazanin" w:hAnsi="IRNazanin" w:eastAsia="IRNazanin"/>
          <w:color w:val="111111"/>
          <w:sz w:val="28"/>
          <w:sz w:val="28"/>
          <w:szCs w:val="28"/>
          <w:rtl w:val="true"/>
          <w:lang w:bidi="fa-IR"/>
        </w:rPr>
        <w:t>شما آورده بگیرید و از آنچه شما را از آن نهی کرده، خودداری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 إنْ هُوَ اِلاّ وَحْیٌ یُوحی</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صلی‌الله‌علیه‌و‌آله از روی هوای نفس سخن نمی‌گوید، آنچه را که او آورده است، چیزی جز آنچه به او وحی می‌شود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چنین برمی‌آید که پیامبر صلی‌الله‌علیه‌و‌آله از خودش چیزی نمی‌گوید، هر چه می‌گوید، اعم از آیات قرآن یا سخنانش، همه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آیات تنها در مورد آیات قرآن نیست، بلکه سنّت پیامبر صلی‌الله‌علیه‌و‌آله را نیز شامل می‌شود، که آن هم بر طبق وحی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جلال‌الدین سیوطی دانشمند معروف اهل سنّت در تفسیر الدّر المنثور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دستور داد تمام درهای خانه‌هایی که به داخل مسجد پیامبر گشوده می‌شد، جز در خانه علی، بسته شود، این امر بر مسلمانان گران آمد، تا آن جا که حمزه،</w:t>
      </w:r>
    </w:p>
    <w:p>
      <w:pPr>
        <w:pStyle w:val="BookText"/>
        <w:rPr/>
      </w:pPr>
      <w:r>
        <w:rPr>
          <w:rFonts w:ascii="IRNazanin" w:hAnsi="IRNazanin" w:eastAsia="IRNazanin"/>
          <w:color w:val="111111"/>
          <w:sz w:val="28"/>
          <w:sz w:val="28"/>
          <w:szCs w:val="28"/>
          <w:rtl w:val="true"/>
          <w:lang w:bidi="fa-IR"/>
        </w:rPr>
        <w:t>عموی پیامبر، از این عمل گله می‌کند و با چشم گریان به پیامبر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أخرجتَ عمّک و أبابکر و عمر و العباس و اسکنت ابن عمّک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عمویت و ابا بکر و عمر و عباس را از مسجد بیرون کردی و پسر عمویت را در آن جای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مردم را به مسجد فراخواند و خطبه بی‌نظیر و بسیار بلیغی در تمجید و توحید الهی ایراد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 ما أنَا سَدَدتُها وَ لا أنا اَخْرَجْتُکم وَ أَسکَنْتُه؛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اِذا هَوی، ماضَلَّ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صاحِبُکُم وَ ماغَوی وَ مایَنْطِقُ عَنِ الْهَوی اِنْ هُوَ اِلاّ وَحیٌ یُوحی</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شخصا درها را نبستم و نگشودم و من شما را از مسجد بیرون نکردم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کارها به فرمان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آیات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ستاره، هنگامی که فرود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 و یار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و گمراه نشده است </w:t>
      </w:r>
      <w:bookmarkStart w:id="166" w:name="pg4331_48945"/>
    </w:p>
    <w:p>
      <w:pPr>
        <w:pStyle w:val="BookText"/>
        <w:rPr/>
      </w:pPr>
      <w:bookmarkEnd w:id="166"/>
      <w:r>
        <w:rPr>
          <w:rFonts w:ascii="IRNazanin" w:hAnsi="IRNazanin" w:eastAsia="IRNazanin"/>
          <w:color w:val="111111"/>
          <w:sz w:val="28"/>
          <w:sz w:val="28"/>
          <w:szCs w:val="28"/>
          <w:rtl w:val="true"/>
          <w:lang w:bidi="fa-IR"/>
        </w:rPr>
        <w:t>و از روی هوای نفس سخن نمی‌گوید، آنچه او می‌گوید جز وحی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این حدیث این است که این حدیث ضمن این که بیانگر مقام ارجمند و والای حضرت علی علیه‌السلام در میان تمام امت اسلامی، بعد از رسول خدا صلی‌الله‌علیه‌و‌آله است، نشانگر این مطلب نیز هست که نه تنها گفته‌های پیامبر صلی‌الله‌علیه‌و‌آله بر طبق وحی الهی است، بلکه اعمال و رفتار او نیز به فرمان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قرآن و هم سنّت پیامبر صلی‌الله‌علیه‌و‌آله مبنای احکام الهی است</w:t>
      </w:r>
      <w:r>
        <w:rPr>
          <w:rFonts w:eastAsia="IRNazanin" w:cs="IRNazanin"/>
          <w:color w:val="111111"/>
          <w:sz w:val="28"/>
          <w:szCs w:val="28"/>
          <w:rtl w:val="true"/>
          <w:lang w:bidi="fa-IR"/>
        </w:rPr>
        <w:t>.</w:t>
      </w:r>
    </w:p>
    <w:p>
      <w:pPr>
        <w:pStyle w:val="Heading5"/>
        <w:numPr>
          <w:ilvl w:val="4"/>
          <w:numId w:val="1"/>
        </w:numPr>
        <w:rPr/>
      </w:pPr>
      <w:bookmarkStart w:id="167" w:name="__RefHeading___Toc1014711_1479056682"/>
      <w:bookmarkStart w:id="168" w:name="_Toc60"/>
      <w:bookmarkEnd w:id="167"/>
      <w:r>
        <w:rPr>
          <w:rtl w:val="true"/>
        </w:rPr>
        <w:t>سنّت صحابه</w:t>
      </w:r>
      <w:bookmarkEnd w:id="168"/>
    </w:p>
    <w:p>
      <w:pPr>
        <w:pStyle w:val="BookText"/>
        <w:rPr/>
      </w:pPr>
      <w:r>
        <w:rPr>
          <w:rFonts w:ascii="IRNazanin" w:hAnsi="IRNazanin" w:eastAsia="IRNazanin"/>
          <w:color w:val="111111"/>
          <w:sz w:val="28"/>
          <w:sz w:val="28"/>
          <w:szCs w:val="28"/>
          <w:rtl w:val="true"/>
          <w:lang w:bidi="fa-IR"/>
        </w:rPr>
        <w:t>شاطبی در کتاب موافقات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صحابه پیامبر، سنتی است که بدان عمل می‌شود و مورد مراجعه قرار می‌گیرد</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سپس با استناد به آیاتی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أُمَّةٍ اُخْرِجَتْ لِلنّاسِ</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 xml:space="preserve">و 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جَعَلْناکُمْ اُمَّةً وَسَطا لِتَکُونُوا شُهَداءَ عَلَی النّاسِ وَ یَکُونَ الرَّسُولُ عَلَیکُم شَهیدا</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قبله شما قبله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نیز امّت معتدل و میانه‌ای قرار دادیم، تا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باشید و پیامبر هم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برتری اصحاب پیامبر اکرم صلی‌الله‌علیه‌و‌آله بر جمیع امت و بر عدالت آنان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استدلال قابل خدشه بوده و اشکالاتی بر آن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حجّیّت سنّت صحابه به احادیث متعددی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اَصْحابی مِثْلُ الْمِلْحِ لایصْلَحُ الَّطعامّ إلاّ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مانند نمک هستند که طعامّ جز با آن خوب و شایسته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کَالنّجومِ بِأیِّهُم اِقْتَدیْتُم</w:t>
      </w:r>
    </w:p>
    <w:p>
      <w:pPr>
        <w:pStyle w:val="BookText"/>
        <w:rPr/>
      </w:pPr>
      <w:r>
        <w:rPr>
          <w:rFonts w:ascii="IRNazanin" w:hAnsi="IRNazanin" w:eastAsia="IRNazanin"/>
          <w:color w:val="111111"/>
          <w:sz w:val="28"/>
          <w:sz w:val="28"/>
          <w:szCs w:val="28"/>
          <w:rtl w:val="true"/>
          <w:lang w:bidi="fa-IR"/>
        </w:rPr>
        <w:t>اِهْتدیْتُم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من مانند ستارگان هستند، به هر کدام اقتدا کنید، هدایت می‌شوید</w:t>
      </w:r>
      <w:r>
        <w:rPr>
          <w:rFonts w:eastAsia="IRNazanin" w:cs="IRNazanin"/>
          <w:color w:val="111111"/>
          <w:sz w:val="28"/>
          <w:szCs w:val="28"/>
          <w:rtl w:val="true"/>
          <w:lang w:bidi="fa-IR"/>
        </w:rPr>
        <w:t>».</w:t>
      </w:r>
    </w:p>
    <w:p>
      <w:pPr>
        <w:pStyle w:val="Heading5"/>
        <w:numPr>
          <w:ilvl w:val="4"/>
          <w:numId w:val="1"/>
        </w:numPr>
        <w:rPr/>
      </w:pPr>
      <w:bookmarkStart w:id="169" w:name="__RefHeading___Toc1014713_1479056682"/>
      <w:bookmarkStart w:id="170" w:name="_Toc61"/>
      <w:bookmarkEnd w:id="169"/>
      <w:r>
        <w:rPr>
          <w:rtl w:val="true"/>
        </w:rPr>
        <w:t>نقد و بررسی احادیث فوق</w:t>
      </w:r>
      <w:bookmarkEnd w:id="17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ضعف سندی که در این گونه احادیث وجود دارد و با صرف </w:t>
      </w:r>
    </w:p>
    <w:p>
      <w:pPr>
        <w:pStyle w:val="BookText"/>
        <w:rPr/>
      </w:pPr>
      <w:r>
        <w:rPr>
          <w:rFonts w:ascii="IRNazanin" w:hAnsi="IRNazanin" w:eastAsia="IRNazanin"/>
          <w:color w:val="111111"/>
          <w:sz w:val="28"/>
          <w:sz w:val="28"/>
          <w:szCs w:val="28"/>
          <w:rtl w:val="true"/>
          <w:lang w:bidi="fa-IR"/>
        </w:rPr>
        <w:t xml:space="preserve">نظر از ایراداتی که برخی، مانند ابن حزم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و آن را دروغ و مجعول دانسته، باز هم نمی‌توان به آنها استدلال کرد، زیرا روش و سیره خلفا با</w:t>
      </w:r>
    </w:p>
    <w:p>
      <w:pPr>
        <w:pStyle w:val="BookText"/>
        <w:rPr/>
      </w:pPr>
      <w:r>
        <w:rPr>
          <w:rFonts w:ascii="IRNazanin" w:hAnsi="IRNazanin" w:eastAsia="IRNazanin"/>
          <w:color w:val="111111"/>
          <w:sz w:val="28"/>
          <w:sz w:val="28"/>
          <w:szCs w:val="28"/>
          <w:rtl w:val="true"/>
          <w:lang w:bidi="fa-IR"/>
        </w:rPr>
        <w:t>هم متفاوت و در مواردی متناقض بوده و محال است که شارع مردم را به تناقض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تناقض روش خلفا و صحابه پیامبر صلی‌الله‌علیه‌و‌آله کافی است که به رویدادهای تاریخی نظری اجمالی بیفکنیم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در روز شوری، روش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علیه‌السلامپیشنهاد شد، از قبول خلافت به شرط سیره آنان امتناع فرمود، ولی عثمان پذیرفت و درعین حال به اتّفاق تمام مورخین عثمان برخلاف سیره آنان رفتار کرد و در روزگاری که علی علیه‌السلام به ظاهر زمام امور را به دست گرفت و مردم با او بیعت کردند، رسما برخلاف روش عثمان اقدام کرد و بر تمام کارهای او خط بطلان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شیخین دو گونه روش داشتند؛ مثلاً ابوبکر در تقسیم اموال خراجی قایل به مساوات بود، ولی عمر در تقسیم آن فرق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سه طلاق در یک مجلس را یک طلاق می‌دانست، ولی عمر آن را سه طلاق تلقی می‌کرد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عمر از دو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حج و متعه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 در صورتی که خلیفه اوّل آن را منع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عدم حجّیّت قول صحابه، غزّالی بیان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کسی که معصوم نیست و ممکن است خطا و اشتباه کند، سخن او حجت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جایز الخطا بودن آنان، چگونه می‌توان به سخن ایشان احتجاج و استناد کرد ؟ و بدون حجت قطعی، چگونه می‌توان ادّعا کرد که آنان معصوم‌اند ؟ و مردمی که خود با هم اختلاف نظر دارند، چگونه می‌توان تصور کرد که معصوم‌اند ؟ و چگونه ممکن است که دو معصوم با هم اختلاف کنند ؟</w:t>
      </w:r>
    </w:p>
    <w:p>
      <w:pPr>
        <w:pStyle w:val="BookText"/>
        <w:rPr/>
      </w:pPr>
      <w:r>
        <w:rPr>
          <w:rFonts w:ascii="IRNazanin" w:hAnsi="IRNazanin" w:eastAsia="IRNazanin"/>
          <w:color w:val="111111"/>
          <w:sz w:val="28"/>
          <w:sz w:val="28"/>
          <w:szCs w:val="28"/>
          <w:rtl w:val="true"/>
          <w:lang w:bidi="fa-IR"/>
        </w:rPr>
        <w:t>وانگهی خود صحابه اتّفاق نظر دارند که می‌توان با آنان مخالفت کرد، ابوبکر و عمر بد نمی‌دانستند که مردم از طریق اجتهاد با آنان مخالفت کنند، بلکه در مسائل اجتهادی</w:t>
      </w:r>
    </w:p>
    <w:p>
      <w:pPr>
        <w:pStyle w:val="BookText"/>
        <w:rPr/>
      </w:pPr>
      <w:r>
        <w:rPr>
          <w:rFonts w:ascii="IRNazanin" w:hAnsi="IRNazanin" w:eastAsia="IRNazanin"/>
          <w:color w:val="111111"/>
          <w:sz w:val="28"/>
          <w:sz w:val="28"/>
          <w:szCs w:val="28"/>
          <w:rtl w:val="true"/>
          <w:lang w:bidi="fa-IR"/>
        </w:rPr>
        <w:t>لازم می‌دانستند که هر کس طبق اجتهاد خود عمل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آن که ؛ نبودن دلیل بر عصمت اصحاب، وجود اختلاف در میان آنان و تصریح اصحاب به جواز مخالفت با نطر آنان، سه دلیل محکم و قاطعی هستند بر عدم </w:t>
      </w:r>
      <w:bookmarkStart w:id="171" w:name="pg4331_48947"/>
    </w:p>
    <w:p>
      <w:pPr>
        <w:pStyle w:val="BookText"/>
        <w:rPr/>
      </w:pPr>
      <w:bookmarkEnd w:id="171"/>
      <w:r>
        <w:rPr>
          <w:rFonts w:ascii="Amiri" w:hAnsi="Amiri" w:eastAsia="Amiri" w:cs="Amiri"/>
          <w:color w:val="111111"/>
          <w:sz w:val="28"/>
          <w:sz w:val="28"/>
          <w:szCs w:val="28"/>
          <w:rtl w:val="true"/>
          <w:lang w:bidi="ar-SA"/>
        </w:rPr>
        <w:t>حجّیّت سنّت صحابه</w:t>
      </w:r>
      <w:r>
        <w:rPr>
          <w:rFonts w:eastAsia="Amiri" w:cs="Amiri" w:ascii="Amiri" w:hAnsi="Amiri"/>
          <w:color w:val="111111"/>
          <w:sz w:val="28"/>
          <w:szCs w:val="28"/>
          <w:rtl w:val="true"/>
          <w:lang w:bidi="ar-SA"/>
        </w:rPr>
        <w:t>.»</w:t>
      </w:r>
      <w:r>
        <w:rPr>
          <w:rStyle w:val="FootnoteAnchor"/>
          <w:rtl w:val="true"/>
        </w:rPr>
        <w:footnoteReference w:id="157"/>
      </w:r>
    </w:p>
    <w:p>
      <w:pPr>
        <w:pStyle w:val="Heading5"/>
        <w:numPr>
          <w:ilvl w:val="4"/>
          <w:numId w:val="1"/>
        </w:numPr>
        <w:rPr/>
      </w:pPr>
      <w:bookmarkStart w:id="172" w:name="__RefHeading___Toc1014715_1479056682"/>
      <w:bookmarkStart w:id="173" w:name="_Toc62"/>
      <w:bookmarkEnd w:id="172"/>
      <w:r>
        <w:rPr>
          <w:rtl w:val="true"/>
        </w:rPr>
        <w:t>سنّت اهل بیت علیهم‌السلام</w:t>
      </w:r>
      <w:bookmarkEnd w:id="173"/>
    </w:p>
    <w:p>
      <w:pPr>
        <w:pStyle w:val="BookText"/>
        <w:rPr/>
      </w:pPr>
      <w:r>
        <w:rPr>
          <w:rFonts w:ascii="IRNazanin" w:hAnsi="IRNazanin" w:eastAsia="IRNazanin"/>
          <w:color w:val="111111"/>
          <w:sz w:val="28"/>
          <w:sz w:val="28"/>
          <w:szCs w:val="28"/>
          <w:rtl w:val="true"/>
          <w:lang w:bidi="fa-IR"/>
        </w:rPr>
        <w:t>قبلاً یادآور شدیم که علمای امامیّه دامنه سنّت را توسعه داده‌اند و آن را شامل قول و فعل و تقریر ائمه اهل بیت علیهم‌السلام هم می‌دانند و سنّت اهل بیت علیهم‌السلام را مانند سنّت</w:t>
      </w:r>
    </w:p>
    <w:p>
      <w:pPr>
        <w:pStyle w:val="BookText"/>
        <w:rPr/>
      </w:pPr>
      <w:r>
        <w:rPr>
          <w:rFonts w:ascii="IRNazanin" w:hAnsi="IRNazanin" w:eastAsia="IRNazanin"/>
          <w:color w:val="111111"/>
          <w:sz w:val="28"/>
          <w:sz w:val="28"/>
          <w:szCs w:val="28"/>
          <w:rtl w:val="true"/>
          <w:lang w:bidi="fa-IR"/>
        </w:rPr>
        <w:t>پیامبر صلی‌الله‌علیه‌و‌آلهحجت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حجّیّت سنّت اهل بیت علیهم‌السلام هم به آیات و هم به</w:t>
      </w:r>
    </w:p>
    <w:p>
      <w:pPr>
        <w:pStyle w:val="BookText"/>
        <w:rPr/>
      </w:pPr>
      <w:r>
        <w:rPr>
          <w:rFonts w:ascii="IRNazanin" w:hAnsi="IRNazanin" w:eastAsia="IRNazanin"/>
          <w:color w:val="111111"/>
          <w:sz w:val="28"/>
          <w:sz w:val="28"/>
          <w:szCs w:val="28"/>
          <w:rtl w:val="true"/>
          <w:lang w:bidi="fa-IR"/>
        </w:rPr>
        <w:t>روایات استدلال شده است</w:t>
      </w:r>
      <w:r>
        <w:rPr>
          <w:rFonts w:eastAsia="IRNazanin" w:cs="IRNazanin"/>
          <w:color w:val="111111"/>
          <w:sz w:val="28"/>
          <w:szCs w:val="28"/>
          <w:rtl w:val="true"/>
          <w:lang w:bidi="fa-IR"/>
        </w:rPr>
        <w:t>:</w:t>
      </w:r>
    </w:p>
    <w:p>
      <w:pPr>
        <w:pStyle w:val="Heading5"/>
        <w:numPr>
          <w:ilvl w:val="4"/>
          <w:numId w:val="1"/>
        </w:numPr>
        <w:rPr/>
      </w:pPr>
      <w:bookmarkStart w:id="174" w:name="__RefHeading___Toc1014717_1479056682"/>
      <w:bookmarkStart w:id="175" w:name="_Toc63"/>
      <w:bookmarkEnd w:id="174"/>
      <w:r>
        <w:rPr>
          <w:rtl w:val="true"/>
        </w:rPr>
        <w:t>دلیل حجّیّت</w:t>
      </w:r>
      <w:bookmarkEnd w:id="175"/>
    </w:p>
    <w:p>
      <w:pPr>
        <w:pStyle w:val="Heading6"/>
        <w:numPr>
          <w:ilvl w:val="5"/>
          <w:numId w:val="1"/>
        </w:numPr>
        <w:rPr/>
      </w:pPr>
      <w:bookmarkStart w:id="176" w:name="__RefHeading___Toc1014719_1479056682"/>
      <w:bookmarkStart w:id="177" w:name="_Toc64"/>
      <w:bookmarkEnd w:id="176"/>
      <w:r>
        <w:rPr/>
        <w:t>1</w:t>
      </w:r>
      <w:r>
        <w:rPr>
          <w:rtl w:val="true"/>
        </w:rPr>
        <w:t xml:space="preserve"> - </w:t>
      </w:r>
      <w:r>
        <w:rPr>
          <w:rtl w:val="true"/>
        </w:rPr>
        <w:t>آیه تطهیر</w:t>
      </w:r>
      <w:bookmarkEnd w:id="1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w:t>
      </w:r>
    </w:p>
    <w:p>
      <w:pPr>
        <w:pStyle w:val="BookText"/>
        <w:rPr/>
      </w:pPr>
      <w:r>
        <w:rPr>
          <w:rFonts w:ascii="IRNazanin" w:hAnsi="IRNazanin" w:eastAsia="IRNazanin"/>
          <w:color w:val="111111"/>
          <w:sz w:val="28"/>
          <w:sz w:val="28"/>
          <w:szCs w:val="28"/>
          <w:rtl w:val="true"/>
          <w:lang w:bidi="fa-IR"/>
        </w:rPr>
        <w:t>که خدا می‌خواهد ناپاکی را از شما خاندان زایل کند و شما را کاملاً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ادات حصر است، نشانه اختصاص طهارت از پلیدی به اهل بیت علیهم‌السلام است و این همان مقام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دلالت این آیه بر تطهیر اهل بیت علیهم‌السلام چند اشکال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اراده تکوینی خداوند است، زیرا اراده تشریعی خداوند بر لزوم پاک نگه داشتن خود از پلیدیها، اختصاص به خاندان پیامبر صلی‌الله‌علیه‌و‌آله ندارد، چون به حکم شرع، همه مردم موظفند خود را از هرگونه پلیدی پاک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اراده، اراده تکوینی باشد، چون تخلّف مراد از اراده تکوینی محال است، اشکال پیش می‌آید و آن جبری بودن اعمال اهل بیت علیهم‌السلام و به بیان دیگر، جبری بودن عصمت در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به طور خلاصه می‌گوییم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معصوم علیهم‌السلام به خاطر علم و یقینی که به مضرّات گناه دارند و به خاطر تأییدات </w:t>
      </w:r>
    </w:p>
    <w:p>
      <w:pPr>
        <w:pStyle w:val="BookText"/>
        <w:rPr/>
      </w:pPr>
      <w:r>
        <w:rPr>
          <w:rFonts w:ascii="IRNazanin" w:hAnsi="IRNazanin" w:eastAsia="IRNazanin"/>
          <w:color w:val="111111"/>
          <w:sz w:val="28"/>
          <w:sz w:val="28"/>
          <w:szCs w:val="28"/>
          <w:rtl w:val="true"/>
          <w:lang w:bidi="fa-IR"/>
        </w:rPr>
        <w:t>الهی، چنان هستند که در عین داشتن قدرت و اختیار بر گناه، به سراغ گناه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مانند کسی که با یقین داشتن به زهرآگین بودن کاسه آب، هرگز به شرب آن اقدام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با توجه به آیات قبل و بعد این آیه، گفته‌اند آیه مخصوص به همسران پیامبر صلی‌الله‌علیه‌و‌آلهاست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کسانی بود که با رأی شیعه مخالف بود و ادّعا کرد که آیه فقط راجع به همسران پیامبر است و حتّی ادعای مباهله کرده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بخواهد، من با او مباهله می‌کنم که آیه، درباره</w:t>
      </w:r>
    </w:p>
    <w:p>
      <w:pPr>
        <w:pStyle w:val="BookText"/>
        <w:rPr/>
      </w:pPr>
      <w:r>
        <w:rPr>
          <w:rFonts w:ascii="IRNazanin" w:hAnsi="IRNazanin" w:eastAsia="IRNazanin"/>
          <w:color w:val="111111"/>
          <w:sz w:val="28"/>
          <w:sz w:val="28"/>
          <w:szCs w:val="28"/>
          <w:rtl w:val="true"/>
          <w:lang w:bidi="fa-IR"/>
        </w:rPr>
        <w:t>همسران پیامبر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پاسخ این اشکال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 باتوجه به این که ضمایر آیات قبل و بعد به صورت جمع مؤنث آمده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فی بُیُوتِکُنَّ وَ لاتَبَرّجنَ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اذْکُرْنَ ما یُتْلی فی بُیُوتِکُنَّ</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و ضمایر آیه تطهیر، همه به صورت جمع مذکر آمده است، منظور از اهل بیت علیهم‌السلام زنان پیامبر صلی‌الله‌علیه‌و‌آله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 روایات زیادی از طریق اهل سنّت و شیعه وارد شده که بیان می‌کند که مخاطبان آیه تطهیر فقط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علی علیه‌السلام فاطمه علیهاالسلام حسن و حسین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الدرّ المنثور از ابوسعید خدری نقل کرده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رسول‌اللّه صلی‌الله‌علیه‌و‌آله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هذِهِ‌الآیَهُ‌فِی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فِیَّ،وَفِی‌علیٍّ وَفاطِمةَ وَحَسَنٍ‌وَ حُسَیْن</w:t>
      </w:r>
      <w:r>
        <w:rPr>
          <w:rFonts w:eastAsia="Amiri" w:cs="Amiri" w:ascii="Amiri" w:hAnsi="Amiri"/>
          <w:color w:val="111111"/>
          <w:sz w:val="28"/>
          <w:szCs w:val="28"/>
          <w:rtl w:val="true"/>
          <w:lang w:bidi="ar-SA"/>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این‌آیه‌درباره</w:t>
      </w:r>
    </w:p>
    <w:p>
      <w:pPr>
        <w:pStyle w:val="BookText"/>
        <w:rPr/>
      </w:pPr>
      <w:r>
        <w:rPr>
          <w:rFonts w:ascii="IRNazanin" w:hAnsi="IRNazanin" w:eastAsia="IRNazanin"/>
          <w:color w:val="111111"/>
          <w:sz w:val="28"/>
          <w:sz w:val="28"/>
          <w:szCs w:val="28"/>
          <w:rtl w:val="true"/>
          <w:lang w:bidi="fa-IR"/>
        </w:rPr>
        <w:t>پنج‌نفرنازل‌شده‌است؛درباره‌من‌ودرباره‌علی‌وفاطمه‌وحسن‌وحسین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در مجمع البیان در ذیل آیه تطهیر روایتی را از تفسیر ثعلبی و او از امّ‌سلمه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در خانه ام سلمه بود که فاطمه پارچه حریری نزد آن حضرت آورد،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 دو فرزندت حسن و حسین را فرا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پس از نزول آیه، پیامبر اضافی آن پارچه را روی آنها افکند، سپس دست به سوی آسمان بلند کرد و گفت</w:t>
      </w:r>
      <w:r>
        <w:rPr>
          <w:rFonts w:eastAsia="IRNazanin" w:cs="IRNazanin"/>
          <w:color w:val="111111"/>
          <w:sz w:val="28"/>
          <w:szCs w:val="28"/>
          <w:rtl w:val="true"/>
          <w:lang w:bidi="fa-IR"/>
        </w:rPr>
        <w:t xml:space="preserve">: </w:t>
      </w:r>
      <w:bookmarkStart w:id="178" w:name="pg4331_48949"/>
    </w:p>
    <w:p>
      <w:pPr>
        <w:pStyle w:val="BookText"/>
        <w:rPr/>
      </w:pPr>
      <w:bookmarkEnd w:id="178"/>
      <w:r>
        <w:rPr>
          <w:rFonts w:ascii="IRNazanin" w:hAnsi="IRNazanin" w:eastAsia="IRNazanin"/>
          <w:color w:val="111111"/>
          <w:sz w:val="28"/>
          <w:sz w:val="28"/>
          <w:szCs w:val="28"/>
          <w:rtl w:val="true"/>
          <w:lang w:bidi="fa-IR"/>
        </w:rPr>
        <w:t>اللّهم هؤلاء أهل بیتی و حامّتی، فأذهب عنهم الرجس و طهّرهم تطهیرا</w:t>
      </w:r>
      <w:r>
        <w:rPr>
          <w:rStyle w:val="FootnoteAnchor"/>
          <w:rtl w:val="true"/>
        </w:rPr>
        <w:footnoteReference w:id="1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خاندان و خاصّان اهل بیت منند، پلیدی را از آنان زایل گردان و آنها را از هر آلودگی پاک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به پیامبر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با شما هستم ای رسول خدا؟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إلی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تو به سوی خیر و نیکی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از این حدیث و احادیث متواتر دیگری که به حدیث کساء معروف است، به خوبی معلوم می‌شود که هدف از جمع آوردن اهل بیت علیهم‌السلام در زیر کسا، تطبیق آیه بر آنان بوده و حتّی جلوگیری از ورود امّ‌سلمه به زیر کسا به منظور آن بوده که جلو هرگونه ادّعایی را در شمول آیه بر دیگران بگیرد و تأکید کند که آیه فقط شامل اهل بیت علیهم‌السلام است</w:t>
      </w:r>
      <w:r>
        <w:rPr>
          <w:rFonts w:eastAsia="IRNazanin" w:cs="IRNazanin"/>
          <w:color w:val="111111"/>
          <w:sz w:val="28"/>
          <w:szCs w:val="28"/>
          <w:rtl w:val="true"/>
          <w:lang w:bidi="fa-IR"/>
        </w:rPr>
        <w:t>.</w:t>
      </w:r>
    </w:p>
    <w:p>
      <w:pPr>
        <w:pStyle w:val="Heading6"/>
        <w:numPr>
          <w:ilvl w:val="5"/>
          <w:numId w:val="1"/>
        </w:numPr>
        <w:rPr/>
      </w:pPr>
      <w:bookmarkStart w:id="179" w:name="__RefHeading___Toc1014721_1479056682"/>
      <w:bookmarkStart w:id="180" w:name="_Toc65"/>
      <w:bookmarkEnd w:id="179"/>
      <w:r>
        <w:rPr/>
        <w:t>2</w:t>
      </w:r>
      <w:r>
        <w:rPr>
          <w:rtl w:val="true"/>
        </w:rPr>
        <w:t xml:space="preserve"> - </w:t>
      </w:r>
      <w:r>
        <w:rPr>
          <w:rtl w:val="true"/>
        </w:rPr>
        <w:t>حدیث ثقلین</w:t>
      </w:r>
      <w:bookmarkEnd w:id="180"/>
    </w:p>
    <w:p>
      <w:pPr>
        <w:pStyle w:val="Heading6"/>
        <w:numPr>
          <w:ilvl w:val="5"/>
          <w:numId w:val="1"/>
        </w:numPr>
        <w:rPr/>
      </w:pPr>
      <w:bookmarkStart w:id="181" w:name="__RefHeading___Toc1014723_1479056682"/>
      <w:bookmarkStart w:id="182" w:name="_Toc66"/>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یکی از ادلّه مهمی که در مورد حجّیّت سنّت اهل بیت بدان استناد شده، حدیث ثقلین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احادیث متواتری است که شیعه و سنّی آن را در کتب معتبر خود نقل کرده‌اند، چنان که صحیح مسلم، سنن دارمی، سنن ابی داود، سنن ابن ماجه، مسند احمد، سنن ترمذی، مستدرک حاکم، حلیه‌الاولیاء، کنزالعمّال و کتب دیگری از اهل سنّت آن را روایت کرده‌اند و در اهمّیّت حدیث ثقلین همین بس که این حدیث در کتابهای مفسّرینی از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ثعلبی، نیشابوری، خازن، ابن کثیر و در بسیاری از کتابهای تاریخ، لغت، سیره و تراجم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ترمذی از زیدبن ارقم از رسول خدا صلی‌الله‌علیه‌و‌آله چنین روایت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ترکت فیکم ماان تمسکتم به لن تضلّوا بعدی ؛ کتاب‌اللّه حبل ممدود من‌السماء الی‌الارض و عترتی اهل بیتی و لن یفترقا حتّی یردا علیّ الحوض فانظروا کیف تخلفوننی فیهما</w:t>
      </w:r>
      <w:r>
        <w:rPr>
          <w:rStyle w:val="FootnoteAnchor"/>
          <w:rtl w:val="true"/>
        </w:rPr>
        <w:footnoteReference w:id="1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چیزی را در میان شما باقی گذاشتم که اگر بدان تمسک جویید، هرگز پس از من گمراه نخواهید شد ؛ کتاب خدا ریسمان نجاتی است که از آسمان به سوی زمین کشیده شده است و عترت و اهل بیت من، این دو از هم جدا نمی‌شوند تا سر حوض نزد من حاضر شوند، بنگرید پس از من با </w:t>
      </w:r>
      <w:bookmarkStart w:id="183" w:name="pg4331_48950"/>
    </w:p>
    <w:p>
      <w:pPr>
        <w:pStyle w:val="BookText"/>
        <w:rPr/>
      </w:pPr>
      <w:bookmarkEnd w:id="183"/>
      <w:r>
        <w:rPr>
          <w:rFonts w:ascii="IRNazanin" w:hAnsi="IRNazanin" w:eastAsia="IRNazanin"/>
          <w:color w:val="111111"/>
          <w:sz w:val="28"/>
          <w:sz w:val="28"/>
          <w:szCs w:val="28"/>
          <w:rtl w:val="true"/>
          <w:lang w:bidi="fa-IR"/>
        </w:rPr>
        <w:t xml:space="preserve">آن دو چگونه رفتار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مسند احمدبن‌حنبل در حدیث ابوسعیدخدری آمده است که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اوشک أن اُدعی فاجیب و انی تارک فیکم الثقلین کتاب اللّه عز و جلّ و عترتی، کتاب اللّه حبلٌ ممدود من السماء الی الأرض و عترتی اهل بیتی و ان اللطیف الخبیر أخبرنی أنهما لن یفترقا حتّی یردا علیّ الحوض، فانظرونی بم تخلفونی فیهما</w:t>
      </w:r>
      <w:r>
        <w:rPr>
          <w:rStyle w:val="FootnoteAnchor"/>
          <w:rtl w:val="true"/>
        </w:rPr>
        <w:footnoteReference w:id="1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من دعوت حق را پاسخ گویم و از میان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امانت سنگین باقی می‌گذارم ؛ کتاب خدا و عترت من، کتاب خدا ریسمانی است که از آسمان به سوی زمین کشیده و عترت من اهل بیت منند، و خداوند لطیفِ آگاه، به من خبر داده که آن دو از هم جدا نخواهند شد تا در کنار حوض نزد من حاضر شوند، پس بنگرید که پس از من چگونه با آن دو رفتار می‌کنید ؟</w:t>
      </w:r>
      <w:r>
        <w:rPr>
          <w:rFonts w:eastAsia="IRNazanin" w:cs="IRNazanin"/>
          <w:color w:val="111111"/>
          <w:sz w:val="28"/>
          <w:szCs w:val="28"/>
          <w:rtl w:val="true"/>
          <w:lang w:bidi="fa-IR"/>
        </w:rPr>
        <w:t>».</w:t>
      </w:r>
    </w:p>
    <w:p>
      <w:pPr>
        <w:pStyle w:val="Heading6"/>
        <w:numPr>
          <w:ilvl w:val="5"/>
          <w:numId w:val="1"/>
        </w:numPr>
        <w:rPr/>
      </w:pPr>
      <w:bookmarkStart w:id="184" w:name="__RefHeading___Toc1014725_1479056682"/>
      <w:bookmarkStart w:id="185" w:name="_Toc67"/>
      <w:bookmarkEnd w:id="184"/>
      <w:r>
        <w:rPr>
          <w:rtl w:val="true"/>
        </w:rPr>
        <w:t>دلالت حدیث ثقلین بر عصمت اهل بیت علیهم‌السلام</w:t>
      </w:r>
      <w:bookmarkEnd w:id="185"/>
    </w:p>
    <w:p>
      <w:pPr>
        <w:pStyle w:val="BookText"/>
        <w:rPr/>
      </w:pPr>
      <w:r>
        <w:rPr>
          <w:rFonts w:ascii="IRNazanin" w:hAnsi="IRNazanin" w:eastAsia="IRNazanin"/>
          <w:color w:val="111111"/>
          <w:sz w:val="28"/>
          <w:sz w:val="28"/>
          <w:szCs w:val="28"/>
          <w:rtl w:val="true"/>
          <w:lang w:bidi="fa-IR"/>
        </w:rPr>
        <w:t>اولاً ؛ اهل بیت علیهم‌السلام در این حدیث همراه قرآن آمده‌اند، زیرا با صراحت می‌گوید که آن دو، تا روز قیامت از هم جدا نمی‌شوند، و این تأکید بر این است که عترت هرگز از قرآن جدا شدنی نیستند و سهوا یا عمدا مرتکب خطا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سرزدن هرگونه خطا و غفلت، جدایی از قرآن محسوب می‌شود، در صورتی که حدیث با صراحت می‌گوید آن دو تا قیامت از هم جدا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نفی ابد و همیشگی است، تأکید بر همراهی کتاب و عترت تا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 در حدیث، تمسک به قرآن و عترت، هر دو مایه نجات از ضلالت دانسته شده است و از این دو نکته استفاده 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از ضلالت، باید به قرآن و عترت، هر دو، تمسّک شود، چون پیامبر صلی‌الله‌علیه‌و‌آلهفرموده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هر دو تمسک کنید،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تمسّک به هر دو لازم است، جدا کردن آن دو از یکدیگر و تمسک به یکی بدون دیگری برای نجات از ضلالت کافی نخواهد بود</w:t>
      </w:r>
      <w:r>
        <w:rPr>
          <w:rFonts w:eastAsia="IRNazanin" w:cs="IRNazanin"/>
          <w:color w:val="111111"/>
          <w:sz w:val="28"/>
          <w:szCs w:val="28"/>
          <w:rtl w:val="true"/>
          <w:lang w:bidi="fa-IR"/>
        </w:rPr>
        <w:t xml:space="preserve">. </w:t>
      </w:r>
      <w:bookmarkStart w:id="186" w:name="pg4331_48951"/>
    </w:p>
    <w:p>
      <w:pPr>
        <w:pStyle w:val="BookText"/>
        <w:rPr/>
      </w:pPr>
      <w:bookmarkEnd w:id="186"/>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زدن به دامان اهل بیت علیهم‌السلام دائما موجب رهایی از ضلالت است، پس خود اهل بیت علیهم‌السلام باید مصون از خطا باشند،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شی‌ء معطی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نایافته از هستی بخش</w:t>
      </w:r>
    </w:p>
    <w:p>
      <w:pPr>
        <w:pStyle w:val="BookText"/>
        <w:rPr/>
      </w:pPr>
      <w:r>
        <w:rPr>
          <w:rFonts w:ascii="IRNazanin" w:hAnsi="IRNazanin" w:eastAsia="IRNazanin"/>
          <w:color w:val="111111"/>
          <w:sz w:val="28"/>
          <w:sz w:val="28"/>
          <w:szCs w:val="28"/>
          <w:rtl w:val="true"/>
          <w:lang w:bidi="fa-IR"/>
        </w:rPr>
        <w:t>کی تواند که شود هستی بخش</w:t>
      </w:r>
    </w:p>
    <w:p>
      <w:pPr>
        <w:pStyle w:val="BookText"/>
        <w:rPr/>
      </w:pPr>
      <w:r>
        <w:rPr>
          <w:rFonts w:ascii="IRNazanin" w:hAnsi="IRNazanin" w:eastAsia="IRNazanin"/>
          <w:color w:val="111111"/>
          <w:sz w:val="28"/>
          <w:sz w:val="28"/>
          <w:szCs w:val="28"/>
          <w:rtl w:val="true"/>
          <w:lang w:bidi="fa-IR"/>
        </w:rPr>
        <w:t>و اگر درباره خود اهل بیت علیهم‌السلام احتمال گمراهی و ضلالت باشد، چگونه می‌توانند</w:t>
      </w:r>
    </w:p>
    <w:p>
      <w:pPr>
        <w:pStyle w:val="BookText"/>
        <w:rPr/>
      </w:pPr>
      <w:r>
        <w:rPr>
          <w:rFonts w:ascii="IRNazanin" w:hAnsi="IRNazanin" w:eastAsia="IRNazanin"/>
          <w:color w:val="111111"/>
          <w:sz w:val="28"/>
          <w:sz w:val="28"/>
          <w:szCs w:val="28"/>
          <w:rtl w:val="true"/>
          <w:lang w:bidi="fa-IR"/>
        </w:rPr>
        <w:t>برای همیشه هادی و راهنمای مردم باشند؟</w:t>
      </w:r>
    </w:p>
    <w:p>
      <w:pPr>
        <w:pStyle w:val="BookText"/>
        <w:rPr/>
      </w:pPr>
      <w:r>
        <w:rPr>
          <w:rFonts w:ascii="IRNazanin" w:hAnsi="IRNazanin" w:eastAsia="IRNazanin"/>
          <w:color w:val="111111"/>
          <w:sz w:val="28"/>
          <w:sz w:val="28"/>
          <w:szCs w:val="28"/>
          <w:rtl w:val="true"/>
          <w:lang w:bidi="fa-IR"/>
        </w:rPr>
        <w:t>رابعا ؛ لازمه عِدل و همردیف و همسنگ بودن قرآن با اهل بیت علیهم‌السلام آن است که اهل‌بیت هر آنچه مربوط به دین است، می‌دانند و هیچ مسأله کوچک یا بزرگ را فروگذار نمی‌کنند و همه اینها حاکی از عصمت اهل بیت علیهم‌السلام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اشاره می‌کنیم که بعضی، مانند استاد محمدابوزهره، اشکالها و ایراداتی بر حدیث ثقلین وارد کرده‌اند، که به لحاظ رعایت اختصار در مباحث این کتاب،</w:t>
      </w:r>
    </w:p>
    <w:p>
      <w:pPr>
        <w:pStyle w:val="BookText"/>
        <w:rPr/>
      </w:pPr>
      <w:r>
        <w:rPr>
          <w:rFonts w:ascii="IRNazanin" w:hAnsi="IRNazanin" w:eastAsia="IRNazanin"/>
          <w:color w:val="111111"/>
          <w:sz w:val="28"/>
          <w:sz w:val="28"/>
          <w:szCs w:val="28"/>
          <w:rtl w:val="true"/>
          <w:lang w:bidi="fa-IR"/>
        </w:rPr>
        <w:t>از طرح و پاسخ به آنها خودداری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اشاره می‌کنیم که استاد محمدتقی حکیم در کتاب الاصول العامّة للفقه المقارن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به طرح اشکالات</w:t>
      </w:r>
    </w:p>
    <w:p>
      <w:pPr>
        <w:pStyle w:val="BookText"/>
        <w:rPr/>
      </w:pPr>
      <w:r>
        <w:rPr>
          <w:rFonts w:ascii="IRNazanin" w:hAnsi="IRNazanin" w:eastAsia="IRNazanin"/>
          <w:color w:val="111111"/>
          <w:sz w:val="28"/>
          <w:sz w:val="28"/>
          <w:szCs w:val="28"/>
          <w:rtl w:val="true"/>
          <w:lang w:bidi="fa-IR"/>
        </w:rPr>
        <w:t>ابوزهره و پاسخ به آنها پرداخته است</w:t>
      </w:r>
      <w:r>
        <w:rPr>
          <w:rFonts w:eastAsia="IRNazanin" w:cs="IRNazanin"/>
          <w:color w:val="111111"/>
          <w:sz w:val="28"/>
          <w:szCs w:val="28"/>
          <w:rtl w:val="true"/>
          <w:lang w:bidi="fa-IR"/>
        </w:rPr>
        <w:t>.</w:t>
      </w:r>
    </w:p>
    <w:p>
      <w:pPr>
        <w:pStyle w:val="Heading4"/>
        <w:numPr>
          <w:ilvl w:val="3"/>
          <w:numId w:val="1"/>
        </w:numPr>
        <w:rPr/>
      </w:pPr>
      <w:bookmarkStart w:id="187" w:name="__RefHeading___Toc1014727_1479056682"/>
      <w:bookmarkStart w:id="188" w:name="_Toc68"/>
      <w:bookmarkEnd w:id="187"/>
      <w:r>
        <w:rPr/>
        <w:t>3</w:t>
      </w:r>
      <w:r>
        <w:rPr>
          <w:rtl w:val="true"/>
        </w:rPr>
        <w:t xml:space="preserve"> - </w:t>
      </w:r>
      <w:r>
        <w:rPr>
          <w:rtl w:val="true"/>
        </w:rPr>
        <w:t>اجماع</w:t>
      </w:r>
      <w:bookmarkEnd w:id="188"/>
    </w:p>
    <w:p>
      <w:pPr>
        <w:pStyle w:val="Heading5"/>
        <w:numPr>
          <w:ilvl w:val="4"/>
          <w:numId w:val="1"/>
        </w:numPr>
        <w:rPr/>
      </w:pPr>
      <w:bookmarkStart w:id="189" w:name="__RefHeading___Toc1014729_1479056682"/>
      <w:bookmarkStart w:id="190" w:name="_Toc69"/>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سومین منبع از منابع احکام،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اجماع مباحث و مطالب زیر بررسی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تعریف اجماع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حجّیّت اجماع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ادلّه حجّیّت اجماع</w:t>
      </w:r>
    </w:p>
    <w:p>
      <w:pPr>
        <w:pStyle w:val="Heading5"/>
        <w:numPr>
          <w:ilvl w:val="4"/>
          <w:numId w:val="1"/>
        </w:numPr>
        <w:rPr/>
      </w:pPr>
      <w:bookmarkStart w:id="191" w:name="__RefHeading___Toc1014731_1479056682"/>
      <w:bookmarkStart w:id="192" w:name="_Toc70"/>
      <w:bookmarkEnd w:id="191"/>
      <w:r>
        <w:rPr>
          <w:rtl w:val="true"/>
        </w:rPr>
        <w:t>تعریف اجماع</w:t>
      </w:r>
      <w:bookmarkEnd w:id="192"/>
    </w:p>
    <w:p>
      <w:pPr>
        <w:pStyle w:val="BookText"/>
        <w:rPr/>
      </w:pPr>
      <w:r>
        <w:rPr>
          <w:rFonts w:ascii="IRNazanin" w:hAnsi="IRNazanin" w:eastAsia="IRNazanin"/>
          <w:color w:val="111111"/>
          <w:sz w:val="28"/>
          <w:sz w:val="28"/>
          <w:szCs w:val="28"/>
          <w:rtl w:val="true"/>
          <w:lang w:bidi="fa-IR"/>
        </w:rPr>
        <w:t>اجماع در لغت به معنای عزم و تصمیم و اتّفاق آمده است، چنان که در قرآن می‌خوانیم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أَجْمَعُوا أَنْ یَجْعَلُوهُ فی غَیابَتِ الْجُبِّ</w:t>
      </w:r>
      <w:r>
        <w:rPr>
          <w:rFonts w:eastAsia="Amiri" w:cs="Amiri" w:ascii="Amiri" w:hAnsi="Amiri"/>
          <w:color w:val="111111"/>
          <w:sz w:val="28"/>
          <w:szCs w:val="28"/>
          <w:rtl w:val="true"/>
          <w:lang w:bidi="ar-SA"/>
        </w:rPr>
        <w:t>...»</w:t>
      </w:r>
      <w:r>
        <w:rPr>
          <w:rStyle w:val="FootnoteAnchor"/>
          <w:rtl w:val="true"/>
        </w:rPr>
        <w:footnoteReference w:id="1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تصمیم گرفتند او را در مخفی‌گاه چاه </w:t>
      </w:r>
      <w:bookmarkStart w:id="193" w:name="pg4331_48952"/>
    </w:p>
    <w:p>
      <w:pPr>
        <w:pStyle w:val="BookText"/>
        <w:rPr/>
      </w:pPr>
      <w:bookmarkEnd w:id="193"/>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لَدَیْهِمْ اِذْ أَجْمَعُوا اَمْرَهُمْ وَ هُمَ یَمْکُرُونَ</w:t>
      </w:r>
      <w:r>
        <w:rPr>
          <w:rFonts w:eastAsia="Amiri" w:cs="Amiri" w:ascii="Amiri" w:hAnsi="Amiri"/>
          <w:color w:val="111111"/>
          <w:sz w:val="28"/>
          <w:szCs w:val="28"/>
          <w:rtl w:val="true"/>
          <w:lang w:bidi="ar-SA"/>
        </w:rPr>
        <w:t>»</w:t>
      </w:r>
      <w:r>
        <w:rPr>
          <w:rStyle w:val="FootnoteAnchor"/>
          <w:rtl w:val="true"/>
        </w:rPr>
        <w:footnoteReference w:id="1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آنها نبودی هنگامی که تصمیم گرفتند و مکر و حیله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یجمع الصیام قبل الفجر فلاصیام له</w:t>
      </w:r>
      <w:r>
        <w:rPr>
          <w:rStyle w:val="FootnoteAnchor"/>
          <w:rtl w:val="true"/>
        </w:rPr>
        <w:footnoteReference w:id="1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قبل از طلوع فجر تصمیم به روزه نگیرد، برای او روزه‌ای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لایصوم الاّ من أجمع الصیام قبل الفجر</w:t>
      </w:r>
      <w:r>
        <w:rPr>
          <w:rStyle w:val="FootnoteAnchor"/>
          <w:rtl w:val="true"/>
        </w:rPr>
        <w:footnoteReference w:id="1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نمی‌گیرد، مگر کسی که قبل از طلوع فجر تصمیم بر روزه بگیرد</w:t>
      </w:r>
      <w:r>
        <w:rPr>
          <w:rFonts w:eastAsia="IRNazanin" w:cs="IRNazanin"/>
          <w:color w:val="111111"/>
          <w:sz w:val="28"/>
          <w:szCs w:val="28"/>
          <w:rtl w:val="true"/>
          <w:lang w:bidi="fa-IR"/>
        </w:rPr>
        <w:t>».</w:t>
      </w:r>
    </w:p>
    <w:p>
      <w:pPr>
        <w:pStyle w:val="Heading5"/>
        <w:numPr>
          <w:ilvl w:val="4"/>
          <w:numId w:val="1"/>
        </w:numPr>
        <w:rPr/>
      </w:pPr>
      <w:bookmarkStart w:id="194" w:name="__RefHeading___Toc1014733_1479056682"/>
      <w:bookmarkStart w:id="195" w:name="_Toc71"/>
      <w:bookmarkEnd w:id="194"/>
      <w:r>
        <w:rPr>
          <w:rtl w:val="true"/>
        </w:rPr>
        <w:t>اجماع در اصطلاح علمای اصول</w:t>
      </w:r>
      <w:bookmarkEnd w:id="195"/>
    </w:p>
    <w:p>
      <w:pPr>
        <w:pStyle w:val="BookText"/>
        <w:rPr/>
      </w:pPr>
      <w:r>
        <w:rPr>
          <w:rFonts w:ascii="IRNazanin" w:hAnsi="IRNazanin" w:eastAsia="IRNazanin"/>
          <w:color w:val="111111"/>
          <w:sz w:val="28"/>
          <w:sz w:val="28"/>
          <w:szCs w:val="28"/>
          <w:rtl w:val="true"/>
          <w:lang w:bidi="fa-IR"/>
        </w:rPr>
        <w:t>علمای اصول، اعم از شیعه و سنّی، در بیان و تعریف اجماع با هم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از نظر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اصطلاح علمای اصول شیعه، مقصود از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نظر فقها و علما بر امری از امور دین است بر وجهی که شامل قول معصوم علیه‌السلام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معالم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اجماع در اصطلاح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عبارت است از ؛ اتّفاق بر امری از امور دینی از سوی کسانی که در فتاوای شرعی قول آنها معتبر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صاحب مبادی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در اصطلاح فقیهان اهل بیت علیهم‌السلام عبارت است از ؛ اتّفاق امت محمّد صلی‌الله‌علیه‌و‌آلهبر وجهی که قول معصوم را هم شامل شود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حکیم لاهیجی در گوهر مراد می‌گوید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اجماع از ادلّه سمعیّه است، چه مراد از اجماع، اتّفاق اهل حلّ و عقد </w:t>
      </w:r>
    </w:p>
    <w:p>
      <w:pPr>
        <w:pStyle w:val="BookText"/>
        <w:rPr/>
      </w:pPr>
      <w:r>
        <w:rPr>
          <w:rFonts w:ascii="IRNazanin" w:hAnsi="IRNazanin" w:eastAsia="IRNazanin"/>
          <w:color w:val="111111"/>
          <w:sz w:val="28"/>
          <w:sz w:val="28"/>
          <w:szCs w:val="28"/>
          <w:rtl w:val="true"/>
          <w:lang w:bidi="fa-IR"/>
        </w:rPr>
        <w:t>است از دین بر امری از امور متعلقه به دین، و خلاف است در این که سبب حجّیّت اجماع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حجّیّت اجماع وجوب دخول معصوم است، که جایز نیست خلوّ زمان از او در اقوال مجمعین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مذهب امامیّه اجماع از ادلّه سمعیّه قطعیّه باشد، چه قول معصوم مفید قطع است لامحاله</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از نظر علمای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در تعریف اجماع اقوال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تعریف آن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 از اجماع، اتّفاق امّت محمّد است، بخصوص بر امری از امور دینی</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شوکانی در ارشاد الفحول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در اصطلاح،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مجتهدین امّت محمّد بعد از رحلت آن حضرت، در عصری از عصرها، بر امری از امور و منظور از اتّفاق اشتراک است، یا در اعتقاد یا در گفتار و یا در عمل</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تعاریف دیگری نیز از علمای اهل سنّت در مورد اجماع بیان شده که برخی از آنها در کتاب اصول العامه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 تمامی امت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 تمام مجتهدین در یک 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 اهل حرمین، یعنی مدینه و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 علمای مصرین، یعنی دو شهر کوفه و بصره</w:t>
      </w:r>
      <w:r>
        <w:rPr>
          <w:rFonts w:eastAsia="IRNazanin" w:cs="IRNazanin"/>
          <w:color w:val="111111"/>
          <w:sz w:val="28"/>
          <w:szCs w:val="28"/>
          <w:rtl w:val="true"/>
          <w:lang w:bidi="fa-IR"/>
        </w:rPr>
        <w:t>.</w:t>
      </w:r>
      <w:r>
        <w:rPr>
          <w:rStyle w:val="FootnoteAnchor"/>
          <w:rtl w:val="true"/>
        </w:rPr>
        <w:footnoteReference w:id="17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انس و پیروان او معتقدند که اجماع معتبر، فقط اجماع اهل مدینه است</w:t>
      </w:r>
      <w:r>
        <w:rPr>
          <w:rFonts w:eastAsia="IRNazanin" w:cs="IRNazanin"/>
          <w:color w:val="111111"/>
          <w:sz w:val="28"/>
          <w:szCs w:val="28"/>
          <w:rtl w:val="true"/>
          <w:lang w:bidi="fa-IR"/>
        </w:rPr>
        <w:t>.</w:t>
      </w:r>
      <w:r>
        <w:rPr>
          <w:rStyle w:val="FootnoteAnchor"/>
          <w:rtl w:val="true"/>
        </w:rPr>
        <w:footnoteReference w:id="176"/>
      </w:r>
      <w:bookmarkStart w:id="196" w:name="pg4331_48954"/>
    </w:p>
    <w:p>
      <w:pPr>
        <w:pStyle w:val="Heading5"/>
        <w:numPr>
          <w:ilvl w:val="4"/>
          <w:numId w:val="1"/>
        </w:numPr>
        <w:rPr/>
      </w:pPr>
      <w:bookmarkStart w:id="197" w:name="__RefHeading___Toc1014735_1479056682"/>
      <w:bookmarkStart w:id="198" w:name="_Toc72"/>
      <w:bookmarkEnd w:id="196"/>
      <w:bookmarkEnd w:id="197"/>
      <w:r>
        <w:rPr>
          <w:rtl w:val="true"/>
        </w:rPr>
        <w:t>وجه حجّیّت و دلیلیّت اجماع</w:t>
      </w:r>
      <w:bookmarkEnd w:id="198"/>
    </w:p>
    <w:p>
      <w:pPr>
        <w:pStyle w:val="BookText"/>
        <w:rPr/>
      </w:pPr>
      <w:r>
        <w:rPr>
          <w:rFonts w:ascii="IRNazanin" w:hAnsi="IRNazanin" w:eastAsia="IRNazanin"/>
          <w:color w:val="111111"/>
          <w:sz w:val="28"/>
          <w:sz w:val="28"/>
          <w:szCs w:val="28"/>
          <w:rtl w:val="true"/>
          <w:lang w:bidi="fa-IR"/>
        </w:rPr>
        <w:t>در مورد حجّیّت و دلیلیّت اجماع نیز بین اصولیین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معمولاً اجماع را در عرض کتاب و سنّت دلیل مستقلی می‌دانند، زیرا برای مجموع امّت قایل به عصمت شده‌اند و می‌گویند اگر امّت اسلامی در مسأله‌ای اجماع کنند، خطا و اشتباه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اغلب به گفته پیامبر صلی‌الله‌علیه‌و‌آله استناد می‌کنند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أُمَّتی لا تَجْتَمِعُ عَلی ضَلالَةٍ</w:t>
      </w:r>
      <w:r>
        <w:rPr>
          <w:rStyle w:val="FootnoteAnchor"/>
          <w:rtl w:val="true"/>
        </w:rPr>
        <w:footnoteReference w:id="1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بر گمراهی اجتماع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تاریخی اجماع در میان اهل سنّت از آن جا نشأت می‌گیرد که مسأله خلافت را بر اساس اجماع مسلمین توجیه کرده و سپس آن را توسعه و تعمیم داده و در مورد احکام شرعی آن را به عنوان منبع مستقلی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انصاری در کتاب اصولی گرانمایه خود به نام 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بسیار دقیق و لطیفی دارد که می‌توان آن را اشاره به همین ریشه تاریخی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آغاز بحث اجماع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الاصل له و هو الاصل لهم</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یعنی، اهل سنّت خود برای اجماع اساس و اصل هستند، یعنی اجماع را آنها رایج کردند تا آن را دلیل و محملی برای توجیه خلافت ابابکر قرار دهند و اجماع برای آنان اصل و دلیل مستقلی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استنباط احکام شرعی، اجماع را به عنوان دلیل مستقلی در عرض کتاب و سنّت قرار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وجه حجّیّت اجماع از نظر شیعه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علمای شیعه، اجماع از این جهت که کاشف از قول معصوم است، حجت می‌باشد، یعنی امامیّه برای مطلق اجماع ارزش و اعتباری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شیعه اجماع را دلیل مستقلّی در عرض کتاب و سنّت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بازگشت اجماع به سنّت است و آنچه حجت است، در واقع قول معصوم است، نه نفس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کتاب الذریعة الی اصول الشریعة می‌فرماید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درستی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قایلیم آن است که وقتی می‌گوییم اجماع، </w:t>
      </w:r>
    </w:p>
    <w:p>
      <w:pPr>
        <w:pStyle w:val="BookText"/>
        <w:rPr/>
      </w:pPr>
      <w:r>
        <w:rPr>
          <w:rFonts w:ascii="IRNazanin" w:hAnsi="IRNazanin" w:eastAsia="IRNazanin"/>
          <w:color w:val="111111"/>
          <w:sz w:val="28"/>
          <w:sz w:val="28"/>
          <w:szCs w:val="28"/>
          <w:rtl w:val="true"/>
          <w:lang w:bidi="fa-IR"/>
        </w:rPr>
        <w:t>منظور یا اجماع تمام امت است، یا اجماع مؤمنین امت و یا اجماع علمای امت و بنابر تمام اقسام، ناچار باید قول امام داخل در میان آنها باشد، زیرا امام خود یکی از افراد امّت، بلکه از اجلّ مؤمنین و افضل علمای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 شامل او نیز می‌گردد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محقّق حلّی در کتاب المعتبر فی شرح المختصر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اجماع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انضمام قول معصوم حجت است، پس اگر قول امام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از فقهای ما نباشد، اجماع حجت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قول امام در میان اقوال دو نفر حاصل شود، قول آن دو نفر حجت است، نه به اعتبار اتّفاق و اجماع آن دو، بلکه به اعتبار قول امام علیه‌السلام بنابراین نباید فریب کسی را بخوریم که از روی تحکّم ادّعا می‌کند که با اتّفاق پنج یا ده نفر از امامیّه و مجهول بودن قول سایرین، اجماع حاصل می‌شود، مگر آن که علم قطعی به دخول امام در میان اجماع کنندگان داشته باشیم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اجماعی که مخالفت با آن جایز نیست، اجماع تمام مسلمین یا اجماع امامیّه است، به شرط آن که علم داشته باشیم که قول معصوم داخل مجمعین است، زیرا بنا بر اصول و قواعد امامیه، حجّیّت اجماع به خاطر قول معصوم است، نه مطلق اجماع و تا وقتی که علم به دخول قول معصوم در اقوال علما نداشته باشیم، قول ایشان اعتباری ندارد، هر چند که تعداد قایلین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علما زیاده‌روی کرده‌اند و قول جمعی را که قول معصوم در میان آنان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قول مشهور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نامیده‌اند، مخالفت با چنین اجماعی به هیچ وجه زیانی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فتنبّه لذلک لئلاّتقع فی الغلط اغترارا بظاهر الاصطلاح و اعتمادا </w:t>
      </w:r>
      <w:bookmarkStart w:id="199" w:name="pg4331_48956"/>
    </w:p>
    <w:p>
      <w:pPr>
        <w:pStyle w:val="BookText"/>
        <w:rPr/>
      </w:pPr>
      <w:bookmarkEnd w:id="199"/>
      <w:r>
        <w:rPr>
          <w:rFonts w:ascii="IRNazanin" w:hAnsi="IRNazanin" w:eastAsia="IRNazanin"/>
          <w:color w:val="111111"/>
          <w:sz w:val="28"/>
          <w:sz w:val="28"/>
          <w:szCs w:val="28"/>
          <w:rtl w:val="true"/>
          <w:lang w:bidi="fa-IR"/>
        </w:rPr>
        <w:t>علی‌الدعوی</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فریب ظاهر اصطلاح اجماع را نخوری و در غلط و اشتباه نیفتی و بر ادعای اجماع اعتماد نکنی </w:t>
      </w:r>
      <w:r>
        <w:rPr>
          <w:rFonts w:eastAsia="IRNazanin" w:cs="IRNazanin"/>
          <w:color w:val="111111"/>
          <w:sz w:val="28"/>
          <w:szCs w:val="28"/>
          <w:rtl w:val="true"/>
          <w:lang w:bidi="fa-IR"/>
        </w:rPr>
        <w:t>!»</w:t>
      </w:r>
    </w:p>
    <w:p>
      <w:pPr>
        <w:pStyle w:val="Heading5"/>
        <w:numPr>
          <w:ilvl w:val="4"/>
          <w:numId w:val="1"/>
        </w:numPr>
        <w:rPr/>
      </w:pPr>
      <w:bookmarkStart w:id="200" w:name="__RefHeading___Toc1014737_1479056682"/>
      <w:bookmarkStart w:id="201" w:name="_Toc73"/>
      <w:bookmarkEnd w:id="200"/>
      <w:r>
        <w:rPr>
          <w:rtl w:val="true"/>
        </w:rPr>
        <w:t>ادلّه حجّیّت اجماع</w:t>
      </w:r>
      <w:bookmarkEnd w:id="201"/>
    </w:p>
    <w:p>
      <w:pPr>
        <w:pStyle w:val="BookText"/>
        <w:rPr/>
      </w:pPr>
      <w:r>
        <w:rPr>
          <w:rFonts w:ascii="IRNazanin" w:hAnsi="IRNazanin" w:eastAsia="IRNazanin"/>
          <w:color w:val="111111"/>
          <w:sz w:val="28"/>
          <w:sz w:val="28"/>
          <w:szCs w:val="28"/>
          <w:rtl w:val="true"/>
          <w:lang w:bidi="fa-IR"/>
        </w:rPr>
        <w:t>برای اثبات حجّیّت اجماع به کتاب و سنّت و عقل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حجّیّت اجماع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به آیاتی استدلال شده است، که</w:t>
      </w:r>
    </w:p>
    <w:p>
      <w:pPr>
        <w:pStyle w:val="BookText"/>
        <w:rPr/>
      </w:pPr>
      <w:r>
        <w:rPr>
          <w:rFonts w:ascii="IRNazanin" w:hAnsi="IRNazanin" w:eastAsia="IRNazanin"/>
          <w:color w:val="111111"/>
          <w:sz w:val="28"/>
          <w:sz w:val="28"/>
          <w:szCs w:val="28"/>
          <w:rtl w:val="true"/>
          <w:lang w:bidi="fa-IR"/>
        </w:rPr>
        <w:t>از جمله آنها استدلال به دو آیه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یُشاقِقِ الرَّسُولَ مِنْ بَعْدِ ما تَبَیَّنَ لَهُ الهُدی وَ یَتَّبِعْ غَیْرَ سَبیلِ الْمُؤمِنینَ نُوَلِّهِ ما تَوَلّی وَ نُصْلِهِ جَهَنّمَ وَ ساءتْ مَصیرا</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بعد از آشکار شدن هدایت، با پیامبر به مخالفت و ستیز پردازد و راهی غیر طریق اهل ایمان پیش گیرد، ما او را به همان راه که می‌رود،</w:t>
      </w:r>
    </w:p>
    <w:p>
      <w:pPr>
        <w:pStyle w:val="BookText"/>
        <w:rPr/>
      </w:pPr>
      <w:r>
        <w:rPr>
          <w:rFonts w:ascii="IRNazanin" w:hAnsi="IRNazanin" w:eastAsia="IRNazanin"/>
          <w:color w:val="111111"/>
          <w:sz w:val="28"/>
          <w:sz w:val="28"/>
          <w:szCs w:val="28"/>
          <w:rtl w:val="true"/>
          <w:lang w:bidi="fa-IR"/>
        </w:rPr>
        <w:t>می‌بریم و به دوزخ داخل می‌کنیم، که دوزخ جایگاه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این آیه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پیروی نکردن از راه و روش مؤمنان در کنار مشاقّة و ستیزه با رسول خدا صلی‌الله‌علیه‌و‌آله آورده شده و این هر دو از یک مقوله است و خداوند بر هر دو وعده عذاب داده است، لذا از آیه استفاده می‌شود که پیروی نکردن از طریق مؤمنان گناه است، بنابراین تبعیت از راه و روش مؤمنان واجب می‌باشد و این همان معنای حجّیّت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دلیل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غزّالی در کتاب المستصفی با آن که این آیه را از قوی‌ترین</w:t>
      </w:r>
    </w:p>
    <w:p>
      <w:pPr>
        <w:pStyle w:val="BookText"/>
        <w:rPr/>
      </w:pPr>
      <w:r>
        <w:rPr>
          <w:rFonts w:ascii="IRNazanin" w:hAnsi="IRNazanin" w:eastAsia="IRNazanin"/>
          <w:color w:val="111111"/>
          <w:sz w:val="28"/>
          <w:sz w:val="28"/>
          <w:szCs w:val="28"/>
          <w:rtl w:val="true"/>
          <w:lang w:bidi="fa-IR"/>
        </w:rPr>
        <w:t>آیات دانسته، بر استدلال به آن اشکال کرده، که خلاصه آن چنین است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هیچ گونه دلالتی بر حجّیّت اجماع ندارد، زیرا ظاهر آیه این است که کسانی که با رسول خدا مشاقه و ستیزه می‌کنند و راهی جز راه مؤمنین و مسلمین را متابعت می‌کنند، روز قیامت به دوزخ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چه ارتباطی به اجماع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رسول خدا و مخالفت از راه و روش مؤمنین باعث ورود در دوزخ </w:t>
      </w:r>
    </w:p>
    <w:p>
      <w:pPr>
        <w:pStyle w:val="BookText"/>
        <w:rPr/>
      </w:pPr>
      <w:r>
        <w:rPr>
          <w:rFonts w:ascii="IRNazanin" w:hAnsi="IRNazanin" w:eastAsia="IRNazanin"/>
          <w:color w:val="111111"/>
          <w:sz w:val="28"/>
          <w:sz w:val="28"/>
          <w:szCs w:val="28"/>
          <w:rtl w:val="true"/>
          <w:lang w:bidi="fa-IR"/>
        </w:rPr>
        <w:t>است، و این ربطی به اجماع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کَذلِکَ جَعَلْناکُمْ اُمَّةً وَسَطا لِتَکُونُوا شُهَداءَ عَلَی النّاسِ</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امّت وسط قرار دادیم، تا گواهان بر مردم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تقریب استدلال به این آیه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یعنی عدل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امتی که به عدالت رفتار می‌کند و جز حق و عدل از او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و اتفاقی که از این امت صادر می‌شود، حق و عدل و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دلیل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فی الجمله بر عدالت امت دلالت می‌کند، ولی عصمت امت را اثبات نمی‌کند، زیرا عادل بودن یک فرد یا امت، منافاتی با خطا و اشتباه آنان</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اشتباه نمی‌کند، معصوم است، پس نمی‌توان از این آیه عصمت امت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حجّیّت اجماع از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حجّیّت اجماع به احادیث زیادی تمسک شده است، روایاتی که به گفته غزّالی در المستصفی تواتر معنوی دارد، روایاتی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لاتجتمع امّتی علی الخطاء</w:t>
      </w:r>
    </w:p>
    <w:p>
      <w:pPr>
        <w:pStyle w:val="BookText"/>
        <w:rPr/>
      </w:pPr>
      <w:r>
        <w:rPr>
          <w:rFonts w:ascii="IRNazanin" w:hAnsi="IRNazanin" w:eastAsia="IRNazanin"/>
          <w:color w:val="111111"/>
          <w:sz w:val="28"/>
          <w:sz w:val="28"/>
          <w:szCs w:val="28"/>
          <w:rtl w:val="true"/>
          <w:lang w:bidi="fa-IR"/>
        </w:rPr>
        <w:t>و یا لاتجتمع امّتی علی الضلالة</w:t>
      </w:r>
    </w:p>
    <w:p>
      <w:pPr>
        <w:pStyle w:val="BookText"/>
        <w:rPr/>
      </w:pPr>
      <w:r>
        <w:rPr>
          <w:rFonts w:ascii="IRNazanin" w:hAnsi="IRNazanin" w:eastAsia="IRNazanin"/>
          <w:color w:val="111111"/>
          <w:sz w:val="28"/>
          <w:sz w:val="28"/>
          <w:szCs w:val="28"/>
          <w:rtl w:val="true"/>
          <w:lang w:bidi="fa-IR"/>
        </w:rPr>
        <w:t>و یا سألت اللّه أن لاتجتمع امتی علی الضلالة فأعطانیها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درخواست کردم که امت من بر گمراهی اجتماع نکنند، خداوند خواسته مرا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یداللّه مع الجماعة و لایبالی اللّه بشذوذ من شذّ</w:t>
      </w:r>
      <w:r>
        <w:rPr>
          <w:rStyle w:val="FootnoteAnchor"/>
          <w:rtl w:val="true"/>
        </w:rPr>
        <w:footnoteReference w:id="1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خدا با جماعت است و خداوند به مخالفت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کند، وقعی نمی‌نهد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فوق،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لاتجتمع امّتی علی‌الخطاء، و روایت لاتجتمع امّتی علی‌الضّلالة، در دلالت بر مطلوب از سایر روایات قوی ترند، زیرا پیامبر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من تمامشان بر یک امر خطا و بر ضلالت مجتمع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نتیجه می‌گیرند که اگر مجموعه امت پیامبر صلی‌الله‌علیه‌و‌آله بر یک حکم شرعی اتّفاق کنند، دارای عصمت‌اند و به خطا نمی‌روند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 تواتر این روایات در حد تواتر معنوی نیست، بلکه در حد استفاضه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خبر مستفیض خود دارای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 منظور اجتماع همه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هیچ دسته و گروهی هر چند کوچک، مخالف نباشد، اگر در مسأله‌ای چنین اجماعی حاصل شود، قطعا حجت و مصداق احادیث فوق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غیر از ضروریات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 نماز و روزه و حج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مسأله‌ای از مسائل شرعی چنین اجماعی از تمام امت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 اگر گفته شود مقصود از امت محمّد صلی‌الله‌علیه‌و‌آله تنها اهل سنّت و جماعت می‌باشند که اگر بر امری اجماع کنند، بر خطا و اشتباه نمی‌روند، در جواب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ادعای بدون دلیل است، بلکه ظاهر حدیث برخلاف آن است، زیرا در روایت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امت اعم از شیعه و سنی، عالم و غیر عالم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لاهیجی در ردّ استنباط به اخبار مذکور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امامیّه برآنند که حجّیّت اجماع بنابر امتناع اتّفاق امّت است بر خطا و اکثر مستندند در این امتناع به اخبار آحاد دالّه بر عدم اتّفاق امت بر خطا و بعضی نیز امتناع مذکور را عقلی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مذهب اکثر، اجماع دلیل قطعی نتواند بود، چه مستند اجماع با آن که اخبار آحاد است، دلالت بر امتناع امت ندارد، چه تواند بود، که عدم اجتماع، بنابر وجود معصوم باشد، چنان که امامیّه برآنند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مستند اجماع مفید ظن ضعیفی بیش نبود، پس چگونه اجماع، قطعی تواند بود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دلیل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عدّه‌ای از علما و دانشمندان بر امری متّفق شوند، از نظر عقل بسیار بعید است که برخلاف واقع و برخلاف نظر اسلام نظری بدهند،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ممکن است فرد یا گروهی دچار خطا شود، ولی امکان ندارد که همگان در شناخت واقع به خطا روند و بر امر باطلی اتّفاق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 بر دلیل فوق آن است که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آن علم بر رأی و نظری اتّفاق </w:t>
      </w:r>
      <w:bookmarkStart w:id="202" w:name="pg4331_48959"/>
    </w:p>
    <w:p>
      <w:pPr>
        <w:pStyle w:val="BookText"/>
        <w:rPr/>
      </w:pPr>
      <w:bookmarkEnd w:id="202"/>
      <w:r>
        <w:rPr>
          <w:rFonts w:ascii="IRNazanin" w:hAnsi="IRNazanin" w:eastAsia="IRNazanin"/>
          <w:color w:val="111111"/>
          <w:sz w:val="28"/>
          <w:sz w:val="28"/>
          <w:szCs w:val="28"/>
          <w:rtl w:val="true"/>
          <w:lang w:bidi="fa-IR"/>
        </w:rPr>
        <w:t>کرده‌اند، ولی بعد از مدتی خلاف آن ثابت شده است، چنان که در گذشته بسیاری از علمای هیئت و نجوم بر اقوال و نظریاتی متفق القول بوده‌اند، ولی بعدها بطلان آنها به</w:t>
      </w:r>
    </w:p>
    <w:p>
      <w:pPr>
        <w:pStyle w:val="BookText"/>
        <w:rPr/>
      </w:pPr>
      <w:r>
        <w:rPr>
          <w:rFonts w:ascii="IRNazanin" w:hAnsi="IRNazanin" w:eastAsia="IRNazanin"/>
          <w:color w:val="111111"/>
          <w:sz w:val="28"/>
          <w:sz w:val="28"/>
          <w:szCs w:val="28"/>
          <w:rtl w:val="true"/>
          <w:lang w:bidi="fa-IR"/>
        </w:rPr>
        <w:t>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بطلان هیئت بطلمیوسی و یا مانند بسیاری از نظریه‌های قدیم در علم فیزیک و سایر علوم تجربی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ملاعبدالرزاق لاهیجی نیز در رد استدلال به دلیل عقل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مذهب قایلین به امتناع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اتّفاق امت بر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غایت ضعیف است، چه ظاهر است، جواز اتّفاق جمیع عقلاء بر حکمی که نظری باشد و ظاهرا این قایل اشتباه کرده اجماع را به تواتر و بالجمله اجماع نزد مخالفین امامیّه از ادلّه قطعیّه نتواند بود</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203" w:name="__RefHeading___Toc1014739_1479056682"/>
      <w:bookmarkStart w:id="204" w:name="_Toc74"/>
      <w:bookmarkEnd w:id="203"/>
      <w:r>
        <w:rPr>
          <w:rtl w:val="true"/>
        </w:rPr>
        <w:t>نتیجه بحث</w:t>
      </w:r>
      <w:bookmarkEnd w:id="204"/>
    </w:p>
    <w:p>
      <w:pPr>
        <w:pStyle w:val="BookText"/>
        <w:rPr/>
      </w:pPr>
      <w:r>
        <w:rPr>
          <w:rFonts w:ascii="IRNazanin" w:hAnsi="IRNazanin" w:eastAsia="IRNazanin"/>
          <w:color w:val="111111"/>
          <w:sz w:val="28"/>
          <w:sz w:val="28"/>
          <w:szCs w:val="28"/>
          <w:rtl w:val="true"/>
          <w:lang w:bidi="fa-IR"/>
        </w:rPr>
        <w:t>از آنچه گذشت می‌توان نتیجه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از کتاب و سنّت و عقل بر حجّیّت اجماع اقامه کرده‌اند، هیچ کدام نمی‌تواند حجّیّت اجماع را به عنوان یک دلیل مستقلّ</w:t>
      </w:r>
    </w:p>
    <w:p>
      <w:pPr>
        <w:pStyle w:val="BookText"/>
        <w:rPr/>
      </w:pPr>
      <w:r>
        <w:rPr>
          <w:rFonts w:ascii="IRNazanin" w:hAnsi="IRNazanin" w:eastAsia="IRNazanin"/>
          <w:color w:val="111111"/>
          <w:sz w:val="28"/>
          <w:sz w:val="28"/>
          <w:szCs w:val="28"/>
          <w:rtl w:val="true"/>
          <w:lang w:bidi="fa-IR"/>
        </w:rPr>
        <w:t>اثبات کند و همان طور که در آغاز بحث گفته شد، وجه حجّیّت اجماع تنها از لحاظ کاشفیت قول معصوم است که در نتیجه، حجت و دلیل بر حکم شرعی، همان سنّت و قول معصوم است، نه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نمی‌تواند دلیل مستقلی در عرض کتاب و سنّت باشد</w:t>
      </w:r>
      <w:r>
        <w:rPr>
          <w:rFonts w:eastAsia="IRNazanin" w:cs="IRNazanin"/>
          <w:color w:val="111111"/>
          <w:sz w:val="28"/>
          <w:szCs w:val="28"/>
          <w:rtl w:val="true"/>
          <w:lang w:bidi="fa-IR"/>
        </w:rPr>
        <w:t>.</w:t>
      </w:r>
    </w:p>
    <w:p>
      <w:pPr>
        <w:pStyle w:val="Heading4"/>
        <w:numPr>
          <w:ilvl w:val="3"/>
          <w:numId w:val="1"/>
        </w:numPr>
        <w:rPr/>
      </w:pPr>
      <w:bookmarkStart w:id="205" w:name="__RefHeading___Toc1014741_1479056682"/>
      <w:bookmarkStart w:id="206" w:name="_Toc75"/>
      <w:bookmarkEnd w:id="205"/>
      <w:r>
        <w:rPr/>
        <w:t>4</w:t>
      </w:r>
      <w:r>
        <w:rPr>
          <w:rtl w:val="true"/>
        </w:rPr>
        <w:t xml:space="preserve"> - </w:t>
      </w:r>
      <w:r>
        <w:rPr>
          <w:rtl w:val="true"/>
        </w:rPr>
        <w:t>عقل</w:t>
      </w:r>
      <w:bookmarkEnd w:id="206"/>
    </w:p>
    <w:p>
      <w:pPr>
        <w:pStyle w:val="Heading5"/>
        <w:numPr>
          <w:ilvl w:val="4"/>
          <w:numId w:val="1"/>
        </w:numPr>
        <w:rPr/>
      </w:pPr>
      <w:bookmarkStart w:id="207" w:name="__RefHeading___Toc1014743_1479056682"/>
      <w:bookmarkStart w:id="208" w:name="_Toc76"/>
      <w:bookmarkEnd w:id="207"/>
      <w:r>
        <w:rPr>
          <w:rtl w:val="true"/>
        </w:rPr>
        <w:t>اشاره</w:t>
      </w:r>
      <w:bookmarkEnd w:id="20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منبع از منابع احکام،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تعریف دلیل عقلی و بیان اقسام و حجّیّت آن، اجمالاً به سیر تاریخی آن از دیدگاه علمای اصول می‌پردازیم</w:t>
      </w:r>
      <w:r>
        <w:rPr>
          <w:rFonts w:eastAsia="IRNazanin" w:cs="IRNazanin"/>
          <w:color w:val="111111"/>
          <w:sz w:val="28"/>
          <w:szCs w:val="28"/>
          <w:rtl w:val="true"/>
          <w:lang w:bidi="fa-IR"/>
        </w:rPr>
        <w:t xml:space="preserve">. </w:t>
      </w:r>
      <w:bookmarkStart w:id="209" w:name="pg4331_48960"/>
    </w:p>
    <w:p>
      <w:pPr>
        <w:pStyle w:val="Heading5"/>
        <w:numPr>
          <w:ilvl w:val="4"/>
          <w:numId w:val="1"/>
        </w:numPr>
        <w:rPr/>
      </w:pPr>
      <w:bookmarkStart w:id="210" w:name="__RefHeading___Toc1014745_1479056682"/>
      <w:bookmarkStart w:id="211" w:name="_Toc77"/>
      <w:bookmarkEnd w:id="209"/>
      <w:bookmarkEnd w:id="210"/>
      <w:r>
        <w:rPr>
          <w:rtl w:val="true"/>
        </w:rPr>
        <w:t>سیر تاریخی دلیل عقلی</w:t>
      </w:r>
      <w:bookmarkEnd w:id="211"/>
    </w:p>
    <w:p>
      <w:pPr>
        <w:pStyle w:val="BookText"/>
        <w:rPr/>
      </w:pPr>
      <w:r>
        <w:rPr>
          <w:rFonts w:ascii="IRNazanin" w:hAnsi="IRNazanin" w:eastAsia="IRNazanin"/>
          <w:color w:val="111111"/>
          <w:sz w:val="28"/>
          <w:sz w:val="28"/>
          <w:szCs w:val="28"/>
          <w:rtl w:val="true"/>
          <w:lang w:bidi="fa-IR"/>
        </w:rPr>
        <w:t>علمای اهل سنّت غالبا عقل را از ادلّه احکام به حساب نیاورده‌اند و اغلب در تقسیم‌بندی و شمارش ادلّه احکام به جای عقل، قیاس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اصولی خود به نام المستصفی من علم الاصول، تعداد</w:t>
      </w:r>
    </w:p>
    <w:p>
      <w:pPr>
        <w:pStyle w:val="BookText"/>
        <w:rPr/>
      </w:pPr>
      <w:r>
        <w:rPr>
          <w:rFonts w:ascii="IRNazanin" w:hAnsi="IRNazanin" w:eastAsia="IRNazanin"/>
          <w:color w:val="111111"/>
          <w:sz w:val="28"/>
          <w:sz w:val="28"/>
          <w:szCs w:val="28"/>
          <w:rtl w:val="true"/>
          <w:lang w:bidi="fa-IR"/>
        </w:rPr>
        <w:t>ادلّه حکام را منحصر به سه دلیل کرده است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والمثمر هی الادلّة و 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 و الإجماع فقط</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غزّالی در مورد احکام و اقتباس آنها از ادلّه، واژه‌های خاصی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احکام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ادلّه حکام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مجتهد و مستنبط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جای دیگر از همین کتاب، درک احکام را به وسیله عقل انکار کرده و فقط در مسأله براءت ذمّه از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ورود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باب حرج و یا نسبت به تأیید معجزات انبیا، به دلالت عقل بر این امور اشاره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احکام سمعی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عقل درک نمی‌شوند، ولی عقل قبل از بعثت پیامبران، بر براءت ذمّه از واجبات و سقوط مشقّت و حرج از مردم در کارهایشان و بر تأیید پیامبران به وسیله معجزات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انتفای احکام پیش از ورود دلیل نقلی به دلیل عقل معلوم می‌شود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شیخ محمّد خضری در مورد ادلّه تفصیلیّه احکام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الأدلّة التفصیلیّة للشریعة هی الکتاب و السنّة و الاجماع و القیاس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تفصیلی شریعت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اجماع و قیاس</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212" w:name="__RefHeading___Toc1014747_1479056682"/>
      <w:bookmarkStart w:id="213" w:name="_Toc78"/>
      <w:bookmarkEnd w:id="212"/>
      <w:r>
        <w:rPr>
          <w:rtl w:val="true"/>
        </w:rPr>
        <w:t>دلیل عقلی از نظر امامیه</w:t>
      </w:r>
      <w:bookmarkEnd w:id="21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قبلاً گفته شد علما در کتب اولیه علم اصول بیشتر به مباحث الفاظ پرداخته و از ادلّه عقلی کمتر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آن، اخبار و روایاتی بوده که ائمه علیهم‌السلام در آنها به کار بردن قیاس و عقل را در احکام شرعی منع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روایات به </w:t>
      </w:r>
    </w:p>
    <w:p>
      <w:pPr>
        <w:pStyle w:val="BookText"/>
        <w:rPr/>
      </w:pPr>
      <w:r>
        <w:rPr>
          <w:rFonts w:ascii="IRNazanin" w:hAnsi="IRNazanin" w:eastAsia="IRNazanin"/>
          <w:color w:val="111111"/>
          <w:sz w:val="28"/>
          <w:sz w:val="28"/>
          <w:szCs w:val="28"/>
          <w:rtl w:val="true"/>
          <w:lang w:bidi="fa-IR"/>
        </w:rPr>
        <w:t>صورتهای مختلفی نقل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دین اللّه لایُصاب بالعقول</w:t>
      </w:r>
      <w:r>
        <w:rPr>
          <w:rStyle w:val="FootnoteAnchor"/>
          <w:rtl w:val="true"/>
        </w:rPr>
        <w:footnoteReference w:id="1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خداوند با عقل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لیس شی‌ء ابعد من عقول الرجال عن القرآن</w:t>
      </w:r>
      <w:r>
        <w:rPr>
          <w:rStyle w:val="FootnoteAnchor"/>
          <w:rtl w:val="true"/>
        </w:rPr>
        <w:footnoteReference w:id="1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دورتر از قرآن از عقلهای مردم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از همه چیز دورتر از دسترس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 من امر یختلف فیه اثنان الاّ وله اصل فی کتاب اللّه ولکن لاتبلغه عقول الرجال</w:t>
      </w:r>
      <w:r>
        <w:rPr>
          <w:rStyle w:val="FootnoteAnchor"/>
          <w:rtl w:val="true"/>
        </w:rPr>
        <w:footnoteReference w:id="1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امری</w:t>
      </w:r>
    </w:p>
    <w:p>
      <w:pPr>
        <w:pStyle w:val="BookText"/>
        <w:rPr/>
      </w:pPr>
      <w:r>
        <w:rPr>
          <w:rFonts w:ascii="IRNazanin" w:hAnsi="IRNazanin" w:eastAsia="IRNazanin"/>
          <w:color w:val="111111"/>
          <w:sz w:val="28"/>
          <w:sz w:val="28"/>
          <w:szCs w:val="28"/>
          <w:rtl w:val="true"/>
          <w:lang w:bidi="fa-IR"/>
        </w:rPr>
        <w:t>نیست که دو نفر در آن اختلاف کنند، مگر آن که برای آن در کتاب خدا اصل و اساسی هست، ولی عقلهای مردم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شیعه از این امر نگران بودند که اگر در استنباط احکام به عنصر عقل بیش از حد تکیه کنند، به همان راهی خواهند رفت که مکتب فقهی اهل سنّت آن را پیمود و تکیه بر عقل در استنباط احکام کم کم آنان را به سمت اجتهاد به رأی و قیاس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 xml:space="preserve">رو، در کتب متقدمین فقها و علمای بزرگ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کتب شیخ صدوق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فقهی از حدود فروع فقهی که در احادیث اهل بیت علیهم‌السلام آمده است تجاوز</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تفریع فروع و به عبارت دیگر اجتهاد در این کتب دیده نمی‌شود و حتّی رسائل فقهیه جوابیه را که در پاسخ استفتاها نگاشته‌اند، در آنها فقط به ارائه اصل و متن حدیث رسیده از معصومین علیهم‌السلام اکتفا کرده و هیچ گاه وارد مناقشه و بحث و استدلال نشده و اغلب فتاوای صادره به صورت همان نصوص و احادیث رسیده از معصومین علیهم‌السلام است، که با اسقاط سند از متن حدیث به عنوان فتوا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رساله‌ای که علی بن بابویه، پدر شیخ صدوق،به فرزندش نوشته است، که در آن فتاوای خود را عینا به صورت متن حدیث عرضه می‌کند و نیز مانند کتابهای المقنع فی</w:t>
      </w:r>
    </w:p>
    <w:p>
      <w:pPr>
        <w:pStyle w:val="BookText"/>
        <w:rPr/>
      </w:pPr>
      <w:r>
        <w:rPr>
          <w:rFonts w:ascii="IRNazanin" w:hAnsi="IRNazanin" w:eastAsia="IRNazanin"/>
          <w:color w:val="111111"/>
          <w:sz w:val="28"/>
          <w:sz w:val="28"/>
          <w:szCs w:val="28"/>
          <w:rtl w:val="true"/>
          <w:lang w:bidi="fa-IR"/>
        </w:rPr>
        <w:t>الفقه و الهدایة بالخبر که شامل فتاوای شیخ صدوق به صورت متن احادیث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نظر بزرگان و متقدمین از علمای شیعه را در مورد ادلّه احکام به اختصار بررسی می‌کنیم تا معلوم شود از چه زمانی رسما دلیل عقلی به عنوان طریق معتبر در استنباط احکام مطرح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اصولیه خود که ادلّه احکام را برشمرده،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احکام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نبوی و اقوال ائمه علیهم‌السلام</w:t>
      </w:r>
    </w:p>
    <w:p>
      <w:pPr>
        <w:pStyle w:val="BookText"/>
        <w:rPr/>
      </w:pPr>
      <w:r>
        <w:rPr>
          <w:rFonts w:ascii="IRNazanin" w:hAnsi="IRNazanin" w:eastAsia="IRNazanin"/>
          <w:color w:val="111111"/>
          <w:sz w:val="28"/>
          <w:sz w:val="28"/>
          <w:szCs w:val="28"/>
          <w:rtl w:val="true"/>
          <w:lang w:bidi="fa-IR"/>
        </w:rPr>
        <w:t>وی عقل را از ادلّه احکام به حساب نیاورده، منتهی بکلّی عقل را از کار برکنار نکرده و فرموده کارآیی عقل آن است که انسان به وسیله عقل با ادلّه ثلاثه آشنا می‌شود، یعنی</w:t>
      </w:r>
    </w:p>
    <w:p>
      <w:pPr>
        <w:pStyle w:val="BookText"/>
        <w:rPr/>
      </w:pPr>
      <w:r>
        <w:rPr>
          <w:rFonts w:ascii="IRNazanin" w:hAnsi="IRNazanin" w:eastAsia="IRNazanin"/>
          <w:color w:val="111111"/>
          <w:sz w:val="28"/>
          <w:sz w:val="28"/>
          <w:szCs w:val="28"/>
          <w:rtl w:val="true"/>
          <w:lang w:bidi="fa-IR"/>
        </w:rPr>
        <w:t>حجّیّت کتاب و سنّت و اجماع به وسیله عقل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سبیلٌ إلی معرفة القرآن و دلائل الاخبار</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راهی است به شناخت قرآن و ادلّه مستفاد از 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شاگرد شیخ مفید بوده</w:t>
      </w:r>
      <w:r>
        <w:rPr>
          <w:rStyle w:val="FootnoteAnchor"/>
          <w:rtl w:val="true"/>
        </w:rPr>
        <w:footnoteReference w:id="195"/>
      </w:r>
      <w:r>
        <w:rPr>
          <w:rFonts w:ascii="IRNazanin" w:hAnsi="IRNazanin" w:eastAsia="IRNazanin"/>
          <w:color w:val="111111"/>
          <w:sz w:val="28"/>
          <w:sz w:val="28"/>
          <w:szCs w:val="28"/>
          <w:rtl w:val="true"/>
          <w:lang w:bidi="fa-IR"/>
        </w:rPr>
        <w:t>در کتاب اصولی خود به نام عدّة الاصول از دلیل عقلی اصلاً نامی نبرده، تا چه رسد به این که آن را شرح دهد، تنها چیزی که درباره عقل گفته، آن است که در آخرین فصل کتاب معلومات را به دو بخش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معلومات ضروریّه و دیگری معلومات مکتسبه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معلومات مکتسبه را به معلومات عقلی و سمعی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کرده است و برای معلومات ضروری و بدیهی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وجوب ردّ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ظلم و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زده است و در ادامه سخنانش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قتل و ظلم به وسیله عقل معلوم می‌شود و منظورش از قبح، حرمت آن است و در پایان کلامش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ادلّه و این که ادلّه موجب علم و یقین می‌شود، به وسیله عقل است و شرع در مورد تشخیص ادلّه دخالتی ندارد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اوّلین کسی که به دلیل عقلی تصریح کرده و آن را یکی از ادلّه اربعه دانسته، ابن‌ادریس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سرائر خود می‌گوید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چهار طریق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طریق کتاب خداوند سبحان است، یا از طریق سنّت پیامبر صلی‌الله‌علیه‌و‌آلهکه متواتر و مورد اتّفاق باشد، یا از طریق اجماع و یا از طریق دلیل عقل است و هرگاه در یک حکم شرعی از کتاب، سنّت و اجماع نصی موجود </w:t>
      </w:r>
    </w:p>
    <w:p>
      <w:pPr>
        <w:pStyle w:val="BookText"/>
        <w:rPr/>
      </w:pPr>
      <w:r>
        <w:rPr>
          <w:rFonts w:ascii="IRNazanin" w:hAnsi="IRNazanin" w:eastAsia="IRNazanin"/>
          <w:color w:val="111111"/>
          <w:sz w:val="28"/>
          <w:sz w:val="28"/>
          <w:szCs w:val="28"/>
          <w:rtl w:val="true"/>
          <w:lang w:bidi="fa-IR"/>
        </w:rPr>
        <w:t>نباشد، دلیل معتبر در مسائل شرعی نزد محققین و جستجوگران منابع احکام شریعت، تمسک به دلیل عقل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ابن ادریس، مراد و مقصود از دلیل عقلی را ذکر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معتبر دلیل عقلی را بالصّراحة ذکر کرده و مقصود از آن را شرح داده است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سوم درباره مستند و دلیل احکام شرعی است، ادلّه احکام پنج دلیل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اجماع، دلیل عقل و استصحاب</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سپس در توضیح و بیان دلیل عقلی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عقلی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اوّل دلیل عقلی که متوقف بر خطاب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از دلیل عقلی، خود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آن قرینه عقلیه دلالت دارد بر این که لفظی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 القریه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حکم عقل باید لفظ اهل در تقدیر باشد، زیرا قریه قابل</w:t>
      </w:r>
    </w:p>
    <w:p>
      <w:pPr>
        <w:pStyle w:val="BookText"/>
        <w:rPr/>
      </w:pPr>
      <w:r>
        <w:rPr>
          <w:rFonts w:ascii="IRNazanin" w:hAnsi="IRNazanin" w:eastAsia="IRNazanin"/>
          <w:color w:val="111111"/>
          <w:sz w:val="28"/>
          <w:sz w:val="28"/>
          <w:szCs w:val="28"/>
          <w:rtl w:val="true"/>
          <w:lang w:bidi="fa-IR"/>
        </w:rPr>
        <w:t>پرسش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فحوی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همان مفهوم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حکم عقل به طریق اولی دلالت دارد بر حرمت ضرب و شتم والدین و اولویّت را عقل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منظور همان مفهوم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سه گانه مذکور، حکم عقل و دلیل عقلی متوقف بر خطاب شارع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دوم از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دلیلی است که عقل در دلالت بر حکم، مستقلّ و منفرد می‌باشد و این قسم از دلیل عقلی را منحصر به وجوه حسن و قبح نموده و برای آن چنین مثال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ردّ ودیعه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قبح ظلم و کذب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انصاف و صدق</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در درک همه اینها مستقلّ است</w:t>
      </w:r>
      <w:r>
        <w:rPr>
          <w:rFonts w:eastAsia="IRNazanin" w:cs="IRNazanin"/>
          <w:color w:val="111111"/>
          <w:sz w:val="28"/>
          <w:szCs w:val="28"/>
          <w:rtl w:val="true"/>
          <w:lang w:bidi="fa-IR"/>
        </w:rPr>
        <w:t xml:space="preserve">.) </w:t>
      </w:r>
      <w:r>
        <w:rPr>
          <w:rStyle w:val="FootnoteAnchor"/>
          <w:rtl w:val="true"/>
        </w:rPr>
        <w:footnoteReference w:id="199"/>
      </w:r>
      <w:bookmarkStart w:id="214" w:name="pg4331_48964"/>
    </w:p>
    <w:p>
      <w:pPr>
        <w:pStyle w:val="BookText"/>
        <w:rPr/>
      </w:pPr>
      <w:bookmarkEnd w:id="21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خود، به نام ذکری همان تقسیم محقّق را در مورد دلیل عقلی ذکر کرده و در هر قسمت چیزهایی بر آنها افزوده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مثلاً، قسم اوّل از دو قسم دلیل عقلی در تقسیم محقّق را توسعه داده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علاوه بر امور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الخطاب، فحوی الخطاب و دلیل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دیگر را نیز شامل می‌شود،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واجب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ضد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اباحه در منافع و اصل حرمت در مضار</w:t>
      </w:r>
    </w:p>
    <w:p>
      <w:pPr>
        <w:pStyle w:val="Heading5"/>
        <w:numPr>
          <w:ilvl w:val="4"/>
          <w:numId w:val="1"/>
        </w:numPr>
        <w:rPr/>
      </w:pPr>
      <w:bookmarkStart w:id="215" w:name="__RefHeading___Toc1014749_1479056682"/>
      <w:bookmarkStart w:id="216" w:name="_Toc79"/>
      <w:bookmarkEnd w:id="215"/>
      <w:r>
        <w:rPr>
          <w:rtl w:val="true"/>
        </w:rPr>
        <w:t>مقدمه واجب</w:t>
      </w:r>
      <w:bookmarkEnd w:id="216"/>
    </w:p>
    <w:p>
      <w:pPr>
        <w:pStyle w:val="BookText"/>
        <w:rPr/>
      </w:pPr>
      <w:r>
        <w:rPr>
          <w:rFonts w:ascii="IRNazanin" w:hAnsi="IRNazanin" w:eastAsia="IRNazanin"/>
          <w:color w:val="111111"/>
          <w:sz w:val="28"/>
          <w:sz w:val="28"/>
          <w:szCs w:val="28"/>
          <w:rtl w:val="true"/>
          <w:lang w:bidi="fa-IR"/>
        </w:rPr>
        <w:t>وجوب مقدمه واجب به حکم عقل است، منتها عقل وقتی حکم به وجوب مقدمه می‌کند، که ذی المقدمه به وسیله خطاب شارع واجب شده باشد</w:t>
      </w:r>
      <w:r>
        <w:rPr>
          <w:rFonts w:eastAsia="IRNazanin" w:cs="IRNazanin"/>
          <w:color w:val="111111"/>
          <w:sz w:val="28"/>
          <w:szCs w:val="28"/>
          <w:rtl w:val="true"/>
          <w:lang w:bidi="fa-IR"/>
        </w:rPr>
        <w:t>.</w:t>
      </w:r>
    </w:p>
    <w:p>
      <w:pPr>
        <w:pStyle w:val="Heading5"/>
        <w:numPr>
          <w:ilvl w:val="4"/>
          <w:numId w:val="1"/>
        </w:numPr>
        <w:rPr/>
      </w:pPr>
      <w:bookmarkStart w:id="217" w:name="__RefHeading___Toc1014751_1479056682"/>
      <w:bookmarkStart w:id="218" w:name="_Toc80"/>
      <w:bookmarkEnd w:id="217"/>
      <w:r>
        <w:rPr>
          <w:rtl w:val="true"/>
        </w:rPr>
        <w:t>مسأله ضد</w:t>
      </w:r>
      <w:bookmarkEnd w:id="218"/>
    </w:p>
    <w:p>
      <w:pPr>
        <w:pStyle w:val="BookText"/>
        <w:rPr/>
      </w:pPr>
      <w:r>
        <w:rPr>
          <w:rFonts w:ascii="IRNazanin" w:hAnsi="IRNazanin" w:eastAsia="IRNazanin"/>
          <w:color w:val="111111"/>
          <w:sz w:val="28"/>
          <w:sz w:val="28"/>
          <w:szCs w:val="28"/>
          <w:rtl w:val="true"/>
          <w:lang w:bidi="fa-IR"/>
        </w:rPr>
        <w:t>امر به شی‌ء به حکم عقل دلالت بر نهی از ضدّ آن می‌کند، مثلاً امر به ازاله نجاست از مسجد، به حکم عقل دلالت می‌کند بر نهی از ضدّ ازاله که صلات است</w:t>
      </w:r>
      <w:r>
        <w:rPr>
          <w:rFonts w:eastAsia="IRNazanin" w:cs="IRNazanin"/>
          <w:color w:val="111111"/>
          <w:sz w:val="28"/>
          <w:szCs w:val="28"/>
          <w:rtl w:val="true"/>
          <w:lang w:bidi="fa-IR"/>
        </w:rPr>
        <w:t>.</w:t>
      </w:r>
    </w:p>
    <w:p>
      <w:pPr>
        <w:pStyle w:val="Heading5"/>
        <w:numPr>
          <w:ilvl w:val="4"/>
          <w:numId w:val="1"/>
        </w:numPr>
        <w:rPr/>
      </w:pPr>
      <w:bookmarkStart w:id="219" w:name="__RefHeading___Toc1014753_1479056682"/>
      <w:bookmarkStart w:id="220" w:name="_Toc81"/>
      <w:bookmarkEnd w:id="219"/>
      <w:r>
        <w:rPr>
          <w:rtl w:val="true"/>
        </w:rPr>
        <w:t>اصل اباحه در منافع و اصل حرمت در مضار</w:t>
      </w:r>
      <w:bookmarkEnd w:id="220"/>
    </w:p>
    <w:p>
      <w:pPr>
        <w:pStyle w:val="BookText"/>
        <w:rPr/>
      </w:pPr>
      <w:r>
        <w:rPr>
          <w:rFonts w:ascii="IRNazanin" w:hAnsi="IRNazanin" w:eastAsia="IRNazanin"/>
          <w:color w:val="111111"/>
          <w:sz w:val="28"/>
          <w:sz w:val="28"/>
          <w:szCs w:val="28"/>
          <w:rtl w:val="true"/>
          <w:lang w:bidi="fa-IR"/>
        </w:rPr>
        <w:t>یعنی به حکم عقل هر چه که برای انسان منفعت دارد، مباح است و هر چه که زیان دارد،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شهید اوّل برای قسم دوم از دلیل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تقسیم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محقّق فرموده، چهار مورد دیگر را هم جزء تقسیم دوم قرار داده است، که</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براءت اصلیّه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مالادلیل علیه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اخذ به اقل در مورد چیزی که مردد بین اقل و اکثر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bookmarkStart w:id="221" w:name="pg4331_48965"/>
    </w:p>
    <w:p>
      <w:pPr>
        <w:pStyle w:val="Heading5"/>
        <w:numPr>
          <w:ilvl w:val="4"/>
          <w:numId w:val="1"/>
        </w:numPr>
        <w:rPr/>
      </w:pPr>
      <w:bookmarkStart w:id="222" w:name="__RefHeading___Toc1014755_1479056682"/>
      <w:bookmarkStart w:id="223" w:name="_Toc82"/>
      <w:bookmarkEnd w:id="221"/>
      <w:bookmarkEnd w:id="222"/>
      <w:r>
        <w:rPr>
          <w:rtl w:val="true"/>
        </w:rPr>
        <w:t>نتیجه بحث</w:t>
      </w:r>
      <w:bookmarkEnd w:id="223"/>
    </w:p>
    <w:p>
      <w:pPr>
        <w:pStyle w:val="BookText"/>
        <w:rPr/>
      </w:pPr>
      <w:r>
        <w:rPr>
          <w:rFonts w:ascii="IRNazanin" w:hAnsi="IRNazanin" w:eastAsia="IRNazanin"/>
          <w:color w:val="111111"/>
          <w:sz w:val="28"/>
          <w:sz w:val="28"/>
          <w:szCs w:val="28"/>
          <w:rtl w:val="true"/>
          <w:lang w:bidi="fa-IR"/>
        </w:rPr>
        <w:t xml:space="preserve">از اظهارات محقّق حلّی و شهید اوّل در مورد دلیل عقلی، معلوم می‌شود که در عصر آن دو بزرگوار، دلیل عقلی واضح و روشن نبوده است، چه این که آنها دلیل عقلی را به گونه‌ای تفسیر کرده‌اند که ظواهر لفظی را شامل می‌شود و چنان که دیدیم محقّق برای دلیل عقلی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زده است، در حالی که تمام اینها از ظواهرند و ارتباطی به دلیل عقلی ندارند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همچنین یکی از مثالهای شهید اوّل برای دلیل عقلی، استصحاب بود و چنان که واضح است، استصحاب از اصول عملیه است، نه آن که از مصادیق دلیل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گاهی از لفظ و گاهی مستقلاً</w:t>
      </w:r>
    </w:p>
    <w:p>
      <w:pPr>
        <w:pStyle w:val="BookText"/>
        <w:rPr/>
      </w:pPr>
      <w:r>
        <w:rPr>
          <w:rFonts w:ascii="IRNazanin" w:hAnsi="IRNazanin" w:eastAsia="IRNazanin"/>
          <w:color w:val="111111"/>
          <w:sz w:val="28"/>
          <w:sz w:val="28"/>
          <w:szCs w:val="28"/>
          <w:rtl w:val="true"/>
          <w:lang w:bidi="fa-IR"/>
        </w:rPr>
        <w:t>مطلبی را درک می‌کند و در هر دو مورد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بعضی از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مرحوم آیه‌اللّه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استصحاب را دلیل عقلایی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لاهیجی در گوهر مراد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بر دو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 معنوی، خطاب لفظی کلام خدا باشد، یا کلام رسول خدا که مشتمل بر اوامر و نواهی باشد ؛ و خطاب معنوی حکم عقل باشد، به حسن فعل یا به قبح فعل باقسامهما ؛ چه حکم عقل بر وجوب فعلی مثلاً به منزله کلام الهی باشد مشتمل بر امر به آن فعل و حکم عقل به حرمت فعلی، به منزله کلام الهی باشد مشتمل بر نهی از آن فعل، چه عقل به منزله پیغمبری است از داخل و پیغمبر به منزله عقلی است از خارج</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بزرگانی که نظر آنها در مورد دلیل عقلی ذکر شد، عدّه دیگری از علمای اصول نسبت به دلیل عقلی، همان روش متقدّمین مذکور را طی کرده و اهمّیّت زیادی به آن نداده‌اند، حتّی در کتابهای درسی اخیر، مانند معالم الاصول و رسائل شیخ انصاری و کفایة الاصول آخوند خراسانی، که در مقایسه با متقدّمین، اهمّیّت بیشتری برای دلیل عقلی قایل شده‌اند، در عین حال آن‌گونه که باید دلیل عقلی و نیز مصادیق و موارد آن را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و بیان نکرده‌اند</w:t>
      </w:r>
      <w:r>
        <w:rPr>
          <w:rFonts w:eastAsia="IRNazanin" w:cs="IRNazanin"/>
          <w:color w:val="111111"/>
          <w:sz w:val="28"/>
          <w:szCs w:val="28"/>
          <w:rtl w:val="true"/>
          <w:lang w:bidi="fa-IR"/>
        </w:rPr>
        <w:t xml:space="preserve">. </w:t>
      </w:r>
      <w:bookmarkStart w:id="224" w:name="pg4331_48966"/>
    </w:p>
    <w:p>
      <w:pPr>
        <w:pStyle w:val="BookText"/>
        <w:rPr/>
      </w:pPr>
      <w:bookmarkEnd w:id="224"/>
      <w:r>
        <w:rPr>
          <w:rFonts w:ascii="IRNazanin" w:hAnsi="IRNazanin" w:eastAsia="IRNazanin"/>
          <w:color w:val="111111"/>
          <w:sz w:val="28"/>
          <w:sz w:val="28"/>
          <w:szCs w:val="28"/>
          <w:rtl w:val="true"/>
          <w:lang w:bidi="fa-IR"/>
        </w:rPr>
        <w:t xml:space="preserve">به نظر می‌رسد که محقّق قمی، معروف به صاحب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به سال</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کتاب خود، به نام قوانین الاصول نخستین کسی است که به تفصیل و بیش از دیگران، از دلیل عقلی بحث کرده است</w:t>
      </w:r>
      <w:r>
        <w:rPr>
          <w:rFonts w:eastAsia="IRNazanin" w:cs="IRNazanin"/>
          <w:color w:val="111111"/>
          <w:sz w:val="28"/>
          <w:szCs w:val="28"/>
          <w:rtl w:val="true"/>
          <w:lang w:bidi="fa-IR"/>
        </w:rPr>
        <w:t>.</w:t>
      </w:r>
    </w:p>
    <w:p>
      <w:pPr>
        <w:pStyle w:val="Heading5"/>
        <w:numPr>
          <w:ilvl w:val="4"/>
          <w:numId w:val="1"/>
        </w:numPr>
        <w:rPr/>
      </w:pPr>
      <w:bookmarkStart w:id="225" w:name="__RefHeading___Toc1014757_1479056682"/>
      <w:bookmarkStart w:id="226" w:name="_Toc83"/>
      <w:bookmarkEnd w:id="225"/>
      <w:r>
        <w:rPr>
          <w:rtl w:val="true"/>
        </w:rPr>
        <w:t>مباحث مقدّماتی دلیل عقلی</w:t>
      </w:r>
      <w:bookmarkEnd w:id="226"/>
    </w:p>
    <w:p>
      <w:pPr>
        <w:pStyle w:val="Heading6"/>
        <w:numPr>
          <w:ilvl w:val="5"/>
          <w:numId w:val="1"/>
        </w:numPr>
        <w:rPr/>
      </w:pPr>
      <w:bookmarkStart w:id="227" w:name="__RefHeading___Toc1014759_1479056682"/>
      <w:bookmarkStart w:id="228" w:name="_Toc84"/>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مهمترین مطالب و مباحثی که در مباحث مقدماتی بررسی می‌شود،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دلیل 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حسن و قبح و تصویر نزاع در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حسن و قبح ذاتی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ادراک حسن و قبح به وسیله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ملازمه عقلیه بین حکم عقل و حکم شرع</w:t>
      </w:r>
      <w:r>
        <w:rPr>
          <w:rFonts w:eastAsia="IRNazanin" w:cs="IRNazanin"/>
          <w:color w:val="111111"/>
          <w:sz w:val="28"/>
          <w:szCs w:val="28"/>
          <w:rtl w:val="true"/>
          <w:lang w:bidi="fa-IR"/>
        </w:rPr>
        <w:t>.</w:t>
      </w:r>
    </w:p>
    <w:p>
      <w:pPr>
        <w:pStyle w:val="Heading6"/>
        <w:numPr>
          <w:ilvl w:val="5"/>
          <w:numId w:val="1"/>
        </w:numPr>
        <w:rPr/>
      </w:pPr>
      <w:bookmarkStart w:id="229" w:name="__RefHeading___Toc1014761_1479056682"/>
      <w:bookmarkStart w:id="230" w:name="_Toc85"/>
      <w:bookmarkEnd w:id="229"/>
      <w:r>
        <w:rPr/>
        <w:t>1</w:t>
      </w:r>
      <w:r>
        <w:rPr>
          <w:rtl w:val="true"/>
        </w:rPr>
        <w:t xml:space="preserve"> - </w:t>
      </w:r>
      <w:r>
        <w:rPr>
          <w:rtl w:val="true"/>
        </w:rPr>
        <w:t>اقسام دلیل عقلی</w:t>
      </w:r>
      <w:bookmarkEnd w:id="230"/>
    </w:p>
    <w:p>
      <w:pPr>
        <w:pStyle w:val="BookText"/>
        <w:rPr/>
      </w:pPr>
      <w:r>
        <w:rPr>
          <w:rFonts w:ascii="IRNazanin" w:hAnsi="IRNazanin" w:eastAsia="IRNazanin"/>
          <w:color w:val="111111"/>
          <w:sz w:val="28"/>
          <w:sz w:val="28"/>
          <w:szCs w:val="28"/>
          <w:rtl w:val="true"/>
          <w:lang w:bidi="fa-IR"/>
        </w:rPr>
        <w:t>دلیل عقلی به دو قسم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مستقلاّت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مستقلاّت عقلیه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عقلیّه دارای دو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مستقلاّت عقلیّه، اموری است که از نظر عقل بدیهی باشند و نیازی به استدلال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درک اعظمیت کل از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مستقلات عقلیّه دلیل عقلی ای است که به صورت قیاس منطقی بوده و هر دو مقدمه آن عقلی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یحسن فعله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قضیه صغرای قیاس را تشکیل می‌دهد و از قضایای مشهوره مورد تطابق آرای محموده و پسندیده عقلاست و جای بحث آن در علم کلام است و در علم اصول از باب مقدمه کبرای قیاس از آن بحث 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کبرای قیاس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یحسن فعله عقلاً یحسن فعله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کبرای قیاس هم </w:t>
      </w:r>
      <w:bookmarkStart w:id="231" w:name="pg4331_48967"/>
    </w:p>
    <w:p>
      <w:pPr>
        <w:pStyle w:val="BookText"/>
        <w:rPr/>
      </w:pPr>
      <w:bookmarkEnd w:id="231"/>
      <w:r>
        <w:rPr>
          <w:rFonts w:ascii="IRNazanin" w:hAnsi="IRNazanin" w:eastAsia="IRNazanin"/>
          <w:color w:val="111111"/>
          <w:sz w:val="28"/>
          <w:sz w:val="28"/>
          <w:szCs w:val="28"/>
          <w:rtl w:val="true"/>
          <w:lang w:bidi="fa-IR"/>
        </w:rPr>
        <w:t>قضیه‌ای است عقلیه و بحث از آن، پایه و اساس تمام مباحث عقلی است و محلّ بحث آن علم اصول است و اساس بحث در این کبرا بحث از ملازمه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از دیدگاه عقل بین حکم عقل و حکم شرع ملازمه وجود دارد ؟ بدین معنی که عقل به حسن عدل حکم می‌کند، امّا آیا علاوه بر آن، عقل حکم می‌کند که عدل حسن شرعی هم دارد و حسن شرعی آن همان وجوب عدل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یکی از دو مقدمه قیاس، عقلی و مقدمه دیگر آن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از دلیل عقلی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که آن را غیر مستقلّ می‌نامند آن است که عقل به تنهایی در وصول به نتیجه، مستقلّ نیست، بلکه برای حصول نتیجه از حکم شرعی‌ای که در یکی از مقدمات قیاس آمده است، استعانت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قضیه صغرای قیاس است و محلّ بحث آن در علم فقه است، زیرا وجوب صلات از ناحیه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قیاس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واجب تجب مقدمته و نتیجه این قیاس، وجوب مقدمه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قیاس قضیه‌ای است عقلیه که محلّ بحث آن در علم اصول است و در حقیقت بحث از آن بحث از ملازمه عقلیه است که آیا از نظر عقل بین حکم عقل و حکم شرع ملازمه هست ؟</w:t>
      </w:r>
    </w:p>
    <w:p>
      <w:pPr>
        <w:pStyle w:val="BookText"/>
        <w:rPr/>
      </w:pPr>
      <w:r>
        <w:rPr>
          <w:rFonts w:ascii="IRNazanin" w:hAnsi="IRNazanin" w:eastAsia="IRNazanin"/>
          <w:color w:val="111111"/>
          <w:sz w:val="28"/>
          <w:sz w:val="28"/>
          <w:szCs w:val="28"/>
          <w:rtl w:val="true"/>
          <w:lang w:bidi="fa-IR"/>
        </w:rPr>
        <w:t xml:space="preserve">آنچه از مباحث عقلیّه مورد نظر است کبریات هر دو قسم از احکام عقلیّه است و بحث از کبریات، بحث از ملازمه عقلیه است و نتیجه هر دو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 و غیر مستقلاّت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قیاس دیگری را تشکیل می‌دهد و کبرای آن حجّیّت حکم عقل است که در جای خود بحث خواهد شد</w:t>
      </w:r>
      <w:r>
        <w:rPr>
          <w:rFonts w:eastAsia="IRNazanin" w:cs="IRNazanin"/>
          <w:color w:val="111111"/>
          <w:sz w:val="28"/>
          <w:szCs w:val="28"/>
          <w:rtl w:val="true"/>
          <w:lang w:bidi="fa-IR"/>
        </w:rPr>
        <w:t>.</w:t>
      </w:r>
    </w:p>
    <w:p>
      <w:pPr>
        <w:pStyle w:val="Heading6"/>
        <w:numPr>
          <w:ilvl w:val="5"/>
          <w:numId w:val="1"/>
        </w:numPr>
        <w:rPr/>
      </w:pPr>
      <w:bookmarkStart w:id="232" w:name="__RefHeading___Toc1014763_1479056682"/>
      <w:bookmarkStart w:id="233" w:name="_Toc86"/>
      <w:bookmarkEnd w:id="232"/>
      <w:r>
        <w:rPr/>
        <w:t>2</w:t>
      </w:r>
      <w:r>
        <w:rPr>
          <w:rtl w:val="true"/>
        </w:rPr>
        <w:t xml:space="preserve"> - </w:t>
      </w:r>
      <w:r>
        <w:rPr>
          <w:rtl w:val="true"/>
        </w:rPr>
        <w:t>حسن و قبح عقلی</w:t>
      </w:r>
      <w:bookmarkEnd w:id="23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این که آیا حسن و قبح افعال ذاتی است یا از ناحیه شارع است، بین علما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موجب نزاعی اساسی بین اشاعره و عدلیه شده است، که در علم کلام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تحسین و تقبیح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و مسأله عدالت الهی مبتنی بر </w:t>
      </w:r>
      <w:bookmarkStart w:id="234" w:name="pg4331_48968"/>
    </w:p>
    <w:p>
      <w:pPr>
        <w:pStyle w:val="BookText"/>
        <w:rPr/>
      </w:pPr>
      <w:bookmarkEnd w:id="234"/>
      <w:r>
        <w:rPr>
          <w:rFonts w:ascii="IRNazanin" w:hAnsi="IRNazanin" w:eastAsia="IRNazanin"/>
          <w:color w:val="111111"/>
          <w:sz w:val="28"/>
          <w:sz w:val="28"/>
          <w:szCs w:val="28"/>
          <w:rtl w:val="true"/>
          <w:lang w:bidi="fa-IR"/>
        </w:rPr>
        <w:t>حسن و قبح ذاتی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با انکار حسن و قبح ذاتی افعال در واقع عدالت الهی را منکر شده‌اند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مورد حسن و قبح افعال، حکمی ندارد، زیرا حسن و قبح افعال از امور حقیقی نیست که پیش از ورود بیان شارع، در افعال به عنوان مقوّم ذاتی موجود باشد، بلکه حسن و قبح افعال، وابسته به نظر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می‌گویند اگر شارع چیزی را تحسین کند، حَسَن است و اگر تقبیح کند، قبیح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یکی از مباحث آینده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احکام از مصالح و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نظر اشاعره بیشتر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از علما به عدالت الهی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شیعه و معتزله و به همین جهت به عدلیه مشهور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اعتقاد به عدالت الهی را براساس حسن و قبح ذاتی افعال بر مذهب خود بنا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افعال اختیاری انسان با قطع نظر از حکم شارع دارای مقوم ذاتی است و به طور کلّی افعال از نظر حسن و قبح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افعال فی نفسها دارای حسن‌اند و حسن مقوّم ذاتی آنهاست؛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 حسن جزء ذات آن است، یعنی صدق ذاتا حَسَن است و لذا خداوند به آن امر کرده‌است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دیگر از افعال فی نفسها دارای قبح‌اند،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ذاتا قبیح است و به خاطر قبح آن خداوند از آن نهی فرموده، نه این که بعد از نهی خداوند قبیح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سوم از افعال نسبت به حسن و قبح لااقتضاء هستند، یعنی در ذات آنها حسن و قبح نهفته نیست، مانند افعال مباح</w:t>
      </w:r>
      <w:r>
        <w:rPr>
          <w:rFonts w:eastAsia="IRNazanin" w:cs="IRNazanin"/>
          <w:color w:val="111111"/>
          <w:sz w:val="28"/>
          <w:szCs w:val="28"/>
          <w:rtl w:val="true"/>
          <w:lang w:bidi="fa-IR"/>
        </w:rPr>
        <w:t>.</w:t>
      </w:r>
    </w:p>
    <w:p>
      <w:pPr>
        <w:pStyle w:val="Heading6"/>
        <w:numPr>
          <w:ilvl w:val="5"/>
          <w:numId w:val="1"/>
        </w:numPr>
        <w:rPr/>
      </w:pPr>
      <w:bookmarkStart w:id="235" w:name="__RefHeading___Toc1014765_1479056682"/>
      <w:bookmarkStart w:id="236" w:name="_Toc87"/>
      <w:bookmarkEnd w:id="235"/>
      <w:r>
        <w:rPr/>
        <w:t>3</w:t>
      </w:r>
      <w:r>
        <w:rPr>
          <w:rtl w:val="true"/>
        </w:rPr>
        <w:t xml:space="preserve"> - </w:t>
      </w:r>
      <w:r>
        <w:rPr>
          <w:rtl w:val="true"/>
        </w:rPr>
        <w:t>معنای حسن و قبح و تصویر نزاع در آن</w:t>
      </w:r>
      <w:bookmarkEnd w:id="23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دو مطلب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معنی حسن و قبح است و مطلب دوم آن است که حسن و قبح به کدام معنی مورد نزاع اشاعره و عدلیه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به سه معنی استعمال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قبح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حسن و قبح بدین معنی صفت</w:t>
      </w:r>
    </w:p>
    <w:p>
      <w:pPr>
        <w:pStyle w:val="BookText"/>
        <w:rPr/>
      </w:pPr>
      <w:r>
        <w:rPr>
          <w:rFonts w:ascii="IRNazanin" w:hAnsi="IRNazanin" w:eastAsia="IRNazanin"/>
          <w:color w:val="111111"/>
          <w:sz w:val="28"/>
          <w:sz w:val="28"/>
          <w:szCs w:val="28"/>
          <w:rtl w:val="true"/>
          <w:lang w:bidi="fa-IR"/>
        </w:rPr>
        <w:t>برای افعال اختیاری و نیز صفت برای متعلقات افعال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الجهل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اهمالُ التعلیم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حسن علم و تعلّم و قبح جهل و اهمال تعلّم، آن است که علم و تعلم مایه کمال نفس و جهل و اهمال تعلم، موجب نقصان و عقب ماندگی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قبح بسیاری از اخلاقیات انسان به اعتبار همین معنی است، مثلاً صفاتی مانند شجاعت و کرم و حلم و عدالت به اعتبار این که موجب کمال نفس اند، دارای حسن می‌باشند و صفاتی مانند جبن و بخل و ظلم به اعتبار این که موجب نقصان نفس اند، قبیح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اشاعره حسن و قبح به معنای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داشته و در آن نزاعی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ملائمت بانفس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قبح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منافرت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شی‌ء حَسن آن است که ملائم با نفس باشد و نفس از آن لذت ببرد و شی‌ء قبیح آن است که منافر با نفس باشد و نفس از آن متنفر و متألّم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می‌گوییم این صوت و یا این</w:t>
      </w:r>
    </w:p>
    <w:p>
      <w:pPr>
        <w:pStyle w:val="BookText"/>
        <w:rPr/>
      </w:pPr>
      <w:r>
        <w:rPr>
          <w:rFonts w:ascii="IRNazanin" w:hAnsi="IRNazanin" w:eastAsia="IRNazanin"/>
          <w:color w:val="111111"/>
          <w:sz w:val="28"/>
          <w:sz w:val="28"/>
          <w:szCs w:val="28"/>
          <w:rtl w:val="true"/>
          <w:lang w:bidi="fa-IR"/>
        </w:rPr>
        <w:t>منظره زیبا و دارای حُسن است، چون ملائم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می‌گوییم این منظره، یا این</w:t>
      </w:r>
    </w:p>
    <w:p>
      <w:pPr>
        <w:pStyle w:val="BookText"/>
        <w:rPr/>
      </w:pPr>
      <w:r>
        <w:rPr>
          <w:rFonts w:ascii="IRNazanin" w:hAnsi="IRNazanin" w:eastAsia="IRNazanin"/>
          <w:color w:val="111111"/>
          <w:sz w:val="28"/>
          <w:sz w:val="28"/>
          <w:szCs w:val="28"/>
          <w:rtl w:val="true"/>
          <w:lang w:bidi="fa-IR"/>
        </w:rPr>
        <w:t>صوت کریه و قبیح است، چون با نفس منافرت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قبح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گفته می‌شود این فعل حَسَن است، یعنی فاعل آن از نظر عقلا مستحقّ مدح و ثواب است و قبیح فعلی است که فاعل آن از نظر عقلا مستحق مذمت و عقاب است، در نتیجه فعل و عمل انسان به اعتبار مدح و ذمّ عقلا و به تبع حکم عقلا واجد حسن و قبح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و ترک آن فعل و حسن و قبح آن به اعتبار حکم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سوم محلّ نزاع اشاعره و عدلیّه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این است که آیا عقل حسن و قبح افعال را درک می‌کند، یا نه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نمی‌تواند حسن و قبح افعال را درک کند، ولی عدلیّه می‌گویند </w:t>
      </w:r>
      <w:bookmarkStart w:id="237" w:name="pg4331_48970"/>
    </w:p>
    <w:p>
      <w:pPr>
        <w:pStyle w:val="BookText"/>
        <w:rPr/>
      </w:pPr>
      <w:bookmarkEnd w:id="237"/>
      <w:r>
        <w:rPr>
          <w:rFonts w:ascii="IRNazanin" w:hAnsi="IRNazanin" w:eastAsia="IRNazanin"/>
          <w:color w:val="111111"/>
          <w:sz w:val="28"/>
          <w:sz w:val="28"/>
          <w:szCs w:val="28"/>
          <w:rtl w:val="true"/>
          <w:lang w:bidi="fa-IR"/>
        </w:rPr>
        <w:t>عقل توان آن را دارد که حسن فعل و در نتیجه مدح و ثواب فاعل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عقل می‌تواند قبح فعل و در نتیجه استحقاق مذمت و عقاب فاعل آن را درک کند</w:t>
      </w:r>
      <w:r>
        <w:rPr>
          <w:rFonts w:eastAsia="IRNazanin" w:cs="IRNazanin"/>
          <w:color w:val="111111"/>
          <w:sz w:val="28"/>
          <w:szCs w:val="28"/>
          <w:rtl w:val="true"/>
          <w:lang w:bidi="fa-IR"/>
        </w:rPr>
        <w:t>.</w:t>
      </w:r>
    </w:p>
    <w:p>
      <w:pPr>
        <w:pStyle w:val="Heading6"/>
        <w:numPr>
          <w:ilvl w:val="5"/>
          <w:numId w:val="1"/>
        </w:numPr>
        <w:rPr/>
      </w:pPr>
      <w:bookmarkStart w:id="238" w:name="__RefHeading___Toc1014767_1479056682"/>
      <w:bookmarkStart w:id="239" w:name="_Toc88"/>
      <w:bookmarkEnd w:id="238"/>
      <w:r>
        <w:rPr/>
        <w:t>4</w:t>
      </w:r>
      <w:r>
        <w:rPr>
          <w:rtl w:val="true"/>
        </w:rPr>
        <w:t xml:space="preserve"> - </w:t>
      </w:r>
      <w:r>
        <w:rPr>
          <w:rtl w:val="true"/>
        </w:rPr>
        <w:t>معنای حسن و قبح ذاتی</w:t>
      </w:r>
      <w:bookmarkEnd w:id="239"/>
    </w:p>
    <w:p>
      <w:pPr>
        <w:pStyle w:val="BookText"/>
        <w:rPr/>
      </w:pPr>
      <w:r>
        <w:rPr>
          <w:rFonts w:ascii="IRNazanin" w:hAnsi="IRNazanin" w:eastAsia="IRNazanin"/>
          <w:color w:val="111111"/>
          <w:sz w:val="28"/>
          <w:sz w:val="28"/>
          <w:szCs w:val="28"/>
          <w:rtl w:val="true"/>
          <w:lang w:bidi="fa-IR"/>
        </w:rPr>
        <w:t xml:space="preserve">حسن و قبح به 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قسم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افعال اختیاری انسان از نظر دارا بودن حسن و قبح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افعالی که خود علّت حسن و قبح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این افعال را حسن و قبح ذاتی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باشد، حسن و قبح موجود است و فاعل عدل ممدوح و نزد عقلا نیکوکار به حساب می‌آید و فاعل ظلم مذموم و در نزد عقلا گنهکار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افعالی که خود مقتضی حسن و قبح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این افعال را حسن و قبح عرضی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تعظیم و یا تحقیر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دوست لوخُلّی و نفسَه، اقتضای حسن دارد، یعنی عملی حَسَن است و فاعل آن ممدوح می‌باشد و تحقیر دوست لوخلّی و طبعه مقتضی قبح است و فاعل آن مذموم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عنوان دیگری بر تعظیم دوست عارض شود، ممکن است حسن خود را از دست بدهد و قبیح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تعظیم دوست باعث ظلم یا اهانت به شخص ثالثی شود، قبیح و مذموم خواهد بود، به خلاف عدل که همیشه دارای حسن است و با صدق عنوان عدل، محال است که دارای قبح شود و همچنین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با صدق این عنوان دارای حسن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افعالی که نه علّت حسن و قبح اند و نه اقتضای حسن و قبح دارند، بلکه نسبت به حسن و قبح، لااقتضاء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تحت عنوان تأدیب باشد، دارای حسن است و اگر تحت عنوان ظلم یا تشفّی باشد، دارای قبح خواهد بود و نیز ممکن است نه حَسَن باشد و نه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ضرب موجود بی‌جان</w:t>
      </w:r>
      <w:r>
        <w:rPr>
          <w:rFonts w:eastAsia="IRNazanin" w:cs="IRNazanin"/>
          <w:color w:val="111111"/>
          <w:sz w:val="28"/>
          <w:szCs w:val="28"/>
          <w:rtl w:val="true"/>
          <w:lang w:bidi="fa-IR"/>
        </w:rPr>
        <w:t>.</w:t>
      </w:r>
    </w:p>
    <w:p>
      <w:pPr>
        <w:pStyle w:val="Heading6"/>
        <w:numPr>
          <w:ilvl w:val="5"/>
          <w:numId w:val="1"/>
        </w:numPr>
        <w:rPr/>
      </w:pPr>
      <w:bookmarkStart w:id="240" w:name="__RefHeading___Toc1014769_1479056682"/>
      <w:bookmarkStart w:id="241" w:name="_Toc89"/>
      <w:bookmarkEnd w:id="240"/>
      <w:r>
        <w:rPr/>
        <w:t>5</w:t>
      </w:r>
      <w:r>
        <w:rPr>
          <w:rtl w:val="true"/>
        </w:rPr>
        <w:t xml:space="preserve"> - </w:t>
      </w:r>
      <w:r>
        <w:rPr>
          <w:rtl w:val="true"/>
        </w:rPr>
        <w:t>ادراک حسن و قبح به وسیله عقل</w:t>
      </w:r>
      <w:bookmarkEnd w:id="24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قبلی بیان شد که افعال انسان فی حد نفسها و با قطع نظر از حکم شارع، </w:t>
      </w:r>
      <w:bookmarkStart w:id="242" w:name="pg4331_48971"/>
    </w:p>
    <w:p>
      <w:pPr>
        <w:pStyle w:val="BookText"/>
        <w:rPr/>
      </w:pPr>
      <w:bookmarkEnd w:id="242"/>
      <w:r>
        <w:rPr>
          <w:rFonts w:ascii="IRNazanin" w:hAnsi="IRNazanin" w:eastAsia="IRNazanin"/>
          <w:color w:val="111111"/>
          <w:sz w:val="28"/>
          <w:sz w:val="28"/>
          <w:szCs w:val="28"/>
          <w:rtl w:val="true"/>
          <w:lang w:bidi="fa-IR"/>
        </w:rPr>
        <w:t xml:space="preserve">دارای حسن و قبح عقلی است و نیز بیان شد که حسن و قبح به معنی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نزاع اشاعره و عدلیه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 در این است که بعد از ثبوت حسن و قبح برای افعال، آیا عقل می‌تواند حسن و قبح افعال را درک کند؟</w:t>
      </w:r>
    </w:p>
    <w:p>
      <w:pPr>
        <w:pStyle w:val="BookText"/>
        <w:rPr/>
      </w:pPr>
      <w:r>
        <w:rPr>
          <w:rFonts w:ascii="IRNazanin" w:hAnsi="IRNazanin" w:eastAsia="IRNazanin"/>
          <w:color w:val="111111"/>
          <w:sz w:val="28"/>
          <w:sz w:val="28"/>
          <w:szCs w:val="28"/>
          <w:rtl w:val="true"/>
          <w:lang w:bidi="fa-IR"/>
        </w:rPr>
        <w:t>بعضی از علما به گروهی از اخباریین نسبت داده‌اند که آنان درک حسن و قبح افعال را به وسیله عقل، انکار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مسلم است، این است که اجمالاً بعضی از اخباریها اعتماد به ادراکات عقلی را به منظور اثبات حکم شرعی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w:t>
      </w:r>
    </w:p>
    <w:p>
      <w:pPr>
        <w:pStyle w:val="BookText"/>
        <w:rPr/>
      </w:pPr>
      <w:r>
        <w:rPr>
          <w:rFonts w:ascii="IRNazanin" w:hAnsi="IRNazanin" w:eastAsia="IRNazanin"/>
          <w:color w:val="111111"/>
          <w:sz w:val="28"/>
          <w:sz w:val="28"/>
          <w:szCs w:val="28"/>
          <w:rtl w:val="true"/>
          <w:lang w:bidi="fa-IR"/>
        </w:rPr>
        <w:t>اخباریها به یکی از سه وجه زیر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انکار ایشان، انکار ادراک حسن و قبح به وسیله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اخباریین بعد از اعتراف به این که عقل قادر به ادراک حسن و قبح است، ملازمه بین حکم عقل و حکم شرع را انکار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اخباریین به ثبوت حسن و قبح واقعی معترفند و نیز اعتراف دارند که عقل می‌تواند حسن و قبح را درک کند و همچنین ملازمه بین حکم عقل و حکم شرع را می‌پذیرند، لکن حکم شرعی حاصله از طریق ملازمه عقلیه را لازم‌الاتّباع و واجب الاطاعه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مرجع تفسیر سوم به انکار حجّیّت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حجّیّت عقل بعدا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به بررسی تفسیر اوّل می‌پردازیم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اعتراف به ثبوت حسن و قبح عقلی بگویند عقل نمی‌تواند حسن و قبح را درک کند، سخن باطلی گفته‌اند، زیرا قبلاً بیان کردیم که حسن و قبح عقلی به معنی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جز ادراک عقلا و تطابق آرای عقلا بر مدح فاعل حُسن و ذمّ فاعل قُبح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اعتراف به ثبوت حسن و قبح به معنی سوم، خود به خود اعتراف به ادراک عقل نسبت به حسن و قبح است و تفکیک بین ثبوت حسن و قبح و بین ادراک آن دو به وسیله عقل معنایی ندارد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3" w:name="__RefHeading___Toc1014771_1479056682"/>
      <w:bookmarkStart w:id="244" w:name="_Toc90"/>
      <w:bookmarkEnd w:id="243"/>
      <w:r>
        <w:rPr/>
        <w:t>6</w:t>
      </w:r>
      <w:r>
        <w:rPr>
          <w:rtl w:val="true"/>
        </w:rPr>
        <w:t xml:space="preserve"> - </w:t>
      </w:r>
      <w:r>
        <w:rPr>
          <w:rtl w:val="true"/>
        </w:rPr>
        <w:t>ملازمه عقلیّه بین حکم عقل و حکم شرع</w:t>
      </w:r>
      <w:bookmarkStart w:id="245" w:name="pg4331_48972"/>
      <w:bookmarkEnd w:id="244"/>
    </w:p>
    <w:p>
      <w:pPr>
        <w:pStyle w:val="BookText"/>
        <w:rPr/>
      </w:pPr>
      <w:bookmarkEnd w:id="245"/>
      <w:r>
        <w:rPr>
          <w:rFonts w:ascii="IRNazanin" w:hAnsi="IRNazanin" w:eastAsia="IRNazanin"/>
          <w:color w:val="111111"/>
          <w:sz w:val="28"/>
          <w:sz w:val="28"/>
          <w:szCs w:val="28"/>
          <w:rtl w:val="true"/>
          <w:lang w:bidi="fa-IR"/>
        </w:rPr>
        <w:t>یکی از مباحث مهم و اساسی در مباحث دلیل عقلی، بحث از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بحث این است که آیا ملازمه عقلی بین حکم عقل و حکم شرع وجود دارد ؟</w:t>
      </w:r>
    </w:p>
    <w:p>
      <w:pPr>
        <w:pStyle w:val="BookText"/>
        <w:rPr/>
      </w:pPr>
      <w:r>
        <w:rPr>
          <w:rFonts w:ascii="IRNazanin" w:hAnsi="IRNazanin" w:eastAsia="IRNazanin"/>
          <w:color w:val="111111"/>
          <w:sz w:val="28"/>
          <w:sz w:val="28"/>
          <w:szCs w:val="28"/>
          <w:rtl w:val="true"/>
          <w:lang w:bidi="fa-IR"/>
        </w:rPr>
        <w:t>معنی ملازمه عقلیّه این است که هرگاه عقل به حسن یا قبح چیزی حکم کند، آیا عقلاً لازم است که شرع هم طبق عقل حکم کند ؟ به عبارت دیگر آیا این قاعده که اصولیین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العقلُ، حَکَم به الشَرْعُ، درست است؟ آیا از این قاعده و عکس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الشرعُ، حَکَم به العقلُ، می‌توان قاعده کلّی به دست آورد و گفت هر آنچه عقل بدان حکم کند، شرع نیز بدان حکم می‌کند ؟ در حقیقت اصل مسأله اصولی ما همین مسأله ملازمه است و بحثهای قبلی در واقع مقدمات مسأله ملازمه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گفتیم بعضی از اخباریین ملازمه عقلیه را انکار کرده‌اند و از علمای اصول تنها صاحب فصول آن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آن است که ملازمه عقلیه بین حکم</w:t>
      </w:r>
    </w:p>
    <w:p>
      <w:pPr>
        <w:pStyle w:val="BookText"/>
        <w:rPr/>
      </w:pPr>
      <w:r>
        <w:rPr>
          <w:rFonts w:ascii="IRNazanin" w:hAnsi="IRNazanin" w:eastAsia="IRNazanin"/>
          <w:color w:val="111111"/>
          <w:sz w:val="28"/>
          <w:sz w:val="28"/>
          <w:szCs w:val="28"/>
          <w:rtl w:val="true"/>
          <w:lang w:bidi="fa-IR"/>
        </w:rPr>
        <w:t>عقل و حکم شرع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 ثابت کردیم که حسن و قبح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عقل، حسن و قبح را درک می‌کند و نتیجه این دو امر این می‌شود که ملازمه بین حکم عقل و حکم شرع موجود است، بلکه باید گفت مسأله حسن و قبح اشیاء با مسأله تلازم بین حکم عقل و حکم شرع دو مسأله جدای از هم نیست، بلکه هر دو مسأله، شی‌ء واحدی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معنای پذیرفتن حسن و قبح عقلی اشیاء و این که عقلا حسن و قبح اشیاء را درک می‌کنند، این است که شارع هم چون احدالعقلاء و بلکه رئیس العقلاء است، حسن و قبح آنها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مسأله ثبوت حسن و قبح و درک آن به وسیله عقلا و مسأله تلازم بین حکم عقل و حکم شارع، مسأله واحدی است و لذا اکثر علمای اصول و علمای کلام، هر دو مسأله را مسأله واحدی دانسته و عنوان مسأله را همان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تحسین و تقبیح عقلی‌قرار داده‌اند</w:t>
      </w:r>
      <w:r>
        <w:rPr>
          <w:rFonts w:eastAsia="IRNazanin" w:cs="IRNazanin"/>
          <w:color w:val="111111"/>
          <w:sz w:val="28"/>
          <w:szCs w:val="28"/>
          <w:rtl w:val="true"/>
          <w:lang w:bidi="fa-IR"/>
        </w:rPr>
        <w:t>.</w:t>
      </w:r>
    </w:p>
    <w:p>
      <w:pPr>
        <w:pStyle w:val="Heading5"/>
        <w:numPr>
          <w:ilvl w:val="4"/>
          <w:numId w:val="1"/>
        </w:numPr>
        <w:rPr/>
      </w:pPr>
      <w:bookmarkStart w:id="246" w:name="__RefHeading___Toc1014773_1479056682"/>
      <w:bookmarkStart w:id="247" w:name="_Toc91"/>
      <w:bookmarkEnd w:id="246"/>
      <w:r>
        <w:rPr>
          <w:rtl w:val="true"/>
        </w:rPr>
        <w:t>تعریف دلیل عقلی</w:t>
      </w:r>
      <w:bookmarkEnd w:id="24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اصولیّین شیعه، عقل یکی از ادلّه اربعه برای استنباط احکام شرعی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استاد مظفر، دلیل عقلی را به عنوان یکی از ادلّه احکام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 عبارت است از هر حکم عقلی‌ای که موجب قطع و یقین به حکم شرعی گردد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سپس به بیان دیگر در تعریف دلیل عقلی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 عبارت است از هر قضیّه‌ای عقلی که به وسیله آن علم قطعی به حکم شرعی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تعریف مذکور، مشخص می‌شود که دلیل عقلی وقتی به عنوان یک دلیل مستقلّ بر حکم شرعی مطرح است که موجب قطع و یقین به حکم شرعی شود، که در این صورت چون حجّیّت قطع ذاتی است، احتیاج به چیزی که حجّیّت آن را ثابت کند، ندارد و تنها در چنین صورتی است که دلیل عقلی می‌تواند مستقلاً در عرض کتاب و سنت، دلیل بر حکم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دلیل عقلی مفید ظنّ به حکم شرعی باشد، نیاز به مُثبِت حجّیّت دارد و اثبات حجّیّت باید از ناحیه شرع باشد، که یا به وسیله آیات است و یا به</w:t>
      </w:r>
    </w:p>
    <w:p>
      <w:pPr>
        <w:pStyle w:val="BookText"/>
        <w:rPr/>
      </w:pPr>
      <w:r>
        <w:rPr>
          <w:rFonts w:ascii="IRNazanin" w:hAnsi="IRNazanin" w:eastAsia="IRNazanin"/>
          <w:color w:val="111111"/>
          <w:sz w:val="28"/>
          <w:sz w:val="28"/>
          <w:szCs w:val="28"/>
          <w:rtl w:val="true"/>
          <w:lang w:bidi="fa-IR"/>
        </w:rPr>
        <w:t>وسیله روایات و در نتیجه بازگشت دلیل عقلی به کتاب و سنّت خواهد بود و استقلال خود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پس از تعریف دلیل عقلی برای آن که کاملاً ابهام و اجمال از دلیل عقلی برطرف شود، سه مطلب را به عنوان سه مقدمه ذکر می‌کند و بعد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و عقل عملی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تقسیم به اعتبار مدرکات عقل است والاّ در واقع دو عقل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عقل نظری ادراک چیزی است که باید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ما یَنْبعی أن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ادراک اموری که واقعیت دارند، مانند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بزرگی کل نسبت به جزء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عقل عملی ادراک چیزی است که باید عمل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ما ینبعی أن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حکم می‌کند که فلان عمل باید انجام شود یا باید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عقل حکم می‌کند به انجام عدالت و ترک ظلم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عقل نظری حسن عدل و قبح ظلم را درک می‌کند و عقل عملی حکم می‌کند که باید عدالت انجام و ظلم ترک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عقلی که به عنوان حجت و دلیل اثبات حکم شرعی مطرح است، کدام یک از دو قسم عقل است ؟</w:t>
      </w:r>
    </w:p>
    <w:p>
      <w:pPr>
        <w:pStyle w:val="BookText"/>
        <w:rPr/>
      </w:pPr>
      <w:r>
        <w:rPr>
          <w:rFonts w:ascii="IRNazanin" w:hAnsi="IRNazanin" w:eastAsia="IRNazanin"/>
          <w:color w:val="111111"/>
          <w:sz w:val="28"/>
          <w:sz w:val="28"/>
          <w:szCs w:val="28"/>
          <w:rtl w:val="true"/>
          <w:lang w:bidi="fa-IR"/>
        </w:rPr>
        <w:t>اگر مراد عقل نظری باشد، عقل مستقیما و بدون درک ملازمه بین حکم عقل و حکم شرع نمی‌تواند به حکم شرعی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عقل نظری نمی‌تواند درک کند که فلان عمل از نظر شارع خوب است و فلان عمل بد است، به خاطر آن که احکام شرعی توقیفی است، یعنی باید از طریق مبلغین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 و ائمه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کسانی که حجّیّت عقل را انکار کرده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سمعیّه با عقول درک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منظورشان همین باشد که عقل نظری مستقیما و مستقلاً نمی‌تواند احکام شرعی را درک کند، حق با آنهاست، زیرا عقل نظری مستقلاً نمی‌تواند احکام و ملاکات آنها را درک کند و شاید بعضی از اخباریین و یا صاحب فصول که منکر ملازمه بین حکم عقل و حکم شرع شده‌اند، منظورشان همین معنی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عقل نظری از طریق درک ملازمه بین حکم عقل و حکم شرع می‌تواند حکم شرعی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وجوب ذی المقدمه به وسیله شارع ثابت شده و عقل نظری بین وجوب ذی المقدمه و وجوب مقدمه ملازمه را درک می‌کند و بدین وسیله وجوب مقدمه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مقدمه دوم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نظری ابتداءا و مستقلاً نمی‌تواند حکم شرعی را درک کند، ولی از طریق درک ملازمه بین حکم عقل و حکم شرع می‌تواند نسبت به حکم شرعی به قطع و یقین برسد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تاکنون گفته شد بنا بر آن بود که منظور از عقل، عقل نظری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از دلیل عقلی، عقل عملی باشد، عقل عملی نیز به طور مستقلّ و بدون استعانت از ملازمه ممکن نیست که بتواند تشخیص دهد که فلان عمل فی نفسه دارای مصلحت است و باید انجام شود و یا دارای مفسده است و باید ترک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عملی هرگز نمی‌تواند نظر شارع و بلکه نظر هیچ حاکم دیگری را در زمینه فعل یا ترک یک عمل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عقل عملی فقط می‌تواند نظر خود را در مورد فعل یا ترک اعلام کند و نمی‌تواند حاکی از نظر حاکم دیگری باشد</w:t>
      </w:r>
      <w:r>
        <w:rPr>
          <w:rFonts w:eastAsia="IRNazanin" w:cs="IRNazanin"/>
          <w:color w:val="111111"/>
          <w:sz w:val="28"/>
          <w:szCs w:val="28"/>
          <w:rtl w:val="true"/>
          <w:lang w:bidi="fa-IR"/>
        </w:rPr>
        <w:t xml:space="preserve">. </w:t>
      </w:r>
      <w:bookmarkStart w:id="248" w:name="pg4331_48975"/>
    </w:p>
    <w:p>
      <w:pPr>
        <w:pStyle w:val="Heading5"/>
        <w:numPr>
          <w:ilvl w:val="4"/>
          <w:numId w:val="1"/>
        </w:numPr>
        <w:rPr/>
      </w:pPr>
      <w:bookmarkStart w:id="249" w:name="__RefHeading___Toc1014775_1479056682"/>
      <w:bookmarkStart w:id="250" w:name="_Toc92"/>
      <w:bookmarkEnd w:id="248"/>
      <w:bookmarkEnd w:id="249"/>
      <w:r>
        <w:rPr>
          <w:rtl w:val="true"/>
        </w:rPr>
        <w:t>نتیجه بحث</w:t>
      </w:r>
      <w:bookmarkEnd w:id="250"/>
    </w:p>
    <w:p>
      <w:pPr>
        <w:pStyle w:val="BookText"/>
        <w:rPr/>
      </w:pPr>
      <w:r>
        <w:rPr>
          <w:rFonts w:ascii="IRNazanin" w:hAnsi="IRNazanin" w:eastAsia="IRNazanin"/>
          <w:color w:val="111111"/>
          <w:sz w:val="28"/>
          <w:sz w:val="28"/>
          <w:szCs w:val="28"/>
          <w:rtl w:val="true"/>
          <w:lang w:bidi="fa-IR"/>
        </w:rPr>
        <w:t>در مورد چگونگی کشف حکم شرعی به وسیله حکم عقل، خلاصه مقدّمات سه گانه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عقل عملی حسن فعلی مثل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قبح فعلی مثل ظلم را درک می‌کند، به دنبال آن عقل نظری برای درک ملازمه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نظری گاهی ملازمه بین حکم عقل عملی و حکم شارع را درک می‌کند و گاهی ملازمه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حکم به چنین ملازمه‌ای نمی‌کند، مگر درخصوص مسأله تحسین و تقبیح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درخصوص مسأله حسن و قبح عقلی که مورد تطابق آرای عقلاست، عقل عملی حسن عدالت و قبح ظلم را درک می‌کند و عقل نظری ملازمه بین حکم عقل عملی را بر انجام عدالت و ترک ظلم و بین حکم شارع به وجوب عدالت و حرمت ظلم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عقل عملی حکم می‌کند که عدالت باید انجام و ظلم باید ترک شود و بدین وسیله صغرای قیاس تشکیل می‌شود، صغری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مایَنْبغی فِعْلُه و الظلمُ ما یَنْبغی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عقل نظری کبرای قیاس را به وجود می‌آورد،</w:t>
      </w:r>
    </w:p>
    <w:p>
      <w:pPr>
        <w:pStyle w:val="BookText"/>
        <w:rPr/>
      </w:pPr>
      <w:r>
        <w:rPr>
          <w:rFonts w:ascii="Amiri" w:hAnsi="Amiri" w:eastAsia="Amiri" w:cs="Amiri"/>
          <w:color w:val="111111"/>
          <w:sz w:val="28"/>
          <w:sz w:val="28"/>
          <w:szCs w:val="28"/>
          <w:rtl w:val="true"/>
          <w:lang w:bidi="ar-SA"/>
        </w:rPr>
        <w:t>کبری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حَکَم العقلُ بِفعْله أوْبِترکه، حکم الشرعُ بوجوبه او بحرمته</w:t>
      </w:r>
    </w:p>
    <w:p>
      <w:pPr>
        <w:pStyle w:val="BookText"/>
        <w:rPr/>
      </w:pPr>
      <w:r>
        <w:rPr>
          <w:rFonts w:ascii="IRNazanin" w:hAnsi="IRNazanin" w:eastAsia="IRNazanin"/>
          <w:color w:val="111111"/>
          <w:sz w:val="28"/>
          <w:sz w:val="28"/>
          <w:szCs w:val="28"/>
          <w:rtl w:val="true"/>
          <w:lang w:bidi="fa-IR"/>
        </w:rPr>
        <w:t>از ضمّ آن صغری به این کبری نتیجه می‌گیریم که از نظر شارع عدالت واجب و ظلم حرام است و بدین سان با دلیل عقلی حکم شرعی به اثبات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همان طور که گفته شد درک ملازمه به وسیله عقل نظری، درخصوص مسأله حسن و قبح عقلی است که مورد تطابق آرای عقلاست، اما در بقیّه موارد عقل نظری ملازمه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 xml:space="preserve">در مورد اطاعت خداوند عقل عملی حکم به اطاعت می‌کند ولی عقل نظری ملازمه‌ای را درک نمی‌کند، چون مورد تطابق آرای عقلا نیست و لذا در مورد اطاعت خداوند امر مولوی نداریم و امری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ارشادی است که ارشاد به همان حکم عقل است</w:t>
      </w:r>
      <w:r>
        <w:rPr>
          <w:rFonts w:eastAsia="IRNazanin" w:cs="IRNazanin"/>
          <w:color w:val="111111"/>
          <w:sz w:val="28"/>
          <w:szCs w:val="28"/>
          <w:rtl w:val="true"/>
          <w:lang w:bidi="fa-IR"/>
        </w:rPr>
        <w:t>.</w:t>
      </w:r>
    </w:p>
    <w:p>
      <w:pPr>
        <w:pStyle w:val="Heading5"/>
        <w:numPr>
          <w:ilvl w:val="4"/>
          <w:numId w:val="1"/>
        </w:numPr>
        <w:rPr/>
      </w:pPr>
      <w:bookmarkStart w:id="251" w:name="__RefHeading___Toc1014777_1479056682"/>
      <w:bookmarkStart w:id="252" w:name="_Toc93"/>
      <w:bookmarkEnd w:id="251"/>
      <w:r>
        <w:rPr>
          <w:rtl w:val="true"/>
        </w:rPr>
        <w:t>وجه حجّیّت عقل</w:t>
      </w:r>
      <w:bookmarkEnd w:id="25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تعریف دلیل عقلی گفته شد که دلیل عقلی عبارت است از هر حکم عقلی که </w:t>
      </w:r>
      <w:bookmarkStart w:id="253" w:name="pg4331_48976"/>
    </w:p>
    <w:p>
      <w:pPr>
        <w:pStyle w:val="BookText"/>
        <w:rPr/>
      </w:pPr>
      <w:bookmarkEnd w:id="253"/>
      <w:r>
        <w:rPr>
          <w:rFonts w:ascii="IRNazanin" w:hAnsi="IRNazanin" w:eastAsia="IRNazanin"/>
          <w:color w:val="111111"/>
          <w:sz w:val="28"/>
          <w:sz w:val="28"/>
          <w:szCs w:val="28"/>
          <w:rtl w:val="true"/>
          <w:lang w:bidi="fa-IR"/>
        </w:rPr>
        <w:t>موجب قطع و یقین به حکم شرعی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 حجّیّت دلیل عقلی تردید ناپذیر است، زیرا دلیل عقلی موجب قطع و یقین به حکم شرعی است و حجّیّت قطع ذاتی است و سلب حجّیّت از آن نامعقول و غیرممکن است، چنان که جعل حجّیّت هم برای آن غیر ممکن است و حتّی در مقایسه با کتاب و سنّت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 از نظر حجّیّت از کتاب و سنّت قوی‌تر است، زیرا کتاب از حیث صدور گرچه قطعی است، اما از حیث دلالت ظنی می‌باشد، زیرا از نظر دلالت بر احکام از ظواهر کتاب استفاده می‌کنیم و ظاهر موجب ظنّ به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حجّیّت ظواهر اعم از ظواهر کتاب و سنّت و هر ظاهری، حجّیّت جعلیه است، یعنی حجّیّت آنها ذاتی نیست، بلکه شارع برای آنها جعل حجّیّت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بعضی از بزرگان، مانند مرحوم نائینی ظواهر الفاظ موجب کشف تامّ از حکم شرعی نیست و حجّیّت آنها نیازمند به متمم کشف است و با تتمیم کشف حجّیّت آنها کامل می‌شود، یعنی در عالم اعتبار تشریعی، شارع کشف ناقص ظواهر را کشف تام حساب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حجّیّت ظواهر از راه تتمیم کشف درست می‌شود، اما حجّیّت قطع ذاتی است و نیازی به متمم جعل و متمم کشف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وسیله دلیل عقلی نسبت به حکم شرعی، قطع و یقین حاصل شود، باید طبق آن عمل شود و اصولاً آیا جز این است که اصل دین و شریعت توسط عقل ثابت می‌شود، آیا توحید و نبوّت جز با عقل ثابت می‌شود ؟</w:t>
      </w:r>
    </w:p>
    <w:p>
      <w:pPr>
        <w:pStyle w:val="BookText"/>
        <w:rPr/>
      </w:pPr>
      <w:r>
        <w:rPr>
          <w:rFonts w:ascii="IRNazanin" w:hAnsi="IRNazanin" w:eastAsia="IRNazanin"/>
          <w:color w:val="111111"/>
          <w:sz w:val="28"/>
          <w:sz w:val="28"/>
          <w:szCs w:val="28"/>
          <w:rtl w:val="true"/>
          <w:lang w:bidi="fa-IR"/>
        </w:rPr>
        <w:t>خلاصه این که، اثبات اصل شریعت و توحید و نبوّت و تمامی اصول دین در گرو عقل است و اگر عقل را از صحنه استدلال خارج کنیم، تصدیق به رسالت و ایمان به شریعت مورد تردید واقع می‌شود که در نتیجه ثابت می‌شود عقل در پاره‌ای از احکام، خود دلیل</w:t>
      </w:r>
    </w:p>
    <w:p>
      <w:pPr>
        <w:pStyle w:val="BookText"/>
        <w:rPr/>
      </w:pPr>
      <w:r>
        <w:rPr>
          <w:rFonts w:ascii="IRNazanin" w:hAnsi="IRNazanin" w:eastAsia="IRNazanin"/>
          <w:color w:val="111111"/>
          <w:sz w:val="28"/>
          <w:sz w:val="28"/>
          <w:szCs w:val="28"/>
          <w:rtl w:val="true"/>
          <w:lang w:bidi="fa-IR"/>
        </w:rPr>
        <w:t>مستقلّ بر احکام شرعی است و در عرض کتاب و سنّت قرار دارد و از نظر دلالت برحکم، قوی‌ترین ادلّه است</w:t>
      </w:r>
      <w:r>
        <w:rPr>
          <w:rFonts w:eastAsia="IRNazanin" w:cs="IRNazanin"/>
          <w:color w:val="111111"/>
          <w:sz w:val="28"/>
          <w:szCs w:val="28"/>
          <w:rtl w:val="true"/>
          <w:lang w:bidi="fa-IR"/>
        </w:rPr>
        <w:t>.</w:t>
      </w:r>
    </w:p>
    <w:p>
      <w:pPr>
        <w:pStyle w:val="Heading5"/>
        <w:numPr>
          <w:ilvl w:val="4"/>
          <w:numId w:val="1"/>
        </w:numPr>
        <w:rPr/>
      </w:pPr>
      <w:bookmarkStart w:id="254" w:name="__RefHeading___Toc1014779_1479056682"/>
      <w:bookmarkStart w:id="255" w:name="_Toc94"/>
      <w:bookmarkEnd w:id="254"/>
      <w:r>
        <w:rPr>
          <w:rtl w:val="true"/>
        </w:rPr>
        <w:t>تذکر دو نکته</w:t>
      </w:r>
      <w:bookmarkEnd w:id="25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گفتیم عقل دلیل مستقلّ بر احکام شرعی است و از نظر حجّیّت و اعتبار در عرض کتاب و سنّت می‌باشد، نه در طول آنها، این در مستقلات عقلیه است که عقل از </w:t>
      </w:r>
    </w:p>
    <w:p>
      <w:pPr>
        <w:pStyle w:val="BookText"/>
        <w:rPr/>
      </w:pPr>
      <w:r>
        <w:rPr>
          <w:rFonts w:ascii="IRNazanin" w:hAnsi="IRNazanin" w:eastAsia="IRNazanin"/>
          <w:color w:val="111111"/>
          <w:sz w:val="28"/>
          <w:sz w:val="28"/>
          <w:szCs w:val="28"/>
          <w:rtl w:val="true"/>
          <w:lang w:bidi="fa-IR"/>
        </w:rPr>
        <w:t>جایگاه مستحکم تری نسبت به سایر منابع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در زمینه مستقلات عقلیه است که حجّیّت قطعی و ذاتی دارد، ولی چون احکام عقلی کلی است، بنابراین احکام عقلی مربوط به مستقلات عقلیه نمی‌تواند پاسخگوی تمام مسائل فقهی باشد و مهمترین بخش از استنباط فقیه به مسائل فرعیه شرعی مربوط می‌شود و این مسائل در اغلب موارد تعبّدی و از دایره مستقلات عقلیه خارج است و در شناخت بیشتر احکام فرعی تنها راه استنباط، مراجعه به منابع شرعی یعنی کتاب و سنّت و اجماع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احکام عقلی در مورد فقدان نص جریان دارد، مانند حکم عقل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عدم‌البیان است و تا وقتی که در منابع</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شرعی از دلیل شرعی فحص نگردد و از وجود آن یأس حاصل نشود، موضوع حکم عقل یعنی عدم البیان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مادام که از منابع شرعی بیانی برای حکم شرعی به دست آید، نوبت به حکم عقل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 پس در چنین مواردی اوّل باید منابع شرعی یعنی کتاب و سنّت و اجماع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بیانی بر حکم شرعی، در این منابع به دست نیامد، آن وقت است که نوبت به جریان این حکم عقلی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کسانی که عقل را دلیلی در طول کتاب و سنّت می‌دانند، شاید منظورشان این گونه احکام عقلی است، نه سایر احکام عقلی</w:t>
      </w:r>
      <w:r>
        <w:rPr>
          <w:rFonts w:eastAsia="IRNazanin" w:cs="IRNazanin"/>
          <w:color w:val="111111"/>
          <w:sz w:val="28"/>
          <w:szCs w:val="28"/>
          <w:rtl w:val="true"/>
          <w:lang w:bidi="fa-IR"/>
        </w:rPr>
        <w:t xml:space="preserve">. </w:t>
      </w:r>
      <w:bookmarkStart w:id="256" w:name="pg4331_48978"/>
    </w:p>
    <w:p>
      <w:pPr>
        <w:pStyle w:val="Heading2"/>
        <w:numPr>
          <w:ilvl w:val="1"/>
          <w:numId w:val="1"/>
        </w:numPr>
        <w:rPr/>
      </w:pPr>
      <w:bookmarkStart w:id="257" w:name="__RefHeading___Toc1014781_1479056682"/>
      <w:bookmarkStart w:id="258" w:name="_Toc95"/>
      <w:bookmarkEnd w:id="256"/>
      <w:bookmarkEnd w:id="257"/>
      <w:r>
        <w:rPr>
          <w:rtl w:val="true"/>
        </w:rPr>
        <w:t>بخش سوم</w:t>
      </w:r>
      <w:r>
        <w:rPr>
          <w:rtl w:val="true"/>
        </w:rPr>
        <w:t xml:space="preserve">: </w:t>
      </w:r>
      <w:r>
        <w:rPr>
          <w:rtl w:val="true"/>
        </w:rPr>
        <w:t>سیره متشرّعه</w:t>
      </w:r>
      <w:bookmarkEnd w:id="258"/>
    </w:p>
    <w:p>
      <w:pPr>
        <w:pStyle w:val="Heading3"/>
        <w:numPr>
          <w:ilvl w:val="2"/>
          <w:numId w:val="1"/>
        </w:numPr>
        <w:rPr/>
      </w:pPr>
      <w:bookmarkStart w:id="259" w:name="__RefHeading___Toc1014783_1479056682"/>
      <w:bookmarkStart w:id="260" w:name="_Toc96"/>
      <w:bookmarkEnd w:id="259"/>
      <w:r>
        <w:rPr>
          <w:rtl w:val="true"/>
        </w:rPr>
        <w:t>اشاره</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 اصولی سیره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سیره در احکام فقهی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موارد زیادی در کتب استدلالی فقه شیعه مشاهده می‌شود که به عنوان مستند و مبنای فتوا، به سیره اشاره شده و احکام شرعی زیادی به وسیله سیره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بیشتر داد و ستدهای مردم که به صورت بیع معاطات یا هبه معاطات انجام می‌شود و یا مانند مسأله حجاب</w:t>
      </w:r>
      <w:r>
        <w:rPr>
          <w:rStyle w:val="FootnoteAnchor"/>
          <w:rtl w:val="true"/>
        </w:rPr>
        <w:footnoteReference w:id="205"/>
      </w:r>
      <w:r>
        <w:rPr>
          <w:rFonts w:ascii="IRNazanin" w:hAnsi="IRNazanin" w:eastAsia="IRNazanin"/>
          <w:color w:val="111111"/>
          <w:sz w:val="28"/>
          <w:sz w:val="28"/>
          <w:szCs w:val="28"/>
          <w:rtl w:val="true"/>
          <w:lang w:bidi="fa-IR"/>
        </w:rPr>
        <w:t xml:space="preserve">و یا مسأله حلق لحیه و یا مسأله تملک از طریق حیازت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برای آشنایی با مباحث مقدماتی سیره و جستجوی منابعی برای تحقیق در سیره، مدتی مهمترین کتب اصولی علمای سنّت و شیعه را، اعم از کتب قدیم و جدید، بررسی کردم و دریافتم که در هیچ یک از کتب اصولی اهل سنّت به عنوان منبع و دلیل حکم، هیچ اشاره‌ای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بررسی شده از متقدمین اهل سنّت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المستصفی من علم الاصول در دو جلد تألیف امام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اعلام الموقعین عن ربّ العالمین تألیف ابن قیّم جوزیه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ارشاد الفحول الی تحقیق الحق من علم الاصول تألیف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به سال</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کتب متأخرین اهل سنّت کتابهایی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اصول الفقه تألیف شیخ محمّد الخضری و کتاب اصول الفقه الاسلامی، تألیف</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مقدّمه </w:t>
      </w:r>
      <w:bookmarkStart w:id="261" w:name="pg4331_48981"/>
    </w:p>
    <w:p>
      <w:pPr>
        <w:pStyle w:val="BookText"/>
        <w:rPr/>
      </w:pPr>
      <w:bookmarkEnd w:id="261"/>
      <w:r>
        <w:rPr>
          <w:rFonts w:ascii="IRNazanin" w:hAnsi="IRNazanin" w:eastAsia="IRNazanin"/>
          <w:color w:val="111111"/>
          <w:sz w:val="28"/>
          <w:sz w:val="28"/>
          <w:szCs w:val="28"/>
          <w:rtl w:val="true"/>
          <w:lang w:bidi="fa-IR"/>
        </w:rPr>
        <w:t>محمّد مصطفی شلبی و کتاب علم اصول الفقه تألیف عبدالوهّاب خلاّف و کتاب مفهوم الفقه الاسلامی و تطوره و مصادره العقلیّة و النقلیة تألیف نظام الدین عبدالحمید و کتاب تاریخ الفقه الاسلامی تألیف دکتر عبدالودود محمّد السریتی و کتاب تاریخ الفقه</w:t>
      </w:r>
    </w:p>
    <w:p>
      <w:pPr>
        <w:pStyle w:val="BookText"/>
        <w:rPr/>
      </w:pPr>
      <w:r>
        <w:rPr>
          <w:rFonts w:ascii="IRNazanin" w:hAnsi="IRNazanin" w:eastAsia="IRNazanin"/>
          <w:color w:val="111111"/>
          <w:sz w:val="28"/>
          <w:sz w:val="28"/>
          <w:szCs w:val="28"/>
          <w:rtl w:val="true"/>
          <w:lang w:bidi="fa-IR"/>
        </w:rPr>
        <w:t>الاسلامی، تألیف دکتر محمّد یوسف موسی و چندین کتاب دیگر از علمای اهل سنت،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 یک از این کتابها، به عنوان منبع و دلیل حکم، اشاره‌ای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و در هیچ یک از آنها سیره به عنوان مبنای حکم شرعی مشاهده نمی‌شود، حتّی در مورد تحقیق درباره مادّه سیره،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نهایه ابن اثیر مراجعه می‌شود، ملاحظه</w:t>
      </w:r>
    </w:p>
    <w:p>
      <w:pPr>
        <w:pStyle w:val="BookText"/>
        <w:rPr/>
      </w:pPr>
      <w:r>
        <w:rPr>
          <w:rFonts w:ascii="IRNazanin" w:hAnsi="IRNazanin" w:eastAsia="IRNazanin"/>
          <w:color w:val="111111"/>
          <w:sz w:val="28"/>
          <w:sz w:val="28"/>
          <w:szCs w:val="28"/>
          <w:rtl w:val="true"/>
          <w:lang w:bidi="fa-IR"/>
        </w:rPr>
        <w:t xml:space="preserve">می‌کنیم که حتّی یک کلمه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در اغلب کتب اصولی اهل سنّت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دلیل و مبنای حکم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در کتب اصولی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مهمترین کتب اصولی شیعه، اعمّ از کتب قدیم و جدید، نامی از سیره به عنوان دلیل و مبنای حکم مشاهده نمی‌شود و آنهایی هم که از سیره بحث کرده‌اند، مباحثی کوتاه 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حدود یک یا دو صفحه و بعضی مانند مرحوم مظفر که نسبةً بیشتر درباره سیره بحث کرده، حدود هفت صفحه می‌باشد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در کتب اصولی شیعه نیز تا آن جا که من سراغ دارم نامی از عرف به عنوان مبنا و دلیل حکم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بعد از ذکر مباحثی درباره سیره، بحث</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Heading3"/>
        <w:numPr>
          <w:ilvl w:val="2"/>
          <w:numId w:val="1"/>
        </w:numPr>
        <w:rPr/>
      </w:pPr>
      <w:bookmarkStart w:id="262" w:name="__RefHeading___Toc1014785_1479056682"/>
      <w:bookmarkStart w:id="263" w:name="_Toc97"/>
      <w:bookmarkEnd w:id="262"/>
      <w:r>
        <w:rPr>
          <w:rtl w:val="true"/>
        </w:rPr>
        <w:t>مباحث اصولی سیره</w:t>
      </w:r>
      <w:bookmarkEnd w:id="263"/>
    </w:p>
    <w:p>
      <w:pPr>
        <w:pStyle w:val="Heading4"/>
        <w:numPr>
          <w:ilvl w:val="3"/>
          <w:numId w:val="1"/>
        </w:numPr>
        <w:rPr/>
      </w:pPr>
      <w:bookmarkStart w:id="264" w:name="__RefHeading___Toc1014787_1479056682"/>
      <w:bookmarkStart w:id="265" w:name="_Toc98"/>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مباحث مربوط به سیره را در دو بخش مورد بحث قرار می‌دهیم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مباحث اصولی مربوط به سیره است، که درباره تعریف سیره، اقسام سیره و حجّیّت سیره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دوم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سیره در احکام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احکامی که با سیره ثابت شده است</w:t>
      </w:r>
      <w:r>
        <w:rPr>
          <w:rFonts w:eastAsia="IRNazanin" w:cs="IRNazanin"/>
          <w:color w:val="111111"/>
          <w:sz w:val="28"/>
          <w:szCs w:val="28"/>
          <w:rtl w:val="true"/>
          <w:lang w:bidi="fa-IR"/>
        </w:rPr>
        <w:t xml:space="preserve">. </w:t>
      </w:r>
      <w:bookmarkStart w:id="266" w:name="pg4331_48982"/>
    </w:p>
    <w:p>
      <w:pPr>
        <w:pStyle w:val="Heading4"/>
        <w:numPr>
          <w:ilvl w:val="3"/>
          <w:numId w:val="1"/>
        </w:numPr>
        <w:rPr/>
      </w:pPr>
      <w:bookmarkStart w:id="267" w:name="__RefHeading___Toc1014789_1479056682"/>
      <w:bookmarkStart w:id="268" w:name="_Toc99"/>
      <w:bookmarkEnd w:id="266"/>
      <w:bookmarkEnd w:id="267"/>
      <w:r>
        <w:rPr>
          <w:rtl w:val="true"/>
        </w:rPr>
        <w:t>تعریف سیره</w:t>
      </w:r>
      <w:bookmarkEnd w:id="268"/>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سیره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وزن در زبان عربی بر نوع فعل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علم صرف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کلمه‌ای که برای بیان تعداد دفعات انجام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یک بار زدن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کلمه‌ای که بر نوع انجام عمل و نوع فعل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وِقْفةَ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شیر توقف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بیان نوع سیر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یعنی حرکت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یعنی نوع 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المصباح المنیر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الطریقة و سار فی الناس سیرةً حَسَنةً او قبیحةً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 اسم السِیَر فی الْسنةِ الفقهاء علی المغازی و السیرةُ أیضا الهیئةُ و الحالة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سیره به معنی طریقه و و 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میان مردم بر طریقه‌ای نیکو یا زشت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لسان فقها، اغلب بر مغازی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سِیَر اطلاق می‌شود و کلمه سیره به معنی هیأت و حالت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مفردات راغب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السیرةُ الحالة الّتی یکون علیها الانسان و غیره غریزیّا کان او مکتسبا،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لهُ سیرةٌ حَسَنَةٌ و سیرةٌ قبیحةٌ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سنعیدُها سیرَتَها الاُولی</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ای الحالة الّتی کانت علیها من کونها عودا</w:t>
      </w:r>
      <w:r>
        <w:rPr>
          <w:rStyle w:val="FootnoteAnchor"/>
          <w:rtl w:val="true"/>
        </w:rPr>
        <w:footnoteReference w:id="20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به معنی حالتی است که انسان و غیر انسان بر آن می‌باشد، خواه آن حالت غریزی باشد، خواه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دارای سیره نیکو و </w:t>
      </w:r>
    </w:p>
    <w:p>
      <w:pPr>
        <w:pStyle w:val="BookText"/>
        <w:rPr/>
      </w:pPr>
      <w:r>
        <w:rPr>
          <w:rFonts w:ascii="IRNazanin" w:hAnsi="IRNazanin" w:eastAsia="IRNazanin"/>
          <w:color w:val="111111"/>
          <w:sz w:val="28"/>
          <w:sz w:val="28"/>
          <w:szCs w:val="28"/>
          <w:rtl w:val="true"/>
          <w:lang w:bidi="fa-IR"/>
        </w:rPr>
        <w:t xml:space="preserve">سیره زشت است و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تبدیل عصای موسی به 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آن را به سیره اوّلش باز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به همان حالتی برمی‌گردانیم که قبلاً بر آن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چوبی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تهانوی در کتاب کشّاف اصطلاحات الفنون،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به کسر اوّل و فتح دوم، جمع سیره است و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از 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و روش، نقل داده شده، سپس در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طریقه و روش مسلمین در رفتار با کافران و اهل 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حکومت اسلامی به جنگ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امان خواهان و مرتّدان و اهل ذمّه، غلبه یافته است و در کتاب فتنح القدیر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عرف شرع بر طریق امر شده به آن، در جنگ با کفار، غلبه یافته است و در کتاب کفایة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جمع سیره است که به معنی راه و روش در امور است و در شرع اختصاص دارد به روشهای پیامبر صلی‌الله‌علیه‌و‌آله در جنگها</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در اصطلاح فقهابه معنی روش و بنای عملی مردم بر انجام یا ترک عملی از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سیره عبارت است از روشی که مردم متدین به یک دین و معتقد به یک مذهب، نسبت به کار و عملی اتخاذ می‌کنند و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متدینین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خود از نوع اصل بنای عقلاست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السیرة کما هو واضح استمرار عادة الناس و تبانیهم العملی علی فعل شی‌ءٍ او ترک شی‌ءٍ</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واضح است مقصود از سیره عبارت است از استمرار عادت مردم و بنای عملی ایشان بر انجام یک چیز یا ترک آن</w:t>
      </w:r>
      <w:r>
        <w:rPr>
          <w:rFonts w:eastAsia="IRNazanin" w:cs="IRNazanin"/>
          <w:color w:val="111111"/>
          <w:sz w:val="28"/>
          <w:szCs w:val="28"/>
          <w:rtl w:val="true"/>
          <w:lang w:bidi="fa-IR"/>
        </w:rPr>
        <w:t xml:space="preserve">.» </w:t>
      </w:r>
      <w:bookmarkStart w:id="269" w:name="pg4331_48984"/>
    </w:p>
    <w:p>
      <w:pPr>
        <w:pStyle w:val="Heading4"/>
        <w:numPr>
          <w:ilvl w:val="3"/>
          <w:numId w:val="1"/>
        </w:numPr>
        <w:rPr/>
      </w:pPr>
      <w:bookmarkStart w:id="270" w:name="__RefHeading___Toc1014791_1479056682"/>
      <w:bookmarkStart w:id="271" w:name="_Toc100"/>
      <w:bookmarkEnd w:id="269"/>
      <w:bookmarkEnd w:id="270"/>
      <w:r>
        <w:rPr>
          <w:rtl w:val="true"/>
        </w:rPr>
        <w:t>ارتباط سیره با سنّت</w:t>
      </w:r>
      <w:bookmarkEnd w:id="271"/>
    </w:p>
    <w:p>
      <w:pPr>
        <w:pStyle w:val="BookText"/>
        <w:rPr/>
      </w:pPr>
      <w:r>
        <w:rPr>
          <w:rFonts w:ascii="IRNazanin" w:hAnsi="IRNazanin" w:eastAsia="IRNazanin"/>
          <w:color w:val="111111"/>
          <w:sz w:val="28"/>
          <w:sz w:val="28"/>
          <w:szCs w:val="28"/>
          <w:rtl w:val="true"/>
          <w:lang w:bidi="fa-IR"/>
        </w:rPr>
        <w:t xml:space="preserve">رابطه سیره با سنّت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یکی از راههای اثبات سنّت می‌باشد، زیرا یکی از مباحثی که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عبارت از راههای رسیدن به سنّت است و راههای وصول به سنّت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راههای قطعی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راههای غیر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قطعی وصول به سنّت و آگاهی از آن دارای انواعی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متواتر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محفوف به قرائن که به واسطه آن قرائن، یقین به صدور حدیث پیدا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کاشف از نظر معصوم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بنای عقلایی که کاشف از نظر معصوم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متشرّعه که کاشف از رضای معصوم و نظر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ارتکاز متدینین</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اصطلاح ارتکاز متشرّعه را برخی از علما در مورد سنّت به کار برده‌اند و ظاهرا منظورشان از آن علاوه بر فراهم بودن سیره مداوم بر فعل و ترک چیزی عبارت است از احساسی عمیق نسبت به حکمی که متشرّعه و مردم متدین به فعل و ترک آن مواظبند، ولی به طور تحقیق مصدر و منشأ آن حکم را نمی‌دانند</w:t>
      </w:r>
      <w:r>
        <w:rPr>
          <w:rFonts w:eastAsia="IRNazanin" w:cs="IRNazanin"/>
          <w:color w:val="111111"/>
          <w:sz w:val="28"/>
          <w:szCs w:val="28"/>
          <w:rtl w:val="true"/>
          <w:lang w:bidi="fa-IR"/>
        </w:rPr>
        <w:t>.</w:t>
      </w:r>
    </w:p>
    <w:p>
      <w:pPr>
        <w:pStyle w:val="Heading4"/>
        <w:numPr>
          <w:ilvl w:val="3"/>
          <w:numId w:val="1"/>
        </w:numPr>
        <w:rPr/>
      </w:pPr>
      <w:bookmarkStart w:id="272" w:name="__RefHeading___Toc1014793_1479056682"/>
      <w:bookmarkStart w:id="273" w:name="_Toc101"/>
      <w:bookmarkEnd w:id="272"/>
      <w:r>
        <w:rPr>
          <w:rtl w:val="true"/>
        </w:rPr>
        <w:t>فرق ارتکاز متشرّعه و سیره متشرّعه</w:t>
      </w:r>
      <w:bookmarkEnd w:id="27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عقلا یا سیره متشرّعه از لحاظ این که عبارت است از فعل یا ترک یک عمل، زبان گویایی ندارد، لذا از لحاظ تعیین نوع حکم مجمل است و اگر چه به طور کلّی در صورت انجام عمل دلیل بر رجحان آن و در صورت ترک عمل دلیل بر عدم رجحان آن است، ولی به هر حال معین نمی‌شود که کدام یک از احکام خمسه است، در صورتی که ارتکاز متشرّعه نسبت به یک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ترک یک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نوع حکم آن عمل، یعنی وجوب یا حرمت یا غیر آن را معین می‌کند</w:t>
      </w:r>
      <w:r>
        <w:rPr>
          <w:rFonts w:eastAsia="IRNazanin" w:cs="IRNazanin"/>
          <w:color w:val="111111"/>
          <w:sz w:val="28"/>
          <w:szCs w:val="28"/>
          <w:rtl w:val="true"/>
          <w:lang w:bidi="fa-IR"/>
        </w:rPr>
        <w:t xml:space="preserve">. </w:t>
      </w:r>
      <w:bookmarkStart w:id="274" w:name="pg4331_48985"/>
    </w:p>
    <w:p>
      <w:pPr>
        <w:pStyle w:val="BookText"/>
        <w:rPr/>
      </w:pPr>
      <w:bookmarkEnd w:id="274"/>
      <w:r>
        <w:rPr>
          <w:rFonts w:ascii="IRNazanin" w:hAnsi="IRNazanin" w:eastAsia="IRNazanin"/>
          <w:color w:val="111111"/>
          <w:sz w:val="28"/>
          <w:sz w:val="28"/>
          <w:szCs w:val="28"/>
          <w:rtl w:val="true"/>
          <w:lang w:bidi="fa-IR"/>
        </w:rPr>
        <w:t>اقسام سیره</w:t>
      </w:r>
    </w:p>
    <w:p>
      <w:pPr>
        <w:pStyle w:val="BookText"/>
        <w:rPr/>
      </w:pPr>
      <w:r>
        <w:rPr>
          <w:rFonts w:ascii="IRNazanin" w:hAnsi="IRNazanin" w:eastAsia="IRNazanin"/>
          <w:color w:val="111111"/>
          <w:sz w:val="28"/>
          <w:sz w:val="28"/>
          <w:szCs w:val="28"/>
          <w:rtl w:val="true"/>
          <w:lang w:bidi="fa-IR"/>
        </w:rPr>
        <w:t>به طور کلّی سیره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بنای عقلا؛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متشرّعه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یا مبنای عملی تمام عقلاست و یا این که بنای عملی عدّه‌ای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سیره بنای عملی تمام عقلا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ملّت و مذهبی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عملی و سیره گروهی خاصّ است که می‌توان آن را به دو گروه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امّت اسلامی بنای عملی بر ترک یا فعل یک شی‌ء داشته باشند،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طایفه‌ای خاصّ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خاصّ از مسلمانان بنای عملی بر ترک یا فعل یک عمل داشته باشند، آن را به نام سیره همان گروه خاصّ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امامیّه بالاتفاق بنای عملی دارند بر عزاداری برای</w:t>
      </w:r>
    </w:p>
    <w:p>
      <w:pPr>
        <w:pStyle w:val="BookText"/>
        <w:rPr/>
      </w:pPr>
      <w:r>
        <w:rPr>
          <w:rFonts w:ascii="IRNazanin" w:hAnsi="IRNazanin" w:eastAsia="IRNazanin"/>
          <w:color w:val="111111"/>
          <w:sz w:val="28"/>
          <w:sz w:val="28"/>
          <w:szCs w:val="28"/>
          <w:rtl w:val="true"/>
          <w:lang w:bidi="fa-IR"/>
        </w:rPr>
        <w:t>امام حسین علیه‌السلام</w:t>
      </w:r>
    </w:p>
    <w:p>
      <w:pPr>
        <w:pStyle w:val="Heading4"/>
        <w:numPr>
          <w:ilvl w:val="3"/>
          <w:numId w:val="1"/>
        </w:numPr>
        <w:rPr/>
      </w:pPr>
      <w:bookmarkStart w:id="275" w:name="__RefHeading___Toc1014795_1479056682"/>
      <w:bookmarkStart w:id="276" w:name="_Toc102"/>
      <w:bookmarkEnd w:id="275"/>
      <w:r>
        <w:rPr>
          <w:rtl w:val="true"/>
        </w:rPr>
        <w:t>فرق حکم عقل و بنای عقلا و دلیل عقلی</w:t>
      </w:r>
      <w:bookmarkEnd w:id="276"/>
    </w:p>
    <w:p>
      <w:pPr>
        <w:pStyle w:val="BookText"/>
        <w:rPr/>
      </w:pPr>
      <w:r>
        <w:rPr>
          <w:rFonts w:ascii="IRNazanin" w:hAnsi="IRNazanin" w:eastAsia="IRNazanin"/>
          <w:color w:val="111111"/>
          <w:sz w:val="28"/>
          <w:sz w:val="28"/>
          <w:szCs w:val="28"/>
          <w:rtl w:val="true"/>
          <w:lang w:bidi="fa-IR"/>
        </w:rPr>
        <w:t xml:space="preserve">در کلام اصولیین گاهی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بین این سه چه فرقی است</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عقل عبارت است از درک کردن یک امر واقعی و تکوینی به وسیله عقل، مانند حکم عقل به قبح ظلم و حسن عدالت، خواه در خارج ظالم و مظلومی باشد، یا نباشد عقل به قبح ظلم حکم می‌کند؛ امّا بنای عقلا عبارت است از یک حکم قراردادی و یک بنای عملی که بین عقلا رایج و برقرار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مشکینی در حاشیه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بین حکم عقل و بنای عقلا در این است که ؛ گرچه بین آن دو تباین است، اما از نظر تحقق خارجی بین آن دو عامّ و خاصّ مطلق است، یعنی هر </w:t>
      </w:r>
    </w:p>
    <w:p>
      <w:pPr>
        <w:pStyle w:val="BookText"/>
        <w:rPr/>
      </w:pPr>
      <w:r>
        <w:rPr>
          <w:rFonts w:ascii="IRNazanin" w:hAnsi="IRNazanin" w:eastAsia="IRNazanin"/>
          <w:color w:val="111111"/>
          <w:sz w:val="28"/>
          <w:sz w:val="28"/>
          <w:szCs w:val="28"/>
          <w:rtl w:val="true"/>
          <w:lang w:bidi="fa-IR"/>
        </w:rPr>
        <w:t>جا حکم عقل باشد، بنای عقلا هم خواهد بود، یعنی نمی‌شود که عقل حکمی داشته باشد که عقلاء بر طبق آن عمل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بنای عقلا باشد، ولی حکم عقل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حجّیّت ظواهر، عقلا ظاهر لفظ را حجّت می‌دانند و نیز عقلا ظاهر فعل را حجّت می‌دانند؛ امّا عقل به حجّیّت ظاهر کلام یا ظاهر فعل حکم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ایضاح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شرحی است بر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فرق بین حکم عقل و بنای عقلا فرق</w:t>
      </w:r>
    </w:p>
    <w:p>
      <w:pPr>
        <w:pStyle w:val="BookText"/>
        <w:rPr/>
      </w:pPr>
      <w:r>
        <w:rPr>
          <w:rFonts w:ascii="IRNazanin" w:hAnsi="IRNazanin" w:eastAsia="IRNazanin"/>
          <w:color w:val="111111"/>
          <w:sz w:val="28"/>
          <w:sz w:val="28"/>
          <w:szCs w:val="28"/>
          <w:rtl w:val="true"/>
          <w:lang w:bidi="fa-IR"/>
        </w:rPr>
        <w:t>دیگری را بیان می‌کند؛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بنای عقلا و حکم عقل به اجمال و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مجمل است، اما حکم عقل مفصّل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بنای عقلا اجمالاً کاشف از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 بنای عقلا باشد، می‌گوییم اجمالاً در آن جا حکم عقلی هم در کار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عقل به نحو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عقل وقتی حکم می‌کند که تمام خصوصیات موضوع و محمول را در نظر بگیرد و لذا می‌گویند در موضوعات حکم عقل اجمال ممکن نیست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مال هم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تا وقتی که موضوع حکم و خود حکم برایش روشن نباشد، حکمی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اعظمُ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کاملاً برایش روشن باشد و اگر موضوع روشن نباشد، حکمی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حکم عقل و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مشکینی در جلد دوم کفایه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 عبارت‌است از قضایایی که عقل آنها را درک می‌کند و در درک آنها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عقل بالاستقلال حکم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اعظم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را حکم عقل می‌گوییم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 گاهی مقدّمه برای رسیدن به یک حکم شرعی است، یعنی به عقل متوسّل می‌شویم و به یک حکم شرعی می‌رسیم و گاهی حکم عقل باعث </w:t>
      </w:r>
      <w:bookmarkStart w:id="277" w:name="pg4331_48987"/>
    </w:p>
    <w:p>
      <w:pPr>
        <w:pStyle w:val="BookText"/>
        <w:rPr/>
      </w:pPr>
      <w:bookmarkEnd w:id="277"/>
      <w:r>
        <w:rPr>
          <w:rFonts w:ascii="IRNazanin" w:hAnsi="IRNazanin" w:eastAsia="IRNazanin"/>
          <w:color w:val="111111"/>
          <w:sz w:val="28"/>
          <w:sz w:val="28"/>
          <w:szCs w:val="28"/>
          <w:rtl w:val="true"/>
          <w:lang w:bidi="fa-IR"/>
        </w:rPr>
        <w:t>وصول به حکم شرعی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 عقل باعث وصول به یک حکم شرعی بشود، یعنی از حکم عقل یک حکم شرعی را استکشاف کنیم، در این صورت به این حکم عقل دلیل عقلی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عقلی عبارت است از حکم عقلی ای که به وسیله آن یک حکم شرعی استکشاف شود و این که در کجا بین حکم عقل و حکم شرع ملازمه هست و در کجا ملازمه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چه مواردی حکم عقل باعث رسیدن به حکم شرع می‌شود و در چه مواردی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دلیل عقلی کاملاً بیان شد</w:t>
      </w:r>
      <w:r>
        <w:rPr>
          <w:rFonts w:eastAsia="IRNazanin" w:cs="IRNazanin"/>
          <w:color w:val="111111"/>
          <w:sz w:val="28"/>
          <w:szCs w:val="28"/>
          <w:rtl w:val="true"/>
          <w:lang w:bidi="fa-IR"/>
        </w:rPr>
        <w:t>.</w:t>
      </w:r>
    </w:p>
    <w:p>
      <w:pPr>
        <w:pStyle w:val="Heading4"/>
        <w:numPr>
          <w:ilvl w:val="3"/>
          <w:numId w:val="1"/>
        </w:numPr>
        <w:rPr/>
      </w:pPr>
      <w:bookmarkStart w:id="278" w:name="__RefHeading___Toc1014797_1479056682"/>
      <w:bookmarkStart w:id="279" w:name="_Toc103"/>
      <w:bookmarkEnd w:id="278"/>
      <w:r>
        <w:rPr>
          <w:rtl w:val="true"/>
        </w:rPr>
        <w:t>تفاوت سیره عقلا با سیره متشرعه</w:t>
      </w:r>
      <w:bookmarkEnd w:id="279"/>
    </w:p>
    <w:p>
      <w:pPr>
        <w:pStyle w:val="BookText"/>
        <w:rPr/>
      </w:pPr>
      <w:r>
        <w:rPr>
          <w:rFonts w:ascii="IRNazanin" w:hAnsi="IRNazanin" w:eastAsia="IRNazanin"/>
          <w:color w:val="111111"/>
          <w:sz w:val="28"/>
          <w:sz w:val="28"/>
          <w:szCs w:val="28"/>
          <w:rtl w:val="true"/>
          <w:lang w:bidi="fa-IR"/>
        </w:rPr>
        <w:t>تفاوت آنها در وجه کاشفیّت آنها از رأی و نظر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عقلا بنفسه و به تنهایی کاشف از رأی و نظر معصوم نیست، بلکه به ضمیمه سکوت شارع و عدم ردع او از سیره عقلا، کاشف از رأی معصوم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سیره متشرّعه به تنهایی و بدون ضمیمه به سکوت شارع امکان کاشفیّت را از نظر معصوم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ثابت شود که اصل سیره متشرّعه در زمان ائمه معصوم علیهم‌السلام هم رایج بوده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سیره متشرّعه متصل به زمان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نیازی به امضای شارع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ثابت کردیم که در زمان معصوم مردم در وضو پاها را مسح می‌کردند، یا</w:t>
      </w:r>
    </w:p>
    <w:p>
      <w:pPr>
        <w:pStyle w:val="BookText"/>
        <w:rPr/>
      </w:pPr>
      <w:r>
        <w:rPr>
          <w:rFonts w:ascii="IRNazanin" w:hAnsi="IRNazanin" w:eastAsia="IRNazanin"/>
          <w:color w:val="111111"/>
          <w:sz w:val="28"/>
          <w:sz w:val="28"/>
          <w:szCs w:val="28"/>
          <w:rtl w:val="true"/>
          <w:lang w:bidi="fa-IR"/>
        </w:rPr>
        <w:t>اگر ثابت کنیم که در زمان ائمه علیهم‌السلام مردم مقداری از پاها را مسح می‌کردند، همین مقدار موجب قطع به حکم شرعی می‌شود و نیازی به امضای شارع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فرق سیره عقلائیّه با سیره متشرّعه در آن است که سیره عقلا نیاز به امضای شارع دارد، ولی سیره متشرّعه نیازی به امضای شارع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سیره به تنهایی کاشف از حکم شرعی و موجب قطع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صدر نیز در مورد فرق سیره عقلا با سیره متشرّعه می‌گوید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بین این دو سیره آن است 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کاشف از نظر شارع نیست، بلکه به ضمیمه سکوت شارع که دال بر امضا است، کاشف از نظر شارع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سیره متشرّعه به تنهایی می‌تواند کاشف از دلیل شرعی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است که متشرّعه با این وصف که </w:t>
      </w:r>
      <w:bookmarkStart w:id="280" w:name="pg4331_48988"/>
    </w:p>
    <w:p>
      <w:pPr>
        <w:pStyle w:val="BookText"/>
        <w:rPr/>
      </w:pPr>
      <w:bookmarkEnd w:id="280"/>
      <w:r>
        <w:rPr>
          <w:rFonts w:ascii="IRNazanin" w:hAnsi="IRNazanin" w:eastAsia="IRNazanin"/>
          <w:color w:val="111111"/>
          <w:sz w:val="28"/>
          <w:sz w:val="28"/>
          <w:szCs w:val="28"/>
          <w:rtl w:val="true"/>
          <w:lang w:bidi="fa-IR"/>
        </w:rPr>
        <w:t>متشرّعه هستند، وقتی راه و روشی را به کار می‌برند، لازم است که آن را از شارع فراگرفته باشند</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281" w:name="__RefHeading___Toc1014799_1479056682"/>
      <w:bookmarkStart w:id="282" w:name="_Toc104"/>
      <w:bookmarkEnd w:id="281"/>
      <w:r>
        <w:rPr>
          <w:rtl w:val="true"/>
        </w:rPr>
        <w:t>تذکّر</w:t>
      </w:r>
      <w:bookmarkEnd w:id="282"/>
    </w:p>
    <w:p>
      <w:pPr>
        <w:pStyle w:val="BookText"/>
        <w:rPr/>
      </w:pPr>
      <w:r>
        <w:rPr>
          <w:rFonts w:ascii="IRNazanin" w:hAnsi="IRNazanin" w:eastAsia="IRNazanin"/>
          <w:color w:val="111111"/>
          <w:sz w:val="28"/>
          <w:sz w:val="28"/>
          <w:szCs w:val="28"/>
          <w:rtl w:val="true"/>
          <w:lang w:bidi="fa-IR"/>
        </w:rPr>
        <w:t>بعضی سیره‌ها موضوع حکم شرعی را بیان می‌کند، نه 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سیره‌ای که موضوع حکم را بسازد، نیازی ندارد که ثابت کنیم، سیره عقلا در زمان شارع در آن باب چه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ما در باب مسکن همسر، سیره آن است که معمولاً چون وضع اقتصادی زوج خوب است، برای همسر خود منزل مستقلی تهیه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باب نفقه زوجه اصل حکم شرعی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نفقه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وسیله آیه ثابت شده که فرمود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فإمساکٌ بِمَعْرُوفٍ اَوْ تَسْریحٌ بِاِحسانٍ</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خلاصه این که، حکم شرعی مسلم است، اما موضوع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معلوم نیست که آیا جزء نفقه آن است که فلان مسکن مستقلّ را هم برای زوجه تهیه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سیره‌هایی است که می‌خواهیم از آنها حکم شرعی را استکشاف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غیر از سیره، دلیل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سیره‌های موضوعی بحثی نداریم</w:t>
      </w:r>
      <w:r>
        <w:rPr>
          <w:rFonts w:eastAsia="IRNazanin" w:cs="IRNazanin"/>
          <w:color w:val="111111"/>
          <w:sz w:val="28"/>
          <w:szCs w:val="28"/>
          <w:rtl w:val="true"/>
          <w:lang w:bidi="fa-IR"/>
        </w:rPr>
        <w:t>.</w:t>
      </w:r>
    </w:p>
    <w:p>
      <w:pPr>
        <w:pStyle w:val="Heading3"/>
        <w:numPr>
          <w:ilvl w:val="2"/>
          <w:numId w:val="1"/>
        </w:numPr>
        <w:rPr/>
      </w:pPr>
      <w:bookmarkStart w:id="283" w:name="__RefHeading___Toc1014801_1479056682"/>
      <w:bookmarkStart w:id="284" w:name="_Toc105"/>
      <w:bookmarkEnd w:id="283"/>
      <w:r>
        <w:rPr>
          <w:rtl w:val="true"/>
        </w:rPr>
        <w:t>حجّیّت سیره</w:t>
      </w:r>
      <w:bookmarkEnd w:id="284"/>
    </w:p>
    <w:p>
      <w:pPr>
        <w:pStyle w:val="Heading4"/>
        <w:numPr>
          <w:ilvl w:val="3"/>
          <w:numId w:val="1"/>
        </w:numPr>
        <w:rPr/>
      </w:pPr>
      <w:bookmarkStart w:id="285" w:name="__RefHeading___Toc1014803_1479056682"/>
      <w:bookmarkStart w:id="286" w:name="_Toc106"/>
      <w:bookmarkEnd w:id="285"/>
      <w:r>
        <w:rPr>
          <w:rtl w:val="true"/>
        </w:rPr>
        <w:t>اشاره</w:t>
      </w:r>
      <w:bookmarkEnd w:id="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حجّیّت سیره عقلائیه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حجّیّت سیره متشرعه</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014805_1479056682"/>
      <w:bookmarkStart w:id="288" w:name="_Toc107"/>
      <w:bookmarkEnd w:id="287"/>
      <w:r>
        <w:rPr/>
        <w:t>1</w:t>
      </w:r>
      <w:r>
        <w:rPr>
          <w:rtl w:val="true"/>
        </w:rPr>
        <w:t xml:space="preserve"> - </w:t>
      </w:r>
      <w:r>
        <w:rPr>
          <w:rtl w:val="true"/>
        </w:rPr>
        <w:t>حجّیّت سیره عقلائیّه</w:t>
      </w:r>
      <w:bookmarkEnd w:id="28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و اصولیّین در موارد مختلفی به بنای عقلا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ادلّه حجّیّت خبر واحد، بنای عقلاست و همچنین در باب حجّیّت ظواهر تنها دلیل ما، بنای عقلاست و نیز در باب حجّیّت قول لغوی به بنای عقلا استدلال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اصولاً سیره‌های عقلایی ریشه در طبع عقلایی مردم دارد، نه این که از التزام مردم به ظواهر شرع نشأت گرفته باشد، بلکه عقل عملی آنها از یک سو و لزوم انتظام امور در تمام شؤون فردی و اجتماعی از دیگر سو، آنها را بر آن می‌دارد که قواعد و مبناهایی را</w:t>
      </w:r>
    </w:p>
    <w:p>
      <w:pPr>
        <w:pStyle w:val="BookText"/>
        <w:rPr/>
      </w:pPr>
      <w:r>
        <w:rPr>
          <w:rFonts w:ascii="IRNazanin" w:hAnsi="IRNazanin" w:eastAsia="IRNazanin"/>
          <w:color w:val="111111"/>
          <w:sz w:val="28"/>
          <w:sz w:val="28"/>
          <w:szCs w:val="28"/>
          <w:rtl w:val="true"/>
          <w:lang w:bidi="fa-IR"/>
        </w:rPr>
        <w:t>جعل کنند و سلوک و رفتار اجتماعی خود را بر اساس همان بناها سامان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سیره‌های عقلائیه چنان در ایشان رسوخ پیدا می‌کند که از جعلی و بنایی بودن آنها کاملاً غفلت می‌کنند، به طوری که گویی طبیعت ثانوی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اعتنا و اعتبار بخشیدن به ظهور کلام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وجود چنین سیره‌های عقلائیه‌ای در محیط مسلمین، کاشف از شرعی بودن آنها و موافقت شارع با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سیره‌هایی معلول شرع و نشأت گرفته از آن نیست، بلکه معلول طبع عقلایی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وقتی که موافقت و امضای شارع نسبت به این سیره‌ها احراز نشود، حجّیّت و اعتبار</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اصولیین وقتی درباره حجّیّت سیره عقلایی بحث می‌کنند، شرط آن را معاصرت آن با زمان معصوم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مرحوم نائینی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سیره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شارع استمرار داشته باشد و نیز در محلّ دید و شنید شارع باشد و شارع از ردع و منع عقلا متمکن باشد و در عین حال از آن سیره منع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ناچار و به طور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رضایت شارع به آن است، زیرا اگر راضی نمی‌بود، از آن ممانعت می‌فرمود، همان گونه که از بسیاری از روش‌ها و بنائات جاهلی منع فرموده است و اگر شارع از سیره عقلا منع و ردع کرده بود، به خاطر فراوانی دواعی نقل، ردع شارع به ما نقل شده بود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اکنون پس از بیان شرط حجّیّت سیره عقلا بهتر است اقسام قابل تصور آن را ذکر کنیم تا معلوم شود کدام یک از آنها دارای حجّیّت و اعتبار است و چه اقسامی از آن حجّیّت و</w:t>
      </w:r>
    </w:p>
    <w:p>
      <w:pPr>
        <w:pStyle w:val="BookText"/>
        <w:rPr/>
      </w:pPr>
      <w:r>
        <w:rPr>
          <w:rFonts w:ascii="IRNazanin" w:hAnsi="IRNazanin" w:eastAsia="IRNazanin"/>
          <w:color w:val="111111"/>
          <w:sz w:val="28"/>
          <w:sz w:val="28"/>
          <w:szCs w:val="28"/>
          <w:rtl w:val="true"/>
          <w:lang w:bidi="fa-IR"/>
        </w:rPr>
        <w:t>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بنای عقلا بر دو قسم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آن است که شارع با عقلا متحدالمسلک است و منعی ندارد که شارع در آن سیره با عقلا متّحدالمسلک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حجّیّت و اعتبار بخشیدن به ظواهر 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دوم آن است که شارع در سیره عقلا با آنها متحدالمسلک نیست، بلکه نمی‌تواند متحدالمسلک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استصحاب که شارع با عقلا متحدالمسلک نیست، چون شارع در حکم خود شک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شارع با عقلا در سیره آنها متحدالمسلک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حجّیّت ظواهر، که عقلا به ظواهر کلام عمل می‌کنند و همچنین خبر واحد ثقه را حجت می‌دانند، شارع هم در زمان خود چنین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که شارع با عقلا متحدالمسلک است، خود دارای دو حالت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اوّل آن است که شارع از این سیره منع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از سیره عقلائیه‌ای منع کند، این سیره قطعا حجت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سیره عقلائیّه این است که</w:t>
      </w:r>
    </w:p>
    <w:p>
      <w:pPr>
        <w:pStyle w:val="BookText"/>
        <w:rPr/>
      </w:pPr>
      <w:r>
        <w:rPr>
          <w:rFonts w:ascii="IRNazanin" w:hAnsi="IRNazanin" w:eastAsia="IRNazanin"/>
          <w:color w:val="111111"/>
          <w:sz w:val="28"/>
          <w:sz w:val="28"/>
          <w:szCs w:val="28"/>
          <w:rtl w:val="true"/>
          <w:lang w:bidi="fa-IR"/>
        </w:rPr>
        <w:t>در دادگاه قول یک شاهد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شارع از این سیره منع کرده و فرموده است، باید در محاکم دو شاهد عادل شهادت دهند و شهادت یک فرد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عقلای عالم تمام انواع خرید و فروش را صحیح می‌دانند، حتّی بیع ربوی را هم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مقداری از این سیره را تأیید و مقداری از آن را منع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 و حَرَّمَ الرِّبا</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در این جا نسبت به مقداری که شارع منع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 ربوی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 قطعا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دوم آن است که شارع در آن سیره‌ای که با عقلا متحدالمسلک است، سکوت کرده و از آن منعی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سیره‌ای قطعا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عدم منع شارع، رضایت شارع و در نتیجه حجّیّت سیره را کشف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مجرد عدم ثبوت ردع از ناحیه شارع کاشف از آن است که شارع مقدس در این سیره با بقیه عقلا موافق می‌باشد، چون فرض این است که شارع در این سیره با عقلا متحدالمسلک است و اگر راه و مسلک دیگری در نظر داشت، باید بیان می‌کرد و چون بیان نکرده است، نتیجه می‌گیریم که شارع این سیره را قبول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بها راضٍ و هی عنده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درباب ظواهر، مردم ناچارند و شدیدا نیاز دارند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ظاهر کلام یکدیگر استفاده کنند و شارع هم با آنها متحدالمسلک است و ما می‌بینیم که ائمه علیهم‌السلام به ظواهر کلام عمل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افرادی می‌آمدند خدمت امام و سخن می‌گفتند و امام ظاهر سخن آنها را قبول می‌کرد و یا این که، همان طور که مردم در کارها و مبادلات خود به خبر واحد ثقه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مثلاً در مدینه بودند و شیعیان در شهرهای دیگر، و امام نیاز داشت که پیام خود را به وسیله خبر واحد ثقه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رساندن پیام خود به</w:t>
      </w:r>
    </w:p>
    <w:p>
      <w:pPr>
        <w:pStyle w:val="BookText"/>
        <w:rPr/>
      </w:pPr>
      <w:r>
        <w:rPr>
          <w:rFonts w:ascii="IRNazanin" w:hAnsi="IRNazanin" w:eastAsia="IRNazanin"/>
          <w:color w:val="111111"/>
          <w:sz w:val="28"/>
          <w:sz w:val="28"/>
          <w:szCs w:val="28"/>
          <w:rtl w:val="true"/>
          <w:lang w:bidi="fa-IR"/>
        </w:rPr>
        <w:t xml:space="preserve">مردم، با روش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پیام به وسیله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 باید به مردم ابلاغ می‌فرمود که ای مردم در امور اجتماعی خود می‌توانید پیام خود را به وسیله خبر ثقه برسانید، اما در احکام شرعی حق ندارید چنین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امام از عمل به خبر ثقه و از عمل به ظواهر کلام ردع و منع نفرموده، از آن کشف می‌کنیم که شارع عمل عقلا را امضاء فرموده است و این خود بزرگترین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مورد نیاز خود شارع بوده و شارع عقلا را ردع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اگر شارع با عقلا در سیره‌ای متحدالمسلک باشد و آن را ردع نکند، چنین سیره‌ای قطعا حجت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قدس‌سره در کتاب تهذیب الاصول در بحث حجّیّت خبر واحد، نظرشان این است که تنها دلیل ما بر حجّیّت خبر واحد، سیره عقلائیّه بر عمل به خبر واحد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از نظرت خواهد گذشت که تنها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قطعی عقلا بر عمل به خبر ثقه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پس از ذکر ادلّه منکرین و مثبتین حجّیّت خبر واحد، به عنوان بهترین و آخرین دلیل بر حجّیّت خبر واحد، با ذکر عنوانی مستقلّ می‌فرماید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سیره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که دلیل عمده درباب حجّیّت خبر واحد، سیره عقلاست، بلکه غیر از آن دلیلی نداریم و هر که نسبت به جوامع بشری اطلاع کافی داشته باشد، بر وجود سیره عقلا از زمان تدوین تاریخ بشر و استقرار تمدن بشری و از زمانی که انسان برای خود روشی اجتماعی برگزیده است، واقف می‌شود و آیاتی که در نهی از عمل به غیر علم یا در نهی از عمل </w:t>
      </w:r>
    </w:p>
    <w:p>
      <w:pPr>
        <w:pStyle w:val="BookText"/>
        <w:rPr/>
      </w:pPr>
      <w:r>
        <w:rPr>
          <w:rFonts w:ascii="IRNazanin" w:hAnsi="IRNazanin" w:eastAsia="IRNazanin"/>
          <w:color w:val="111111"/>
          <w:sz w:val="28"/>
          <w:sz w:val="28"/>
          <w:szCs w:val="28"/>
          <w:rtl w:val="true"/>
          <w:lang w:bidi="fa-IR"/>
        </w:rPr>
        <w:t>به ظن وارد شده، از عمل به سیره جلوگیری نمی‌کند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در پایان بحث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الدلیل ینحصر فی واحد و هو سیرة العقلاء</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دلیل حجّیّت خبر واحد منحصر به یک دلیل است و آن سیره عقلاست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بیان حضرت امام خمینی قدس‌سره نتیجه می‌شود که تنها دلیل ما بر حجّیّت خبر واحد، همین سیره عقلائیه است و بقیّه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سیره هستند، یعنی آن آیات و روایاتی که بر حجّیّت خبر واحد مورد استدلال واقع شده‌اند، همه ادلّه</w:t>
      </w:r>
    </w:p>
    <w:p>
      <w:pPr>
        <w:pStyle w:val="BookText"/>
        <w:rPr/>
      </w:pPr>
      <w:r>
        <w:rPr>
          <w:rFonts w:ascii="IRNazanin" w:hAnsi="IRNazanin" w:eastAsia="IRNazanin"/>
          <w:color w:val="111111"/>
          <w:sz w:val="28"/>
          <w:sz w:val="28"/>
          <w:szCs w:val="28"/>
          <w:rtl w:val="true"/>
          <w:lang w:bidi="fa-IR"/>
        </w:rPr>
        <w:t>امضائیه می‌باشند که همین سیره عقلائیه را امضا می‌کنند، نه این که ادلّه تأسیسیّه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قسم دوم از بنای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شارع با عقلا متحدالمسلک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دو قسمت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قسمت اوّل آن است که ما یقین داریم که عقلا در تمام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امور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سیره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عقلا در مرأی و مسمع شارع و در تمام امورشان، حتّی در امور شرعی، به آن سیره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قیود در سیره موجود باشد، قطعا سکوت معصوم دالّ بر حجّیّت آن خواهد بود، زیرا؛ عمل عقلا به سیره‌ای در تمام امور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امور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در مرأی و مسمع معصوم، همان تقریر معصوم است و تقریر معصوم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استصحاب شارع با عقلا متحدالمسلک نیست، زیرا شارع در حکم شرعی خود شک ندارد تا بنا را بر حالت سابقه بگذارد و استصحاب حالت سابقه کند، ولی عقلا در تمام امور شرعی و غیر شرعی خود، به استصحاب عمل کرده‌اند و ما دلیل داریم که عقلا در حضور شارع و در امور شرعی خود به استصحاب عمل کرده‌اند و شارع هم سکوت کرده و این سکوت همان تقریر شارع است، زیرا شرایط تقریر حاصل بوده، یعنی تقیّه‌ای در کار نبوده و</w:t>
      </w:r>
    </w:p>
    <w:p>
      <w:pPr>
        <w:pStyle w:val="BookText"/>
        <w:rPr/>
      </w:pPr>
      <w:r>
        <w:rPr>
          <w:rFonts w:ascii="IRNazanin" w:hAnsi="IRNazanin" w:eastAsia="IRNazanin"/>
          <w:color w:val="111111"/>
          <w:sz w:val="28"/>
          <w:sz w:val="28"/>
          <w:szCs w:val="28"/>
          <w:rtl w:val="true"/>
          <w:lang w:bidi="fa-IR"/>
        </w:rPr>
        <w:t>امکان ردع وجود داشته است، پس چون استصحاب در حضور شارع انجام شده، سیره قسم دوم هم حجّت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قسم دوم که شارع با عقلا متحدالمسلک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عقلا</w:t>
      </w:r>
      <w:bookmarkStart w:id="289" w:name="pg4331_48993"/>
    </w:p>
    <w:p>
      <w:pPr>
        <w:pStyle w:val="BookText"/>
        <w:rPr/>
      </w:pPr>
      <w:bookmarkEnd w:id="289"/>
      <w:r>
        <w:rPr>
          <w:rFonts w:ascii="IRNazanin" w:hAnsi="IRNazanin" w:eastAsia="IRNazanin"/>
          <w:color w:val="111111"/>
          <w:sz w:val="28"/>
          <w:sz w:val="28"/>
          <w:szCs w:val="28"/>
          <w:rtl w:val="true"/>
          <w:lang w:bidi="fa-IR"/>
        </w:rPr>
        <w:t>به سیره‌ای عمل می‌کنند، ولی نمی‌دانیم در امور شرعیّه خود و عندالمعصوم به آن عمل کرده باشند و شارع مقدّس هم سکوت فرموده و از آن سیره منعی نفرموده، آیا چنین سیره‌ای حجت است ؟</w:t>
      </w:r>
    </w:p>
    <w:p>
      <w:pPr>
        <w:pStyle w:val="BookText"/>
        <w:rPr/>
      </w:pPr>
      <w:r>
        <w:rPr>
          <w:rFonts w:ascii="IRNazanin" w:hAnsi="IRNazanin" w:eastAsia="IRNazanin"/>
          <w:color w:val="111111"/>
          <w:sz w:val="28"/>
          <w:sz w:val="28"/>
          <w:szCs w:val="28"/>
          <w:rtl w:val="true"/>
          <w:lang w:bidi="fa-IR"/>
        </w:rPr>
        <w:t>جواب آن است که چنین سیره‌ای حجت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شارع با عقلا متحدالمسلک نیست و ثانیا این سیره در حضور شارع انجام نشده که شرایط تقریر فراهم باشد و بگوییم شارع سکوت فرموده و ثالثا عمل به این سیره در امور شرعیه هم نبوده، تا بگوییم از باب امر به معروف بر شارع لازم بوده که مردم را از آن سیره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احتمال می‌دهیم که چون این سیره در امور شرعیه نبوده است، شارع از آن نهی نکرده و نیز احتمال می‌دهیم که شارع از عمل به آن سیره در امور شرعیه نهی کرده باشد و لذا عقلا در امور شرعیه خود به آن سیره تمسک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این احتمالات وجود دارد، برای تأیید این سیره نیاز به دلیل خاصّ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آن است که اگر شارع با عقلا متحدالمسلک می‌بود، سکوت شارع دلیل رضایت او بود و اگر از باب تقریر می‌بود، می‌گفتیم از باب تقریر حجت است، ولی چون هیچ کدام از آن دو نیست، برای اثبات حجّیّت این سیره نیاز به دلیل خاصّ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حجّیّت قول لغوی گفته‌اند عقلا در امور اجتماعی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نوشتن و خواندن بحثهای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بعضی لغات به قول لغوی رجوع می‌کرده‌اند، اما در فهم مسائل شرعی معلوم نیست که به قول لغوی رجوع کرده‌اند،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با عقلا در رجوع به اهل لغت متحدالمسلک نیست و دلیل هم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عقلا در امور شرعیه خود و عندالشارع به اهل لغت مراجعه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حجّیّت چنین سیره‌ای باید دلیل خاصّ داشته باشیم</w:t>
      </w:r>
      <w:r>
        <w:rPr>
          <w:rFonts w:eastAsia="IRNazanin" w:cs="IRNazanin"/>
          <w:color w:val="111111"/>
          <w:sz w:val="28"/>
          <w:szCs w:val="28"/>
          <w:rtl w:val="true"/>
          <w:lang w:bidi="fa-IR"/>
        </w:rPr>
        <w:t>.</w:t>
      </w:r>
    </w:p>
    <w:p>
      <w:pPr>
        <w:pStyle w:val="Heading4"/>
        <w:numPr>
          <w:ilvl w:val="3"/>
          <w:numId w:val="1"/>
        </w:numPr>
        <w:rPr/>
      </w:pPr>
      <w:bookmarkStart w:id="290" w:name="__RefHeading___Toc1014807_1479056682"/>
      <w:bookmarkStart w:id="291" w:name="_Toc108"/>
      <w:bookmarkEnd w:id="290"/>
      <w:r>
        <w:rPr/>
        <w:t>2</w:t>
      </w:r>
      <w:r>
        <w:rPr>
          <w:rtl w:val="true"/>
        </w:rPr>
        <w:t xml:space="preserve"> - </w:t>
      </w:r>
      <w:r>
        <w:rPr>
          <w:rtl w:val="true"/>
        </w:rPr>
        <w:t>حجّیّت سیره متشرّعه</w:t>
      </w:r>
      <w:bookmarkEnd w:id="29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از نظر مُظهِر و مُبرز آن بر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قولی و اجماع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اتّفاق نظر علمای اسلام در فتوایی خاصّ و در یک قول مخصوص، مثلاً همه علما فتوا بر وجوب نماز جمعه بدهند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اتّفاق نظر علما در فعل خاصّی، مثلاً تمام علمای یک عصر در </w:t>
      </w:r>
    </w:p>
    <w:p>
      <w:pPr>
        <w:pStyle w:val="BookText"/>
        <w:rPr/>
      </w:pPr>
      <w:r>
        <w:rPr>
          <w:rFonts w:ascii="IRNazanin" w:hAnsi="IRNazanin" w:eastAsia="IRNazanin"/>
          <w:color w:val="111111"/>
          <w:sz w:val="28"/>
          <w:sz w:val="28"/>
          <w:szCs w:val="28"/>
          <w:rtl w:val="true"/>
          <w:lang w:bidi="fa-IR"/>
        </w:rPr>
        <w:t xml:space="preserve">نماز جمعه شرکت کنند و یا تمام علمای یک عصر لباس خاصی بپوشند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متشرّعه و بنای عملی مسلمانان از اقسام اجماع عملی می‌باشد، بلکه بالاترین نوع اجماع است، زیرا اجماع قولی یعنی اتّفاق علما در قول خاصّی، ولی سیره متشرّعه یعنی اتّفاق نظر همه مسلمانان، چه عالم و چه عامی، در یک عمل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سیره متشرّعه، از اجماع قولی بالاتر است، زیرا اولاً در سیره متشرّعه اتّفاق همه مسلمین اعمّ از عالم و عامی است و ثانیا در اجماع اتّفاق بر یک قول و نظر و در سیره اتّفاق بر یک عمل است و یا این که به تعبیر شهید صدر، سیره متشرّعه از نظر کاشفیّت رأی معصوم، مانند اجماع است، با این تفاوت که اجماع، بیان کننده فتوا و نظر</w:t>
      </w:r>
    </w:p>
    <w:p>
      <w:pPr>
        <w:pStyle w:val="BookText"/>
        <w:rPr/>
      </w:pPr>
      <w:r>
        <w:rPr>
          <w:rFonts w:ascii="IRNazanin" w:hAnsi="IRNazanin" w:eastAsia="IRNazanin"/>
          <w:color w:val="111111"/>
          <w:sz w:val="28"/>
          <w:sz w:val="28"/>
          <w:szCs w:val="28"/>
          <w:rtl w:val="true"/>
          <w:lang w:bidi="fa-IR"/>
        </w:rPr>
        <w:t>فقهی فقهاست، ولی سیره، بیان کننده سلوک عملی و دینی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جاست که گفتیم سیره متشرّعه نظیر اجماع است، زیرا سیره و اجماع هر دو بر اساس احتمال، کاشف از رأی معصومند، با این تفاوت که اجماع بیانگر دیدگاه فتوایی و نظریه فقهاست، در حالی که سیره نشان دهنده سلوک عملی و دینی متشرّعه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آیا سیره متشرّعه حجت است ؟ سیره متشرّعه و روش متدینین را در پاره‌ای اعمال</w:t>
      </w:r>
    </w:p>
    <w:p>
      <w:pPr>
        <w:pStyle w:val="BookText"/>
        <w:rPr/>
      </w:pPr>
      <w:r>
        <w:rPr>
          <w:rFonts w:ascii="IRNazanin" w:hAnsi="IRNazanin" w:eastAsia="IRNazanin"/>
          <w:color w:val="111111"/>
          <w:sz w:val="28"/>
          <w:sz w:val="28"/>
          <w:szCs w:val="28"/>
          <w:rtl w:val="true"/>
          <w:lang w:bidi="fa-IR"/>
        </w:rPr>
        <w:t>می‌توان به دو قسم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سیره متشرّعه از آن سیره‌هایی است که یقینا از زمان معصوم استمرار داشته است ومتدینین زمان معصوم نیز به آن سیره عمل می‌کرده‌اند و یا این که خود معصوم به آن عمل می‌کرده است و یا این که از باب تقریر آن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سیره از این قبیل باشد، یعنی از عصر معصوم تا عصر ما استمرار دارد و ما یقین داریم که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معصوم به آن عمل کرده است و یا آن که از باب تقریر آن را تأیید فرموده است، چنین سیره‌ای قطعا حجت می‌باشد، نظیر اجماع دخولی که قطعا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سیره متشرّعه و بنای عملی شیعیان بر عزاداری برای امام حسین علیه‌السلاماست و ما یقین داریم که این سیره تا زمان امام صادق و امام باقر و امام سجاد علیهم‌السلام جریان داشته و خود ائمه معصومین علیهم‌السلام به این سیره عمل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و امام باقر و امام صادق علیهم‌السلام </w:t>
      </w:r>
    </w:p>
    <w:p>
      <w:pPr>
        <w:pStyle w:val="BookText"/>
        <w:rPr/>
      </w:pPr>
      <w:r>
        <w:rPr>
          <w:rFonts w:ascii="IRNazanin" w:hAnsi="IRNazanin" w:eastAsia="IRNazanin"/>
          <w:color w:val="111111"/>
          <w:sz w:val="28"/>
          <w:sz w:val="28"/>
          <w:szCs w:val="28"/>
          <w:rtl w:val="true"/>
          <w:lang w:bidi="fa-IR"/>
        </w:rPr>
        <w:t>خودشان شعرا را دعوت می‌کردند تا مصائب امام حسین علیه‌السلام را به صورت نوحه و بخوانند و خود ائمه علیهم‌السلام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برای ما قطعا حجت است، یعنی ما هم می‌توانیم برای امام حسین علیه‌السلام عزاداری کنیم ولو آن که هیچ دلیل دیگری نداشته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سیره متشرّعه از آن سیره‌ها و روشهایی است که معلوم نیست در زمان معصوم هم جاری بوده است، یا نه، یا این که علم داریم به عدم جریان سیره در زمان معصوم و یا حداقل نسبت به جریان آن در زمان معصوم شک داریم، چنین سیره‌ای برای ما قطعا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دو تقسیم فوق، در مورد حجّیّت سیره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متشرّعه و روش مردم متدیّن وقتی حجّت است که این سیره از لحاظ تاریخ و زمان، به زمان امامان معصوم علیهم‌السلام باز گردد و ثابت گردد که معصوم شخصا در آن روش شرکت داشته است و در صورت عدم امکان شرکت، لااقل ثابت شود که امام روی آن سیره صحه گذارده و مردم را در آن عمل به طور مداوم تأیید فرموده است، اگر چه تأیید امام به این صورت باشد که با آگاهی از عمل مردم به آن سیره، منع و ردعی از آن به عمل</w:t>
      </w:r>
    </w:p>
    <w:p>
      <w:pPr>
        <w:pStyle w:val="BookText"/>
        <w:rPr/>
      </w:pPr>
      <w:r>
        <w:rPr>
          <w:rFonts w:ascii="IRNazanin" w:hAnsi="IRNazanin" w:eastAsia="IRNazanin"/>
          <w:color w:val="111111"/>
          <w:sz w:val="28"/>
          <w:sz w:val="28"/>
          <w:szCs w:val="28"/>
          <w:rtl w:val="true"/>
          <w:lang w:bidi="fa-IR"/>
        </w:rPr>
        <w:t>نیاورده باشد و در غیر این صورت نمی‌توان در اثبات حکمی از احکام به سیره و روش متدینین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است سیره‌ها و روشهایی که از لحاظ تاریخی به عصر معصوم نمی‌رسد، زیرا آنها پدیده‌ها و حوادث تازه‌ای بوده‌اند که در عصر معصومین علیهم‌السلام اثری از آنها نبوده، خلاصه آن که ملاک حجّیّت سیره متشرّعه، آن است که کاشف از عمل یا امضای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سیره متشرّعه تنها در مورد اعمال و کارهایی است که به زمان ائمه علیهم‌السلام بازر گردد و چنین سیره‌ای، می‌تواند سند و مدرک باشد و اگر ارتباط سیره از عصر ائمه علیهم‌السلام قطع شده باشد، یعنی سیره متشرّعه در عصر معصوم رایج نبوده باشد، بدون تردید اعتبار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دلیلیّت سیره برای اثبات حکم شرعی، منوط به آن است که این سیره در زمان تشریع و در زمان ائمه معصومین علیهم‌السلام هم موجود باشد، پس شامل سیره‌هائی که بعد از زمان معصومین علیهم‌السلام به وجود آمده است،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سید محمّد باقر صدر در این مورد می‌فرماید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پرتو آنچه گفتیم، به این شناخت می‌رسیم که سیره‌ای که استدلال به آن </w:t>
      </w:r>
    </w:p>
    <w:p>
      <w:pPr>
        <w:pStyle w:val="BookText"/>
        <w:rPr/>
      </w:pPr>
      <w:r>
        <w:rPr>
          <w:rFonts w:ascii="IRNazanin" w:hAnsi="IRNazanin" w:eastAsia="IRNazanin"/>
          <w:color w:val="111111"/>
          <w:sz w:val="28"/>
          <w:sz w:val="28"/>
          <w:szCs w:val="28"/>
          <w:rtl w:val="true"/>
          <w:lang w:bidi="fa-IR"/>
        </w:rPr>
        <w:t>برای اثبات حکم شرعی ممکن است، عبارت است از سیره همزمان و همعصر معصومین علیهم‌السلام زیرا فقط همین سیره است که از سکوت معصوم در برابر آن، ظهور در امضای شارع منعقد می‌شود، نه سیره‌ای که متأخر از زمان معصومین علیهم‌السلام باشد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از آنچه گذشت، به این نتیجه می‌رسیم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دلیلیّت و حجّیّت سیره متشرّعه برای اثبات حکم شرعی مبتنی بر دو رکن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معاصرت و هم‌زمان بودن سیره با زمان معصوم علیه‌السلام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ملائمت و نظر موافق شارع با آن، گرچه از طریق سکوت معصوم علیهم‌السلام در مقابل سیره باشد، که این سکوت دال بر امضای سیره متشرّعه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طرق اثبات همعصری سیره با زمان معصوم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فقیه در امری از امور دینی با سیره متشرّعه مواجه شود، برای اثبات این که این سیره در زمان معصومین علیهم‌السلام هم رایج و برقرار بوده است، می‌تواند به یکی از پنج طریق زیر عمل کند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نفس انعقاد سیره و تطابق عملی متشرّعه با آن را دلیل قرار دهیم بر این که این سیره دارای ریشه‌های قدیمی بوده، به طوری که به عهد معصومین می‌رسد، خصوصا اگر موضوع و مضمون سیره عامّ البلوی بوده و عموم متشرّعه بر طبق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فرض کنیم که سیره متشرّعه دایر بر اخفات در نماز ظهر روز جمعه باشد، نفس همین تطابق عملی و این که متشرّعه عملاً نماز ظهر را در روز جمعه به اخفات برگزار می‌کنند، دلیل ثبوت این اخفات از زمان ائمه علیهم‌السلام است و دلیل بر آن است که این سیره از معصومین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جدا بعید است و بلکه عادةً صعب و ممتنع است که متشرّعه به طور ناگهان و بدون دلیل از جهر در نماز ظهر روز جمعه، به اخفات آن تحول و</w:t>
      </w:r>
    </w:p>
    <w:p>
      <w:pPr>
        <w:pStyle w:val="BookText"/>
        <w:rPr/>
      </w:pPr>
      <w:r>
        <w:rPr>
          <w:rFonts w:ascii="IRNazanin" w:hAnsi="IRNazanin" w:eastAsia="IRNazanin"/>
          <w:color w:val="111111"/>
          <w:sz w:val="28"/>
          <w:sz w:val="28"/>
          <w:szCs w:val="28"/>
          <w:rtl w:val="true"/>
          <w:lang w:bidi="fa-IR"/>
        </w:rPr>
        <w:t>انتقال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صدر پس از ذکر طریقه اول، آن را رد می‌کند و می‌فرماید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استدلال صحیح نیست، زیرا آنچه فرض آن مشکل است، تحول ناگهانی </w:t>
      </w:r>
    </w:p>
    <w:p>
      <w:pPr>
        <w:pStyle w:val="BookText"/>
        <w:rPr/>
      </w:pPr>
      <w:r>
        <w:rPr>
          <w:rFonts w:ascii="IRNazanin" w:hAnsi="IRNazanin" w:eastAsia="IRNazanin"/>
          <w:color w:val="111111"/>
          <w:sz w:val="28"/>
          <w:sz w:val="28"/>
          <w:szCs w:val="28"/>
          <w:rtl w:val="true"/>
          <w:lang w:bidi="fa-IR"/>
        </w:rPr>
        <w:t>سیره است، ولی هیچ مشکلّی نخواهد بود که فرض کنیم سیره به صورت بطی‌ء و تدریجی تغییر و تحول یافته باشد، به طوری که بعد از زمان بسیار طولانی درست در نقطه مقابل سیره زمانهای قبل قرار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سیره دایر بر جهر نماز ظهر در روز جمعه بوده ولی به تدریج سیره دایر بر اخفات آن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اثبات معاصرت سیره و وجود آن در زمان معصوم، از طریق نقل تاریخی، خواه این نقل از طریق نقل تاریخی عامّ باشد یا از طریق نقل روایات و احادیث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اخبار و روایات فراوانی داریم دال بر این که سیره عملی اصحاب ائمه علیهم‌السلام بر این استقرار یافته بود که در مقام اخذ معالم و احکام دینی خود بر خبر واحد ثقه اعتماد می‌کردند و این روش در قرون متمادی و نسلی بعد از نسل دیگر تا زمان ما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کتاب بحوث فی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w:t>
      </w:r>
    </w:p>
    <w:p>
      <w:pPr>
        <w:pStyle w:val="BookText"/>
        <w:rPr/>
      </w:pPr>
      <w:r>
        <w:rPr>
          <w:rFonts w:ascii="IRNazanin" w:hAnsi="IRNazanin" w:eastAsia="IRNazanin"/>
          <w:color w:val="111111"/>
          <w:sz w:val="28"/>
          <w:sz w:val="28"/>
          <w:szCs w:val="28"/>
          <w:rtl w:val="true"/>
          <w:lang w:bidi="fa-IR"/>
        </w:rPr>
        <w:t>درس اصول 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 عبارت است از اثبات همعصری سیره و وجود آن در زمان معصوم از طریق نقل و گواهی راویان بر آن، از قبیل آنچه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p>
    <w:p>
      <w:pPr>
        <w:pStyle w:val="BookText"/>
        <w:rPr/>
      </w:pPr>
      <w:r>
        <w:rPr>
          <w:rFonts w:ascii="IRNazanin" w:hAnsi="IRNazanin" w:eastAsia="IRNazanin"/>
          <w:color w:val="111111"/>
          <w:sz w:val="28"/>
          <w:sz w:val="28"/>
          <w:szCs w:val="28"/>
          <w:rtl w:val="true"/>
          <w:lang w:bidi="fa-IR"/>
        </w:rPr>
        <w:t>که عبارت است از استقرار بنای اصحاب ائمه علیهم‌السلام و متشرّعه بر این که در زندگی خود، نسلی پس از نسل دیگر در مقام فراگرفتن معالم و احکام دین خود بر اخبار راویان ثقه اعتماد می‌کردند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طریقه سوم آن است که اگر سیره معاصر معصومین علیهم‌السلام قائم بر حکم شرعی نشود، عدم قیام سیره بر حکم شرعی لازمی دارد که وجدانا منتفی است و در نتیجه ثابت می‌شود که سیره معاصر معصوم بر آن حکم شرعی قائم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را با مثالی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می‌خواهیم ثابت کنیم که در مسأله وضو سیره معاصر معصومین علیهم‌السلام دایر بر اکتفا کردن به مسح مقداری از پا بوده است، می‌گوییم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حقیقةً سیره زمان معصوم دایر بر مسح قسمتی از پا بوده است، این سیره برای کسی که حکم مسأله را نمی‌داند، خود دلیل بر عدم وجوب سؤال از حکم مسأله است و </w:t>
      </w:r>
    </w:p>
    <w:p>
      <w:pPr>
        <w:pStyle w:val="BookText"/>
        <w:rPr/>
      </w:pPr>
      <w:r>
        <w:rPr>
          <w:rFonts w:ascii="IRNazanin" w:hAnsi="IRNazanin" w:eastAsia="IRNazanin"/>
          <w:color w:val="111111"/>
          <w:sz w:val="28"/>
          <w:sz w:val="28"/>
          <w:szCs w:val="28"/>
          <w:rtl w:val="true"/>
          <w:lang w:bidi="fa-IR"/>
        </w:rPr>
        <w:t>همین سیره او را از سؤال حکم مسأله بی‌نیاز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سیره زمان معصوم، منعقد بر مسح جزئی از پا نباشد، بلکه مسح تمام پا واجب باشد و عملاً هم بسیاری از متشرّعه</w:t>
      </w:r>
    </w:p>
    <w:p>
      <w:pPr>
        <w:pStyle w:val="BookText"/>
        <w:rPr/>
      </w:pPr>
      <w:r>
        <w:rPr>
          <w:rFonts w:ascii="IRNazanin" w:hAnsi="IRNazanin" w:eastAsia="IRNazanin"/>
          <w:color w:val="111111"/>
          <w:sz w:val="28"/>
          <w:sz w:val="28"/>
          <w:szCs w:val="28"/>
          <w:rtl w:val="true"/>
          <w:lang w:bidi="fa-IR"/>
        </w:rPr>
        <w:t>زمان معصوم تمام پا را مسح کنند، در این صورت دانستن حکم مسأله، منحصر به سؤال از معصومین علیهم‌السلام یا رجوع به روایات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که متشرّعه تمام پا را مسح می‌کنند، برای اثبات وجوب مسح تمام پا کافی نمی‌باشد و چون مسأله، محلّ ابتلای عموم افراد مکلف می‌باشد، وجوب مسح تمام پا خود داعی بر سؤال از حکم مسأله است، طبیعی است که در این مورد سؤالهای زیادی مطرح شود و اگر سؤال و جوابهای زیادی در این مسأله وجود می‌داشت، باید حدّاقلّ مقداری از آنها به ما رسیده</w:t>
      </w:r>
    </w:p>
    <w:p>
      <w:pPr>
        <w:pStyle w:val="BookText"/>
        <w:rPr/>
      </w:pPr>
      <w:r>
        <w:rPr>
          <w:rFonts w:ascii="IRNazanin" w:hAnsi="IRNazanin" w:eastAsia="IRNazanin"/>
          <w:color w:val="111111"/>
          <w:sz w:val="28"/>
          <w:sz w:val="28"/>
          <w:szCs w:val="28"/>
          <w:rtl w:val="true"/>
          <w:lang w:bidi="fa-IR"/>
        </w:rPr>
        <w:t>باشد و از این که چنین سؤال و جوابهایی به ما نرسیده است، درمی‌یابیم که در این مورد</w:t>
      </w:r>
    </w:p>
    <w:p>
      <w:pPr>
        <w:pStyle w:val="BookText"/>
        <w:rPr/>
      </w:pPr>
      <w:r>
        <w:rPr>
          <w:rFonts w:ascii="IRNazanin" w:hAnsi="IRNazanin" w:eastAsia="IRNazanin"/>
          <w:color w:val="111111"/>
          <w:sz w:val="28"/>
          <w:sz w:val="28"/>
          <w:szCs w:val="28"/>
          <w:rtl w:val="true"/>
          <w:lang w:bidi="fa-IR"/>
        </w:rPr>
        <w:t>سؤالها و جوابهای کثیری در کار نبوده و در نتیجه نیازی به سؤال و جواب، برای دانستن</w:t>
      </w:r>
    </w:p>
    <w:p>
      <w:pPr>
        <w:pStyle w:val="BookText"/>
        <w:rPr/>
      </w:pPr>
      <w:r>
        <w:rPr>
          <w:rFonts w:ascii="IRNazanin" w:hAnsi="IRNazanin" w:eastAsia="IRNazanin"/>
          <w:color w:val="111111"/>
          <w:sz w:val="28"/>
          <w:sz w:val="28"/>
          <w:szCs w:val="28"/>
          <w:rtl w:val="true"/>
          <w:lang w:bidi="fa-IR"/>
        </w:rPr>
        <w:t>حکم مسأله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می‌شود که سیره معاصر معصوم علیه‌السلام دایر بر اکتفا مسح قسمتی از 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استدلال متوقّف بر چند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مسأله عامّ البلوی و محلّ ابتلای عموم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حکم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 وجوب مسح تمام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و روشی را بطلبد، که طبع انسان، به نفسه مقتضی آن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دواعی بر نقل آنچه در حکم مسأله وارد شده است، زیاد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مبرّر و مسوّغی برای اخفای حکم مسأله در کار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در مورد حکم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تمام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فتاوای معتنابه و قابل توجهی از متقدّمین به ما نرسیده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طریقه چهارم آن است که آن سلوک و روش عملی‌ای که می‌خواهیم ثابت کنیم، سیره معاصر زمان معصوم بوده، دارای بدیل و جانشین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اگر مُبْدَل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بدل آن در عمل جای آن را بگیرد و نیز این بدیل و جانشین به صورت پدیده اجتماعی غیرمألوف و نامأنوس باشد، به طوری که اگر واقعا وجود می‌داشت، حتما در تاریخ به ثبت می‌رسید و به ما منعکس می‌شد و چون چنین چیزی مسجّل نشده و به ما نرسیده است، پس معلوم می‌شود آن روشی که عملاً در خارج اتّفاق </w:t>
      </w:r>
    </w:p>
    <w:p>
      <w:pPr>
        <w:pStyle w:val="BookText"/>
        <w:rPr/>
      </w:pPr>
      <w:r>
        <w:rPr>
          <w:rFonts w:ascii="IRNazanin" w:hAnsi="IRNazanin" w:eastAsia="IRNazanin"/>
          <w:color w:val="111111"/>
          <w:sz w:val="28"/>
          <w:sz w:val="28"/>
          <w:szCs w:val="28"/>
          <w:rtl w:val="true"/>
          <w:lang w:bidi="fa-IR"/>
        </w:rPr>
        <w:t>افتاده، همان مبدل و همان روش اوّل بوده است نه بدل و جانشین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آن این است که در زمان معصومین علیهم‌السلام سیره عقلا و بلکه عامّه مردم دایر بر اعتبار ظواهر کلام و عمل به آنها بوده است، زیرا اگر در مقام تفهیم و تفاهم، چنین سیره و روشی در کار نبود، باید روش دیگری به عنوان بدیل و جانشین روش اوّل وجود می‌داشت که در تفهیم و تفاهم و استفاده از ظاهر کلام، از آن بهره می‌گرفتند و اگر فرضا</w:t>
      </w:r>
    </w:p>
    <w:p>
      <w:pPr>
        <w:pStyle w:val="BookText"/>
        <w:rPr/>
      </w:pPr>
      <w:r>
        <w:rPr>
          <w:rFonts w:ascii="IRNazanin" w:hAnsi="IRNazanin" w:eastAsia="IRNazanin"/>
          <w:color w:val="111111"/>
          <w:sz w:val="28"/>
          <w:sz w:val="28"/>
          <w:szCs w:val="28"/>
          <w:rtl w:val="true"/>
          <w:lang w:bidi="fa-IR"/>
        </w:rPr>
        <w:t>روش دیگری وجود می‌داشت، چون روشی عجیب و غریب و نامأنوس بود، طبیعةً ثبت می‌شد و به ما می‌رسید و چون چنین چیزی ثابت نشده و به ما نرسیده است، پس معلوم می‌شود که در زمان شارع، سیره متشرّعه دایر بر عمل به ظواهر کلام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طریقه پنجم عبارت است از دقت و ملاحظه تحلیلیّه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هرگاه انسان مسأله‌ای را بر وجدان و مرتکزات عقلائیه خود عرضه کند، مشاهده می‌کند که نسبت به آن مسأله دیدگاه مخصوص و معینی دارد، به طوری که دیدگاه و نظرش در مورد آن مسأله در وجدان وی بی نهایت واضح و روشن است، به گونه‌ای که این دیدگاه ارتباطی به خصوصیّات متغیر در حالات مختلف ندارد، یعنی در تمام حالات، این دیدگاه به طور واضح و روشن در وجدان او حاصل است و هر عاقلی به ملاحظه همان دقت و تحلیل وجدانی، دیدگاهش نسبت به آن مسأله همان خواهد بود که او نسبت به آن مسأله دارد، در این صورت مطمئن می‌شود که دیدگاه و نظرش نسبت به آن مسأله، یک دیدگاه و یک حالت عامی است که در تمام عقلا وجود دارد، به طوری که اگر احوال عقلا را در تمام مجتمعات عقلایی استقراء کند، درمی‌یابد که تمام عقلا از آن مسأله ارتکاز و برداشت مشابه و یکسانی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کیفیّت استکشاف موافقت شارع با سیره متشرّعه از طریق سکوت دالّ بر رضایت و امضای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دوم در تتمیم دلالت سیره بر حکم شرعی، عبارت است از سکوت معصوم که دال بر امضای سیره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حصول جزم و قطع به سکوت شارع در برابر سیره، امری بسیار دشوار و مشکل است، زیرا چگونه و از چه راهی می‌توان علم حاصل کرد که ردع و منعی از ناحیه معصوم نسبت به سیره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حصول علم به عدم ردع از سیره، کاری بس دشوار است و حدّاکثر چیزی که می‌توان گفت آن است </w:t>
      </w:r>
      <w:bookmarkStart w:id="292" w:name="pg4331_49000"/>
    </w:p>
    <w:p>
      <w:pPr>
        <w:pStyle w:val="BookText"/>
        <w:rPr/>
      </w:pPr>
      <w:bookmarkEnd w:id="292"/>
      <w:r>
        <w:rPr>
          <w:rFonts w:ascii="IRNazanin" w:hAnsi="IRNazanin" w:eastAsia="IRNazanin"/>
          <w:color w:val="111111"/>
          <w:sz w:val="28"/>
          <w:sz w:val="28"/>
          <w:szCs w:val="28"/>
          <w:rtl w:val="true"/>
          <w:lang w:bidi="fa-IR"/>
        </w:rPr>
        <w:t>که در نصوص واصله به ما، ردعی از آن سیره وجود ندارد و این به معنی عدم صدور ردع نخواهد بود، زیرا شاید در واقع ردعی صادر شده ولی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می‌توان از دو قضیّه شرطیّه زیر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شارع با مضمون سیره موافق نبود، از آن ردع و ممانعت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شارع از سیره ردع کرده بود، آن ردع به ما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ردع و منعی به ما نرسیده است، پس ردعی در کار نبوده و به حکم قضیّه شرطیّه اوّل این عدم ردع کاشف از امضای شارع نسبت به سیره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 ردع و منع جدّی از سیره عقلائیه مستحکم، با یک یا دو بار نهی از آن محقّق نمی‌شود، بلکه باید حجم ردع و تعداد دفعات نهی از سیره، متناسب با قوت و قدرت رسوخ سیره در میان صاحبان سیره باشد، پس ردع از چنین سیره راسخ و مستحکمی که مدّتها عدّه‌ای به آن عمل کرده‌اند، باید در قالب نهی‌های متعدّد و زیادی متمثّل و بیان</w:t>
      </w:r>
    </w:p>
    <w:p>
      <w:pPr>
        <w:pStyle w:val="BookText"/>
        <w:rPr/>
      </w:pPr>
      <w:r>
        <w:rPr>
          <w:rFonts w:ascii="IRNazanin" w:hAnsi="IRNazanin" w:eastAsia="IRNazanin"/>
          <w:color w:val="111111"/>
          <w:sz w:val="28"/>
          <w:sz w:val="28"/>
          <w:szCs w:val="28"/>
          <w:rtl w:val="true"/>
          <w:lang w:bidi="fa-IR"/>
        </w:rPr>
        <w:t>شده باشد و چون که دواعی زیادی از طرف اصحاب امام و راویان، برای ضبط این نواهی متعدد وجود داشته، طبیعی است که اگر این نواهی صادره از امام، به وسیله راویان ضبط می‌شد، باید حداقل مقداری از آنها به ما می‌رسید و چون چیزی از آن نواهی به ما نرسیده است، پس از عدم وصول نهی، عدم صدور ردع شارع را استکشاف می‌کنیم</w:t>
      </w:r>
      <w:r>
        <w:rPr>
          <w:rFonts w:eastAsia="IRNazanin" w:cs="IRNazanin"/>
          <w:color w:val="111111"/>
          <w:sz w:val="28"/>
          <w:szCs w:val="28"/>
          <w:rtl w:val="true"/>
          <w:lang w:bidi="fa-IR"/>
        </w:rPr>
        <w:t>.</w:t>
      </w:r>
    </w:p>
    <w:p>
      <w:pPr>
        <w:pStyle w:val="Heading4"/>
        <w:numPr>
          <w:ilvl w:val="3"/>
          <w:numId w:val="1"/>
        </w:numPr>
        <w:rPr/>
      </w:pPr>
      <w:bookmarkStart w:id="293" w:name="__RefHeading___Toc1014809_1479056682"/>
      <w:bookmarkStart w:id="294" w:name="_Toc109"/>
      <w:bookmarkEnd w:id="293"/>
      <w:r>
        <w:rPr>
          <w:rtl w:val="true"/>
        </w:rPr>
        <w:t>تأثیر عادات در پیدایش برخی سیره‌ها</w:t>
      </w:r>
      <w:bookmarkEnd w:id="29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حجّیّت سیره گفته شد که سیره متشرّعه وقتی حجّت است و می‌تواند دلیل بر حکم شرعی باشد که از لحاظ تاریخ به زمان و دوره معصومین علیهم‌السلام منتهی شود و نیز معلوم شود که معصوم حدّاقلّ با سکوت خود آن را تأیید و امضاء کرده و از آن منع و ردعی نفرموده است و اگر ارتباط سیره از عصر معصومین علیهم‌السلام قطع شده باشد، بدون تردید از اعتبار و حجّیّت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سیره‌ها که به زمان معصوم اتّصال ندارند، معمولاً ناشی از عادت داشتن مردم به انجام یک عمل است و چه بسا منشأ برخی از سیره‌ها فتوای قوی و محکمی بوده که فقط دو یا سه نسل از آن گذشته و مهر سیره روی آن خورده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عادات و رسوم هستند که در برخی از مناطق و محیطهای معیّن رواج پیدا می‌کنند و نزد توده عوام جنبه تقدس می‌یابند و به صورت سیره رایج آنها درمی‌آیند، ریشه و منشأ پیدایش این سیره‌ها غالبا عادت مردم است، بنابراین باید بررسی کرد که ریشه عادت مردم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امور عادیّه در بین مردم چنین است که برای بار اوّل فردی که در میان مردم نفوذ و اعتباری دارد،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مباح یا غیر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می‌دهدو مردم به تقلید از وی، همان عمل را تکرار می‌کنند و بعد از گذشت چند نسل، آن عمل به شکل عادت درمی‌آید و هنگامی که در بین مردم به صورت عادت درآمد، به صورت سیره‌ای مستقرّ در می‌آید و در جامعه قداست و مقبولیّت پیدا می‌کند، به طوری که خروج از آن و مخالفت با آن مشکل می‌شود، تا آن جا که شخص مخالف با آن سیره، مخالف با قانون اسلام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سیره‌های برخاسته از عرف و عادت رایج بین مردم که رنگ سیره اسلامی و دینی به خود گرفته،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سیره‌هایی مانند بوسیدن دست بزرگان یا قیام کردن به عنوان احترام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شاطبی در کتاب الموافقات، قیام به خاطر اکرام و تعظیم را یک سیره متصل و مستمر اسلامی نمی‌داند، زیرا وقتی که پیامبر صلی‌الله‌علیه‌و‌آله بر اصحاب وارد می‌شد، آنها برای آن حضرت قیام نمی‌کردند، بلکه پیامبر صلی‌الله‌علیه‌و‌آله به محض ورود به مجلس هر جا که خالی بود، می‌نشست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نیز درباره سیره بوسیدن دست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است دست بوسی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یا پذیرش صحّت آنچه در این زمینه روایت شده است، زیرا جز به صورت نادر دست بوسی نسبت به پیامبر صورت نگرفته است و پس از پیامبر، از سوی صحابه جز ترک آن استمرار نیافته و این خود دلیل بر مرجوحیّت آن است</w:t>
      </w:r>
      <w:r>
        <w:rPr>
          <w:rFonts w:eastAsia="IRNazanin" w:cs="IRNazanin"/>
          <w:color w:val="111111"/>
          <w:sz w:val="28"/>
          <w:szCs w:val="28"/>
          <w:rtl w:val="true"/>
          <w:lang w:bidi="fa-IR"/>
        </w:rPr>
        <w:t>».</w:t>
      </w:r>
      <w:r>
        <w:rPr>
          <w:rStyle w:val="FootnoteAnchor"/>
          <w:rtl w:val="true"/>
        </w:rPr>
        <w:footnoteReference w:id="22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سیره‌هایی مانند بوسیدن دست بزرگان، یا برخاستن و ایستادن به </w:t>
      </w:r>
    </w:p>
    <w:p>
      <w:pPr>
        <w:pStyle w:val="BookText"/>
        <w:rPr/>
      </w:pPr>
      <w:r>
        <w:rPr>
          <w:rFonts w:ascii="IRNazanin" w:hAnsi="IRNazanin" w:eastAsia="IRNazanin"/>
          <w:color w:val="111111"/>
          <w:sz w:val="28"/>
          <w:sz w:val="28"/>
          <w:szCs w:val="28"/>
          <w:rtl w:val="true"/>
          <w:lang w:bidi="fa-IR"/>
        </w:rPr>
        <w:t>عنوان احترام برای کسی که به مجلسی وارد می‌شود، یا اهمّیّت دادن به جشن نوروز و یا تزیین کردن مساجد و قبور و یا مجالس ختم و عزاداری برای متوفی، همه از قبیل همین سیره‌های نشأت گرفته از عرف و عادات مردم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ملاحظه می‌شود بعضی از عادات و سیره‌های رایج، برخلاف روایات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پیامبر صلی‌الله‌علیه‌و‌آله فرموده است وقتی کسی فوت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اگر بزرگ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اخلاقی آشنایان و همسایگان است که تا سه روز برای فرزندان و بازماندگان متوفی غذا ببرند و از آنها دلجویی کنند، در حالی که سیره رایج زمان ما این است که صاحب عزا از</w:t>
      </w:r>
    </w:p>
    <w:p>
      <w:pPr>
        <w:pStyle w:val="BookText"/>
        <w:rPr/>
      </w:pPr>
      <w:r>
        <w:rPr>
          <w:rFonts w:ascii="IRNazanin" w:hAnsi="IRNazanin" w:eastAsia="IRNazanin"/>
          <w:color w:val="111111"/>
          <w:sz w:val="28"/>
          <w:sz w:val="28"/>
          <w:szCs w:val="28"/>
          <w:rtl w:val="true"/>
          <w:lang w:bidi="fa-IR"/>
        </w:rPr>
        <w:t>نظر اجتماعی، خود را موظّف می‌داند که برای سوم و هفتم و چهلم و حتّی برای سالروز متوفّی مخارج زیادی را متحمّل شود که غالبا جنبه رقابت و خودنمایی دارد و جز ریا و اسراف، نفعی به حال متوّفی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 xml:space="preserve">دیگر از عادات و رسوم رایج در این زمان که به شکل یک سیره شرعیّه درآمده و از قداست و اهمّیّت مخصوصی برخوردار است بزرگداشت شبهای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نیمه شعبان، سالروز میلاد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استان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است و آن عبارت از این است که مردم معتقدند در روزهای دوازدهم و سیزدهم و چهاردهم ماه شعبان از هر سال را که درهای رحمت الهی به روی مردگان باز است، به یاد اموات و درگذشتگان خود خیرات و صدقات نثار کنند و اغلب در این سه روز به زیارت اهل قبور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منکر تأثیر خیرات و صدقات نسبت به اموات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زیارت اهل قبور و انجام خیرات و صدقات برای آنها کاری مشروع است و در لسان روایات هم مردم بر آن تشویق و ترغیب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به صورت یک سیره ناشی از عرف و عادت مردم درآمده و رنگ خرافه به خود گرفته، همین نامگذاری عامیانه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آن به این سه روز خاصّ است که هیچ منشأ روایی و دینی ندارد و هنگامی که انسان در روایات در جستجوی منشأ روایی آن برمی‌آید، ملاحظه می‌کند که در این زمینه، هیچ اثر و خبری در روایات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که مرحوم پدرم</w:t>
      </w:r>
      <w:r>
        <w:rPr>
          <w:rStyle w:val="FootnoteAnchor"/>
          <w:rtl w:val="true"/>
        </w:rPr>
        <w:footnoteReference w:id="226"/>
      </w:r>
      <w:r>
        <w:rPr>
          <w:rFonts w:ascii="IRNazanin" w:hAnsi="IRNazanin" w:eastAsia="IRNazanin"/>
          <w:color w:val="111111"/>
          <w:sz w:val="28"/>
          <w:sz w:val="28"/>
          <w:szCs w:val="28"/>
          <w:rtl w:val="true"/>
          <w:lang w:bidi="fa-IR"/>
        </w:rPr>
        <w:t xml:space="preserve">در سفری که به یکی از شهرهای شمال در همین ایام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عمومی شهر مشاهده کردم، که شخصی با صدای بلند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 قرآنِ خوانده، قرآن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 از او به گرمی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جلو رفتم دیدم مشکی پر از باد بر دوش</w:t>
      </w:r>
    </w:p>
    <w:p>
      <w:pPr>
        <w:pStyle w:val="BookText"/>
        <w:rPr/>
      </w:pPr>
      <w:r>
        <w:rPr>
          <w:rFonts w:ascii="IRNazanin" w:hAnsi="IRNazanin" w:eastAsia="IRNazanin"/>
          <w:color w:val="111111"/>
          <w:sz w:val="28"/>
          <w:sz w:val="28"/>
          <w:szCs w:val="28"/>
          <w:rtl w:val="true"/>
          <w:lang w:bidi="fa-IR"/>
        </w:rPr>
        <w:t>افکنده و بنا به گفته خودش که چند دور قرآن را ختم کرده و بعد از قراءت هر آیه در آن</w:t>
      </w:r>
    </w:p>
    <w:p>
      <w:pPr>
        <w:pStyle w:val="BookText"/>
        <w:rPr/>
      </w:pPr>
      <w:r>
        <w:rPr>
          <w:rFonts w:ascii="IRNazanin" w:hAnsi="IRNazanin" w:eastAsia="IRNazanin"/>
          <w:color w:val="111111"/>
          <w:sz w:val="28"/>
          <w:sz w:val="28"/>
          <w:szCs w:val="28"/>
          <w:rtl w:val="true"/>
          <w:lang w:bidi="fa-IR"/>
        </w:rPr>
        <w:t xml:space="preserve">مشک دمیده تا پر از باد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در آمده و مهیّای بهره‌برداری و نثار برای اموات شده است و مردم هم این قرآن خوانده را از او می‌خریدند و به تناسب مبلغی که به او می‌دادند سر مشک را روی قبر گرفته مقداری از باد آن را خالی و نثار مرده بیچاره می‌کردند و در اذهان مردم ساده‌لوح چنین القاء شده که ثواب آن به روح مرده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بسیاری از سیره‌ها و عرفهای رایج بین جوامع اسلامی ممکن است چنین مبدأ و منشأای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وقتی کتب فقها را مورد ملاحظه و بررسی قرار می‌دهیم، ملاحظه می‌کنیم که در بسیاری از موارد مسأله‌ای را ذکر می‌کنند، بعد به عنوان دلیل آن مسأله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للسیرة المستمرة بین الناس، ودلیل آن مسأله را سیره رایج بین مردم قرار می‌دهند، بدون</w:t>
      </w:r>
    </w:p>
    <w:p>
      <w:pPr>
        <w:pStyle w:val="BookText"/>
        <w:rPr/>
      </w:pPr>
      <w:r>
        <w:rPr>
          <w:rFonts w:ascii="IRNazanin" w:hAnsi="IRNazanin" w:eastAsia="IRNazanin"/>
          <w:color w:val="111111"/>
          <w:sz w:val="28"/>
          <w:sz w:val="28"/>
          <w:szCs w:val="28"/>
          <w:rtl w:val="true"/>
          <w:lang w:bidi="fa-IR"/>
        </w:rPr>
        <w:t>آن که درباره منشأ و اعتبار آن سیره بحث و فحصی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سیره در این گونه موارد بسیار شبیه به تمسّک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اجماع است، که 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عدیده‌ای در ابواب مختلف فقهی ملاحظه می‌شود، بعد از ذکر مسأله‌ای، به عنوان ذک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دلیل آن مسأل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در زمینه تحقّق 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w:t>
      </w:r>
    </w:p>
    <w:p>
      <w:pPr>
        <w:pStyle w:val="BookText"/>
        <w:rPr/>
      </w:pPr>
      <w:r>
        <w:rPr>
          <w:rFonts w:ascii="IRNazanin" w:hAnsi="IRNazanin" w:eastAsia="IRNazanin"/>
          <w:color w:val="111111"/>
          <w:sz w:val="28"/>
          <w:sz w:val="28"/>
          <w:szCs w:val="28"/>
          <w:rtl w:val="true"/>
          <w:lang w:bidi="fa-IR"/>
        </w:rPr>
        <w:t>و نوع آن، بحث و فحصی به عمل آید و چه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دیده می‌شود که برای دلیل تراشی در مسأله یا مسائلی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فلان عالم بزرگ از متقدمین در این مسأله ادعای اجماع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گفته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مرتضی در این مسأله ادعای اجماع کرده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زهره در این مسأله ادعای اجماع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قداست و عظمت مقام علمی مدعیان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محقّقان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w:t>
      </w:r>
    </w:p>
    <w:p>
      <w:pPr>
        <w:pStyle w:val="BookText"/>
        <w:rPr/>
      </w:pPr>
      <w:r>
        <w:rPr>
          <w:rFonts w:ascii="IRNazanin" w:hAnsi="IRNazanin" w:eastAsia="IRNazanin"/>
          <w:color w:val="111111"/>
          <w:sz w:val="28"/>
          <w:sz w:val="28"/>
          <w:szCs w:val="28"/>
          <w:rtl w:val="true"/>
          <w:lang w:bidi="fa-IR"/>
        </w:rPr>
        <w:t>خودشان در باره اجماع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گونه بحث و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 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ذکر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لمه اجماع</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 دادن آن به متقدّمین اکتفا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اغلب اجماعهایی که ادّعای آنها به سید </w:t>
      </w:r>
    </w:p>
    <w:p>
      <w:pPr>
        <w:pStyle w:val="BookText"/>
        <w:rPr/>
      </w:pPr>
      <w:r>
        <w:rPr>
          <w:rFonts w:ascii="IRNazanin" w:hAnsi="IRNazanin" w:eastAsia="IRNazanin"/>
          <w:color w:val="111111"/>
          <w:sz w:val="28"/>
          <w:sz w:val="28"/>
          <w:szCs w:val="28"/>
          <w:rtl w:val="true"/>
          <w:lang w:bidi="fa-IR"/>
        </w:rPr>
        <w:t>مرتضی یا ابن زهره در کتاب غنیه‌اش نسبت داده می‌شود از همین قبیل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تأیید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این گونه سیره‌ها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شیخ انصاری در بحث معاطات کتاب مکاسب می‌پردازیم که در پاسخ کسانی که به عنوان یکی از ادلّه صحت</w:t>
      </w:r>
    </w:p>
    <w:p>
      <w:pPr>
        <w:pStyle w:val="BookText"/>
        <w:rPr/>
      </w:pPr>
      <w:r>
        <w:rPr>
          <w:rFonts w:ascii="IRNazanin" w:hAnsi="IRNazanin" w:eastAsia="IRNazanin"/>
          <w:color w:val="111111"/>
          <w:sz w:val="28"/>
          <w:sz w:val="28"/>
          <w:szCs w:val="28"/>
          <w:rtl w:val="true"/>
          <w:lang w:bidi="fa-IR"/>
        </w:rPr>
        <w:t>معاطات به سیره تمسک می‌کنند، با بیانی عالمانه و دقیق، استدلال به سیره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کلام شیخ در ردّ استدلال به سیره، مقدّمةً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علما نزاع و بحث است که آیا بیع معاطاتی صحیح است، یا نه</w:t>
      </w:r>
      <w:r>
        <w:rPr>
          <w:rStyle w:val="FootnoteAnchor"/>
          <w:rtl w:val="true"/>
        </w:rPr>
        <w:footnoteReference w:id="227"/>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 معاطاتی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علما می‌گویند بیع معاطاتی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قایلین به صحت نیز اختلاف دارند که معاطات مفید چه چیزی می‌باشد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می‌گویند معاطات فقط مفید اباحه تصرف است، یعنی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مشتری نمی‌شود، بلکه فقط برای مشتری مباح است که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وقتی که کسی به عنوان میهمان به منزل دیگری می‌رود و یک ظرف غذا جلو او می‌گذارند، این غذا ملک مهمان نیست، بلکه اباحه تصرف دارد و خوردن آن برای مهمان مباح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عدّه‌ای دیگر می‌گویند معاطات مفید ملکیت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فسخ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در مکاسب این قول را به محقّق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قول این است که مثلاً اگر کسی کتاب را به صورت معاطات بخرد تا ده سال دیگر هم صاحب کتاب هر وقت بخواهد می‌تواند فسخ کند و کتاب خود را پس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عده‌ای دیگر می‌گویند معاطات مفید ملکیت لازمه و ثابته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مکاسب این قول را به شیخ مفید و بعضی از اهل سنّت نسبت می‌دهد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المفید و بعض العامّة القول بکونها لازمة کالبیع</w:t>
      </w:r>
      <w:r>
        <w:rPr>
          <w:rStyle w:val="FootnoteAnchor"/>
          <w:rtl w:val="true"/>
        </w:rPr>
        <w:footnoteReference w:id="22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بعضی از اهل سنت قایل شده‌اند که معاطات مانند بیع، عقد لازم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صاحب جواهر در مورد این که در معاطات تقابض معتبر نیست، استدلال</w:t>
      </w:r>
    </w:p>
    <w:p>
      <w:pPr>
        <w:pStyle w:val="BookText"/>
        <w:rPr/>
      </w:pPr>
      <w:r>
        <w:rPr>
          <w:rFonts w:ascii="IRNazanin" w:hAnsi="IRNazanin" w:eastAsia="IRNazanin"/>
          <w:color w:val="111111"/>
          <w:sz w:val="28"/>
          <w:sz w:val="28"/>
          <w:szCs w:val="28"/>
          <w:rtl w:val="true"/>
          <w:lang w:bidi="fa-IR"/>
        </w:rPr>
        <w:t>به سیره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 فلایعتبر التقابض فیها قطعا، للسیرة القطعیة الّتی هی الاصل فی اثباتها، فیجری حکم البیع و الاباحة علی قبض احدهما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به طور قطع، در معاطات قبض از سوی طرفین شرط نمی‌باشد و این به خاطر سیره قطعیه‌ای است که اساس و پایه اثبات معاطات است، بنابراین بر قبض یکی از متعاطیین، حکم بیع و اباحه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مورد این که آیا در معاطات لفظ معتبر است یا نه، باز هم استدلال به سیره کرده، می‌گوید سیره هر دو قسم معاطات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معاطات بدون لفظ و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العمدة السیرة المشترکة بین الصورتین</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عمده سیره است که بین هر دو صورت معاطات،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معاطات بدون لفظ و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یکی از ادلّه قایلین به ملکیت در بیع معاطات،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دلیل بر این که معاطات مفید ملکیّت لازمه است، سیره مستمرّه متشرّعه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بنای عملی متشرعه، قائم است بر توریث مال معاطاتی بدون اجازه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کسی فوت کند، ورثه او به هنگام توریث در تعیین اموال متوفی، فرقی بین اموال معاطاتی</w:t>
      </w:r>
    </w:p>
    <w:p>
      <w:pPr>
        <w:pStyle w:val="BookText"/>
        <w:rPr/>
      </w:pPr>
      <w:r>
        <w:rPr>
          <w:rFonts w:ascii="IRNazanin" w:hAnsi="IRNazanin" w:eastAsia="IRNazanin"/>
          <w:color w:val="111111"/>
          <w:sz w:val="28"/>
          <w:sz w:val="28"/>
          <w:szCs w:val="28"/>
          <w:rtl w:val="true"/>
          <w:lang w:bidi="fa-IR"/>
        </w:rPr>
        <w:t>و اموال غیر معاطاتی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ورثه بعد از فوت پدرشان نمی‌گویند پدرمان</w:t>
      </w:r>
    </w:p>
    <w:p>
      <w:pPr>
        <w:pStyle w:val="BookText"/>
        <w:rPr/>
      </w:pPr>
      <w:r>
        <w:rPr>
          <w:rFonts w:ascii="IRNazanin" w:hAnsi="IRNazanin" w:eastAsia="IRNazanin"/>
          <w:color w:val="111111"/>
          <w:sz w:val="28"/>
          <w:sz w:val="28"/>
          <w:szCs w:val="28"/>
          <w:rtl w:val="true"/>
          <w:lang w:bidi="fa-IR"/>
        </w:rPr>
        <w:t>این ده کتاب را با بیع به صیغه خریده، پس ما ارث می‌بریم، ولی این بیست کتاب را با بیع</w:t>
      </w:r>
    </w:p>
    <w:p>
      <w:pPr>
        <w:pStyle w:val="BookText"/>
        <w:rPr/>
      </w:pPr>
      <w:r>
        <w:rPr>
          <w:rFonts w:ascii="IRNazanin" w:hAnsi="IRNazanin" w:eastAsia="IRNazanin"/>
          <w:color w:val="111111"/>
          <w:sz w:val="28"/>
          <w:sz w:val="28"/>
          <w:szCs w:val="28"/>
          <w:rtl w:val="true"/>
          <w:lang w:bidi="fa-IR"/>
        </w:rPr>
        <w:t>معاطاتی خریده و ما ارث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چنین سخنی را نمی‌گویند، بلکه عملاً تمام اموال متوفی را در تقسیم ارث به حساب می‌آورند و می‌گویند از تمام اموال او ارث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می‌گویند از این سیره در توریث مال معاطاتی نتیجه می‌گیریم که معاطات</w:t>
      </w:r>
    </w:p>
    <w:p>
      <w:pPr>
        <w:pStyle w:val="BookText"/>
        <w:rPr/>
      </w:pPr>
      <w:r>
        <w:rPr>
          <w:rFonts w:ascii="IRNazanin" w:hAnsi="IRNazanin" w:eastAsia="IRNazanin"/>
          <w:color w:val="111111"/>
          <w:sz w:val="28"/>
          <w:sz w:val="28"/>
          <w:szCs w:val="28"/>
          <w:rtl w:val="true"/>
          <w:lang w:bidi="fa-IR"/>
        </w:rPr>
        <w:t>مفید ملکیّت لازمه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انصاری در کتاب مکاسب، استدلال به این گونه سیره‌ها را ناشی از </w:t>
      </w:r>
      <w:bookmarkStart w:id="295" w:name="pg4331_49006"/>
    </w:p>
    <w:p>
      <w:pPr>
        <w:pStyle w:val="BookText"/>
        <w:rPr/>
      </w:pPr>
      <w:bookmarkEnd w:id="295"/>
      <w:r>
        <w:rPr>
          <w:rFonts w:ascii="IRNazanin" w:hAnsi="IRNazanin" w:eastAsia="IRNazanin"/>
          <w:color w:val="111111"/>
          <w:sz w:val="28"/>
          <w:sz w:val="28"/>
          <w:szCs w:val="28"/>
          <w:rtl w:val="true"/>
          <w:lang w:bidi="fa-IR"/>
        </w:rPr>
        <w:t>مسامحه و قلت مبالات در امر دین می‌داند و می‌گوید این گونه سیره‌ها بسیار زیاد و غیر قابل احصا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ثبوت السیرة و استمرارها علی التوریث، فهی کسائر سیراتهم الناشئة من المسامحة و قلّة المبالاة فی الدین، مما لایحصی فی عباداتهم و معاملاتهم و سیاساتهم کما لایخفی</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ثبوت سیره و استمرار آن بر توریث اموال، مانند سایر سیره‌های مردم است که از مسامحه و کمی مبالات در امر دین نشأت می‌گیرد و چنان که پوشیده نیست، این سیره‌ها غیر قابل شمارش بوده و در عبادتها و معاملات و امور سیاسی مردم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عبارات مذکور معلوم است، مرحوم شیخ این گونه سیره‌ها را اصلاً معتبر نمی‌داند، چرا که این سیره‌ها ناشی از قلّت مبالات مردم در امور شرعیّه خود می‌باشد و به تعبیر دیگر، ناشی از عادات مردم است و هر نسلی برای خود در مسائل اجتماعی و معاملات و خوراک و پوشاک عادات مخصوص به خود را دارد و تغییر و تبدیل عادت، غالبا تدریجی و نامحسوس و در طول زمان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می‌گیریم که بسیاری از اعمال رایج بین مردم مسلمان در زمان ما که علامت سیره روی آنها خورده است، معلوم نیست که در زمان شارع هم رایج بوده و نیز آیا شارع به این گونه اعمال رضایت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استدلال به چنین سیره‌هایی که نشأت گرفته از عرف و عادت مردم می‌باشد، استدلالی ناتمام است</w:t>
      </w:r>
      <w:r>
        <w:rPr>
          <w:rFonts w:eastAsia="IRNazanin" w:cs="IRNazanin"/>
          <w:color w:val="111111"/>
          <w:sz w:val="28"/>
          <w:szCs w:val="28"/>
          <w:rtl w:val="true"/>
          <w:lang w:bidi="fa-IR"/>
        </w:rPr>
        <w:t>.</w:t>
      </w:r>
    </w:p>
    <w:p>
      <w:pPr>
        <w:pStyle w:val="Heading4"/>
        <w:numPr>
          <w:ilvl w:val="3"/>
          <w:numId w:val="1"/>
        </w:numPr>
        <w:rPr/>
      </w:pPr>
      <w:bookmarkStart w:id="296" w:name="__RefHeading___Toc1014811_1479056682"/>
      <w:bookmarkStart w:id="297" w:name="_Toc110"/>
      <w:bookmarkEnd w:id="296"/>
      <w:r>
        <w:rPr>
          <w:rtl w:val="true"/>
        </w:rPr>
        <w:t>دامنه و محدوده دلالت سیره</w:t>
      </w:r>
      <w:bookmarkEnd w:id="297"/>
    </w:p>
    <w:p>
      <w:pPr>
        <w:pStyle w:val="BookText"/>
        <w:rPr/>
      </w:pPr>
      <w:r>
        <w:rPr>
          <w:rFonts w:ascii="IRNazanin" w:hAnsi="IRNazanin" w:eastAsia="IRNazanin"/>
          <w:color w:val="111111"/>
          <w:sz w:val="28"/>
          <w:sz w:val="28"/>
          <w:szCs w:val="28"/>
          <w:rtl w:val="true"/>
          <w:lang w:bidi="fa-IR"/>
        </w:rPr>
        <w:t>از مباحث و مطالبی که تاکنون درباره سیره مطرح شده به این نتیجه می‌رسیم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سیره‌ها معتبر و حجّت‌اند و بعضی حجّیّت و اعتبار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قبلاً بیان شد، دو صورت از صور سه گانه بنای عقلا و یک نوع از سیره متشرعه، دارای حجّیّت است و بقیّه صور و اقسام، حجّیّت و اعتبار ندارند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بحث در این است که سیره معتبر، دامنه دلالتش تا چه 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p>
    <w:p>
      <w:pPr>
        <w:pStyle w:val="BookText"/>
        <w:rPr/>
      </w:pPr>
      <w:r>
        <w:rPr>
          <w:rFonts w:ascii="IRNazanin" w:hAnsi="IRNazanin" w:eastAsia="IRNazanin"/>
          <w:color w:val="111111"/>
          <w:sz w:val="28"/>
          <w:sz w:val="28"/>
          <w:szCs w:val="28"/>
          <w:rtl w:val="true"/>
          <w:lang w:bidi="fa-IR"/>
        </w:rPr>
        <w:t xml:space="preserve">دیگر آن سیره‌هایی که دارای شرایط حجّیّت و اعتبار باشند، قدر مسلم آن است که بر مشروعیت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عدم مشروعیت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سیره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بدانیم، آیا به وسیله سیره، می‌توان وجوب یا حرمت یک عمل را اثبات کرد یا نه ؟ می‌دانیم که سیره، از نظر سیره بر انجام یا ترک یک عمل بر دو قسم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ترک</w:t>
      </w:r>
    </w:p>
    <w:p>
      <w:pPr>
        <w:pStyle w:val="BookText"/>
        <w:rPr/>
      </w:pPr>
      <w:r>
        <w:rPr>
          <w:rFonts w:ascii="IRNazanin" w:hAnsi="IRNazanin" w:eastAsia="IRNazanin"/>
          <w:color w:val="111111"/>
          <w:sz w:val="28"/>
          <w:sz w:val="28"/>
          <w:szCs w:val="28"/>
          <w:rtl w:val="true"/>
          <w:lang w:bidi="fa-IR"/>
        </w:rPr>
        <w:t>اگر سیره دارای شرایط حجّیّت و اعتبار باشد، در سیره فعل شکی نیست که سیره بر جواز آن فعل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ترک آن عمل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سیره معتبر بر ترک یک عمل باشد، بدون شک سیره بر جواز ترک آن عمل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فعل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ما در مقدار دلالت و حجّیّت سیره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دلالت سیره معتبر و دارای حجّیّت در این حدّ است که سیره فعل، دالّ بر جواز آن فعل و سیره ترک، دالّ بر جواز ترک است، فقط همین مقدار دلالت می‌کند و تا این مقدار دلالت مورد اتّفاق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این است که آیا سیره فعل، علاوه بر جواز، دلالت بر وجوب یا استحباب هم می‌کند، یا خیر ؟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سیره نه دال بر وجوب و استحباب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سیره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دال بر حرمت یا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سیره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مقدار دلالت و حجّیّت سیره، آن اندازه است که فقط دالّ بر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جواز فعل در سیره فعل و جواز ترک در سیره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سیره عبارت است از بنای عملی و فعل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فی‌نفسه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مانند لفظ نیست که اطلاق داشته باشد و از آن وجوب یا استحباب هم فهمیده شود، فعل و عمل فقط دال بر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معنای حجّیّت سیره این نیست که وجوب و حرمت نیز به وسیله آن ثابت شود، بلکه همان گونه که گفته شد سیره بر انجام کاری تنها بر جواز شرعی آن و سیره بر ترک آن، تنها بر جواز ترک دلالت دارد، یا این که مقدار دلالت و دامنه حجّیّت</w:t>
      </w:r>
    </w:p>
    <w:p>
      <w:pPr>
        <w:pStyle w:val="BookText"/>
        <w:rPr/>
      </w:pPr>
      <w:r>
        <w:rPr>
          <w:rFonts w:ascii="IRNazanin" w:hAnsi="IRNazanin" w:eastAsia="IRNazanin"/>
          <w:color w:val="111111"/>
          <w:sz w:val="28"/>
          <w:sz w:val="28"/>
          <w:szCs w:val="28"/>
          <w:rtl w:val="true"/>
          <w:lang w:bidi="fa-IR"/>
        </w:rPr>
        <w:t>سیره فقط دلالت بر جواز است، یعنی در سیره فعل، جواز فعل و در سیره ترک، جواز ترک و بر چیزی بیش از جواز دلالت نمی‌کند؛ امّا از این قاعده کلّی به خاطر وجود قرینه،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استثناء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تمام مردم به سیره‌ای معتبر عمل کرده و در تمام اعصار بر آن مداومت کرده باشند، در این صورت می‌توانیم بگوییم چنین سیره‌ای، علاوه بر جواز دال بر استحباب هم می‌باشد، یعنی ممکن است از مداومت و استمرار سیره متشرّعه بر عملی، استفاده کنیم که اگر آن عمل واجب نباشد، لااقل مستحب خواهد بود، به علّت که وقتی تمام مسلمین به انجام عملی مقید باشند و به آن اهتمام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مقید و متعبدند که به</w:t>
      </w:r>
    </w:p>
    <w:p>
      <w:pPr>
        <w:pStyle w:val="BookText"/>
        <w:rPr/>
      </w:pPr>
      <w:r>
        <w:rPr>
          <w:rFonts w:ascii="IRNazanin" w:hAnsi="IRNazanin" w:eastAsia="IRNazanin"/>
          <w:color w:val="111111"/>
          <w:sz w:val="28"/>
          <w:sz w:val="28"/>
          <w:szCs w:val="28"/>
          <w:rtl w:val="true"/>
          <w:lang w:bidi="fa-IR"/>
        </w:rPr>
        <w:t>یکدیگر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تقید و مداومت کشف می‌کنیم که این عمل دارای حسن است و حسن آن عمل باعث شده که تمام مسلمین متعبد به انجام آن عمل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استمرار و مداومت یک عمل نیاز به انگیزه دارد و اگر نگوییم که انگیزه استمرار وجوب است، لااقل می‌توانیم بگوییم که استحباب آن عمل باعث شده است که مردم و اهل شریعت بر انجام آن عادت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همین مورد هم ممکن است اشکال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 مورد پیدایش بعضی از سیره‌های ناشی از عادات گفتیم، همین سیره هم دال بر استحباب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حسن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امکان دارد که همین سیره هم ناشی از عادات مردم شده باشد و لذا دالّ بر حسن و استحباب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 مورد هست که اگر سیره دال بر مشروعیت و جواز عملی باشد، دال بر وجوب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امور هست که مشروعیت آنها از نظر شرعی مساوی با وجوب آنهاست و آن جایی است که در آن، مسأله حجّیّت وجود داشته باشد، یعنی اگر سیره دایر بر مشروعیت حجّیّت شی‌ء باشد، لازمه مشروعیت آن، وجوب آن شی‌ء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خبر واحد سیره عملی داریم که متشرّعه به خبر واحد عمل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 به خبر واحد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خبر واحد حجت است و عمل به آن مشروع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می‌گوییم اگر خبر واحد حجت و عمل به آن مشروع باشد، باید به آن عمل کرد، زیرا نمی‌شود عمل به چیزی مشروع و حجّت باشد، ولی ما در عمل به آن مخیر باشیم، بلکه عمل به آن واجب خواهد بود، چراکه هر جا مشروعیّت حجّیّت در کار باشد، وجوب عمل هم هست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باب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خبر واحد، ظواهر، شهرت، سیره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جواز </w:t>
      </w:r>
      <w:bookmarkStart w:id="298" w:name="pg4331_49009"/>
    </w:p>
    <w:p>
      <w:pPr>
        <w:pStyle w:val="BookText"/>
        <w:rPr/>
      </w:pPr>
      <w:bookmarkEnd w:id="298"/>
      <w:r>
        <w:rPr>
          <w:rFonts w:ascii="IRNazanin" w:hAnsi="IRNazanin" w:eastAsia="IRNazanin"/>
          <w:color w:val="111111"/>
          <w:sz w:val="28"/>
          <w:sz w:val="28"/>
          <w:szCs w:val="28"/>
          <w:rtl w:val="true"/>
          <w:lang w:bidi="fa-IR"/>
        </w:rPr>
        <w:t>حجّیّت را اثبات کردیم، در واقع وجوب حجّیّت اثبات شده است و این استفاده وجوب از سیره نه به خاطر خود سیره است، بلکه به خاطر قرینه است و قرینه عبارت است از ملازمه بین مشروعیّت آن امور و وجوب آنها</w:t>
      </w:r>
      <w:r>
        <w:rPr>
          <w:rFonts w:eastAsia="IRNazanin" w:cs="IRNazanin"/>
          <w:color w:val="111111"/>
          <w:sz w:val="28"/>
          <w:szCs w:val="28"/>
          <w:rtl w:val="true"/>
          <w:lang w:bidi="fa-IR"/>
        </w:rPr>
        <w:t>.</w:t>
      </w:r>
    </w:p>
    <w:p>
      <w:pPr>
        <w:pStyle w:val="Heading4"/>
        <w:numPr>
          <w:ilvl w:val="3"/>
          <w:numId w:val="1"/>
        </w:numPr>
        <w:rPr/>
      </w:pPr>
      <w:bookmarkStart w:id="299" w:name="__RefHeading___Toc1014813_1479056682"/>
      <w:bookmarkStart w:id="300" w:name="_Toc111"/>
      <w:bookmarkEnd w:id="299"/>
      <w:r>
        <w:rPr>
          <w:rtl w:val="true"/>
        </w:rPr>
        <w:t>عرف و رابطه آن با سیره</w:t>
      </w:r>
      <w:bookmarkEnd w:id="300"/>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مقدمه بحث سیره گفته شد، در کتب اصول شیعه بحثی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مبنا و دلیل حکم مطرح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آن را از باب تشخیص موضوع، مندرج در سیره عقلایی یا سنّت می‌داند، هم چنان که در کتب اصولی اهل سنّت به عنوان مصدر و دلیل حکم،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نمی‌شود، ولی در عوض در اکثر کتب اصولی اهل سنّت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مصادر و ادلّه احکام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اهل سنّت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نبرده‌اند، شاید بدین جهت باشد که سیره و عرف را مترادف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محمّد مصطفی شلبی،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ادلّه و منابع فقه دانسته،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ادلّه احکام که نزد اصولیین مشهور است، تا اندازه‌ای به تفصیل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ده تاست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سنت، اجماع، قیاس، استحسان، استصلاح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قول صحابی شریعت قبل از ما و استصحاب</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استاد عبدالوهّاب خلاّف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ادلّه‌ای که استدلال به آنها مورد اختلاف است، شش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 مصلحت مرسله، استصحاب، عرف، مذهب صحابی و شریعت قبل از ما</w:t>
      </w:r>
      <w:r>
        <w:rPr>
          <w:rFonts w:eastAsia="IRNazanin" w:cs="IRNazanin"/>
          <w:color w:val="111111"/>
          <w:sz w:val="28"/>
          <w:szCs w:val="28"/>
          <w:rtl w:val="true"/>
          <w:lang w:bidi="fa-IR"/>
        </w:rPr>
        <w:t>».</w:t>
      </w:r>
      <w:r>
        <w:rPr>
          <w:rStyle w:val="FootnoteAnchor"/>
          <w:rtl w:val="true"/>
        </w:rPr>
        <w:footnoteReference w:id="23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کتب اصول شیعه تا آن جا که من سراغ دارم، نامی از عرف به عنوان دلیل حکم به میان نیامده است، شاید به این دلیل باشد که عرف را به معنی سیره متشرّعه گرفته‌اند</w:t>
      </w:r>
      <w:r>
        <w:rPr>
          <w:rFonts w:eastAsia="IRNazanin" w:cs="IRNazanin"/>
          <w:color w:val="111111"/>
          <w:sz w:val="28"/>
          <w:szCs w:val="28"/>
          <w:rtl w:val="true"/>
          <w:lang w:bidi="fa-IR"/>
        </w:rPr>
        <w:t xml:space="preserve">. </w:t>
      </w:r>
      <w:bookmarkStart w:id="301" w:name="pg4331_49010"/>
    </w:p>
    <w:p>
      <w:pPr>
        <w:pStyle w:val="Heading4"/>
        <w:numPr>
          <w:ilvl w:val="3"/>
          <w:numId w:val="1"/>
        </w:numPr>
        <w:rPr/>
      </w:pPr>
      <w:bookmarkStart w:id="302" w:name="__RefHeading___Toc1014815_1479056682"/>
      <w:bookmarkStart w:id="303" w:name="_Toc112"/>
      <w:bookmarkEnd w:id="301"/>
      <w:bookmarkEnd w:id="302"/>
      <w:r>
        <w:rPr>
          <w:rtl w:val="true"/>
        </w:rPr>
        <w:t>معنی عرف در لغت</w:t>
      </w:r>
      <w:bookmarkEnd w:id="30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نکر به معنی امر منکر و زشت می‌باشد،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به معنی کار خوب و امر پسندیده است که میان مردم معمول و متداوّل شده باشد و نیز این کلمه در لغت به معنی نیکویی و جوانمردی و بخشش و دهش و همچنین به معنی مکان مرتفع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عرف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عین، به معنی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بوی خوش یا بوی بد باشد، ولی استعمال آن در بوی خوش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 مورد رفتار پیامبر صلی‌الله‌علیه‌و‌آله با مردم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خُذِالْعَفُوَ َو أمُرْ بِاْلعُرْفِ وَ أَعرِضْ عَنِ الْجاهِلینَ</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روش عفو و گذشت پیشه کن و مردم را به کارهای نیک امر کن و از جاهلان روی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البیان ذیل آیه فوق در توضیح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کُلّ خَصْلَةٍ حَمیدةٍ تَعْرِفُ صوابَها العقولُ و تَطْمئِنُّ إلیها النُّفوسُ</w:t>
      </w:r>
      <w:r>
        <w:rPr>
          <w:rStyle w:val="FootnoteAnchor"/>
          <w:rtl w:val="true"/>
        </w:rPr>
        <w:footnoteReference w:id="2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 هر صفت و خصلت پسندیده‌ای است که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آن را می‌شناسد و نفوس مردم به آن اطمینان و آرامش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علیه‌السلام این آیه جامعترین آیه در مکارم اخلاق معرفی شده و آن حضرت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فِی القُرآنِ اَجْمَعُ لِمَکارِمِ الاَخْلاقِ مِنْها</w:t>
      </w:r>
      <w:r>
        <w:rPr>
          <w:rStyle w:val="FootnoteAnchor"/>
          <w:rtl w:val="true"/>
        </w:rPr>
        <w:footnoteReference w:id="2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درباره مکارم اخلاق از این آیه، آیه‌ای جامعتر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عرف، عرفا به معنای چیزی است که مردم به آن عادت کرده و با آن مأنوس شده‌اند، خواه قول و کلام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فعل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عملی</w:t>
      </w:r>
      <w:r>
        <w:rPr>
          <w:rFonts w:eastAsia="IRNazanin" w:cs="IRNazanin"/>
          <w:color w:val="111111"/>
          <w:sz w:val="28"/>
          <w:szCs w:val="28"/>
          <w:rtl w:val="true"/>
          <w:lang w:bidi="fa-IR"/>
        </w:rPr>
        <w:t>).</w:t>
      </w:r>
    </w:p>
    <w:p>
      <w:pPr>
        <w:pStyle w:val="Heading4"/>
        <w:numPr>
          <w:ilvl w:val="3"/>
          <w:numId w:val="1"/>
        </w:numPr>
        <w:rPr/>
      </w:pPr>
      <w:bookmarkStart w:id="304" w:name="__RefHeading___Toc1014817_1479056682"/>
      <w:bookmarkStart w:id="305" w:name="_Toc113"/>
      <w:bookmarkEnd w:id="304"/>
      <w:r>
        <w:rPr>
          <w:rtl w:val="true"/>
        </w:rPr>
        <w:t>تعریف عرف</w:t>
      </w:r>
      <w:bookmarkEnd w:id="30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و اصولیّین برای عرف، تعریفهای مختلف و متعدّدی بیان کرده‌اند که اکثر آنها </w:t>
      </w:r>
    </w:p>
    <w:p>
      <w:pPr>
        <w:pStyle w:val="BookText"/>
        <w:rPr/>
      </w:pPr>
      <w:r>
        <w:rPr>
          <w:rFonts w:ascii="IRNazanin" w:hAnsi="IRNazanin" w:eastAsia="IRNazanin"/>
          <w:color w:val="111111"/>
          <w:sz w:val="28"/>
          <w:sz w:val="28"/>
          <w:szCs w:val="28"/>
          <w:rtl w:val="true"/>
          <w:lang w:bidi="fa-IR"/>
        </w:rPr>
        <w:t>خالی از اشکال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چند نمونه از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غزالی آن را چنین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ما استقرّ فی النفوسِ من جهة العقول فتلّقته الطباعُ بالقبول</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آن روشی است که از طریق عقل در نفوس استقرار و رسوخ یافته است و طبعهای سالم آن را می‌پذیرند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علی حیدر در شرحش بر مجله، به هنگام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روشی است که در نفوس استقرار می‌یابد و در اثر تکرار زیاد، نزد صاحبان طبیعتهای سالم، مقبول و مورد پذیرش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العرف بمعنی العادة</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محمّد مصطفی شبلی در تعریف آن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عرف عبارت است از چیزی که مردم یا گروهی از ایشان به آن عادت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انس و الفت می‌گیرند، تا این که در نفوس ایشان مستقر شود، خواه عملی باشد که در میان ایشان رایج شود، یا لفظی باشد که استعمال آن در معنای خاصی کثرت یابد، به طوری که به هنگام اطلاق آن لفظ، همان معنای خاصّ از آن تبادر کند، نه معنای اصلی آن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عبدالوهاب خلاّف در تعریف آن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عبارت است از چیزی که میان مردم متعارف شده است و بر طبق آن مشی و حرکت می‌کنند، اعم از این که گفتار یا عمل یا ترک عملی باشد، عرف عادت نامیده می‌شود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وی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لسان الشرعیین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بین العرف و العادة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شهید صدر در تعریف عرف می‌فرماید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میل و گرایش عمومی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دیندار و بی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امری است </w:t>
      </w:r>
      <w:bookmarkStart w:id="306" w:name="pg4331_49012"/>
    </w:p>
    <w:p>
      <w:pPr>
        <w:pStyle w:val="BookText"/>
        <w:rPr/>
      </w:pPr>
      <w:bookmarkEnd w:id="306"/>
      <w:r>
        <w:rPr>
          <w:rFonts w:ascii="IRNazanin" w:hAnsi="IRNazanin" w:eastAsia="IRNazanin"/>
          <w:color w:val="111111"/>
          <w:sz w:val="28"/>
          <w:sz w:val="28"/>
          <w:szCs w:val="28"/>
          <w:rtl w:val="true"/>
          <w:lang w:bidi="fa-IR"/>
        </w:rPr>
        <w:t>در مسیری معین که مخالف شرع نباشد و به تعبیر دیگر روش عمومی مردم است که از مصلحت اندیشی سرچشمه می‌گیرد و برای حفظ فرد و جامعه نظم و سامان یافته است، چه در محاورات و معاملات و چه در سایر روابط اجتماعی، مثل این که هر جاهلی برای فهمیدن به عالم رجوع می‌کند</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307" w:name="__RefHeading___Toc1014819_1479056682"/>
      <w:bookmarkStart w:id="308" w:name="_Toc114"/>
      <w:bookmarkEnd w:id="307"/>
      <w:r>
        <w:rPr>
          <w:rtl w:val="true"/>
        </w:rPr>
        <w:t>عرف و عادت</w:t>
      </w:r>
      <w:bookmarkEnd w:id="308"/>
    </w:p>
    <w:p>
      <w:pPr>
        <w:pStyle w:val="BookText"/>
        <w:rPr/>
      </w:pPr>
      <w:r>
        <w:rPr>
          <w:rFonts w:ascii="IRNazanin" w:hAnsi="IRNazanin" w:eastAsia="IRNazanin"/>
          <w:color w:val="111111"/>
          <w:sz w:val="28"/>
          <w:sz w:val="28"/>
          <w:szCs w:val="28"/>
          <w:rtl w:val="true"/>
          <w:lang w:bidi="fa-IR"/>
        </w:rPr>
        <w:t>در بعضی از تعاریف مذکور مشاهده کردیم، در فقه اسلامی عرف و عادت معمولاً در یک معنی استعمال شده است، چنان که استاد عبدالوهاب خلاف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لسان اهل شرع بین عرف و عادت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تعریف استاد علی حیدر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العرف بمعنی العادة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به معنی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بین عرف و عادت فرق گذاشته و عادت را اعم از عرف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المدخل فی التعریف بالفقه الاسلامی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آن است که عادت اعم از عرف است و عرف نوعی از عادت می‌باشد، زیرا عادت عبارت است از امر تکراری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تکرار گرفته شده است، پس هر گاه انسان فعلی از افعال را انجام دهد و آن را تکرار کند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تکرار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 بر او آسان و ترکش مشکل شود، در این صورت آن عمل، عادت او نامیده می‌شود و بدین جهت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طبیعت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یک عمل از فرد صادر می‌شود، از جمعیت و گروه هم سر می‌زند که اولی را عادت فردی می‌نامند، چنان که دومی را عادت گروهی گویند و عرف جز بر 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309" w:name="__RefHeading___Toc1014821_1479056682"/>
      <w:bookmarkStart w:id="310" w:name="_Toc115"/>
      <w:bookmarkEnd w:id="309"/>
      <w:r>
        <w:rPr>
          <w:rtl w:val="true"/>
        </w:rPr>
        <w:t>فرق بین عرف و اجماع</w:t>
      </w:r>
      <w:bookmarkEnd w:id="31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عرف و اجماع به این است که</w:t>
      </w:r>
      <w:r>
        <w:rPr>
          <w:rFonts w:eastAsia="IRNazanin" w:cs="IRNazanin"/>
          <w:color w:val="111111"/>
          <w:sz w:val="28"/>
          <w:szCs w:val="28"/>
          <w:rtl w:val="true"/>
          <w:lang w:bidi="fa-IR"/>
        </w:rPr>
        <w:t xml:space="preserve">: </w:t>
      </w:r>
      <w:bookmarkStart w:id="311" w:name="pg4331_49013"/>
    </w:p>
    <w:p>
      <w:pPr>
        <w:pStyle w:val="BookText"/>
        <w:rPr/>
      </w:pPr>
      <w:bookmarkEnd w:id="311"/>
      <w:r>
        <w:rPr>
          <w:rFonts w:ascii="IRNazanin" w:hAnsi="IRNazanin" w:eastAsia="IRNazanin"/>
          <w:color w:val="111111"/>
          <w:sz w:val="28"/>
          <w:sz w:val="28"/>
          <w:szCs w:val="28"/>
          <w:rtl w:val="true"/>
          <w:lang w:bidi="fa-IR"/>
        </w:rPr>
        <w:t>اولاً ؛ اجماع جز از ناحیه مجتهدین در عصری از اعصار تحقق نمی‌یابد و غیر مجتهدین در تحقّق آن دخالتی ندارند، ولی عرف ممکن است بین یک دسته خاصّ از مردم یا بین تمام آنها رایج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اجماع عنصر اتّفاق اخذ شده که جز با اتّفاق امّت یا مجتهدین امت و یا مجتهدین یک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اختلاف مبانی در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نمی‌شود، در حالی که در عرف عنصر اتّفاق اخذ نمی‌شود، بلکه در تحقق آن، سلوک و رفتار گروه کثیری از مردم خواه مجتهد یا عامی، کفایت می‌کند و از این نظر عرف بیش از هر چیز به سیره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 اجماع اگر تامّ و کامل باشد برای مجمعین و غیر ایشان الزام‌آور می‌باشد، امّا عرف به شرط آن که عرف عامّ و صحیح باشد، برای همه الزام‌آور است، ولی اگر عرف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به ناحیه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همه الزام‌آور نخواهد بود</w:t>
      </w:r>
      <w:r>
        <w:rPr>
          <w:rFonts w:eastAsia="IRNazanin" w:cs="IRNazanin"/>
          <w:color w:val="111111"/>
          <w:sz w:val="28"/>
          <w:szCs w:val="28"/>
          <w:rtl w:val="true"/>
          <w:lang w:bidi="fa-IR"/>
        </w:rPr>
        <w:t>.</w:t>
      </w:r>
    </w:p>
    <w:p>
      <w:pPr>
        <w:pStyle w:val="Heading4"/>
        <w:numPr>
          <w:ilvl w:val="3"/>
          <w:numId w:val="1"/>
        </w:numPr>
        <w:rPr/>
      </w:pPr>
      <w:bookmarkStart w:id="312" w:name="__RefHeading___Toc1014823_1479056682"/>
      <w:bookmarkStart w:id="313" w:name="_Toc116"/>
      <w:bookmarkEnd w:id="312"/>
      <w:r>
        <w:rPr>
          <w:rtl w:val="true"/>
        </w:rPr>
        <w:t>تقسیمات عرف</w:t>
      </w:r>
      <w:bookmarkEnd w:id="313"/>
    </w:p>
    <w:p>
      <w:pPr>
        <w:pStyle w:val="BookText"/>
        <w:rPr/>
      </w:pPr>
      <w:r>
        <w:rPr>
          <w:rFonts w:ascii="IRNazanin" w:hAnsi="IRNazanin" w:eastAsia="IRNazanin"/>
          <w:color w:val="111111"/>
          <w:sz w:val="28"/>
          <w:sz w:val="28"/>
          <w:szCs w:val="28"/>
          <w:rtl w:val="true"/>
          <w:lang w:bidi="fa-IR"/>
        </w:rPr>
        <w:t xml:space="preserve">برای عرف تقسیمات متعددی ذکر شده است که اهمّ آنها سه تقسیم زیر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آن به عرف عامّ و عرف خاصّ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عرف عامّ عرفی است که عموم یا اغلب و اکثریت مردم در آن اشتراک دارند، علی‌رغم اختلافاتی که در زمان و محیط زندگی و فرهنگها و سطح زندگی با هم دارند، این عرف به بنای عقلا بسیار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از عرف بسیاری از پدیده‌های عامّ اجتماعی و رفتارهای عمومی جامعه، نظم و سامان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رجوع جاهل به عالم و عدم انتقاض یقین به وسیله شک و عادت به استعمال دخانیات و عادت به پوشیدن لباس خاصّ و طرز پذیرایی از مهمان و صدها مورد دیگر از عادتها و روشهای اجتماعی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عادت و روشی که گروه خاصّی در آن اشتراک دارند، به طوری که وحدتی خاصّ آنها را گرد هم جمع می‌کند، مانند وحدت زمان، وحدت مکان، وحدت شغل و حرفه خاصّ و یا وحدت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در یک زمان و مکان و حرفه یا هنر خاصی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عرفها و عاداتی که در شهر یا منطقه‌ای </w:t>
      </w:r>
    </w:p>
    <w:p>
      <w:pPr>
        <w:pStyle w:val="BookText"/>
        <w:rPr/>
      </w:pPr>
      <w:r>
        <w:rPr>
          <w:rFonts w:ascii="IRNazanin" w:hAnsi="IRNazanin" w:eastAsia="IRNazanin"/>
          <w:color w:val="111111"/>
          <w:sz w:val="28"/>
          <w:sz w:val="28"/>
          <w:szCs w:val="28"/>
          <w:rtl w:val="true"/>
          <w:lang w:bidi="fa-IR"/>
        </w:rPr>
        <w:t>خاصّ بر مردم آن شهر یا ناحیه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مردم شهر یا منطقه‌ای عادت دارند که نیمی از مهر را اوّل بدهند و نیم دیگر را بعد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کسبه و تجار فلان شهر</w:t>
      </w:r>
    </w:p>
    <w:p>
      <w:pPr>
        <w:pStyle w:val="BookText"/>
        <w:rPr/>
      </w:pPr>
      <w:r>
        <w:rPr>
          <w:rFonts w:ascii="IRNazanin" w:hAnsi="IRNazanin" w:eastAsia="IRNazanin"/>
          <w:color w:val="111111"/>
          <w:sz w:val="28"/>
          <w:sz w:val="28"/>
          <w:szCs w:val="28"/>
          <w:rtl w:val="true"/>
          <w:lang w:bidi="fa-IR"/>
        </w:rPr>
        <w:t>عادت دارند که بعد از معامله، کالای فروخته شده را تا منزل مشتری برسانند و یا مانند</w:t>
      </w:r>
    </w:p>
    <w:p>
      <w:pPr>
        <w:pStyle w:val="BookText"/>
        <w:rPr/>
      </w:pPr>
      <w:r>
        <w:rPr>
          <w:rFonts w:ascii="IRNazanin" w:hAnsi="IRNazanin" w:eastAsia="IRNazanin"/>
          <w:color w:val="111111"/>
          <w:sz w:val="28"/>
          <w:sz w:val="28"/>
          <w:szCs w:val="28"/>
          <w:rtl w:val="true"/>
          <w:lang w:bidi="fa-IR"/>
        </w:rPr>
        <w:t>عرفها و عاداتی که بین صاحبان حرفه‌ای خاصّ یا عملی خاصّ و یا هنری مخصوص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رواج و کاربرد واژه‌ها و اصطلاحات خاصّ بین بازاریان، یا بین عکاسان</w:t>
      </w:r>
    </w:p>
    <w:p>
      <w:pPr>
        <w:pStyle w:val="BookText"/>
        <w:rPr/>
      </w:pPr>
      <w:r>
        <w:rPr>
          <w:rFonts w:ascii="IRNazanin" w:hAnsi="IRNazanin" w:eastAsia="IRNazanin"/>
          <w:color w:val="111111"/>
          <w:sz w:val="28"/>
          <w:sz w:val="28"/>
          <w:szCs w:val="28"/>
          <w:rtl w:val="true"/>
          <w:lang w:bidi="fa-IR"/>
        </w:rPr>
        <w:t xml:space="preserve">یا بین هنرمندان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بسیاری از رفتارهای اجتماعی که به آداب و معاشرت مربوط می‌شود، مانند طرز صحبت، طریقه پذیرایی از مهمان، طریقه احترام گذاشتن به یکدیگر و سایر تعارفها، همه برخاسته و نشأت گرفته از این نوع عرفهاست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عرف به عرف عملی و عرف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عملی عبارت است از روش عملی که در بخشی از اعمال خاصّ مردم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شایع شدن و رواج یافتن معاملات در بین مردم به شکل معاطاتی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رواج یافتن پیش پرداخت اجاره مسکن قبل از استیفای منافع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این که لفظی در عرف مردمی خاص، معنای خاصی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با مدلول اولیه لغوی خود، یا با معنایی که در عرف مردم دیگر دارد، اختلاف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 ذکور، در حالی که در</w:t>
      </w:r>
    </w:p>
    <w:p>
      <w:pPr>
        <w:pStyle w:val="BookText"/>
        <w:rPr/>
      </w:pPr>
      <w:r>
        <w:rPr>
          <w:rFonts w:ascii="IRNazanin" w:hAnsi="IRNazanin" w:eastAsia="IRNazanin"/>
          <w:color w:val="111111"/>
          <w:sz w:val="28"/>
          <w:sz w:val="28"/>
          <w:szCs w:val="28"/>
          <w:rtl w:val="true"/>
          <w:lang w:bidi="fa-IR"/>
        </w:rPr>
        <w:t xml:space="preserve">لغت برای پسر و دختر هر دو وضع شده است و یا مانند اختصاص دادن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حیوان خاصی مثل اسب، با این که در لغت لفظ دابه برای مطلق جنبنده وضع شده است و یا مانند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گوشتی غیر از ماهی، در حالی که از لحاظ لغوی، گوشت ماهی هم تحت معنای لحم داخل است و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سَخَّرَ الْبَحْرَ لِتأکُلُوا مِنهُ لَحْما طَرِیّا</w:t>
      </w:r>
      <w:r>
        <w:rPr>
          <w:rFonts w:eastAsia="Amiri" w:cs="Amiri" w:ascii="Amiri" w:hAnsi="Amiri"/>
          <w:color w:val="111111"/>
          <w:sz w:val="28"/>
          <w:szCs w:val="28"/>
          <w:rtl w:val="true"/>
          <w:lang w:bidi="ar-SA"/>
        </w:rPr>
        <w:t>»</w:t>
      </w:r>
      <w:r>
        <w:rPr>
          <w:rStyle w:val="FootnoteAnchor"/>
          <w:rtl w:val="true"/>
        </w:rPr>
        <w:footnoteReference w:id="2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کسی است که دریا را در تسخیر شما قرار داد تا از گوشتی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تغذیه کنید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عرف به عرف صحیح و عرف فاسد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عرفی که بین مردم متداول و معمول گردیده و مخالف نصّ نباشد و با ادلّه و قواعد شرعی نیز مخالفتی نداشته باشد و نیز باعث تفویت مصلحت و جلب مفسده‌ای نگردد</w:t>
      </w:r>
      <w:r>
        <w:rPr>
          <w:rFonts w:eastAsia="IRNazanin" w:cs="IRNazanin"/>
          <w:color w:val="111111"/>
          <w:sz w:val="28"/>
          <w:szCs w:val="28"/>
          <w:rtl w:val="true"/>
          <w:lang w:bidi="fa-IR"/>
        </w:rPr>
        <w:t xml:space="preserve">. </w:t>
      </w:r>
      <w:bookmarkStart w:id="314" w:name="pg4331_49015"/>
    </w:p>
    <w:p>
      <w:pPr>
        <w:pStyle w:val="BookText"/>
        <w:rPr/>
      </w:pPr>
      <w:bookmarkEnd w:id="314"/>
      <w:r>
        <w:rPr>
          <w:rFonts w:ascii="IRNazanin" w:hAnsi="IRNazanin" w:eastAsia="IRNazanin"/>
          <w:color w:val="111111"/>
          <w:sz w:val="28"/>
          <w:sz w:val="28"/>
          <w:szCs w:val="28"/>
          <w:rtl w:val="true"/>
          <w:lang w:bidi="fa-IR"/>
        </w:rPr>
        <w:t>مانند متعارف شدن اطلاق لفظی بر معنای عرفی‌ای که مغایر با معنای لغوی آن است و یا مانند متعارف شدن پیش پرداخت قسمتی از مهریه و تأجیل قسمتی دیگر از آن و یا مانند پرداختن شیربها یا کادو و هدایایی که جزء مهریه به حساب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روشی که بین مردم متداول و معمول شود و در عین حال مخالف شرع باشد، مانند رواج بعضی از معاملات ربوی در بین مردم، و یا مانند بازی کردن با آلات قمار و یا رواج سایر اموری که مخالفت آنها با شرع معلوم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مع‌الأسف امروزه در بسیاری از کشورهای اسلامی، بسیاری از آداب و معاشرتها که مخالفت آنها با شرع مقدس قطعی است رواج یافته، مانند مصافحه زنان با مردان نامحرم و رعایت نکردن حجاب اسلامی و رواج مشروبات الکلی و یا این که در سطح روابط بین‌المللی، بسیاری از مراودات و قراردادهای دول اسلامی که با دولتهای غیر اسلامی غربی منعقد می‌شود، ذلّت‌آور و اسارت بار و مخالف نص صریح قرآن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2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برای کافران راه سلطه‌ای بر مؤمنان قرار نداده است</w:t>
      </w:r>
      <w:r>
        <w:rPr>
          <w:rFonts w:eastAsia="IRNazanin" w:cs="IRNazanin"/>
          <w:color w:val="111111"/>
          <w:sz w:val="28"/>
          <w:szCs w:val="28"/>
          <w:rtl w:val="true"/>
          <w:lang w:bidi="fa-IR"/>
        </w:rPr>
        <w:t>.»</w:t>
      </w:r>
    </w:p>
    <w:p>
      <w:pPr>
        <w:pStyle w:val="Heading4"/>
        <w:numPr>
          <w:ilvl w:val="3"/>
          <w:numId w:val="1"/>
        </w:numPr>
        <w:rPr/>
      </w:pPr>
      <w:bookmarkStart w:id="315" w:name="__RefHeading___Toc1014825_1479056682"/>
      <w:bookmarkStart w:id="316" w:name="_Toc117"/>
      <w:bookmarkEnd w:id="315"/>
      <w:r>
        <w:rPr>
          <w:rtl w:val="true"/>
        </w:rPr>
        <w:t>موارد کاربرد عرف</w:t>
      </w:r>
      <w:bookmarkEnd w:id="316"/>
    </w:p>
    <w:p>
      <w:pPr>
        <w:pStyle w:val="BookText"/>
        <w:rPr/>
      </w:pPr>
      <w:r>
        <w:rPr>
          <w:rFonts w:ascii="IRNazanin" w:hAnsi="IRNazanin" w:eastAsia="IRNazanin"/>
          <w:color w:val="111111"/>
          <w:sz w:val="28"/>
          <w:sz w:val="28"/>
          <w:szCs w:val="28"/>
          <w:rtl w:val="true"/>
          <w:lang w:bidi="fa-IR"/>
        </w:rPr>
        <w:t>در فقه اسلامی بسیاری از مشکلات مربوط به احکام و موضوعات آنها در پرتو عرف حلّ می‌شود و فقها در موارد مختلفی از عرف استفاده می‌کنند که مهمترین آنها عبارتند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موارد کاربرد عرف موردی است که دارای نصّ خاصّ نباشد و به اصطلاح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عرف، حکم شرعی آن استکشاف 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عرف در صورتی می‌تواند در کشف حکم شرعی معتبر باشد که زمانها و مکانهای متعددی را درنوردد و به زمان معصومین علیهم‌السلام متصل شود تا مورد تقریر معصوم واقع شده باشد و یا حدّاقلّ شارع منع و ردعی از آن نکرده باشد که عدم ردع هم </w:t>
      </w:r>
    </w:p>
    <w:p>
      <w:pPr>
        <w:pStyle w:val="BookText"/>
        <w:rPr/>
      </w:pPr>
      <w:r>
        <w:rPr>
          <w:rFonts w:ascii="IRNazanin" w:hAnsi="IRNazanin" w:eastAsia="IRNazanin"/>
          <w:color w:val="111111"/>
          <w:sz w:val="28"/>
          <w:sz w:val="28"/>
          <w:szCs w:val="28"/>
          <w:rtl w:val="true"/>
          <w:lang w:bidi="fa-IR"/>
        </w:rPr>
        <w:t>مصداقی از تقریر است و در این صورت، این عرف بخشی از سنّت به حساب می‌آید، سیره متشرّعه و بنای عقلا هم از همین قبیل است و قبلاً درجای خود بیان کردیم که بنای</w:t>
      </w:r>
    </w:p>
    <w:p>
      <w:pPr>
        <w:pStyle w:val="BookText"/>
        <w:rPr/>
      </w:pPr>
      <w:r>
        <w:rPr>
          <w:rFonts w:ascii="IRNazanin" w:hAnsi="IRNazanin" w:eastAsia="IRNazanin"/>
          <w:color w:val="111111"/>
          <w:sz w:val="28"/>
          <w:sz w:val="28"/>
          <w:szCs w:val="28"/>
          <w:rtl w:val="true"/>
          <w:lang w:bidi="fa-IR"/>
        </w:rPr>
        <w:t>عقلا در صورتی حجت است که کشف قطعی از رأی معصوم داشته باشد و در مورد سیره متشرّعه هم گفته شد که سیره متشرّعه وقتی حجت است که از لحاظ تاریخ به زمان معصوم متصل شود و نیز ثابت شود که معصوم در آن شرکت داشته و یا لااقلّ با سکوت خود آن را تأیید و تقریر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تشابه و ارتباط عرف با سیره از آن جهت است که ملاک حجّیّت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استکشاف حکم شرعی در مالانصّ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دو، کاشف از عمل معصوم به آنها و یا حداقل کاشف از تقریر و امضای معصوم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موارد کاربرد عرف جایی است که مفهوم چیزی بدون مراجعه به عرف معلوم نباشد و این در موردی است که موضوع حکم، عرفی باشد و یا آن که شارع تعریف آن را به عرف موکول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تشخیص دادن بعضی مفاهیم که شارع تعیین آن را به عرف واگذار کرده، شناخت عرف برای فقیه اهمّیّت زیادی دارد تا در تحدید آن مفاهیم اشتباه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آنها که در لسان بعضی ادله، موضوع احکام قرار گرفته‌اند، فقیه برای تشخیص مفهوم آنها باید به عرف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بعضی احکام بر موضوعات عرفیّه وارد شده و راه تشخیص این گونه موضوعات مراجعه به عرف است و تفاوت احکام به تفاوت موضوعات آنها بستگی دارد و تفاوت موضوعات ناشی از اختلاف عرفها به خاطر اختلاف ازمنه و امکنه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مصارف زکات که در آیه شریفه ذکر شده، اکثر موضوعات آن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به عنوان یکی از مصارف زکات ذکر شده دارای مصادیق متفاوتی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تفاوت به خاطر تفاوت عرفها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کسی‌است که بالفعل یا بالقوّه قوت سال خود راندارد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باید به عرف مراجعه شود و طبیعی است که در این مورد، عرفها در شهرها و مکانهای متفاوت با هم متفاوت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مثلاً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شارع بر آن حکم کرده، تملّک موات به سبب احیا </w:t>
      </w:r>
    </w:p>
    <w:p>
      <w:pPr>
        <w:pStyle w:val="BookText"/>
        <w:rPr/>
      </w:pPr>
      <w:r>
        <w:rPr>
          <w:rFonts w:ascii="Amiri" w:hAnsi="Amiri" w:eastAsia="Amiri" w:cs="Amiri"/>
          <w:color w:val="111111"/>
          <w:sz w:val="28"/>
          <w:sz w:val="28"/>
          <w:szCs w:val="28"/>
          <w:rtl w:val="true"/>
          <w:lang w:bidi="ar-SA"/>
        </w:rPr>
        <w:t>است که شارع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اَحْیی اَرْضا مواتا فهی له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برای تشخیص احیا که موضوع حکم است، باید به عرف مراجعه کرد، آنچه که نزد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کند، موجب تملّک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سبزواری در کفایة الاحکام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شرع مطلق و بدون قید تعیین وارد شده و در مورد آن ناگزیر از مراجعه به عرف هستیم، پس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 اتکا بر آن چیزی است که در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صاحب جواهر در الفاظ و مصادیق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عرف را مرجع تعیین مدعی و منکر قرار داده است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مرجع تشخیص مدعی و منکر عرف است، همچنان که در موردالفاظ دیگری که برای آنها حقیقت شرعیه ثابت نشده و قرینه‌ای هم دالّ بر معنی مجازی خاصّ در کنار آنها وجود ندارد، به عرف مراجعه می‌کنیم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بر همین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استنباط احکام از اهمّیّت خاصّی برخوردار است و به قول استاد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باید احاطه کامل بر موضوعاتی که برای آن موضوعات فتوا صادر می‌کند، داشته باشد</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اختلاف فتاوای فقها به شیوه نگرش فقها بر موضوعات و مقدمات و شرایط آن مربوط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موارد کاربرد عرف، مدد گرفتن از آن برای کشف مراد متکلّم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که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شارع یا غیر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را به طور مطلق ذکر کند، برای استکشاف مراد و مقصود متکلم، باید به عرف مراجعه کرد و از همین باب است آنچه بازگشت به دلالت التزامیّه کلام شارع دارد، در صورتی که منشأ دلالت مذکور ملازمات عرفیه باشد، مانند حکم شارع به پاک شدن شراب در صورتی که تبدیل به سرکه شود، که این عرفا ملازمه دارد بر حکم به طهارت جمیع اطراف ظرف آن شراب و از همین باب است آن جا که عرف صلاحیت قرینه قرار گرفتن برای توضیح مراد شارع را دارد؛ </w:t>
      </w:r>
      <w:bookmarkStart w:id="317" w:name="pg4331_49020"/>
    </w:p>
    <w:p>
      <w:pPr>
        <w:pStyle w:val="BookText"/>
        <w:rPr/>
      </w:pPr>
      <w:bookmarkEnd w:id="317"/>
      <w:r>
        <w:rPr>
          <w:rFonts w:ascii="IRNazanin" w:hAnsi="IRNazanin" w:eastAsia="IRNazanin"/>
          <w:color w:val="111111"/>
          <w:sz w:val="28"/>
          <w:sz w:val="28"/>
          <w:szCs w:val="28"/>
          <w:rtl w:val="true"/>
          <w:lang w:bidi="fa-IR"/>
        </w:rPr>
        <w:t xml:space="preserve">امّا کشف مراد و مقاصد متکلمین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عرف، مانند تکلّم در باب اقرار، وصیّت و وقف که اگر با کلماتی ادا شوند که دارای معانی عرفی باشد، در این موارد هم مراد متکلم را از راه عرف استکشاف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چیزی که از نظر عرف از توابع موقوفه باشد، طبق نظر عرف، داخل در وقف است، مگر در مواردی که واقف آن را استثناء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مانند دخول توابع و لوازم مبیع، در مبیع که تشخیص توابع</w:t>
      </w:r>
    </w:p>
    <w:p>
      <w:pPr>
        <w:pStyle w:val="BookText"/>
        <w:rPr/>
      </w:pPr>
      <w:r>
        <w:rPr>
          <w:rFonts w:ascii="IRNazanin" w:hAnsi="IRNazanin" w:eastAsia="IRNazanin"/>
          <w:color w:val="111111"/>
          <w:sz w:val="28"/>
          <w:sz w:val="28"/>
          <w:szCs w:val="28"/>
          <w:rtl w:val="true"/>
          <w:lang w:bidi="fa-IR"/>
        </w:rPr>
        <w:t>و لوازم آن با نظر عرف است، گرچه در عقد به طور صریح ذکری از آن به میان نیامده باشد و یا این که خریدار و فروشنده نسبت به آن جاهل باشند، در تمام این موارد برای تشخیص این که چه چیزهایی داخل در موقوفه یا داخل در مبیع است، به عرف مراجعه می‌شود</w:t>
      </w:r>
      <w:r>
        <w:rPr>
          <w:rFonts w:eastAsia="IRNazanin" w:cs="IRNazanin"/>
          <w:color w:val="111111"/>
          <w:sz w:val="28"/>
          <w:szCs w:val="28"/>
          <w:rtl w:val="true"/>
          <w:lang w:bidi="fa-IR"/>
        </w:rPr>
        <w:t>.</w:t>
      </w:r>
    </w:p>
    <w:p>
      <w:pPr>
        <w:pStyle w:val="Heading4"/>
        <w:numPr>
          <w:ilvl w:val="3"/>
          <w:numId w:val="1"/>
        </w:numPr>
        <w:rPr/>
      </w:pPr>
      <w:bookmarkStart w:id="318" w:name="__RefHeading___Toc1014827_1479056682"/>
      <w:bookmarkStart w:id="319" w:name="_Toc118"/>
      <w:bookmarkEnd w:id="318"/>
      <w:r>
        <w:rPr>
          <w:rtl w:val="true"/>
        </w:rPr>
        <w:t>اهمّیّت عرف</w:t>
      </w:r>
      <w:bookmarkEnd w:id="319"/>
    </w:p>
    <w:p>
      <w:pPr>
        <w:pStyle w:val="BookText"/>
        <w:rPr/>
      </w:pPr>
      <w:r>
        <w:rPr>
          <w:rFonts w:ascii="IRNazanin" w:hAnsi="IRNazanin" w:eastAsia="IRNazanin"/>
          <w:color w:val="111111"/>
          <w:sz w:val="28"/>
          <w:sz w:val="28"/>
          <w:szCs w:val="28"/>
          <w:rtl w:val="true"/>
          <w:lang w:bidi="fa-IR"/>
        </w:rPr>
        <w:t>در اهمّیّت عرف همین بس که شارع به زبان عرف سخن گفته و در بیان مقاصد خود از زبان رایج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سرتاسر فقه به مرجعیت عرف در فهم موضوعات عرفی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اسلام برای عرف صحیح اعتبار قایل شده است، چنان که رسول اکرم صلی‌الله‌علیه‌و‌آلهدر صدر اسلام بعضی از عرفهای رایج و متعارف بین عرب را که قبل از بعثت رواج داشت، تقریر و امضا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تقریر بیع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ابن عباس روایت شده هنگامی که پیامبر صلی‌الله‌علیه‌و‌آله به مدینه مهاجرت فرمود مردم مدینه در مورد میوه‌ها به صورت یک ساله و دو ساله بیع سلف انجام می‌دادند، پیامبر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أسْلَف فی شی‌ءٍ فَلْیُسلِفْ فی کیلٍ معلومٍ و وزنٍ معلومٍ إلی أجلٍ معلومٍ</w:t>
      </w:r>
      <w:r>
        <w:rPr>
          <w:rStyle w:val="FootnoteAnchor"/>
          <w:rtl w:val="true"/>
        </w:rPr>
        <w:footnoteReference w:id="2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چیزی را به صورت سلف معامله می‌کند، باید کیل و وزن و مدت آن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فقه، کلیات بسیاری وجود دارد که فقیه می‌تواند برای استکشاف احکام در مواردی که نصّی وجود ندارد از عرف استمداد کند و بر مشکلات علمی خود فایق آید؛ چنان که برای فهم مراد از الفاظ متعاقدین، به عرف متوسّل می‌شود و نیز می‌تواند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تخصیص بعضی از الفاظ عامّ در قسمتی از عبارات و یا تقیید بعضی از مطلقات آنها </w:t>
      </w:r>
    </w:p>
    <w:p>
      <w:pPr>
        <w:pStyle w:val="BookText"/>
        <w:rPr/>
      </w:pPr>
      <w:r>
        <w:rPr>
          <w:rFonts w:ascii="IRNazanin" w:hAnsi="IRNazanin" w:eastAsia="IRNazanin"/>
          <w:color w:val="111111"/>
          <w:sz w:val="28"/>
          <w:sz w:val="28"/>
          <w:szCs w:val="28"/>
          <w:rtl w:val="true"/>
          <w:lang w:bidi="fa-IR"/>
        </w:rPr>
        <w:t>از عرف بهره گیرد و نیز فقیه و قاضی می‌توانند در بعضی حالات عرف را حَکَم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موردی که هیچ یک از طرفین دعوی بیّنه ندارد، قاضی می‌تواند برای حلّ</w:t>
      </w:r>
    </w:p>
    <w:p>
      <w:pPr>
        <w:pStyle w:val="BookText"/>
        <w:rPr/>
      </w:pPr>
      <w:r>
        <w:rPr>
          <w:rFonts w:ascii="IRNazanin" w:hAnsi="IRNazanin" w:eastAsia="IRNazanin"/>
          <w:color w:val="111111"/>
          <w:sz w:val="28"/>
          <w:sz w:val="28"/>
          <w:szCs w:val="28"/>
          <w:rtl w:val="true"/>
          <w:lang w:bidi="fa-IR"/>
        </w:rPr>
        <w:t>و فصل دعوی و پذیرش قول یکی از طرفین دعوی، عرف را ملاک قرار دهد و در طرد و رفض بعضی از دعاوی نیز می‌تواند به عرف استناد کند و نیز در مورد اعتبار یا عدم اعتبار</w:t>
      </w:r>
    </w:p>
    <w:p>
      <w:pPr>
        <w:pStyle w:val="BookText"/>
        <w:rPr/>
      </w:pPr>
      <w:r>
        <w:rPr>
          <w:rFonts w:ascii="IRNazanin" w:hAnsi="IRNazanin" w:eastAsia="IRNazanin"/>
          <w:color w:val="111111"/>
          <w:sz w:val="28"/>
          <w:sz w:val="28"/>
          <w:szCs w:val="28"/>
          <w:rtl w:val="true"/>
          <w:lang w:bidi="fa-IR"/>
        </w:rPr>
        <w:t>بعضی از شروط می‌تواند از عرف استمداد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قیّم در کتاب اعلام المُوَقَّعین فصلی را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تغیّر الفتوی بتغیّر 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منعقد کرده و در ضمن آن امثله عدیده‌ای را برای اعتبار عرف و نقش آن در تغییر فتوا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اگر شخصی قسم بخورد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لارکبت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 بلد دابه فقط بر حمار اطلاق شود، با سوار شدن بر اسب یا شتر، حنث یمین نکرده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جای دیگر از کتابش برای عرف آن قدر اهمّیّت قایل شده است که در باب عقود اذن عرفی را در اکثر مواضع قوی تر از اذن لفظی دانسته و آن را در بیش از صد موضع جاری مجرای نطق می‌داند و می‌گوید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در بیش از صد موضع جاری مجرا و جانشین گفتار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نقد بلد در معاملات و نهادن غذا پیش مهمان و جواز خوردن و مصرف کردن اشیاء کم و اندک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میوه ساقط شده از شاخه‌ای که مشرف بر طریق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ببیند گوسفند دیگری در حال مردن است و به خاطر حفظ مالیت آن، آن را ذبح کند، این عمل از رها کردن گوسفند و ضایع شدن آن بهتر است، گرچه بعضی از فقهای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جامدالفکر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منع کرده‌اند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تصرف در ملک غیر است، در حالی که این فقیه خشک نمی‌داند که خداوند تصرف در ملک غیر را از آن جهت حرام فرموده که باعث اضرار به غیر است و در این مورد، ترک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 کردن گوسفند 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اضرار به غیر است</w:t>
      </w:r>
      <w:r>
        <w:rPr>
          <w:rFonts w:eastAsia="IRNazanin" w:cs="IRNazanin"/>
          <w:color w:val="111111"/>
          <w:sz w:val="28"/>
          <w:szCs w:val="28"/>
          <w:rtl w:val="true"/>
          <w:lang w:bidi="fa-IR"/>
        </w:rPr>
        <w:t>.»</w:t>
      </w:r>
      <w:r>
        <w:rPr>
          <w:rStyle w:val="FootnoteAnchor"/>
          <w:rtl w:val="true"/>
        </w:rPr>
        <w:footnoteReference w:id="251"/>
      </w:r>
      <w:bookmarkStart w:id="320" w:name="pg4331_49024"/>
    </w:p>
    <w:p>
      <w:pPr>
        <w:pStyle w:val="BookText"/>
        <w:rPr/>
      </w:pPr>
      <w:bookmarkEnd w:id="320"/>
      <w:r>
        <w:rPr>
          <w:rFonts w:ascii="IRNazanin" w:hAnsi="IRNazanin" w:eastAsia="IRNazanin"/>
          <w:color w:val="111111"/>
          <w:sz w:val="28"/>
          <w:sz w:val="28"/>
          <w:szCs w:val="28"/>
          <w:rtl w:val="true"/>
          <w:lang w:bidi="fa-IR"/>
        </w:rPr>
        <w:t xml:space="preserve">وی در پایان امثله، به عنوان مؤیّد ادعای خود اشاره به حدیث عروه بارقی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صلی‌الله‌علیه‌و‌آله به او یک دینار دادند که گوسفندی بخرد و او با آن یک دینار دو گوسفند خرید و یکی از آن دو را به دیناری فروخت، سپس با یک دینار و یک گوسفند نزد پیامبر صلی‌الله‌علیه‌و‌آلهبازگشت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 و تحویل داد و تحویل گرفت بدون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لفظی داشته باشد، بلکه این معامله را از باب اعتماد به اذن عرفی انجام داد که در اکثر مواضع از اذن لفظی قوی تر است</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321" w:name="__RefHeading___Toc1014829_1479056682"/>
      <w:bookmarkStart w:id="322" w:name="_Toc119"/>
      <w:bookmarkEnd w:id="321"/>
      <w:r>
        <w:rPr>
          <w:rtl w:val="true"/>
        </w:rPr>
        <w:t>اعتبار عرف در مذاهب مختلف</w:t>
      </w:r>
      <w:bookmarkEnd w:id="322"/>
    </w:p>
    <w:p>
      <w:pPr>
        <w:pStyle w:val="BookText"/>
        <w:rPr/>
      </w:pPr>
      <w:r>
        <w:rPr>
          <w:rFonts w:ascii="IRNazanin" w:hAnsi="IRNazanin" w:eastAsia="IRNazanin"/>
          <w:color w:val="111111"/>
          <w:sz w:val="28"/>
          <w:sz w:val="28"/>
          <w:szCs w:val="28"/>
          <w:rtl w:val="true"/>
          <w:lang w:bidi="fa-IR"/>
        </w:rPr>
        <w:t>اکثر مذاهب اهل سنّت برای عرف در احکام شرعی، اهمّیّت و اعتبار قایل شده‌اند و برخی از علمای اهل سنّت عرف و عادت را به عنوان یک منبع مستقلّ پذیرفته‌اند، تا آن جا که در صورت تعارض بین عرف و قیاس، عرف را بر قیاس مقدّم می‌دارند و در توجیه این تقدم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قیاس در صورتی که با عرف رایج مخالف باشد، باعث عسر و حرج شده و به مصلحت مردم نمی‌باشد، پس باید عرف را بر قیاس مقدّم داشت تا چنین محذوری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مالک به عرف عمل کرده و آن را نوعی از مصلحت دانسته و حتّی بعضی از نصوص را به وسیله عرف تخصیص زده است، از جمله این که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اْلوالِداتُ</w:t>
      </w:r>
    </w:p>
    <w:p>
      <w:pPr>
        <w:pStyle w:val="BookText"/>
        <w:rPr/>
      </w:pPr>
      <w:r>
        <w:rPr>
          <w:rFonts w:ascii="Amiri" w:hAnsi="Amiri" w:eastAsia="Amiri" w:cs="Amiri"/>
          <w:color w:val="111111"/>
          <w:sz w:val="28"/>
          <w:sz w:val="28"/>
          <w:szCs w:val="28"/>
          <w:rtl w:val="true"/>
          <w:lang w:bidi="ar-SA"/>
        </w:rPr>
        <w:t>یُرضِعْنَ اَوْلاََدهُنَّ حَولَیْنِ کامِلَیْنِ لِمَنْ أرادٔأنْ یُتمّ الرِّضاعَةَ</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را به عرف و عادت تخصیص زده و زن شریفه ذات ترفّه را که از ارضاع متضرر می‌شود، استثناء کرده است</w:t>
      </w:r>
      <w:r>
        <w:rPr>
          <w:rFonts w:eastAsia="IRNazanin" w:cs="IRNazanin"/>
          <w:color w:val="111111"/>
          <w:sz w:val="28"/>
          <w:szCs w:val="28"/>
          <w:rtl w:val="true"/>
          <w:lang w:bidi="fa-IR"/>
        </w:rPr>
        <w:t>.</w:t>
      </w:r>
      <w:r>
        <w:rPr>
          <w:rStyle w:val="FootnoteAnchor"/>
          <w:rtl w:val="true"/>
        </w:rPr>
        <w:footnoteReference w:id="25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رشد در کتاب بدایة المجتهد در بحث این که آیا مطابق آیه رضاع، ارضاع بر مرضعه واجب است یا نه ؟ نظر قایلین به وجوب ارضاع و نظر قایلین به عدم وجوب آن </w:t>
      </w:r>
    </w:p>
    <w:p>
      <w:pPr>
        <w:pStyle w:val="BookText"/>
        <w:rPr/>
      </w:pPr>
      <w:r>
        <w:rPr>
          <w:rFonts w:ascii="IRNazanin" w:hAnsi="IRNazanin" w:eastAsia="IRNazanin"/>
          <w:color w:val="111111"/>
          <w:sz w:val="28"/>
          <w:sz w:val="28"/>
          <w:szCs w:val="28"/>
          <w:rtl w:val="true"/>
          <w:lang w:bidi="fa-IR"/>
        </w:rPr>
        <w:t>را همراه با دلیل آنان بیان می‌کند و سپس عرف و عادت را ملاک و معیار فرق بین زنان شریف و وضیع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فرّق بین الدنیئة و الشریفة، فاعتبر فی ذلک العرف و العادة</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بین زن وضیعه و شریفه فرق گذارده، در فرق گذاردن عرف و عادت را ملاک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مالک و ابوحنیفه تعیین مقدار نفقه زوجه را بر حسب نظر عرف و متناسب با وضع زوجین می‌دانند که با اختلاف امکنه و ازمنه، اختلاف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در این مورد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مقدار نفقه نظر مالک آن است که مقدار نفقه در شرع، معین نشده است، بلکه مقدار آن به مقتضای حال و موقعیت زوج و زوجه بستگی دارد، که به حسب اختلاف مکانها و زمانها و احوال اشخاصّ اختلاف پیدا می‌کند و نظر ابوحنیفه هم همین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قرطبی در تفسیر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الناس فی الرضاع هل هو حق للامّ او حق علیها و اللفظ محتمل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درباره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 که آیا رضاع حقی به نفع مادر است یا حقی است به زیان او ؟ و لفظ رضاع احتمال هر دو معنا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هو علیها فی حال الزوجیّة و هو عرف یلزم اذ قدصار کالشرط الاّ أن تکون شریفة ذات ترفّه فعرفها ألاّ ترضع و ذلک کالشرط</w:t>
      </w:r>
      <w:r>
        <w:rPr>
          <w:rStyle w:val="FootnoteAnchor"/>
          <w:rtl w:val="true"/>
        </w:rPr>
        <w:footnoteReference w:id="25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در حال زوجیت رضاع حقی است بر زن و این عرفی لازم الاجراء است که مانند شرط شده است، مگر آن که زوجه زنی شریفه و از خانواده‌ای مرفّه باشد، پس عرف او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ندهد و این عرف نسبت به او مانند شرط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آن که ائمه مذاهب اهل سنّت عرف را معتبر دانسته و به آن عمل کرده‌اند و اختلافی که در آن دارند، در تطبیق بعضی جزئیات یا توسعه و تضییق در کاربرد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العربی در تفسیر خود، درباره تقدیر نفقه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نفقه بیان کردیم که نفقه تقدیر و اندازه‌ای شرعی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شرع مقدار آن معین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سبحان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محول فرموده است و عادت دلیلی است اصولی که خداوند احکام را بر آن مبتنی فرموده و حلال و حرام را به آن مربوط و وابسته دانسته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العرف و العادة اصل من اصول الشریعة یُقْضی به فی الأحکام</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و عادت اصلی از اصول شریعت است که به وسیله آن در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حکم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عبدالوهّاب خلاّف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حنفیّه احکام زیادی است که مبتنی بر عرف است؛ از جمله آنها این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طرفین دعوی با هم اختلاف داشته و هیچ یک از آن دو بیّنه‌ای هم نداشته باشد، قول کسی مقدّم است که عرف به نفع او گواهی دهد و هر گاه زوجین نسبت به مقدار نقدی و بر ذمّه مهریّه با هم اتّفاق نظر نداشته باشند، در این صورت حکمیّت با عرف است و هر که سوگند بخورد که گوشت نخورد و پس از آن اقدام به خوردن ماهی کند، بنا بر عرف حنث سوگند نکرده است و از عبارتهای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عرف مانند مشروط به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ثابت شده به وسیله عرف، مانند حکم ثابت شده به وسیله نصّ است</w:t>
      </w:r>
      <w:r>
        <w:rPr>
          <w:rFonts w:eastAsia="IRNazanin" w:cs="IRNazanin"/>
          <w:color w:val="111111"/>
          <w:sz w:val="28"/>
          <w:szCs w:val="28"/>
          <w:rtl w:val="true"/>
          <w:lang w:bidi="fa-IR"/>
        </w:rPr>
        <w:t>.»</w:t>
      </w:r>
      <w:r>
        <w:rPr>
          <w:rStyle w:val="FootnoteAnchor"/>
          <w:rtl w:val="true"/>
        </w:rPr>
        <w:footnoteReference w:id="26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علمای امامیّه درباره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مقدمات بحث گفته شد، در کتب </w:t>
      </w:r>
    </w:p>
    <w:p>
      <w:pPr>
        <w:pStyle w:val="BookText"/>
        <w:rPr/>
      </w:pPr>
      <w:r>
        <w:rPr>
          <w:rFonts w:ascii="IRNazanin" w:hAnsi="IRNazanin" w:eastAsia="IRNazanin"/>
          <w:color w:val="111111"/>
          <w:sz w:val="28"/>
          <w:sz w:val="28"/>
          <w:szCs w:val="28"/>
          <w:rtl w:val="true"/>
          <w:lang w:bidi="fa-IR"/>
        </w:rPr>
        <w:t>اصولی شیعه، به عنوان یکی از ادلّه احکام از عرف بحثی به میان نیامده است و اندیشمندان اصولی و فقهی شیعه، عرف و عادت را به عنوان منبع و پایه شناخت احکام شرعی مطرح نکرده و برای آن اهمّیّت چندانی قایل نشده‌اند و تنها حجّیّت و اعتبار آن را در موضوعات و به موارد خاصی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یکی از مواردی که عرف به کمک فقیه می‌آید در مورد احکامی است که روی موضوعات عرفی رفته است و اصولاً یکی از موارد مهم کاربرد عرف آن است که بعضی احکام بر موضوعات عرفیه وارد شده و راه تشخیص موضوع این احکام مراجعه به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جواهر الکلام که از مهمترین کتب فقهی استدلالی شیعه است، همین نکته به خوبی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که این کتاب به عرف ارجاع می‌دهد، اغلب آنها از همین قبیل است که به چند مورد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مصارف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خریدن و آزاد کردن بردگان از مال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بردگانی که در عسر و حرج و در شدت و ضرورت قرار گرفته‌اند، با مال زکات خریداری شده و آزاد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شدت و ضرورت به عرف واگذار می‌شود، چنان که 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والمرجع فی الشدة و الضرورة الی العرف، لعدم التقدیر شرعا</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تشخیص شدت و ضرورت عرف است، به خاطر آن که در این مورد تقدیر شرعی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جای دیگر،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عرف موکول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 فی المؤونة و العیال، هو العرف</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تشخیص مؤنه و عیالواری عرف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المعتبر العرف و العادة، عند عدم الشرع</w:t>
      </w:r>
      <w:r>
        <w:rPr>
          <w:rStyle w:val="FootnoteAnchor"/>
          <w:rtl w:val="true"/>
        </w:rPr>
        <w:footnoteReference w:id="26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 عادت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صدق و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را رجوع به عرف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بهتر از آن، در مورد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کردن امر به عرف باشد، زیرا در این گونه امور، مرجع عرف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لزوم یا عدم لزوم خادمه برای همسر،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المرجع فیه العرف</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آن عرف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تعیین مدعی و منکر نیز میزان را رجوع به عرف می‌دانسته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مرجع تشخیص مدّعی و منکرعرف است، همچنان که در مورد الفاظ دیگری که برای آنها حقیقت شرعیّه‌ای ثابت نشده و قرینه‌ای هم دالّ بر معنای مجازی خاصّ وجود ندارد، به عرف رجوع می‌کنیم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 غیر از عرف نیست که در بسیاری از افراد آن، بلکه در تمام افرادش اشتباهی صورت نمی‌گیرد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مرحوم شهید اوّل در کتاب القواعد والفوائد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موارد زیادی معتبر می‌داند، از قبیل ؛ کیل و وزن، تباعد مأموم از امام، بلندی مکان امام، اباحه اکل میوه‌ها بعد از اعراض مالکین از آنها و نیز در مورد</w:t>
      </w:r>
    </w:p>
    <w:p>
      <w:pPr>
        <w:pStyle w:val="BookText"/>
        <w:rPr/>
      </w:pPr>
      <w:r>
        <w:rPr>
          <w:rFonts w:ascii="IRNazanin" w:hAnsi="IRNazanin" w:eastAsia="IRNazanin"/>
          <w:color w:val="111111"/>
          <w:sz w:val="28"/>
          <w:sz w:val="28"/>
          <w:szCs w:val="28"/>
          <w:rtl w:val="true"/>
          <w:lang w:bidi="fa-IR"/>
        </w:rPr>
        <w:t xml:space="preserve">نگهداری ظروف هدایایی که عادةً آنها را برنمی‌گردانند، که در این مورد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می‌زند و آن ظرفی است که از نی می‌بافند و در آن خرما می‌ریزند و نیز درمورد عدم</w:t>
      </w:r>
    </w:p>
    <w:p>
      <w:pPr>
        <w:pStyle w:val="BookText"/>
        <w:rPr/>
      </w:pPr>
      <w:r>
        <w:rPr>
          <w:rFonts w:ascii="IRNazanin" w:hAnsi="IRNazanin" w:eastAsia="IRNazanin"/>
          <w:color w:val="111111"/>
          <w:sz w:val="28"/>
          <w:sz w:val="28"/>
          <w:szCs w:val="28"/>
          <w:rtl w:val="true"/>
          <w:lang w:bidi="fa-IR"/>
        </w:rPr>
        <w:t xml:space="preserve">وجوب ردّ نامه‌ها به نویسندگان نامه، ملاک را عرف و عادت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عدم وجوب ردّ الرقاع الی المکاتب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را در مورد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می‌داند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جای دیگر اشاره به دو قسم عادت، یعنی عادت قولی و فعلی کرده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 که، از نظر علمای شیعه، هیچ یک از اقسام عرف نمی‌تواند دلیل مستقلّی برای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بلکه اعتبار و حجّیّت عرف، منوط به کاشفیّت آن از امضای شارع است و در این صورت، عرف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w:t>
      </w:r>
      <w:bookmarkStart w:id="323" w:name="pg4331_49035"/>
    </w:p>
    <w:p>
      <w:pPr>
        <w:pStyle w:val="BookText"/>
        <w:rPr/>
      </w:pPr>
      <w:bookmarkEnd w:id="323"/>
      <w:r>
        <w:rPr>
          <w:rFonts w:ascii="IRNazanin" w:hAnsi="IRNazanin" w:eastAsia="IRNazanin"/>
          <w:color w:val="111111"/>
          <w:sz w:val="28"/>
          <w:sz w:val="28"/>
          <w:szCs w:val="28"/>
          <w:rtl w:val="true"/>
          <w:lang w:bidi="fa-IR"/>
        </w:rPr>
        <w:t xml:space="preserve">بود و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4"/>
        <w:numPr>
          <w:ilvl w:val="3"/>
          <w:numId w:val="1"/>
        </w:numPr>
        <w:rPr/>
      </w:pPr>
      <w:bookmarkStart w:id="324" w:name="__RefHeading___Toc1014831_1479056682"/>
      <w:bookmarkStart w:id="325" w:name="_Toc120"/>
      <w:bookmarkEnd w:id="324"/>
      <w:r>
        <w:rPr>
          <w:rtl w:val="true"/>
        </w:rPr>
        <w:t>آیا عرف دلیل مستقلّ است ؟</w:t>
      </w:r>
      <w:bookmarkEnd w:id="325"/>
    </w:p>
    <w:p>
      <w:pPr>
        <w:pStyle w:val="BookText"/>
        <w:rPr/>
      </w:pPr>
      <w:r>
        <w:rPr>
          <w:rFonts w:ascii="IRNazanin" w:hAnsi="IRNazanin" w:eastAsia="IRNazanin"/>
          <w:color w:val="111111"/>
          <w:sz w:val="28"/>
          <w:sz w:val="28"/>
          <w:szCs w:val="28"/>
          <w:rtl w:val="true"/>
          <w:lang w:bidi="fa-IR"/>
        </w:rPr>
        <w:t xml:space="preserve">از مقایسه و بررسی موارد کاربرد عرف به این نتیجه می‌رسیم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اصل و دلیل مستقلّی در مقابل سایر اصول و ادلّه نمی‌باشد، زیرا؛ اوّلین کاربرد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حکم شرعی در مالانص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عرف به همان سنّت و ملاک حجّیّت آن تقریر و امضای شارع نسبت به عرف است، به خاطر این که خود عرف به تنهایی و بدون امضا و تقریر شارع، باعث قطع به حکم شرعی نمی‌شود، پس به ناچار عرف باید به یک حجّت قطعی بازگشت کند و این حجت قطعی چیزی جز امضا و تقریر شارع نسبت به عرف نیست و امضای شارع بر احکام عرفیه خاصی قائم است، نه نسبت به خود عرف، مثلاً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الاستصناع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 کرده است و این هر دو، دو حکم عرفی هستند و واضح است که شارع تمام احکام رایج نزد عرف را امضا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شارع اصل عرف را امضا نفرموده تا در مقابل سنّت، اصل و دلیل مستقلی به حساب آید و ما دلیلی بر چنین توسعه‌ای در مورد عرف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مورد دیگر از موارد کاربرد عرف، مربوط به تشخیص صغریّات سنّت می‌باشد خواه صغریّات حکمی یا صغریّات موضوعی و در جای خود در اصول ثابت شده که هر امری که مربوط به تشخیص صغرای یک مسأله اصولیّه می‌باشد، از علم اصول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اصلی از اصول و دلیلی مستقلّ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عبدالوهّاب خلاّف، عرف را دلیل شرعی مستقلّ نمی‌داند، بلکه آن را در اغلب موارد از باب مراعات مصلحت مرسله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مورد می‌گوید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دلیل شرعی مستقلّ نیست، بلکه در غالب موارد، کاربرد آن از باب مراعات مصلحت مرسله است و همان گونه که عرف در تشریع احکام مراعات می‌شود، در تفسیر نصوص شرعی هم رعایت می‌شود و در نتیجه، عامّ به وسیله آن تخصیص زده می‌شود و مطلق، مقیّد می‌گردد و گاهی به خاطر عرف، قیاس ترک می‌شود و </w:t>
      </w:r>
    </w:p>
    <w:p>
      <w:pPr>
        <w:pStyle w:val="BookText"/>
        <w:rPr/>
      </w:pPr>
      <w:r>
        <w:rPr>
          <w:rFonts w:ascii="IRNazanin" w:hAnsi="IRNazanin" w:eastAsia="IRNazanin"/>
          <w:color w:val="111111"/>
          <w:sz w:val="28"/>
          <w:sz w:val="28"/>
          <w:szCs w:val="28"/>
          <w:rtl w:val="true"/>
          <w:lang w:bidi="fa-IR"/>
        </w:rPr>
        <w:t>برای همین است که عقد استصناع</w:t>
      </w:r>
      <w:r>
        <w:rPr>
          <w:rStyle w:val="FootnoteAnchor"/>
          <w:rtl w:val="true"/>
        </w:rPr>
        <w:footnoteReference w:id="268"/>
      </w:r>
      <w:r>
        <w:rPr>
          <w:rFonts w:ascii="IRNazanin" w:hAnsi="IRNazanin" w:eastAsia="IRNazanin"/>
          <w:color w:val="111111"/>
          <w:sz w:val="28"/>
          <w:sz w:val="28"/>
          <w:szCs w:val="28"/>
          <w:rtl w:val="true"/>
          <w:lang w:bidi="fa-IR"/>
        </w:rPr>
        <w:t>صحیح است، زیرا این عقد در عرف جاری و رایج است، گرچه از لحاظ قیاس صحیح نیست، چرا که عقد بر شی‌ء معدوم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استاد مصطفی شلبی نیز در این مورد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فعل و عمل رایج بین مردم را از آغاز اقدام مردم بر آن تا زمان استقرار آن به صورت عرف آنان، مورد بررسی قرار دهد، درمی‌یابد که در آغاز امر، انگیزه انجام آن عمل نیاز مردم به آن بوده است، به خاطر آن که آن عمل نفعی را برای آنان محقّق می‌ساخته، یا ضروری را از ایشان برطرف می‌کرده است، پس اگر بعد از عادت کردن به آن عمل، از آن منع شوند، به حرج افتاده، و دچار مشقّت می‌گردند، بنابراین تثبیت یک امر رایج و متعارف بین مردم، خود تخفیفی است بر مردم و باعث رفع حرج از ایشان است، پس اعتبار آن امر به اصل رفع حرج بازمی‌گردد که این اصل در قرآن و سنّت مقرر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دین هیچ حرجی بر شما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راحتّی شما را می‌خواهد، نه زحمت و سختی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نصوص دیگر غیر از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حرج نوعی مصلحت است و درحقیقت، دلیل شرعی مصلحت است و عرف معرف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جایگاه و مرتبت عرف در میان ادلّه کدام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پس از طرح سؤال فوق، مرتبه عرف را بعد از کتاب و سنّت و اجماع و قیاس می‌داند و چنین می‌گوید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جا که عرف به مصلحت باز می‌گردد، مرتبه آن بعد از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اجماع و قیاس است و هرگاه مجتهد به وسیله هیچ یک از اینها به حکم شرعی نرسد، اگر عرف صحیحی را بیابد، به آن عمل می‌کند، زیرا عمل </w:t>
      </w:r>
      <w:bookmarkStart w:id="326" w:name="pg4331_49039"/>
    </w:p>
    <w:p>
      <w:pPr>
        <w:pStyle w:val="BookText"/>
        <w:rPr/>
      </w:pPr>
      <w:bookmarkEnd w:id="326"/>
      <w:r>
        <w:rPr>
          <w:rFonts w:ascii="IRNazanin" w:hAnsi="IRNazanin" w:eastAsia="IRNazanin"/>
          <w:color w:val="111111"/>
          <w:sz w:val="28"/>
          <w:sz w:val="28"/>
          <w:szCs w:val="28"/>
          <w:rtl w:val="true"/>
          <w:lang w:bidi="fa-IR"/>
        </w:rPr>
        <w:t xml:space="preserve">به آن باعث تحقق مصلحت مردم است و اگر عرفی را نیابد، با توسل به میزان و ملاک مصلحت، مصلحت آن عمل را می‌سنجد و برحسب منفعت راجحه یا مفسده راحجه‌ای که در فعل وجود دارد، آن را تقریر و تثبیت یا منع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به مصلحت مرسله عمل می‌کند، زیرا مصلحت، معیاری برای اندازه‌گیری نتایج حاصل از آن فعل است و نظریّات فقها درباره این نتایج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عمل مجتهد به عرف، از جهت دیگر است و آن تحقیق از صحت یا فساد آن است به این که با نصوص شرعی مخالف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آنها مخالف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صحّت عرف بر مجتهد روشن شود به آن عمل می‌کند و اگر فسادش بر او آشکار شود، آن را محکوم به منع می‌کند</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327" w:name="__RefHeading___Toc1014833_1479056682"/>
      <w:bookmarkStart w:id="328" w:name="_Toc121"/>
      <w:bookmarkEnd w:id="327"/>
      <w:r>
        <w:rPr>
          <w:rtl w:val="true"/>
        </w:rPr>
        <w:t>تطبیق احکام با عرف</w:t>
      </w:r>
      <w:bookmarkEnd w:id="328"/>
    </w:p>
    <w:p>
      <w:pPr>
        <w:pStyle w:val="BookText"/>
        <w:rPr/>
      </w:pPr>
      <w:r>
        <w:rPr>
          <w:rFonts w:ascii="IRNazanin" w:hAnsi="IRNazanin" w:eastAsia="IRNazanin"/>
          <w:color w:val="111111"/>
          <w:sz w:val="28"/>
          <w:sz w:val="28"/>
          <w:szCs w:val="28"/>
          <w:rtl w:val="true"/>
          <w:lang w:bidi="fa-IR"/>
        </w:rPr>
        <w:t>گرچه در بخش قبل گفته شد که عرف دلیل مستقلی در عرض سایر ادلّه نمی‌باشد، ولی این مطلب از اهمّیّت عرف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مجال کاربرد آن در مواردی است که نصی نباشد، چنان که در ابواب معاملات بخصوص در تشخیص موضوعات و تطبیق آنها با مفاهیم عرفیّه، دیدیم که عرف دارای نقش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دیگر عرف، حَکَم قراردادن آن در تطبیق احکام مطلقه‌ای است که با اختلاف ازمنه و امکنه، اختلاف پیدا می‌کند و این عرف است که مفسّر چنین احکامی است، برای این گونه احکام موارد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با نصّ مطلق خود حکم به وجوب نفقه زوجه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لِیُنْفِقْ ذُوسَعَةٍ مِنْ سَعَتِهِ</w:t>
      </w:r>
      <w:r>
        <w:rPr>
          <w:rFonts w:eastAsia="Amiri" w:cs="Amiri" w:ascii="Amiri" w:hAnsi="Amiri"/>
          <w:color w:val="111111"/>
          <w:sz w:val="28"/>
          <w:szCs w:val="28"/>
          <w:rtl w:val="true"/>
          <w:lang w:bidi="ar-SA"/>
        </w:rPr>
        <w:t>»</w:t>
      </w:r>
      <w:r>
        <w:rPr>
          <w:rStyle w:val="FootnoteAnchor"/>
          <w:rtl w:val="true"/>
        </w:rPr>
        <w:footnoteReference w:id="2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توانمند باید از توان مالی خود انفاق 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اصل نفقه را به قدر وسع و توانایی زوج بر او واجب کرده و مقدار آن را بیان نفرموده است و فقها در تعیین مقدار نفقه، عرف را ملاک قرار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درباره مقدار 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ضابطه آن اقدام 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آنچه زن نیاز دارد از قبیل غذا و خورش و لباس و مسکن و خدمتکار و وسیله آرایش برحسب عادت امثال آن زن از اهل بلد، دلیل آن اصل و اطلاق تمام اوامری است که در کتاب و سنّت آمده است و چون درباره نفقه اندازه و تقدیر شرعی وجود ندارد به اطلاقات کتاب و سنّت مراجعه می‌شود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سرقت مال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شارع قطع دست سارق را واجب فرموده، ولی تعریف و حدود حرز را بیان نفرموده و آن را به عرف مردم واگذار کرده است و هر مالی به حسب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خود را دارد که با اختلاف امکنه و ازمنه، تفاوت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شرع برای حرزی که در قطع ید معتبر و شرط است، نه در نصّ و نه در فتوای فقها حدّ و تعریف معیّنی وجود ندارد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در ادامه بحث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ضرورةً حرز بااختلاف مال محصور در حرز اختلاف پیدا می‌کند، بنابراین حرز طلا و نقره غیر از حرز حیوان و هیزم و کاه و امثال آن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مبیع معیوب درآید، شارع برای مشتری خیار قرار داده، امّا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عرفی است که با اختلاف انظار و تمایلات مردم فرق می‌کند و چه بسا عدّه‌ای چیزی را عیب بدانند که نزد دیگران عیب به حساب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در صورت اختلاف بایع و مشتری در عیب، تشخیص عیب به عرف موکول شده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انصاری در بخش خیارات مکاسب، در بحث خیار عیب، بحثی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ماهیّة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فرموده است و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عیب طبق آنچه از لغت و عرف برمی‌آید عبارت است از نقص از مرتبه</w:t>
      </w:r>
    </w:p>
    <w:p>
      <w:pPr>
        <w:pStyle w:val="BookText"/>
        <w:rPr/>
      </w:pPr>
      <w:r>
        <w:rPr>
          <w:rFonts w:ascii="IRNazanin" w:hAnsi="IRNazanin" w:eastAsia="IRNazanin"/>
          <w:color w:val="111111"/>
          <w:sz w:val="28"/>
          <w:sz w:val="28"/>
          <w:szCs w:val="28"/>
          <w:rtl w:val="true"/>
          <w:lang w:bidi="fa-IR"/>
        </w:rPr>
        <w:t>صحت و مرتبه صحت حد واسط نقص و کمال است، پس صحت مرتبه‌ای است که اصل ماهیت مشترک بین افراد یک شی‌ء، فی نفسه و خود به خود آن را اقتضا می‌کند و عیب و کمال به خاطر امری که خارج از اصل ماهیت است، به آن ملحق می‌شوند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ادامه بحث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همین مطلبی که ما گفتیم، وجه و علّت قول بسیاری از فقها و بلکه تمام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بین آنها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ثیبوبت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کنیزان عیب نیست و گاهی امر به عکس می‌شود، یعنی عیب در مقتضای حقیقت اصلیّه است و صحّت، با خروج از حقیقت اصلیّه به مقتضای حقیقت ثانویّه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عبد بزرگ، عیب است، امّا در عبد صغیر، عیب به حساب نمی‌آید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مرحوم محقّق ثانی، در جامع المقاصد، بر بیان علاّمه در مورد حقیقت عیب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الخروج عن المجری الطبیعی لزیادة او نقصان موجب لنقص المالیّة</w:t>
      </w:r>
      <w:r>
        <w:rPr>
          <w:rStyle w:val="FootnoteAnchor"/>
          <w:rtl w:val="true"/>
        </w:rPr>
        <w:footnoteReference w:id="278"/>
      </w:r>
      <w:r>
        <w:rPr>
          <w:rFonts w:ascii="IRNazanin" w:hAnsi="IRNazanin" w:eastAsia="IRNazanin"/>
          <w:color w:val="111111"/>
          <w:sz w:val="28"/>
          <w:sz w:val="28"/>
          <w:szCs w:val="28"/>
          <w:rtl w:val="true"/>
          <w:lang w:bidi="fa-IR"/>
        </w:rPr>
        <w:t>اشکال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لنقص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لازم بود که آن را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لنقص المالیّة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عیوبی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آلت در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مندرج باشد، زیرا این دو باعث افزایش مالیّت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با آن که هر دو، عیب می‌باشند و به طور قطع موجب ثبوت ردّ می‌شوند</w:t>
      </w:r>
      <w:r>
        <w:rPr>
          <w:rFonts w:eastAsia="IRNazanin" w:cs="IRNazanin"/>
          <w:color w:val="111111"/>
          <w:sz w:val="28"/>
          <w:szCs w:val="28"/>
          <w:rtl w:val="true"/>
          <w:lang w:bidi="fa-IR"/>
        </w:rPr>
        <w:t>.»</w:t>
      </w:r>
      <w:r>
        <w:rPr>
          <w:rStyle w:val="FootnoteAnchor"/>
          <w:rtl w:val="true"/>
        </w:rPr>
        <w:footnoteReference w:id="27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عبارات فوق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بیع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عیوبی </w:t>
      </w:r>
      <w:bookmarkStart w:id="329" w:name="pg4331_49045"/>
    </w:p>
    <w:p>
      <w:pPr>
        <w:pStyle w:val="BookText"/>
        <w:rPr/>
      </w:pPr>
      <w:bookmarkEnd w:id="329"/>
      <w:r>
        <w:rPr>
          <w:rFonts w:ascii="IRNazanin" w:hAnsi="IRNazanin" w:eastAsia="IRNazanin"/>
          <w:color w:val="111111"/>
          <w:sz w:val="28"/>
          <w:sz w:val="28"/>
          <w:szCs w:val="28"/>
          <w:rtl w:val="true"/>
          <w:lang w:bidi="fa-IR"/>
        </w:rPr>
        <w:t>هستند که موجب افزایش مالیت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مورد مرحوم شیخ در مکاسب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قوی محتمل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در عیب عبارت است از نقص مالی، زیرا نقص در خلقت که موجب نقص مالیت نباشد، مثل خصاء و مانند آن، عیب نیست</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330" w:name="__RefHeading___Toc1014835_1479056682"/>
      <w:bookmarkStart w:id="331" w:name="_Toc122"/>
      <w:bookmarkEnd w:id="330"/>
      <w:r>
        <w:rPr>
          <w:rtl w:val="true"/>
        </w:rPr>
        <w:t>نقش سیره در احکام فقهی</w:t>
      </w:r>
      <w:bookmarkEnd w:id="331"/>
    </w:p>
    <w:p>
      <w:pPr>
        <w:pStyle w:val="Heading4"/>
        <w:numPr>
          <w:ilvl w:val="3"/>
          <w:numId w:val="1"/>
        </w:numPr>
        <w:rPr/>
      </w:pPr>
      <w:bookmarkStart w:id="332" w:name="__RefHeading___Toc1014837_1479056682"/>
      <w:bookmarkStart w:id="333" w:name="_Toc123"/>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در آغاز بحث سیره گفته شد که مباحث مربوط به سیره را در دو بخش مورد بحث قرار می‌دهیم، بخش اوّل مباحث اصولی مربوط به سیره بود که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مباحث بخش دوم می‌پردازیم که به نقش سیره در احکام فقهی مربوط می‌شود، یعنی بحث در احکامی که به وسیله سیره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بخش اوّل اشاره کردیم احکام شرعی زیادی به وسیله سیره ثابت شده است، مانند بیشتر معاملات و داد و ستدهای مردم که به صورت معاطات انجام می‌شود و یا مانند تملک از طریق حیازت و یا مانند مسأله حجاب و یا حلق لحیه و مسائل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از مواردی که به سیره استدلال شده است، در واقع استدلال به سیره به عنوان مؤید است، نه به عنوان دلیل مستقل، زیرا در این موارد دلیل دیگری مانند آیات یا</w:t>
      </w:r>
    </w:p>
    <w:p>
      <w:pPr>
        <w:pStyle w:val="BookText"/>
        <w:rPr/>
      </w:pPr>
      <w:r>
        <w:rPr>
          <w:rFonts w:ascii="IRNazanin" w:hAnsi="IRNazanin" w:eastAsia="IRNazanin"/>
          <w:color w:val="111111"/>
          <w:sz w:val="28"/>
          <w:sz w:val="28"/>
          <w:szCs w:val="28"/>
          <w:rtl w:val="true"/>
          <w:lang w:bidi="fa-IR"/>
        </w:rPr>
        <w:t>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استدلال به سیره در بحث حجاب و در بحث حلق لحیه که در مورد اوّل مسلما آیاتی از قرآن مبنا و دلیل آن حکم است و مورد دوم روایاتی موجود است که در جای خود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مباحث فقهی در مورد مسائل و احکام ثابت شده به وسیله سیره، تذکر چند نکته ضروری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که در مباحث اصولی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محدوده دلالت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حداکثر چیزی را که سیره اثبات می‌کند، جواز فعل یا جواز ترک عمل است، ولی وجوب و حرمت را اثبات نمی‌کند</w:t>
      </w:r>
      <w:r>
        <w:rPr>
          <w:rFonts w:eastAsia="IRNazanin" w:cs="IRNazanin"/>
          <w:color w:val="111111"/>
          <w:sz w:val="28"/>
          <w:szCs w:val="28"/>
          <w:rtl w:val="true"/>
          <w:lang w:bidi="fa-IR"/>
        </w:rPr>
        <w:t xml:space="preserve">. </w:t>
      </w:r>
      <w:bookmarkStart w:id="334" w:name="pg4331_49047"/>
    </w:p>
    <w:p>
      <w:pPr>
        <w:pStyle w:val="BookText"/>
        <w:rPr/>
      </w:pPr>
      <w:bookmarkEnd w:id="33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که گفته شد بسیاری از مواردی که به سیره استدلال شده است،</w:t>
      </w:r>
    </w:p>
    <w:p>
      <w:pPr>
        <w:pStyle w:val="BookText"/>
        <w:rPr/>
      </w:pPr>
      <w:r>
        <w:rPr>
          <w:rFonts w:ascii="IRNazanin" w:hAnsi="IRNazanin" w:eastAsia="IRNazanin"/>
          <w:color w:val="111111"/>
          <w:sz w:val="28"/>
          <w:sz w:val="28"/>
          <w:szCs w:val="28"/>
          <w:rtl w:val="true"/>
          <w:lang w:bidi="fa-IR"/>
        </w:rPr>
        <w:t>استدلال به سیره به عنوان معاضد و مؤید ادلّه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شرایط حجّیّت سیره استمرار آن تا زمان شارع است، به همین دلیل در موارد استدلال به سیره، همواره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مستمره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و چنان که خواهیم دید در کتاب جواهر در اغلب موارد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للسیرة المستمرة فی الأعصار و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مسائل و مباحث فقهی‌ای که مطرح می‌شود، در برخی موارد، به لحاظ اهمّیّت مورد، بجز استدلال به سیره، به آیات و روایات نیز استدلال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مهمترین موارد استدلال به سیره می‌پردازیم</w:t>
      </w:r>
      <w:r>
        <w:rPr>
          <w:rFonts w:eastAsia="IRNazanin" w:cs="IRNazanin"/>
          <w:color w:val="111111"/>
          <w:sz w:val="28"/>
          <w:szCs w:val="28"/>
          <w:rtl w:val="true"/>
          <w:lang w:bidi="fa-IR"/>
        </w:rPr>
        <w:t>:</w:t>
      </w:r>
    </w:p>
    <w:p>
      <w:pPr>
        <w:pStyle w:val="Heading4"/>
        <w:numPr>
          <w:ilvl w:val="3"/>
          <w:numId w:val="1"/>
        </w:numPr>
        <w:rPr/>
      </w:pPr>
      <w:bookmarkStart w:id="335" w:name="__RefHeading___Toc1014839_1479056682"/>
      <w:bookmarkStart w:id="336" w:name="_Toc124"/>
      <w:bookmarkEnd w:id="335"/>
      <w:r>
        <w:rPr/>
        <w:t>1</w:t>
      </w:r>
      <w:r>
        <w:rPr>
          <w:rtl w:val="true"/>
        </w:rPr>
        <w:t xml:space="preserve"> - </w:t>
      </w:r>
      <w:r>
        <w:rPr>
          <w:rtl w:val="true"/>
        </w:rPr>
        <w:t>وضو واجب غیری است، نه واجب نفسی</w:t>
      </w:r>
      <w:bookmarkEnd w:id="336"/>
    </w:p>
    <w:p>
      <w:pPr>
        <w:pStyle w:val="BookText"/>
        <w:rPr/>
      </w:pPr>
      <w:r>
        <w:rPr>
          <w:rFonts w:ascii="IRNazanin" w:hAnsi="IRNazanin" w:eastAsia="IRNazanin"/>
          <w:color w:val="111111"/>
          <w:sz w:val="28"/>
          <w:sz w:val="28"/>
          <w:szCs w:val="28"/>
          <w:rtl w:val="true"/>
          <w:lang w:bidi="fa-IR"/>
        </w:rPr>
        <w:t>در مورد این که وضو واجب غیری است، نه واجب نفسی، مرحوم صاحب جواهر ابتدا کلام صاحب شرایع را ذکر می‌کند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وضوی واجب آن وضویی است که برای نماز واجب یا طواف واجب یا برای لمس کردن نوشته قرآن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قراءت و لمس آن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جواهر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کلام مصنف برمی‌آید که وضو واجب غیری است، نه واجب نفسی و وجوب شرعی آن به عنوان وجوب مقدمه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علاّمه و محقّق کرکی و شهید ثانی بر این مطلب نقل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برای تأیید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وضو واجب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ملاحظه کلمات علما، در این مقام و بررسی سیره و روش آنان در همه اعصار برمی‌آید که وضو واجب غیری است، نه واجب نفسی بخصوص که در مواعظ و خطب، هیچ اشاره‌ای به وجوب نفسی آن نشده و هیچ یک از علما، اشاره‌ای به آن نکرده است که به هنگام احتضار، برای رفع حدث اصغر، وضو واجب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جواهر در این مورد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و پوشیده نیست بر کسی که کلمات و سخنان فقها را در این مقام ملاحظه کند و نیز سیره ایشان را در هر عصر و در هر شهری بررسی کند که به هنگام ظنّ فوت بیمار، ملتزم به رفع حدث اصغر نبوده‌اند و بیماران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به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وضو یا تیمم بدل از وضو امر نکرده‌اند، با آن که غالبا از این بیماران حدث سرمی‌زند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آنگاه اشاره به کلام شهید در ذکری می‌کند که ظاهر در وجوب نفسی وضو است و پس از نقل عبارت ذکرای شهید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عبارت شهید در ذکری است که بعضی</w:t>
      </w:r>
    </w:p>
    <w:p>
      <w:pPr>
        <w:pStyle w:val="BookText"/>
        <w:rPr/>
      </w:pPr>
      <w:r>
        <w:rPr>
          <w:rFonts w:ascii="IRNazanin" w:hAnsi="IRNazanin" w:eastAsia="IRNazanin"/>
          <w:color w:val="111111"/>
          <w:sz w:val="28"/>
          <w:sz w:val="28"/>
          <w:szCs w:val="28"/>
          <w:rtl w:val="true"/>
          <w:lang w:bidi="fa-IR"/>
        </w:rPr>
        <w:t xml:space="preserve">از متأخرین را دچار توهم کرده که کلام شهید را قول و نظری جدا از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آورند و به آن تمایل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کتاب ذکری بعد از ذکر کلامی درباره وجوب نفسی یا غیری غسل،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بطرد الخلاف فی کل الطهارات لأن الحکمة ظاهرة فی شرعیّتها مستقلّة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گفته شود که در تمام طهارتها این اختلاف مطرّد و شایع است، زیرا حکمت، ظهور در شرعیّت مستقلّ طهارات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در کلام قبلی شهید تأمل کند، می‌فهمد که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شهید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شهید در قواعد نیز بر می‌آید که این قول، قول بعضی از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قواعد فرموده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تردیدی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واجبات نماز شمرده شده است با آن که علما بر جواز انجام این امور قبل از وقت نماز، اتّفاق نظر دارند و نیز در اصول این اتّفاق نظر وجود دارد که غیرواجب از واجب مجزی نیست، </w:t>
      </w:r>
    </w:p>
    <w:p>
      <w:pPr>
        <w:pStyle w:val="BookText"/>
        <w:rPr/>
      </w:pPr>
      <w:r>
        <w:rPr>
          <w:rFonts w:ascii="IRNazanin" w:hAnsi="IRNazanin" w:eastAsia="IRNazanin"/>
          <w:color w:val="111111"/>
          <w:sz w:val="28"/>
          <w:sz w:val="28"/>
          <w:szCs w:val="28"/>
          <w:rtl w:val="true"/>
          <w:lang w:bidi="fa-IR"/>
        </w:rPr>
        <w:t>سؤالی که در این جا به نظر می‌رسد این است که یکی از دو چیز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به طور مطلق قایل به وجوب این امور شویم که احدی قایل به آن نشده، یا باید قایل به اجزاء شویم که قول به اجزاء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اشکال اندک است که بعضی از علما را بر آن داشته که معتقد شوند، وجوب وضو و غیر وضو از طهارات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غسل و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نفسی است که قبل از وقت و در وقت وجوب آن موسّع است و در آخر وقت مضیّق می‌باشد، قاضی ابوبکر عنبری قایل به این قول شده و فخر رازی در تفسیر خود آن را از گروهی از علما حکایت کرده است و بعضی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به وجوب نفسی غسل شده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به هر حال عبارت شهید در ذکری بعضی از متأخرین را دچار اشتباه و توهم کرده و ایشان را بر آن داشته است که قول به وجوب نفسی را نیز تأیید کنند با آن که وجوب غیری را هم منع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صاحب جواهر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إلَی الصّلاة فَاغْسلوُا وُجوُهَکُم </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و ظاهر خبر زراره فَاِذا دَخَلَ</w:t>
      </w:r>
    </w:p>
    <w:p>
      <w:pPr>
        <w:pStyle w:val="BookText"/>
        <w:rPr/>
      </w:pPr>
      <w:r>
        <w:rPr>
          <w:rFonts w:ascii="Amiri" w:hAnsi="Amiri" w:eastAsia="Amiri" w:cs="Amiri"/>
          <w:color w:val="111111"/>
          <w:sz w:val="28"/>
          <w:sz w:val="28"/>
          <w:szCs w:val="28"/>
          <w:rtl w:val="true"/>
          <w:lang w:bidi="ar-SA"/>
        </w:rPr>
        <w:t>الْوَقْتُ وَجَب الطَهْوُر و الَّصلاةُ</w:t>
      </w:r>
      <w:r>
        <w:rPr>
          <w:rStyle w:val="FootnoteAnchor"/>
          <w:rtl w:val="true"/>
        </w:rPr>
        <w:footnoteReference w:id="284"/>
      </w:r>
      <w:r>
        <w:rPr>
          <w:rFonts w:ascii="IRNazanin" w:hAnsi="IRNazanin" w:eastAsia="IRNazanin"/>
          <w:color w:val="111111"/>
          <w:sz w:val="28"/>
          <w:sz w:val="28"/>
          <w:szCs w:val="28"/>
          <w:rtl w:val="true"/>
          <w:lang w:bidi="fa-IR"/>
        </w:rPr>
        <w:t>و نیز اجماعات منقوله، همه دلالت بر وجوب غیری وضو می‌کنند و در پایان، استدلال به سیره را به عنوان مؤیّد ذکر کرده و می‌فرماید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آیه و روایت و اجماعات، سیره قطعی بین عوام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 بر وجوب غیری وضوست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خطبه‌ها و مواعظ نیز از ذکر وجوب نفسی آن خالی است و احدی آن را در ردیف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نکرده، مخصوصا به هنگام احتضار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آن را واجب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پیامبر صلی‌الله‌علیه‌و‌آله و صحابه و تابعین و ائمه، احدی از محتضرین از زنان و اصحاب خود را ملزم به آن نکرده‌اند و پیامبر صلی‌الله‌علیه‌و‌آله به هنگام جهاد با مشرکین اصحابش را به آن امر </w:t>
      </w:r>
      <w:bookmarkStart w:id="337" w:name="pg4331_49054"/>
    </w:p>
    <w:p>
      <w:pPr>
        <w:pStyle w:val="BookText"/>
        <w:rPr/>
      </w:pPr>
      <w:bookmarkEnd w:id="337"/>
      <w:r>
        <w:rPr>
          <w:rFonts w:ascii="IRNazanin" w:hAnsi="IRNazanin" w:eastAsia="IRNazanin"/>
          <w:color w:val="111111"/>
          <w:sz w:val="28"/>
          <w:sz w:val="28"/>
          <w:szCs w:val="28"/>
          <w:rtl w:val="true"/>
          <w:lang w:bidi="fa-IR"/>
        </w:rPr>
        <w:t xml:space="preserve">نفرموده است و همچنین امیرمؤمنان علیه‌السلام در تمام جنگهایش بخصوص جنگ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خود را امر به وضو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مفهوم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نفی وجوب وضو به هنگام فراهم نبودن شرط وجوب آن</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338" w:name="__RefHeading___Toc1014841_1479056682"/>
      <w:bookmarkStart w:id="339" w:name="_Toc125"/>
      <w:bookmarkEnd w:id="338"/>
      <w:r>
        <w:rPr/>
        <w:t>2</w:t>
      </w:r>
      <w:r>
        <w:rPr>
          <w:rtl w:val="true"/>
        </w:rPr>
        <w:t xml:space="preserve"> - </w:t>
      </w:r>
      <w:r>
        <w:rPr>
          <w:rtl w:val="true"/>
        </w:rPr>
        <w:t>پاک شدن حیوانات مردار خوار با زوال عین</w:t>
      </w:r>
      <w:bookmarkEnd w:id="339"/>
    </w:p>
    <w:p>
      <w:pPr>
        <w:pStyle w:val="BookText"/>
        <w:rPr/>
      </w:pPr>
      <w:r>
        <w:rPr>
          <w:rFonts w:ascii="IRNazanin" w:hAnsi="IRNazanin" w:eastAsia="IRNazanin"/>
          <w:color w:val="111111"/>
          <w:sz w:val="28"/>
          <w:sz w:val="28"/>
          <w:szCs w:val="28"/>
          <w:rtl w:val="true"/>
          <w:lang w:bidi="fa-IR"/>
        </w:rPr>
        <w:t xml:space="preserve">یکی از مباحثی که در کتاب طهارت مطرح است، بحث کراهت سؤر آکل الجیف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نیم خورده حیوان مردارخوار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خوردن نیم خورده حیوان مردار خوار مکروه است، در اصل عبارت شرایع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سؤر الجلال و ما أکل الجیف اذا خلا موضع الملاقاة من عین النجاسة</w:t>
      </w:r>
    </w:p>
    <w:p>
      <w:pPr>
        <w:pStyle w:val="BookText"/>
        <w:rPr/>
      </w:pPr>
      <w:r>
        <w:rPr>
          <w:rFonts w:ascii="IRNazanin" w:hAnsi="IRNazanin" w:eastAsia="IRNazanin"/>
          <w:color w:val="111111"/>
          <w:sz w:val="28"/>
          <w:sz w:val="28"/>
          <w:szCs w:val="28"/>
          <w:rtl w:val="true"/>
          <w:lang w:bidi="fa-IR"/>
        </w:rPr>
        <w:t>بحثی که از نظر طهارت بین فقها مطرح است این است که آیا با زوال عین نجاست، بدون شستن، موضع نجاست در حیوان پاک می‌شود ؟ و آیا غیبت حیوان از نظر، در طهارت مدخلیت دارد، یا خیر ؟</w:t>
      </w:r>
    </w:p>
    <w:p>
      <w:pPr>
        <w:pStyle w:val="BookText"/>
        <w:rPr/>
      </w:pPr>
      <w:r>
        <w:rPr>
          <w:rFonts w:ascii="IRNazanin" w:hAnsi="IRNazanin" w:eastAsia="IRNazanin"/>
          <w:color w:val="111111"/>
          <w:sz w:val="28"/>
          <w:sz w:val="28"/>
          <w:szCs w:val="28"/>
          <w:rtl w:val="true"/>
          <w:lang w:bidi="fa-IR"/>
        </w:rPr>
        <w:t>در خبر عمار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من الطیر یتوضأ ممایشرب منه، الاّ أن تری فی منقاره دما فاذا رأیت فی منقاره دما</w:t>
      </w:r>
    </w:p>
    <w:p>
      <w:pPr>
        <w:pStyle w:val="BookText"/>
        <w:rPr/>
      </w:pPr>
      <w:r>
        <w:rPr>
          <w:rFonts w:ascii="Amiri" w:hAnsi="Amiri" w:eastAsia="Amiri" w:cs="Amiri"/>
          <w:color w:val="111111"/>
          <w:sz w:val="28"/>
          <w:sz w:val="28"/>
          <w:szCs w:val="28"/>
          <w:rtl w:val="true"/>
          <w:lang w:bidi="ar-SA"/>
        </w:rPr>
        <w:t>فلاتتوضأ منه و لاتَشْرَب</w:t>
      </w:r>
      <w:r>
        <w:rPr>
          <w:rStyle w:val="FootnoteAnchor"/>
          <w:rtl w:val="true"/>
        </w:rPr>
        <w:footnoteReference w:id="2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پرنده‌ای که از آبی می‌خورد، می‌توان با آن آب وضو گرفت، مگر آن که در منقار آن خونی ببینی که در این صورت نباید با آن وضو بگیری و نباید از آن بیاشامی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پس از ذکر اقوال علما در این باب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و نظر کردن به اخبار نجاسات، می‌توان به ثبوت دو قاعده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نجاسات، تمام اشیائی را که با آنها ملاقات و برخورد کند، نجس می‌کند و متنجّسات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هر متنجسی جز با شستن با آب پاک نمی‌شود، بلکه در قاعده دوم استصحاب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 عدم شستن 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خاطر اطلاق روایات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اسئار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اجماعات منقوله و مضافا به شهرت بین اصحاب و سیره قاطعه بین مسلمین بر طهارت آکل الجیف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زوال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مسأله عامّ البلوی است، بلکه اگر کسی بعضی از این گونه حیوانات را شستشو دهد، مردم او را از دیوانگان به حساب می‌آورند، از همه اینها معلوم می‌شود که قاعده اوّل شامل مسأله مورد بحث نمی‌شود، بنابراین حکم به نجاست بدن حیوانات مردارخوار نمی‌شود، بلکه طهارت آنها از قبیل طهارت بواطن است و درحقیقت بازگشت این قول به آن است که اگر در آن تأمل کنیم با زوال عین پاک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صاحب جواهر در مورد استدلال به سیره در این مسأله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روایات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طهارت این گونه حیوانات بین اصحاب، مشهور است و نیز سیره قطعی بین مسلمین دایر بر طهارت آنهاست، با آن که مسأله عامّ البلوی نیز می‌باشد، بلکه اگر کسی برخی از این حیوانات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دهد، او را از دیوانگان به حساب می‌آورند، بنابراین در شمول قاعده اوّل نسبت به این مقام، تردید آشکاری وجود دارد، بنابراین نمی‌توان حکم کرد که این نجاسات، بدن این حیوانات را نجس می‌کند، بلکه بدن آنها از قبیل بواطن است که با ملاقات نجاست، متأثّر نمی‌شود، در حقیقت وقتی به گفتار فقها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این حیوانات با زوال عین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تأمل شود می‌بینیم که به همین سخن ما برمی‌گردد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همان طور که گفته شد،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بین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مسلمین را مؤید بر طهارت حیوان مردارخوار با زوال عین نجاست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سیّد مهدی در منظومه‌اش به همین مطلبی که ذکر کردیم اشاره کرده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زوالَ العینِ فی الحیوانِ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طُهْرا کَذا بَواطِنُ الإنْسانِ</w:t>
      </w:r>
      <w:r>
        <w:rPr>
          <w:rStyle w:val="FootnoteAnchor"/>
          <w:rtl w:val="true"/>
        </w:rPr>
        <w:footnoteReference w:id="288"/>
      </w:r>
      <w:bookmarkStart w:id="340" w:name="pg4331_49058"/>
    </w:p>
    <w:p>
      <w:pPr>
        <w:pStyle w:val="BookText"/>
        <w:rPr/>
      </w:pPr>
      <w:bookmarkEnd w:id="3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زوال عین نجاست را در حیوان و همچنین در بواطن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پاکی قرارده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بازوال عین نجاست،بدن حیوان وهمچنین بواطن انسان پاک می‌شود</w:t>
      </w:r>
      <w:r>
        <w:rPr>
          <w:rFonts w:eastAsia="IRNazanin" w:cs="IRNazanin"/>
          <w:color w:val="111111"/>
          <w:sz w:val="28"/>
          <w:szCs w:val="28"/>
          <w:rtl w:val="true"/>
          <w:lang w:bidi="fa-IR"/>
        </w:rPr>
        <w:t>.)</w:t>
      </w:r>
    </w:p>
    <w:p>
      <w:pPr>
        <w:pStyle w:val="Heading4"/>
        <w:numPr>
          <w:ilvl w:val="3"/>
          <w:numId w:val="1"/>
        </w:numPr>
        <w:rPr/>
      </w:pPr>
      <w:bookmarkStart w:id="341" w:name="__RefHeading___Toc1014843_1479056682"/>
      <w:bookmarkStart w:id="342" w:name="_Toc126"/>
      <w:bookmarkEnd w:id="341"/>
      <w:r>
        <w:rPr/>
        <w:t>3</w:t>
      </w:r>
      <w:r>
        <w:rPr>
          <w:rtl w:val="true"/>
        </w:rPr>
        <w:t xml:space="preserve"> - </w:t>
      </w:r>
      <w:r>
        <w:rPr>
          <w:rtl w:val="true"/>
        </w:rPr>
        <w:t>استدلال به سیره در مورد دادن قرآن به دست کودکان بدون وضو برای تعلیم</w:t>
      </w:r>
      <w:bookmarkEnd w:id="342"/>
    </w:p>
    <w:p>
      <w:pPr>
        <w:pStyle w:val="BookText"/>
        <w:rPr/>
      </w:pPr>
      <w:r>
        <w:rPr>
          <w:rFonts w:ascii="IRNazanin" w:hAnsi="IRNazanin" w:eastAsia="IRNazanin"/>
          <w:color w:val="111111"/>
          <w:sz w:val="28"/>
          <w:sz w:val="28"/>
          <w:szCs w:val="28"/>
          <w:rtl w:val="true"/>
          <w:lang w:bidi="fa-IR"/>
        </w:rPr>
        <w:t>اکثر فقها از متقدمین و متأخرین اتّفاق نظر دارند که مسّ و لمس نوشته قرآن برای شخص مُحْدِث و غیر متطهر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طوسی در کتاب خلاف بر این مطلب ادعای اجماع کرده است، و ابن ادریس و ابن برّاج حُکم به کراهت کرده‌اند، ولی اقوا همان قول اول، یعنی تحریم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مسّ کتابت قرآن برای غیر متطهر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بدلیل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لَقُرآنٌ کَریمٌ، فی کِتابٍ مَکْنُونٍ، لا یَمَسُّهُ اِلاّ الْمطَهَّرُونَ</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گرچه این آیات صریح در مطلوب نیستند، زیرا احتمال دارد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بازگردد، نه قرآن، و مراد از مطهرون ملائکه باشند، اما آیات فوق ظاهر در مطلوب است، گرچه ظاهرا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بازمی‌گردد و نیز اصل بحث در این آیات درباره قرآن است و از تفسیر تبیان و مجمع البحرین نیز نقل شده که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به علاوه از بعضی اخبار برمی‌آید که ضمیر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لایمسّه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بازمی‌گردد، مانند خبر ابراهیم بن عبدالحمید از امام کاظم علیه‌السلام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المُصْحَفُ لاتَمَسَّهُ عَلی غیرِ طُهْرٍ و لا جُنُبا و لاتَمَسَّ خَطَّهُ و لاتُعَلِّقْهُ، 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لایَمسّهُ إلاّ المُطَهّروُن</w:t>
      </w:r>
      <w:r>
        <w:rPr>
          <w:rStyle w:val="FootnoteAnchor"/>
          <w:rtl w:val="true"/>
        </w:rPr>
        <w:footnoteReference w:id="2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 غیر طهارت و در حال جنابت قرآن را مسّ نکن و خط آن را لمس مکن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برخود آویزان مکن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پاکان آن را لمس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طبق ادلّه تحریم مسّ خطّ قرآن برای غیر متطهر، این حکم اختصاص به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بالغین و مکلفین دارد، بنابراین مسّ خطّ قرآن بر کودکان حرام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مسأله‌ای که هست این است که آیا بر ولی طفل حرام است که قرآن را در اختیار کودک بگذارد یا نه ؟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منع کودکان از دست زدن به قرآن بر ولی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قول دوم، یعنی عدم حرمت را اختیار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الاقوی العدم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اشاره می‌کند به سیره قطعی بر جواز در اختیار گذاردن قرآن برای کودکان، یعنی سیره قطعی دایر است بر این که جایز است قرآن را برای تعلیم در اختیار کودکان غیر متطهر قرار داد، در 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علاوه که سیره قطعی در تمام اعصار برخلاف حرمت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دال بر جواز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 به تعلیم قراءت قرآن به اطفال مشعر بر جواز است، زیرا عرفا مسّ خط قرآن از ضروریّات تعلیم قرآن می‌باشد، مخصوصا اگر قایل شویم که طهارت اطفال، طهارت تمرینی است نه شرعی</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مرحوم حاج آقا رضا همدانی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دیگری بر شرایع است، درباره همین مسأله می‌فرماید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مجانین و کودکان را از مسّ و لمس کتابت و خط قرآن متمکن ساخت، اگر عرفا موجب توهین به قرآن نباشد ؟ مثل این که ولی آنها قرآن را برای قراءت، در اختیار آنها بگذارد، آیا بر اولیا واجب است که آنها را از مسّ نوشته قرآن منع کنند ؟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آن است که منع از مسّ بر ایشان واجب نیست، زیرا نهی از مسّ اختصاص به بالغین دارد و دلیلی هم بر وجوب منع غیر مکلف نداریم و نیز سیره قائم است بر دادن قرآن به دست اطفال، با آن که عادةً اعطا قرآن به کودکان مقتضی مس کتابت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عادةً اعطای قرآن به اطفال از مسّ نوشته آن منفک نمی‌باشد</w:t>
      </w:r>
      <w:r>
        <w:rPr>
          <w:rFonts w:eastAsia="IRNazanin" w:cs="IRNazanin"/>
          <w:color w:val="111111"/>
          <w:sz w:val="28"/>
          <w:szCs w:val="28"/>
          <w:rtl w:val="true"/>
          <w:lang w:bidi="fa-IR"/>
        </w:rPr>
        <w:t>)»</w:t>
      </w:r>
      <w:r>
        <w:rPr>
          <w:rStyle w:val="FootnoteAnchor"/>
          <w:rtl w:val="true"/>
        </w:rPr>
        <w:footnoteReference w:id="292"/>
      </w:r>
      <w:bookmarkStart w:id="343" w:name="pg4331_49062"/>
    </w:p>
    <w:p>
      <w:pPr>
        <w:pStyle w:val="Heading4"/>
        <w:numPr>
          <w:ilvl w:val="3"/>
          <w:numId w:val="1"/>
        </w:numPr>
        <w:rPr/>
      </w:pPr>
      <w:bookmarkStart w:id="344" w:name="__RefHeading___Toc1014845_1479056682"/>
      <w:bookmarkStart w:id="345" w:name="_Toc127"/>
      <w:bookmarkEnd w:id="343"/>
      <w:bookmarkEnd w:id="344"/>
      <w:r>
        <w:rPr/>
        <w:t>4</w:t>
      </w:r>
      <w:r>
        <w:rPr>
          <w:rtl w:val="true"/>
        </w:rPr>
        <w:t xml:space="preserve"> - </w:t>
      </w:r>
      <w:r>
        <w:rPr>
          <w:rtl w:val="true"/>
        </w:rPr>
        <w:t>مسأله پوشش و حجاب زن</w:t>
      </w:r>
      <w:bookmarkEnd w:id="345"/>
    </w:p>
    <w:p>
      <w:pPr>
        <w:pStyle w:val="BookText"/>
        <w:rPr/>
      </w:pPr>
      <w:r>
        <w:rPr>
          <w:rFonts w:ascii="IRNazanin" w:hAnsi="IRNazanin" w:eastAsia="IRNazanin"/>
          <w:color w:val="111111"/>
          <w:sz w:val="28"/>
          <w:sz w:val="28"/>
          <w:szCs w:val="28"/>
          <w:rtl w:val="true"/>
          <w:lang w:bidi="fa-IR"/>
        </w:rPr>
        <w:t xml:space="preserve">مسأله حجاب را معمولاً فقها در دو باب مطرح می‌کنند، یکی باب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لحاظ این که در نماز واجب است که زن تمام بدن خود را بپوشاند، خواه نامحرمی در کار باشد یا نباشد و دیگر در باب نکاح، و جهت طرح این مسأله در باب نکاح آن است که خواستگار تا چه مقدار و حدودی حق دارد به زن مورد خواستگاری خود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فقها در این دو باب درباره حجاب و پوشش زن و نیز درباره جواز یا عدم جواز نظر به زن مباحثی را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حجاب زنان، آنچه از نظر فقه اسلامی مسلم است و هیچ تردیدی در آن نیست آن است که پوشانیدن تمام بدن از نامحرم، غیر از وجه و کفین، بر زن واجب است و این مقدار از حجاب جزء ضروریّات و مسلّمات فقه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بسط مسأله و بررسی آن ابتدا لازم است در مورد اصطلاحی که فقها درباره محلّ ستر و پوشش زن به کار می‌برند، مختصر توضیحی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اصطلاحی که فقها نوعا آن را به کار می‌برند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 زن، جز صورت و دو دست او، عورت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به نقل از تذکره و معتبر و مختلف علاّمه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اجماع علمای تمام شهرها، تمام بدن زن، جز صورت او، عورت است</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پس از نقل کلام عدّه دیگری از فقها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فقها اتّفاق نظر دارند که تمام</w:t>
      </w:r>
    </w:p>
    <w:p>
      <w:pPr>
        <w:pStyle w:val="BookText"/>
        <w:rPr/>
      </w:pPr>
      <w:r>
        <w:rPr>
          <w:rFonts w:ascii="IRNazanin" w:hAnsi="IRNazanin" w:eastAsia="IRNazanin"/>
          <w:color w:val="111111"/>
          <w:sz w:val="28"/>
          <w:sz w:val="28"/>
          <w:szCs w:val="28"/>
          <w:rtl w:val="true"/>
          <w:lang w:bidi="fa-IR"/>
        </w:rPr>
        <w:t>بدن زن عورت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ابن رشد، فقیه و فیلسوف معروف آندلسی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سوم عبارت است از عورت در زن، عقیده اکثر علما بر این است که تمام بدن زن، بجز صورت و دو دست، عورت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معتقد است که پای زن نیز عورت شمرده نمی‌شود و ابوبکر بن عبدالرحمن و احمد معتقدند </w:t>
      </w:r>
    </w:p>
    <w:p>
      <w:pPr>
        <w:pStyle w:val="BookText"/>
        <w:rPr/>
      </w:pPr>
      <w:r>
        <w:rPr>
          <w:rFonts w:ascii="IRNazanin" w:hAnsi="IRNazanin" w:eastAsia="IRNazanin"/>
          <w:color w:val="111111"/>
          <w:sz w:val="28"/>
          <w:sz w:val="28"/>
          <w:szCs w:val="28"/>
          <w:rtl w:val="true"/>
          <w:lang w:bidi="fa-IR"/>
        </w:rPr>
        <w:t xml:space="preserve">که تمام بدن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است</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عوام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روستائیان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رایج است که به زبان عامیانه خود از فرزند دختر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نبوی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النساءُ عیٌّ و عَوْرَةٌ فَاستُروا عیَّهُنَّ بِالسّکوتِ و عَوْراتِهِنَّ بِالْبُیوُت</w:t>
      </w:r>
      <w:r>
        <w:rPr>
          <w:rStyle w:val="FootnoteAnchor"/>
          <w:rtl w:val="true"/>
        </w:rPr>
        <w:footnoteReference w:id="2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ناتوان و آسیب پذیرند، 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با سکوت و آسیب پذیری آنان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نشانیدن آنها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زشت و مستقبح به نظر آید، ولی واژه عورت در لغت همیشه به معنی یک شی‌ء زشت و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عورت عبارت است از هر خللی که مورد ترس و نگرانی باشد، خواه در مرز باشد یا در جنگ و عورت هر نهانگاهی است برای پوشاندن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عورات جمع عورت است و آن عبارت است از هر چیزی که هرگاه آشکار شود، باعث حیا و شرمساری می‌شود و عورت در مورد مرد مابین ناف تا زانوست و عورت در مورد زن آزاد، بر تمام بدن زن، بجز صورت و دو دست تا مچها، اطلاق می‌شود 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عورت است، که خود زن را عورت قرار داده است، زیرا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موجب شرمساری می‌گردد، چنان که آشکار شدن عورت موجب خجالت و شرمساری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المصباح المنیر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لِلسَّوأة عورة لِقُبح النظر إلیها و کلُ شی‌ءٍ یَستُرُه الانْسانُ أَنَفَةً و حَیاءً فهو عَورَةٌ و النِساءُ عَورَةٌ</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نهانگاه انسان عورت گفته می‌شود، به خاطر آن که نظر کردن بر آن زشت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هر چیزی که انسان از روی عار و شرمساری آن را می‌پوشد، عورت است </w:t>
      </w:r>
    </w:p>
    <w:p>
      <w:pPr>
        <w:pStyle w:val="BookText"/>
        <w:rPr/>
      </w:pPr>
      <w:r>
        <w:rPr>
          <w:rFonts w:ascii="IRNazanin" w:hAnsi="IRNazanin" w:eastAsia="IRNazanin"/>
          <w:color w:val="111111"/>
          <w:sz w:val="28"/>
          <w:sz w:val="28"/>
          <w:szCs w:val="28"/>
          <w:rtl w:val="true"/>
          <w:lang w:bidi="fa-IR"/>
        </w:rPr>
        <w:t>و زنان عورتند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در مجمع البیان در توضیح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والعَورةُ کلّ شی‌ءٍ یُتَخَوَّفُ مِنهُ فی ثَغرٍ اَو حَربٍ و مَکانُ مُعوِرُ و دارٌ مُعوِرَةُ إذالم‌تکن حریزةً</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عورت چیزی است که مورد ترس و نگرانی باشد، خواه در نقاط مرزی باشد یا در جنگ، مکان معور و خانه معور یعنی مکان و خانه‌ای که حفاظ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مواردی از قرآن و حدیث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هیچ گونه مفهوم قبیح و زشتی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سوره احزاب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یَستَأذِنُ فَریقٌ مِنهم النبیَّ یَقوُلُون اِنّ بُیوتَنا عَورَةٌ و ما هِیَ بِعَورَةٍ إن یُریدونَ الاّ فرارا</w:t>
      </w:r>
      <w:r>
        <w:rPr>
          <w:rFonts w:eastAsia="Amiri" w:cs="Amiri" w:ascii="Amiri" w:hAnsi="Amiri"/>
          <w:color w:val="111111"/>
          <w:sz w:val="28"/>
          <w:szCs w:val="28"/>
          <w:rtl w:val="true"/>
          <w:lang w:bidi="ar-SA"/>
        </w:rPr>
        <w:t>»</w:t>
      </w:r>
      <w:r>
        <w:rPr>
          <w:rStyle w:val="FootnoteAnchor"/>
          <w:rtl w:val="true"/>
        </w:rPr>
        <w:footnoteReference w:id="3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آنان از پیامبر اجازه مراجعت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ما بدون حفاظ است و حال آن که بی حفاظ نیست، ایشان جز فرار از جنگ مقصودی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کلمه عورت که در آیه به کار رفته، هیچ گونه معنی قبیح و زشتی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نور نیز قرآن از سه وقت خلوت و استراحت افراد،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عَوْراتٍ لَکُم</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که این اوقات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صبح، هنگام ظهر، و بعد 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کلمه عورت بر این اوقات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درآیه، به اعتبار آن است که افراد در این سه وقت لباسها را از تن بیرون می‌آورند و حفاظی ندارند و مانند سایر اوقات مقید به پوشانیدن خود نیستند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گر چه در لغت به فرج و آلت تناسلی انسان عورت گفته می‌شود، اما تعبیر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زن مشتمل بر تحقیر نمی‌باشد، بلکه طبق شواهد لغوی مذکور باید گفت از آن جهت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که زن مانند خانه‌ای بی حصار است که اگر در حصن و حصار حجاب قرار نگیرد، آسیب پذیر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بعد از این توضیح مختصر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بحث بازمی‌گردیم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که فقها در مسأله ستر بدن به هنگام نماز، تمام بدن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وجه وکفّین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پوشش آن را واجب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بحث حجاب دو مسأله مهم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مسأله نظر کردن نامحرم به زن و دیگری بحث درباره مقدار واجب در پوشش و حجاب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مسأله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و عدم جواز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باب نکاح در کتاب تذکرة الفقهاء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کردن مرد به زن یا به واسطه حاجت و ضرورت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مسأله خواستگاری یا طبابت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حاجت و ضرورتی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و ضرورتی در کار نباشد، نظر کردن به غیر وجه و کفین جایز نیست، اما وجه و کفین اگر خوف فتنه در کار باشد، نظر کردن به وجه و کفین نیز جایز نیست و اگر خوف فتنه در کار نباشد به عقیده شیخ طوسی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شافعیه نیز همین نظر را دارند، ولی به نظر بعضی از شافعیّه نظر کردن به وجه و کفّین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پس از آن که ادلّه شافعیّه را نقل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نیز نظر کردن بر وجه و کفّین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در کتاب شرایع الاسلام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زن نامحرم اصلاً نباید نگاه کند، مگر در مورد ضرورت و نظر کردن به چهره و دو دست زن یکبار جایز می‌باشد، ولی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تکرار نظر جایز نیست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امّا مسأله دوم، یعنی مسأله پوشش و حجاب زن و بحث در این که پوشیدن چه مقدار از بدن زن به عنوان حجاب واجب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نور درباره نگاه مردان و زنان نامحرم به یکدیگر و درباره حفظ عفت و پاکدامنی دستوراتی کلّی و اخلاقی را بیان می‌فرماید و سپس به مسأله حجاب که از احکام خاصّ زنان است می‌پردازد و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لایُبْدینَ زینَتَهُنَّ اِلاّ ما ظَهَرَ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نباید زینت خود را آشکار کنند، جز آن مقدار که خود به خود و طبعا ظاهر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که منظور از زینتی که در اظهار آن مجازند چیست ؟ میان مفسران اختلاف نظر وجود دارد، بعضی زینت پنهان را به معنی زینت طبیعی، یعنی اندام زیبای زن گرفته‌اند،</w:t>
      </w:r>
    </w:p>
    <w:p>
      <w:pPr>
        <w:pStyle w:val="BookText"/>
        <w:rPr/>
      </w:pPr>
      <w:r>
        <w:rPr>
          <w:rFonts w:ascii="IRNazanin" w:hAnsi="IRNazanin" w:eastAsia="IRNazanin"/>
          <w:color w:val="111111"/>
          <w:sz w:val="28"/>
          <w:sz w:val="28"/>
          <w:szCs w:val="28"/>
          <w:rtl w:val="true"/>
          <w:lang w:bidi="fa-IR"/>
        </w:rPr>
        <w:t xml:space="preserve">بعضی دیگر 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آشکار کردن خود زینت و زیور مانند گوشواره و گردن بند و دستبند و خلخال به تنهایی مانع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اظهار مربوط به محلّ این زینتها و زیورهاست، یعنی گوشها و گردن و دستها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در مجمع البیان درباره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استثناء 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اوّل این است که مراد از زینت آشکار، لباسهاست و مراد از زینت پنهان، دو خلخال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زینتی زنگوله مانند که به مچ پا می‌بسته‌اند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گوشواره و دو دستبند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از ابن مسعود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دوم این است که منظور از زینت ظاهر، سرمه و انگشتر و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رخسار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خضاب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سوم این است که مراد از زینت آشکار صورت و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ضحاک و عطا می‌باشد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کتب حدیث نیز درباره این استثناء روایات متعدّدی نقل شده است، از جمله روایت زیر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زُرارة عن أبی عبداللّه علیه‌السلام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الزینة الظاهرة الکُحل و الخاتم</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زراره از امام صادق علیه‌السلام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ظاهر، سرمه و انگشتر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استثناء وجه و 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پوشانیدن تمام بدن زن از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وجه و 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 واجب است، در فقه اسلامی هیچ تردیدی وجود ندارد، نه از نظر قرآن و حدیث و نه از نظر فتاوای فقهای فریقین، امّا در این که آیا حکم حجاب و پوشش زن، صورت و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مچ تا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می‌شود یا نه ؟ بین فقها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فقها عقیده دارند که پوشانیدن وجه و کفین از حکم حجاب مستثناست، ولی جمعی از فقها فتوا به وجوب پوشانیدن وجه و کفّین داده‌اند، یا این که حداقل احتیاط</w:t>
      </w:r>
    </w:p>
    <w:p>
      <w:pPr>
        <w:pStyle w:val="BookText"/>
        <w:rPr/>
      </w:pPr>
      <w:r>
        <w:rPr>
          <w:rFonts w:ascii="IRNazanin" w:hAnsi="IRNazanin" w:eastAsia="IRNazanin"/>
          <w:color w:val="111111"/>
          <w:sz w:val="28"/>
          <w:sz w:val="28"/>
          <w:szCs w:val="28"/>
          <w:rtl w:val="true"/>
          <w:lang w:bidi="fa-IR"/>
        </w:rPr>
        <w:t>می‌کنند، البته آن عده که پوشش و حجاب وجه و کفّین را واجب نمی‌دانند، آن را مقیّد به</w:t>
      </w:r>
    </w:p>
    <w:p>
      <w:pPr>
        <w:pStyle w:val="BookText"/>
        <w:rPr/>
      </w:pPr>
      <w:r>
        <w:rPr>
          <w:rFonts w:ascii="IRNazanin" w:hAnsi="IRNazanin" w:eastAsia="IRNazanin"/>
          <w:color w:val="111111"/>
          <w:sz w:val="28"/>
          <w:sz w:val="28"/>
          <w:szCs w:val="28"/>
          <w:rtl w:val="true"/>
          <w:lang w:bidi="fa-IR"/>
        </w:rPr>
        <w:t>صورتی می‌کنند که نظر به وجه و کفّین منشأ فساد و انحراف نشود و گرنه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پس از آن که مقدار واجب را در حجاب و پوشش زن بیان می‌کند، درباره موارد استثناء از وجوب پوشش می‌فرماید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نعم لابأس باستثناء ما عدا ذلک مما ذکرناه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 استثناء کردن غیر موارد وجوب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موارد استثناء را با ذکر اصل عبارت متن شرایع چنین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الوجه و الکفین و ظاهر القدمین علی تردد فی القدمین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چهره و دو دست و ظاهر دو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ترددی که در قدمین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پس از ذکر عبارت مذکور از متن شرایع، درباره جواز عدم پوشش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تفکیک دلایلی را ذکر می‌کند که در هر سه مورد یکی از ادلّه مذکور، استدلال به سیره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استثناء صورت از وجوب پوشش، به ادلّه زیر استدلال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للاصل بناء علی ماذکرنا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وجوب ستر وجه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لاستثنائه فی معاقد الاجماعات، می‌فرماید در تمام معاقد اجماعاتی که در مورد وجوب حجاب و پوشش زن می‌باشد،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شده است و قبلاً </w:t>
      </w:r>
    </w:p>
    <w:p>
      <w:pPr>
        <w:pStyle w:val="BookText"/>
        <w:rPr/>
      </w:pPr>
      <w:r>
        <w:rPr>
          <w:rFonts w:ascii="IRNazanin" w:hAnsi="IRNazanin" w:eastAsia="IRNazanin"/>
          <w:color w:val="111111"/>
          <w:sz w:val="28"/>
          <w:sz w:val="28"/>
          <w:szCs w:val="28"/>
          <w:rtl w:val="true"/>
          <w:lang w:bidi="fa-IR"/>
        </w:rPr>
        <w:t>اجماعاتی را از ذکری و رَوض و تنقیح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للسیرة القطعیّة و شدة الحاجة إلی کشفه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قطعیه مسلمین دال بر عدم وجوب ستر وجه زن می‌باشد و نیز شدت نیاز زن به باز بودن صورت، خود دلیل بر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نیز نشان می‌دهد که روبند و نقاب زدن بر صورت زنان در صدر اسلام جَنبه عمومی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عباس 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را به وجه و کفین تفسیر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بسیاری از روایات در جواز باز بودن صورت مانند موثّق سماعه که در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سألته عن المرأة تصلُی متَنقبّةً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کشفتْ عن موضع السجود فلابأس و ان اسفَرَتْ فهو افضل</w:t>
      </w:r>
      <w:r>
        <w:rPr>
          <w:rStyle w:val="FootnoteAnchor"/>
          <w:rtl w:val="true"/>
        </w:rPr>
        <w:footnoteReference w:id="3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حضرت درباره زنی که با نقاب نماز می‌گزارد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سجده را باز کند، اشکالی ندارد و اگر نقاب از چهره بردارد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استثناء کفین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پوشش و حجاب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نظر ما درباره حکم دو دست آن است که پوشیدن آنها در نماز واجب نیست، همان طور که در کتاب مختلف هم همین نظر آمده است، بلکه در معتبر و منتهی این قول به علمای شیعه نسبت داده شده است و در تذکره و</w:t>
      </w:r>
    </w:p>
    <w:p>
      <w:pPr>
        <w:pStyle w:val="BookText"/>
        <w:rPr/>
      </w:pPr>
      <w:r>
        <w:rPr>
          <w:rFonts w:ascii="IRNazanin" w:hAnsi="IRNazanin" w:eastAsia="IRNazanin"/>
          <w:color w:val="111111"/>
          <w:sz w:val="28"/>
          <w:sz w:val="28"/>
          <w:szCs w:val="28"/>
          <w:rtl w:val="true"/>
          <w:lang w:bidi="fa-IR"/>
        </w:rPr>
        <w:t>جامع المقاصد و روض الجنان بر این حکم صریحا اجماع شده است، بلکه در ذکری آمده است که تمام علمای اسلام، به جز احمد و داود، بر این حکم اجماع و اتّفاق نظر دارند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نیز در این مورد استدلال به سیره کرده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ما دل علی جواز النظر الیهما من السیرة و شدّة الحاجة</w:t>
      </w:r>
      <w:r>
        <w:rPr>
          <w:rStyle w:val="FootnoteAnchor"/>
          <w:rtl w:val="true"/>
        </w:rPr>
        <w:footnoteReference w:id="308"/>
      </w:r>
      <w:bookmarkStart w:id="346" w:name="pg4331_49076"/>
    </w:p>
    <w:p>
      <w:pPr>
        <w:pStyle w:val="BookText"/>
        <w:rPr/>
      </w:pPr>
      <w:bookmarkEnd w:id="3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ادّعای اجماع، سیره مسلمین و شدت نیاز به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جواز نظر به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استثناء 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بین اصحاب</w:t>
      </w:r>
    </w:p>
    <w:p>
      <w:pPr>
        <w:pStyle w:val="BookText"/>
        <w:rPr/>
      </w:pPr>
      <w:r>
        <w:rPr>
          <w:rFonts w:ascii="IRNazanin" w:hAnsi="IRNazanin" w:eastAsia="IRNazanin"/>
          <w:color w:val="111111"/>
          <w:sz w:val="28"/>
          <w:sz w:val="28"/>
          <w:szCs w:val="28"/>
          <w:rtl w:val="true"/>
          <w:lang w:bidi="fa-IR"/>
        </w:rPr>
        <w:t xml:space="preserve">که به صورت اجماع منقول و محصل ذکر شده، نیز عدم وجوب پوشش قدمین است و هیچ فرقی بین ظاهر و باطن 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و کف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چنان که شهید اوّل و شهید ثانی و محقّق ثانی بر این مطلب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در این مورد نیز استدلال به سیره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لأنه مفروغ منه و لو للسیرة القطعیة علی عدمه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آن که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عدم پوشش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مفروغ عنه است ولو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مفروغیّت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سیره قطعی مسلمین بر عدم وجوب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از مجموع مباحث گذشته می‌توان چنین نتیجه 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پوشیدن وجه و کفین لازم نیست در میان تمام علمای اسلامی اعمّ از شیعه و سنّی اختلافی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ابوبکر بن عبدالرحمن و احمد از علمای اهل سنّت نظر مخالف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مسائل فقهی شاید کمتر مسأله‌ای باشد که مانند مسأله عدم لزوم پوشش وجه کفین این گونه مورد اتّفاق نظر علمای اسلام اعم از شیعه و سنی باشد</w:t>
      </w:r>
      <w:r>
        <w:rPr>
          <w:rFonts w:eastAsia="IRNazanin" w:cs="IRNazanin"/>
          <w:color w:val="111111"/>
          <w:sz w:val="28"/>
          <w:szCs w:val="28"/>
          <w:rtl w:val="true"/>
          <w:lang w:bidi="fa-IR"/>
        </w:rPr>
        <w:t>.</w:t>
      </w:r>
    </w:p>
    <w:p>
      <w:pPr>
        <w:pStyle w:val="Heading4"/>
        <w:numPr>
          <w:ilvl w:val="3"/>
          <w:numId w:val="1"/>
        </w:numPr>
        <w:rPr/>
      </w:pPr>
      <w:bookmarkStart w:id="347" w:name="__RefHeading___Toc1014847_1479056682"/>
      <w:bookmarkStart w:id="348" w:name="_Toc128"/>
      <w:bookmarkEnd w:id="347"/>
      <w:r>
        <w:rPr/>
        <w:t>5</w:t>
      </w:r>
      <w:r>
        <w:rPr>
          <w:rtl w:val="true"/>
        </w:rPr>
        <w:t xml:space="preserve"> - </w:t>
      </w:r>
      <w:r>
        <w:rPr>
          <w:rtl w:val="true"/>
        </w:rPr>
        <w:t xml:space="preserve">مسأله حلق لحیه </w:t>
      </w:r>
      <w:r>
        <w:rPr>
          <w:rtl w:val="true"/>
        </w:rPr>
        <w:t>(</w:t>
      </w:r>
      <w:r>
        <w:rPr>
          <w:rtl w:val="true"/>
        </w:rPr>
        <w:t>ریش تراشی</w:t>
      </w:r>
      <w:r>
        <w:rPr>
          <w:rtl w:val="true"/>
        </w:rPr>
        <w:t>)</w:t>
      </w:r>
      <w:bookmarkEnd w:id="348"/>
    </w:p>
    <w:p>
      <w:pPr>
        <w:pStyle w:val="BookText"/>
        <w:rPr/>
      </w:pPr>
      <w:r>
        <w:rPr>
          <w:rFonts w:ascii="IRNazanin" w:hAnsi="IRNazanin" w:eastAsia="IRNazanin"/>
          <w:color w:val="111111"/>
          <w:sz w:val="28"/>
          <w:sz w:val="28"/>
          <w:szCs w:val="28"/>
          <w:rtl w:val="true"/>
          <w:lang w:bidi="fa-IR"/>
        </w:rPr>
        <w:t xml:space="preserve">یکی از مسائل فقهی مورد بحث،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تراشیدن 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حرمت تراشیدن ریش هم به روایات نبوی و هم به روایات مرویّ از ائمه اهل بیت علیهم‌السلام و هم به بعضی از آیات قرآن و هم به سیره مسلمین استدلال شده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طرح استدلال به سیره اجمالاً و به طور کلّی می‌گوییم در میان فقهای عظام اعمّ از شیعه و سنّی کمتر فقیهی فتوا به جواز ریش تراشی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این جانب تتبع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نوعا در این مسأله فقهای اسلام یا فتوا به حرمت حلق لحیه داده‌اند و یا اگر بعضی احتمال کراهت و جواز را هم ذکر کرده‌اند بالاخره از باب احتیاط قایل به حرمت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سالها قبل درباره مسأله ریش تراشی کتابی را مشاهده کرده است که عنوان آن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هیچ دلیلی بر حرمت ریش تراشی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نوشته شخصی است که دارای دکترای ادبیات فارسی بوده و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چاپ رسیده و بار دیگر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تجدید نظر و اضافات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رأی و نظریه کسانی که در علم فقه متخصص نیستند، ارزش علمی و فتوایی ندارد، چنان که از مطالعه این کتاب معلوم می‌شود که نویسنده فقط دارای</w:t>
      </w:r>
    </w:p>
    <w:p>
      <w:pPr>
        <w:pStyle w:val="BookText"/>
        <w:rPr/>
      </w:pPr>
      <w:r>
        <w:rPr>
          <w:rFonts w:ascii="IRNazanin" w:hAnsi="IRNazanin" w:eastAsia="IRNazanin"/>
          <w:color w:val="111111"/>
          <w:sz w:val="28"/>
          <w:sz w:val="28"/>
          <w:szCs w:val="28"/>
          <w:rtl w:val="true"/>
          <w:lang w:bidi="fa-IR"/>
        </w:rPr>
        <w:t>مدرک دکتری در ادبیات فارسی است و اطلاعات اسلامی کافی نداشته است، لذا بر مطالب ارائه شده در این کتاب اشکالات و ایرادهای اساسی وارد است که به لحاظ پرهیز از تطویل و خروج از اصل بحث از ذکر آنها صرف نظر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شد برای اثبات حرمت حلق لحیه به سه قسم از ادلّه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سیره و روش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اصل بحث ما در این بخش از کتاب درباره مسائل فقهی اثبات شده با سیره است، ولی به لحاظ اهمّیّت این مسأله و به لحاظ تحقیق نسبةً جامعی که درباره این مسأله</w:t>
      </w:r>
    </w:p>
    <w:p>
      <w:pPr>
        <w:pStyle w:val="BookText"/>
        <w:rPr/>
      </w:pPr>
      <w:r>
        <w:rPr>
          <w:rFonts w:ascii="IRNazanin" w:hAnsi="IRNazanin" w:eastAsia="IRNazanin"/>
          <w:color w:val="111111"/>
          <w:sz w:val="28"/>
          <w:sz w:val="28"/>
          <w:szCs w:val="28"/>
          <w:rtl w:val="true"/>
          <w:lang w:bidi="fa-IR"/>
        </w:rPr>
        <w:t>متحمل شده‌ام، قبل از استدلال به سیره، روایات و آیات مورد استدلال را نیز مطرح و به</w:t>
      </w:r>
    </w:p>
    <w:p>
      <w:pPr>
        <w:pStyle w:val="BookText"/>
        <w:rPr/>
      </w:pPr>
      <w:r>
        <w:rPr>
          <w:rFonts w:ascii="IRNazanin" w:hAnsi="IRNazanin" w:eastAsia="IRNazanin"/>
          <w:color w:val="111111"/>
          <w:sz w:val="28"/>
          <w:sz w:val="28"/>
          <w:szCs w:val="28"/>
          <w:rtl w:val="true"/>
          <w:lang w:bidi="fa-IR"/>
        </w:rPr>
        <w:t>برخی اشکالات وارده نیز اشاره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که به فضل الهی بحثی جامع و مفید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نبوی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طریق فریقین از پیامبر اکرم صلی‌الله‌علیه‌و‌آله روایت شده که آن حضرت فرموده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أَحْفوُا الشّواربَ و أعْفُوا اللِّحی</w:t>
      </w:r>
      <w:r>
        <w:rPr>
          <w:rStyle w:val="FootnoteAnchor"/>
          <w:rtl w:val="true"/>
        </w:rPr>
        <w:footnoteReference w:id="3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شاربها را بزنید و ریشها را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همزه، هر دو فعل امر و از باب افعال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اِحْفاء عبارت است از مبالغه کردن در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الإحفاء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الاستقصاء فی الکلام و المنازعة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أحفی شاربه، ای استقصی فی اخذه و ألْزَقَ جَزَّه</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رها کردن و ترک کردن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أَعْفِنی من الخروج معک، ای دَعْنی منه و استعفاه من الخروج معه، ای سأله الإعفاءَ منه</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پس باتوجه به توضیح لغوی فوق،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أحفواالشوارب و أعفوا اللحی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مبالغه کنید در زدن شاربها و ترک کنید تراشیدن لحیه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معانی الاخبار صدوق حدیث فوق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حَفُّوا الشَوارِبَ و أَعفُوا اللِّحی و لاتُشَبِّهوُا بِالمَجوُسِ</w:t>
      </w:r>
      <w:r>
        <w:rPr>
          <w:rStyle w:val="FootnoteAnchor"/>
          <w:rtl w:val="true"/>
        </w:rPr>
        <w:footnoteReference w:id="3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شاربها را بزنید و ریشها را به حال خود باقی گذارید و خود را شبیه مجوسها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نتیجه حدیث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اوّل با توجه به این که احفاء شوارب واجب نیست، به دلیل سیاق روایت، اعفاء لحی نیز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حدیث دوم ظاهر در جمع بین دو عمل است که مجوس انجام می‌داده است و همچنین است روایات دیگر و لااقل با این احتمال، روایات مزبور دلیل بر حرمت حلق لحیه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صدوق در من لایحضره الفقیه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حَفّوا الشَّوارِبَ و أعفُوا اللِّحی و لاتُشَبِّهوا بِالیَهود</w:t>
      </w:r>
      <w:r>
        <w:rPr>
          <w:rStyle w:val="FootnoteAnchor"/>
          <w:rtl w:val="true"/>
        </w:rPr>
        <w:footnoteReference w:id="3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شاربها را بزنید و ریشها را به حال خود باقی گذارید و خود را شبیه یهود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همین کتاب روایت کرده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المَجوسَ جَزُّو لِحاهُم وَ وَفَّروُا شَوارِبَهُم و اِنّا نَجُزُّ الشَّوارِبَ و نُعْفی اللِّحی</w:t>
      </w:r>
      <w:r>
        <w:rPr>
          <w:rStyle w:val="FootnoteAnchor"/>
          <w:rtl w:val="true"/>
        </w:rPr>
        <w:footnoteReference w:id="3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مجوسیها ریش خود را می‌تراشند و شاربها را پر و بلند می‌گذارند، ولی ما شاربها را می‌زنیم و ریش را می‌گذاریم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مسند احمد بن حنبل از پیامبر صلی‌الله‌علیه‌و‌آله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قَصّوا سِبالَکُم وَ وَفِّروا عَثانِینَکُم و خالِفوُا أَهلَ الکِتابِ</w:t>
      </w:r>
      <w:r>
        <w:rPr>
          <w:rStyle w:val="FootnoteAnchor"/>
          <w:rtl w:val="true"/>
        </w:rPr>
        <w:footnoteReference w:id="3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سبیل های خود را بزنید و ریشهایتان را بلند و پر بگذارید و با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سَبَله به فتح باء به معنی شارب و سبیل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عثنون به معنی لحیه و ریش است، شاید مراد از مخالفت با اهل کتاب، مخالفت با یهود باشد که ریشهای خود را رها می‌کردند تا بلند شود و نیز مخالفت با نصاری باشد که ریشهای خود را می‌تراشیدند، پس مقصود از توفیر لحیه، حد وسط آن است، به طوری که با یهود و نصاری هر دو مخالفت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الفقیه مؤیّد</w:t>
      </w:r>
    </w:p>
    <w:p>
      <w:pPr>
        <w:pStyle w:val="BookText"/>
        <w:rPr/>
      </w:pPr>
      <w:r>
        <w:rPr>
          <w:rFonts w:ascii="IRNazanin" w:hAnsi="IRNazanin" w:eastAsia="IRNazanin"/>
          <w:color w:val="111111"/>
          <w:sz w:val="28"/>
          <w:sz w:val="28"/>
          <w:szCs w:val="28"/>
          <w:rtl w:val="true"/>
          <w:lang w:bidi="fa-IR"/>
        </w:rPr>
        <w:t>همین معنی، یعنی حدّ اعتدال لحیه است، زیرا در روایت معانی الاخبار مخالفت با</w:t>
      </w:r>
    </w:p>
    <w:p>
      <w:pPr>
        <w:pStyle w:val="BookText"/>
        <w:rPr/>
      </w:pPr>
      <w:r>
        <w:rPr>
          <w:rFonts w:ascii="IRNazanin" w:hAnsi="IRNazanin" w:eastAsia="IRNazanin"/>
          <w:color w:val="111111"/>
          <w:sz w:val="28"/>
          <w:sz w:val="28"/>
          <w:szCs w:val="28"/>
          <w:rtl w:val="true"/>
          <w:lang w:bidi="fa-IR"/>
        </w:rPr>
        <w:t>مجوس مطرح است، که ریشها را می‌تراشیدند و در روایت الفقیه مخالفت با یهود مطرح است که ریشها را به حال خود رها می‌کردند تا بسیار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تطویل لحیه دأب و روش یهود و تراشیدن آن شیوه مجوس و نصاری و حد وسط و اعتدال آن، روش اسلام و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روایاتی که در مورد تحدید اِعْفاء اللحیه وارد شده مؤید همین حد اعتدال در لحیه است، چنان که مرحوم کلینی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الزی و التجمل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نقل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من اللحیة عن القبضة فهو فی النار</w:t>
      </w:r>
      <w:r>
        <w:rPr>
          <w:rStyle w:val="FootnoteAnchor"/>
          <w:rtl w:val="true"/>
        </w:rPr>
        <w:footnoteReference w:id="3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 زاید بر قبضه از لحیه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قسمت ذقن و چانه اگر با دست خود محاسن را قبضه کند، باید مازاد بر قبضه را کوتاه کند، چنان که در فقیه مرسلاً از امام صادق علیه‌السلامروایت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تَقبِضُ بِیَدِکَ عَلی لِحیَتِکَ وَ تَجُزَّ ما فَضَلَ</w:t>
      </w:r>
      <w:r>
        <w:rPr>
          <w:rStyle w:val="FootnoteAnchor"/>
          <w:rtl w:val="true"/>
        </w:rPr>
        <w:footnoteReference w:id="3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با دست خود محاسنّت را قبضه کنی و مازاد بر قبضه را قطع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کافی کتاب الزی و التجمل آمده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بِالنّبی صلی‌الله‌علیه‌و‌آله رجلٌ طویلُ اللِّحیَةِ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هذا لَو هَیَّأَ مِن لِحْیَته، فبلغ ذلک الرجلَ فهیّأ لحیتَه بَین اللِحیَتین ثُمّ دَخَلَ علی النَبی فَلَمّا رَآهُ قال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w:t>
      </w:r>
    </w:p>
    <w:p>
      <w:pPr>
        <w:pStyle w:val="BookText"/>
        <w:rPr/>
      </w:pPr>
      <w:r>
        <w:rPr>
          <w:rFonts w:ascii="Amiri" w:hAnsi="Amiri" w:eastAsia="Amiri" w:cs="Amiri"/>
          <w:color w:val="111111"/>
          <w:sz w:val="28"/>
          <w:sz w:val="28"/>
          <w:szCs w:val="28"/>
          <w:rtl w:val="true"/>
          <w:lang w:bidi="ar-SA"/>
        </w:rPr>
        <w:t>فَافعَلوا</w:t>
      </w:r>
      <w:r>
        <w:rPr>
          <w:rStyle w:val="FootnoteAnchor"/>
          <w:rtl w:val="true"/>
        </w:rPr>
        <w:footnoteReference w:id="3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طویل اللحیه از کنار پیامبر گذشت، آن حضرت فرمود این مرد را چه مضرت رسد اگر لحیه خود را اصلاح کند، پس گفتار پیامبر به آن مرد رسید، پس لحیه خود را به صورت متوسط یعنی بین لحیه طویل و قصیر اصلاح کرد و بعد از آن بر پیامبر وارد شد، چون آن حضرت او را دید، فرمود شما هم باید چنین عمل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متوسط محاسن حود را اصلاح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روایات نبوی، روایات دیگری از طریق اهل بیت علیهم‌السلام وارد شده است که به خاطر رعایت اختصار به ذکر دو روایت اکتفا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اصول کافی از امیرمؤمنان علی علیه‌السلام در ضمن روایتی نقل شده است که آن حضرت خطاب به فروشندگان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مارماهی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بیّاعی مُسوخَ بنی اسرائیل وَ جُندَ بنی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فروشندگان مسخ شده‌های بنی اسرائیل و جند بنی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احنف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بنی مروان کیانند ؟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اَقوامٌ حَلَقوُا اللِّحی وَ فَتَلُوا الشَوارِبَ فَمُسِخوا</w:t>
      </w:r>
      <w:r>
        <w:rPr>
          <w:rStyle w:val="FootnoteAnchor"/>
          <w:rtl w:val="true"/>
        </w:rPr>
        <w:footnoteReference w:id="3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جند بنی مروان اقوامی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 خود را می‌تراشیدند و سبیلها را تاب می‌دادند، پس مسخ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در کتاب وافی در باب جَزّ اللحیة به همین روایت تمسک کرده است و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مضی فی کتاب الحجة حدیث عن امیر المؤمنین علیه‌السلام أنَّ أقواما حَلَقُوا اللِّحی و فَتَلوا الشّوارِبَ فَمُسِخوُا</w:t>
      </w:r>
      <w:r>
        <w:rPr>
          <w:rStyle w:val="FootnoteAnchor"/>
          <w:rtl w:val="true"/>
        </w:rPr>
        <w:footnoteReference w:id="320"/>
      </w:r>
      <w:r>
        <w:rPr>
          <w:rFonts w:ascii="IRNazanin" w:hAnsi="IRNazanin" w:eastAsia="IRNazanin"/>
          <w:color w:val="111111"/>
          <w:sz w:val="28"/>
          <w:sz w:val="28"/>
          <w:szCs w:val="28"/>
          <w:rtl w:val="true"/>
          <w:lang w:bidi="fa-IR"/>
        </w:rPr>
        <w:t>و نیز در کتاب مفاتیح الشرایع به همین حدیث اشاره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المعاصی حلق اللحیة لانه خلاف السنة التی هی اِعفائُها و لِمَسخ طائفةٍ بِسَببه</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صاحب حدائق نیز در استدلال به این روایت گفته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کما استظهر جملة من الاصحاب تحریم حلق اللحیة لخبر المسخ </w:t>
      </w:r>
    </w:p>
    <w:p>
      <w:pPr>
        <w:pStyle w:val="BookText"/>
        <w:rPr/>
      </w:pPr>
      <w:r>
        <w:rPr>
          <w:rFonts w:ascii="IRNazanin" w:hAnsi="IRNazanin" w:eastAsia="IRNazanin"/>
          <w:color w:val="111111"/>
          <w:sz w:val="28"/>
          <w:sz w:val="28"/>
          <w:szCs w:val="28"/>
          <w:rtl w:val="true"/>
          <w:lang w:bidi="fa-IR"/>
        </w:rPr>
        <w:t>المروی عن امیر المؤمنین علیه‌السلام فانه لایقع الاّ علی ارتکاب امر محرّم بالغ فی التحریم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عده‌ای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کرده‌اند، ظاهرا تراشیدن ریش حرام است، به دلیل خبر مسخ که از امیر مؤمنان علیه‌السلام روایت شده است، زیرا مسخ جز بر ارتکاب امر حرامی که در تحریم آن مبالغه شده است، واقع نمی‌شود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 مجمع البیان، ذیل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از امام صادق علیه‌السلام روایت شده و</w:t>
      </w:r>
    </w:p>
    <w:p>
      <w:pPr>
        <w:pStyle w:val="BookText"/>
        <w:rPr/>
      </w:pPr>
      <w:r>
        <w:rPr>
          <w:rFonts w:ascii="IRNazanin" w:hAnsi="IRNazanin" w:eastAsia="IRNazanin"/>
          <w:color w:val="111111"/>
          <w:sz w:val="28"/>
          <w:sz w:val="28"/>
          <w:szCs w:val="28"/>
          <w:rtl w:val="true"/>
          <w:lang w:bidi="fa-IR"/>
        </w:rPr>
        <w:t>آن حضرت فرموه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شارب و گذاردن ریش از سنّتهای حضرت ابراهیم علیه‌السلام است و خداوند در قرآن مجید به ما امر کرده است که از سنّت های ابراهیم پیروی کنیم</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اثبات حرمت حلق لحیه به برخی از آیات قرآن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استدلال به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لآمُرَنَّهُم</w:t>
      </w:r>
    </w:p>
    <w:p>
      <w:pPr>
        <w:pStyle w:val="BookText"/>
        <w:rPr/>
      </w:pPr>
      <w:r>
        <w:rPr>
          <w:rFonts w:ascii="IRNazanin" w:hAnsi="IRNazanin" w:eastAsia="IRNazanin"/>
          <w:color w:val="111111"/>
          <w:sz w:val="28"/>
          <w:sz w:val="28"/>
          <w:szCs w:val="28"/>
          <w:rtl w:val="true"/>
          <w:lang w:bidi="fa-IR"/>
        </w:rPr>
        <w:t>فَلَیُغیِّرُنَّ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بعد از آن که مطرود درگاه الهی واقع شد،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امر می‌کنم، که خلقت الهی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آیه فوق برای حرمت حلق لحیه موقوف بر این است که حلق لحیه از مصادیق تغییر خلق اللّه باشد و این معنا با آنچه در تفاسیر، ذیل این آیه شریفه آمده است،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آنچه از تفاسیر برمی‌آید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دین الهی و تغییر امر و نهی و حلال و حرام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مجمع البیان ذیل این آیه می‌نویسد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آیه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 و امر الهی است، این قول از ابن عباس و ابراهیم و مجاهد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قتاده و عده‌ای دیگر است و همین معنا از امام صادق هم روایت شده است و این معنا را قول خداوند سبحان تأیید می‌کند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فطرت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مردم را بر آن آفرید و تبدیلی برای دین خدا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حلال و تحلیل حرام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بنابراین نمی‌توان برای اثبات حرمت ریش تراشی به این آیه استدلال کرد و به همین جهت است که صاحب حدائق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فلیغیرنّ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اشکال است و آن این است که در توضیح این آیه از ائمه علیهم‌السلام روایاتی وارد شده که مراد تغییر دین خداست، پس استدلال به آیه بر حرمت ریش تراشی مشکل است، گرچه ظاهر لفظ مساعد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ظاهر روایاتی که در باب حلق لحیه به آنها استناد شده</w:t>
      </w:r>
    </w:p>
    <w:p>
      <w:pPr>
        <w:pStyle w:val="BookText"/>
        <w:rPr/>
      </w:pPr>
      <w:r>
        <w:rPr>
          <w:rFonts w:ascii="IRNazanin" w:hAnsi="IRNazanin" w:eastAsia="IRNazanin"/>
          <w:color w:val="111111"/>
          <w:sz w:val="28"/>
          <w:sz w:val="28"/>
          <w:szCs w:val="28"/>
          <w:rtl w:val="true"/>
          <w:lang w:bidi="fa-IR"/>
        </w:rPr>
        <w:t>است بر حرمت تراشیدن ریش دلالت می‌کند، ولی به علّت این که اوامر مذکور در این روایات را می‌توان حمل بر اوامر ارشادی کرد، به نظر نگارنده روایات مذکور را نمی‌توان</w:t>
      </w:r>
    </w:p>
    <w:p>
      <w:pPr>
        <w:pStyle w:val="BookText"/>
        <w:rPr/>
      </w:pPr>
      <w:r>
        <w:rPr>
          <w:rFonts w:ascii="IRNazanin" w:hAnsi="IRNazanin" w:eastAsia="IRNazanin"/>
          <w:color w:val="111111"/>
          <w:sz w:val="28"/>
          <w:sz w:val="28"/>
          <w:szCs w:val="28"/>
          <w:rtl w:val="true"/>
          <w:lang w:bidi="fa-IR"/>
        </w:rPr>
        <w:t>دلیلی قاطع بر حرمت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تمام این روایات بر استحباب داشتن لحیه و کراهت حلق لحیه دلالت می‌کند و چنان که دیدیم مرحوم صاحب حدائق فقط خبر مسخ روایت شده از امیرمؤمنان را ظاهر در حرمت حلق لحیه می‌داند، امّا بقیّه اخبار باب را دالّ بر استحباب داشتن لحیه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اخبار فوائدی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اوّل آن است که بلند گذاشتن ریش تا حدّ یک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کردن 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و مطلوب شارع است و نسبت به مازاد بر قبضه افضل زدن و چیدن آن است و همچنین افضل و بهتر بسیار کوتاه کردن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زدن آن از بن موهاست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خلاف و اشکالی نیست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به هر حال یکی از ادلّه مهمی که برای اثبات حرمت ریش تراشی مطرح شده، استدلال به سیره است که در میان ادلّه این مسأله شاید محکمترین دلیل باشد، زیرا چنان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گفته شد دلالت اخبار بر حرمت حلق لحیه قطعی نیست و دلالت آیات مورد استناد هم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مهمترین دلیل بر حرمت حلق لحیه سیره مسلمین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واقعا سیره و روش مسلمین و متدینین از صدر اسلام تاکنون به طور مستمر و لاینقطع این بوده که گذاشتن محاسن و لحیه را لازم و واجب دانسته‌اند و تراشیدن آن را</w:t>
      </w:r>
    </w:p>
    <w:p>
      <w:pPr>
        <w:pStyle w:val="BookText"/>
        <w:rPr/>
      </w:pPr>
      <w:r>
        <w:rPr>
          <w:rFonts w:ascii="IRNazanin" w:hAnsi="IRNazanin" w:eastAsia="IRNazanin"/>
          <w:color w:val="111111"/>
          <w:sz w:val="28"/>
          <w:sz w:val="28"/>
          <w:szCs w:val="28"/>
          <w:rtl w:val="true"/>
          <w:lang w:bidi="fa-IR"/>
        </w:rPr>
        <w:t>حرام می‌دانستند، این خود دلیل روشنی است بر این که این عمل درسی بوده که مسلمانان از پیامبر اکرم صلی‌الله‌علیه‌و‌آله و ائمه اطهار علیهم‌السلام آموخته‌اند و همان طور که در بخش اصولی بحث از سیره گفتیم اصطلاحا می‌گویند سیره مستمرّه مسلمین کاشف از سیره پیامبر صلی‌الله‌علیه‌و‌آله است و سیره آن حضرت مسلما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در بسیاری از موارد فقها برای اثبات احکام به سیره تمسک می‌کنند و از جمله در مورد ریش تراشی گفته‌اند محکمترین دلیل بر حرمت آن، سیره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استدلال به سیره نیز می‌توان مناقشه کرد و این مناقشه این است که از این</w:t>
      </w:r>
    </w:p>
    <w:p>
      <w:pPr>
        <w:pStyle w:val="BookText"/>
        <w:rPr/>
      </w:pPr>
      <w:r>
        <w:rPr>
          <w:rFonts w:ascii="IRNazanin" w:hAnsi="IRNazanin" w:eastAsia="IRNazanin"/>
          <w:color w:val="111111"/>
          <w:sz w:val="28"/>
          <w:sz w:val="28"/>
          <w:szCs w:val="28"/>
          <w:rtl w:val="true"/>
          <w:lang w:bidi="fa-IR"/>
        </w:rPr>
        <w:t>که نتراشیدن ریش و بقای لحیه بین مسلمین متداول است، می‌توان استنتاج کرد که ریش گذاشتن حرام نیست ولی این که ریش گذاشتن واجب باشد، استنباط نمی‌شود، زیرا ممکن است مستحب و یا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که در مباحث اصولی سیره گفته شد مقدار دلالت و دامنه حجّیّت سیره فقط دلالت بر جواز است، یعنی در سیره فعل جواز فعل، و در سیره ترک جواز ترک، و بر چیزی بیش از جواز دلالت نمی‌کند، زیرا سیره عبارت است از بنای عملی و فعل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فی نفسه مجمل است، فعل مانند لفظ نیست که اطلاق داشته باشد و از آن وجوب و حرمت هم فهمیده شود، فعل و عمل فقط دالّ بر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عین حال عدّه‌ای از فقها خصوصا آنان که رساله مستقلّی در حرمت حلق لحیه نوشته‌اند، برای اثبات حرمت تراشیدن ریش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کرده‌اند که در زیر چند نمونه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روضة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من‌لایحضر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معلوم منهم متواتر بل من اصحابهم المداومة علی جز الشارب و اعفاء اللحیة</w:t>
      </w:r>
      <w:r>
        <w:rPr>
          <w:rFonts w:eastAsia="IRNazanin" w:cs="IRNazanin"/>
          <w:color w:val="111111"/>
          <w:sz w:val="28"/>
          <w:szCs w:val="28"/>
          <w:rtl w:val="true"/>
          <w:lang w:bidi="fa-IR"/>
        </w:rPr>
        <w:t>»</w:t>
      </w:r>
      <w:r>
        <w:rPr>
          <w:rStyle w:val="FootnoteAnchor"/>
          <w:rtl w:val="true"/>
        </w:rPr>
        <w:footnoteReference w:id="32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آن که به طور متواتر معلوم است که ائمه و بلکه اصحابشان بر زدن شارب و </w:t>
      </w:r>
    </w:p>
    <w:p>
      <w:pPr>
        <w:pStyle w:val="BookText"/>
        <w:rPr/>
      </w:pPr>
      <w:r>
        <w:rPr>
          <w:rFonts w:ascii="IRNazanin" w:hAnsi="IRNazanin" w:eastAsia="IRNazanin"/>
          <w:color w:val="111111"/>
          <w:sz w:val="28"/>
          <w:sz w:val="28"/>
          <w:szCs w:val="28"/>
          <w:rtl w:val="true"/>
          <w:lang w:bidi="fa-IR"/>
        </w:rPr>
        <w:t>گذاشتن ریش مداومت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شیخ محمدجواد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حلق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سوم درباره سیره و عمل مسلمین است که کاشف از اجماع و ثبوت حرمت حلق لحیه در شریعت است، زیرا شایسته نیست که تردید کنیم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متشرعین از صدر اسلام تا کنون معلوم می‌شود که در نظر ایشان ریش تراشی از امور منکر در دین اسلام بوده است، به طوری که مرتکب آن نمی‌شود مگر کسی که از هوای نفس و شهوات پیروی می‌کند و از حدود شریعت تجاوز کرده و به انکار متدینین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قول به جواز حلق لحیه از سوی هیچ عالمی که قولش قابل اعتنا باشد ثابت و معلوم نشده و این خود دلیلی است کافی که از تسالم و اتّفاق نظر مسلمین در همه نسلها، بر حرمت حلق لحیه، حکایت می‌کند و حاکی از آن است که مسلمین در برابر این حکم تسلیم بوده‌اند و این حکم از مصدر شریعت مقدس گرفته شده و دست به دست به مسلمین رسیده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سیدعلی شاهرودی در تقریرات مکاسب محرمه آیه‌اللّه خوئی می‌نویسد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عمده ادلّه این مسأله سه روایت است و پس از این که در دلالت دو روایت از آن سه روایت اشکال می‌کند و دلالت روایت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عملی تمام متشرعین و متدینین قدیم و جدید بر نتراشیدن ریش بوده است و این التزام به مرتکب نشدن کاشف از ارتکاز حرمت آن نزد مسلمین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سیّد هبة الدّین شهرستانی می‌نویسد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مستمرّه علمای ما تا زمان امامان بزرگوارمان نیز گواه بر تحریم است که </w:t>
      </w:r>
    </w:p>
    <w:p>
      <w:pPr>
        <w:pStyle w:val="BookText"/>
        <w:rPr/>
      </w:pPr>
      <w:r>
        <w:rPr>
          <w:rFonts w:ascii="IRNazanin" w:hAnsi="IRNazanin" w:eastAsia="IRNazanin"/>
          <w:color w:val="111111"/>
          <w:sz w:val="28"/>
          <w:sz w:val="28"/>
          <w:szCs w:val="28"/>
          <w:rtl w:val="true"/>
          <w:lang w:bidi="fa-IR"/>
        </w:rPr>
        <w:t>آن را اجماع عملی می‌گویند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فتاوای فقهای شیعه و سنی در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کتابهای حدیثی اولیه مانند کافی کلینی و کتابهای من لایحضر و معانی الاخبار صدوق و قرب الاسناد حمیری و تفسیر علی ابن ابراهیم و مستطرفات سرائر که احادیثی درباره حرمت حلق لحیه ذکر کرده‌اند، کتب اوّلیه فقهی نیز به بحث درباره آن پرداخته‌اند که به ترتیب قدمت به بررسی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اوّلین کتاب فقهی‌ای که مسأله حلق لحیه در آن عنوان شده است، کتاب الجامع للشرایع تألیف یحیی بن سعید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کتاب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الاستطابة و سنن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بغل از کندن آن بهتر و نوره کشیدن بر آن از تراشیدن آن بهتر است، آداب و مستحبات دین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 مورد از آنها در سر انسان است که عبارتند از مضمضه، استنشاق، مسواک زدن، باز کردن فرق در موی سر و زدن شارب و پنج مورد از آنها در بدن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ناخنها، تراشیدن موی زهار و زیر بغلها، ختنه و 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زیاد و پر و تا پشت لاله گوشها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کاکل مکروه است و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ریشها را بگذارید و شارب ها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کندن موی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و علی علیه‌السلام چیدن آن را جایز می‌دانست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حلّی در کتاب تذکرة الفقهاء به حدیث پیامبر صلی‌الله‌علیه‌و‌آله استدلال کرده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حَفّوا الشَوارِبَ و أَعْفوا اللِّحی و لاتُشَبِّهوا بِالیَهودِ</w:t>
      </w:r>
      <w:r>
        <w:rPr>
          <w:rStyle w:val="FootnoteAnchor"/>
          <w:rtl w:val="true"/>
        </w:rPr>
        <w:footnoteReference w:id="3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شاربها را بزنید و ریشها را به</w:t>
      </w:r>
    </w:p>
    <w:p>
      <w:pPr>
        <w:pStyle w:val="BookText"/>
        <w:rPr/>
      </w:pPr>
      <w:r>
        <w:rPr>
          <w:rFonts w:ascii="IRNazanin" w:hAnsi="IRNazanin" w:eastAsia="IRNazanin"/>
          <w:color w:val="111111"/>
          <w:sz w:val="28"/>
          <w:sz w:val="28"/>
          <w:szCs w:val="28"/>
          <w:rtl w:val="true"/>
          <w:lang w:bidi="fa-IR"/>
        </w:rPr>
        <w:t>حال خود باقی گذارید و خود را شبیه یهود نسازید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اوّل نیز در ذکری همین روایت را نقل کرده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وی در کتاب القواعد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لایجوز للخنثی حلق اللحیة لجواز رجولیته</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ریش برای خنثی جایز نیست، زیرا ممکن است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شهید چنین استفاده می‌شود که حرمت تراشیدن ریش نزد شهید اوّل از مسلّمات و قطعیات و ارسال مسلمات بوده است، چنان که جمعی از علمای شیعه فتوا به تحریم را در این مسأله از ارسال مسلمات می‌دانسته‌اند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بلاغی در رساله خود به همین نکته اشاره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دیگر این است که عده‌ای از علما فتوا به حرمت در این مسأله را از ارسال مسلمات دانسته و اشاره‌ای به اختلاف یا شبهه اختلاف در آن نکرده‌اند، چنان که دأب و روش ایشان آن است که در مسائل خلافی، اشاره به اختلاف نظر فقها می‌کنند و از جمله فتاوای مسلم بر حرمت، فتوایی است که از یحیی بن سعید حلّی در کتاب جامعش حکایت شده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حر عاملی در کتاب بدایة الهدایة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یُستحب فَرقُ شَعرِ الرأسِ إذا طال و تخفیفُ اللحیة و تدویرُها و الأخذُ من العارضین و تبطین اللحیة و یکره کثرة وضع الید فی اللحیة و یستحب قصّ مازاد عن قبضة منها فان مازاد ففی النار و الأخذ من الشارب حتّی یبلغ الإطار و یکره اطالته فعن النبی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لایُطَوِّلَنَّ اَحَدُکُم شارِبَهُ وَ لا شَعْرَ اِبطَیهِ و لاعانَتَهُ فَانّ الشیطانَ یَتّخِذُها مَخبَأً یَسْتَتِرُ بِها</w:t>
      </w:r>
      <w:r>
        <w:rPr>
          <w:rStyle w:val="FootnoteAnchor"/>
          <w:rtl w:val="true"/>
        </w:rPr>
        <w:footnoteReference w:id="335"/>
      </w:r>
      <w:r>
        <w:rPr>
          <w:rFonts w:ascii="Amiri" w:hAnsi="Amiri" w:eastAsia="Amiri" w:cs="Amiri"/>
          <w:color w:val="111111"/>
          <w:sz w:val="28"/>
          <w:sz w:val="28"/>
          <w:szCs w:val="28"/>
          <w:rtl w:val="true"/>
          <w:lang w:bidi="ar-SA"/>
        </w:rPr>
        <w:t>و لایجوز حلق اللحیة و یستحب توفیرها قدر قبضة او نحوها 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اللِّحیةِ مِنَ المُثْلة و مَنْ مَثَّلَ فَعَلیهِ لَعْنةُ اللّه‌</w:t>
      </w:r>
      <w:r>
        <w:rPr>
          <w:rStyle w:val="FootnoteAnchor"/>
          <w:rtl w:val="true"/>
        </w:rPr>
        <w:footnoteReference w:id="336"/>
      </w:r>
      <w:r>
        <w:rPr>
          <w:rFonts w:ascii="IRNazanin" w:hAnsi="IRNazanin" w:eastAsia="IRNazanin"/>
          <w:color w:val="111111"/>
          <w:sz w:val="28"/>
          <w:sz w:val="28"/>
          <w:szCs w:val="28"/>
          <w:rtl w:val="true"/>
          <w:lang w:bidi="fa-IR"/>
        </w:rPr>
        <w:t>و عن النبی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حَفّوا الشواربَ و أَعْفُوا اللّحی و لاتُشَبِّهوا بِالمَجوسِ</w:t>
      </w:r>
      <w:r>
        <w:rPr>
          <w:rStyle w:val="FootnoteAnchor"/>
          <w:rtl w:val="true"/>
        </w:rPr>
        <w:footnoteReference w:id="3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مستحب است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موی سر هرگاه بلند باشد و کوتاه کردن ریش و مدور ساختن آن و گرفتن </w:t>
      </w:r>
    </w:p>
    <w:p>
      <w:pPr>
        <w:pStyle w:val="BookText"/>
        <w:rPr/>
      </w:pPr>
      <w:r>
        <w:rPr>
          <w:rFonts w:ascii="IRNazanin" w:hAnsi="IRNazanin" w:eastAsia="IRNazanin"/>
          <w:color w:val="111111"/>
          <w:sz w:val="28"/>
          <w:sz w:val="28"/>
          <w:szCs w:val="28"/>
          <w:rtl w:val="true"/>
          <w:lang w:bidi="fa-IR"/>
        </w:rPr>
        <w:t xml:space="preserve">موهای گونه‌ها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آب را به باطن و داخل محاسن، و زیاد دست کشیدن بر ریش، مکروه است و کوتاه کردن مازاد بر قبضه مستحب است، زیرا مازاد بر آن در آتش است و مستحب است کوتاه کردن شارب تا به حاشیه لب برسد و بلند کردن شارب مکروه است، زیرا از پیامبر روایت شده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شما نباید شارب و موی زیر بغلها و موی زهار را بلند کند، زیرا شیطان آنها را مخفی گاهی برای خود انتخاب می‌کند و در آن جا مخفی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تراشیدن ریش جایز نیست و انبوه ساختن آن به اندازه یک قبضه یا مانند آن مستحب است و در حدیث 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تراشیدن ریش نوعی مثله است و هر که مثله کند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شارب ها را بزنید و ریشها را بگذارید و خود را شبیه مجوس نسازید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بهائی در رساله اعتقادیه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اعتقاد داریم به وجوب نمازهای پنج گانه بر هر شخص بالغ عاقل، به جز زن در حال حیض و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داریم به وجوب زکات در نه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ماه رمضان و قایل به وجوب حج هستیم که در عمر یک بار بر هر که مستطیع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قایل هستیم به حرمت ربا و رشوه و سحر و قمار و تراشیدن ریش و خوردن ماهی بدون پولک</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تتبّع نسبةً جامع و وسیعی که در تمام مجلدات جواهر به عمل آمده معلوم شده است که صاحب جواهر در هیچ یک از مباحث این کتاب به صراحت درباره حرمت حلق لحیه اظهار نظر نکرده است وی در کتاب حج در بحث حلق و تقصیر که یکی از اعمال حج است، درباره این که آیا تراشیدن موی سر بر زنان نیز واجب است یا نه می‌فرماید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کردن موی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کافی است، بلکه تراشیدن سر بر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این مطلب ادعای اجماع می‌کند و در پایان اشاره می‌کند که حرمت </w:t>
      </w:r>
    </w:p>
    <w:p>
      <w:pPr>
        <w:pStyle w:val="BookText"/>
        <w:rPr/>
      </w:pPr>
      <w:r>
        <w:rPr>
          <w:rFonts w:ascii="IRNazanin" w:hAnsi="IRNazanin" w:eastAsia="IRNazanin"/>
          <w:color w:val="111111"/>
          <w:sz w:val="28"/>
          <w:sz w:val="28"/>
          <w:szCs w:val="28"/>
          <w:rtl w:val="true"/>
          <w:lang w:bidi="fa-IR"/>
        </w:rPr>
        <w:t>تراشیدن سر برای زنان مانند حرمت تراشیدن ریش برای مردان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ملامحسن فیض در کتاب مفاتیح الشرایع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المعاصی حلق اللحیة لأنه خلاف السنة التی هی اعفائها لمسخ طائفة بسببها</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 نیز در وافی کتاب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جز اللحیة و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فی کتاب الحجة حدیث عن امیر المؤمنین علیه‌السلام أن أقواما حلقوا اللحی و فتلوا الشوارب فمسخوا و قد أفتی جماعة من فقهائنا بتحریم حلق اللحیة و ربما یستشهد لهم</w:t>
      </w:r>
    </w:p>
    <w:p>
      <w:pPr>
        <w:pStyle w:val="BookText"/>
        <w:rPr/>
      </w:pPr>
      <w:r>
        <w:rPr>
          <w:rFonts w:ascii="IRNazanin" w:hAnsi="IRNazanin" w:eastAsia="IRNazanin"/>
          <w:color w:val="111111"/>
          <w:sz w:val="28"/>
          <w:sz w:val="28"/>
          <w:szCs w:val="28"/>
          <w:rtl w:val="true"/>
          <w:lang w:bidi="fa-IR"/>
        </w:rPr>
        <w:t>بقوله سبحانه حکایةً عن ابلیس اللعین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لآمرنّهم فلیغیرنّ خلق اللّه‌</w:t>
      </w:r>
      <w:r>
        <w:rPr>
          <w:rStyle w:val="FootnoteAnchor"/>
          <w:rtl w:val="true"/>
        </w:rPr>
        <w:footnoteReference w:id="3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حجّت،</w:t>
      </w:r>
    </w:p>
    <w:p>
      <w:pPr>
        <w:pStyle w:val="BookText"/>
        <w:rPr/>
      </w:pPr>
      <w:r>
        <w:rPr>
          <w:rFonts w:ascii="IRNazanin" w:hAnsi="IRNazanin" w:eastAsia="IRNazanin"/>
          <w:color w:val="111111"/>
          <w:sz w:val="28"/>
          <w:sz w:val="28"/>
          <w:szCs w:val="28"/>
          <w:rtl w:val="true"/>
          <w:lang w:bidi="fa-IR"/>
        </w:rPr>
        <w:t>حدیث امیر مؤمنان گذشت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گروههایی ریش خود را می‌تراشیدند و سبیلها را می‌تابیدند که در نتیجه این کار مسخ شدند، وگروهی از فقهای شیعه فتوا به حرمت تراشیدن ریش داده‌اند و ممکن است در تأیید آنها به قول خداوند استشهاد شود که در قرآن حکایت می‌کند که شیطان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فرمان می‌دهم تا خلقت خدا را تغییر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علامه مجلسی در حلیة المتقین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میان علما آن است که تراشیدن ریش حرام است و احوط آن است که اصلاح بسیار تند که شبیه تراشیدن باشد، نکنند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اقوال فقهای عامّه و اهل تسنّن در این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الفقه علی المذاهب الاربعة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مستحبات مطلوب در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است، تا حدی که سرخی لب ظاهر شود، معنای آن این است که در چیدن آن مبالغه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تا آن که موی آن کم و قسمت زیر آن آشکار شود، اما از ریشه کندن آن با چیدن و قیچی کردن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تراشیدن تمام آن مکروه می‌باشد و اگر قسمتی از آن را قیچی کند و قسمتی را بتراشد، جایز است</w:t>
      </w:r>
      <w:r>
        <w:rPr>
          <w:rFonts w:eastAsia="IRNazanin" w:cs="IRNazanin"/>
          <w:color w:val="111111"/>
          <w:sz w:val="28"/>
          <w:szCs w:val="28"/>
          <w:rtl w:val="true"/>
          <w:lang w:bidi="fa-IR"/>
        </w:rPr>
        <w:t xml:space="preserve">. </w:t>
      </w:r>
      <w:bookmarkStart w:id="349" w:name="pg4331_49103"/>
    </w:p>
    <w:p>
      <w:pPr>
        <w:pStyle w:val="BookText"/>
        <w:rPr/>
      </w:pPr>
      <w:bookmarkEnd w:id="349"/>
      <w:r>
        <w:rPr>
          <w:rFonts w:ascii="IRNazanin" w:hAnsi="IRNazanin" w:eastAsia="IRNazanin"/>
          <w:color w:val="111111"/>
          <w:sz w:val="28"/>
          <w:sz w:val="28"/>
          <w:szCs w:val="28"/>
          <w:rtl w:val="true"/>
          <w:lang w:bidi="fa-IR"/>
        </w:rPr>
        <w:t>اما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و بسیار کوتاه کردن آن مکروه است و هر گاه بیش از قبضه باشد، امر آن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مازاد بر قبضه را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و زیادی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مشوّه و زشت شدن چهره یا موجب تعرض به او، و امثال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مرد حرام است و مستحب است که بلندی آن بیش از یک قبضه نشود و مازاد بر قبضه چیده می‌شود، گرفتن و زدن اطراف ریش اشکالی ندارد و چیدن شارب مستحب است، مقصود چیدن تمام آن نیست بلکه سنّت آن است که از شارب قسمت مستدیر و فرود آمده بر لب بالارا بزند و از آن می‌چیند تا کناره لب ظاهر شود و بیش از آن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حرام است و زدن مازاد بر قبضه اشکالی ندارد، پس چیدن مازاد مکروه نیست، چنان که رها کردن و نزدن آن هم مکروه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زدن موهای زیر گلو مکروه نیست و کندن موی های سفید مکروه است و زیاد کوتاه کردن شارب مستحب و سنّت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شیح منصور علی ناصف مؤلف کتاب التّاج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للاصول فی احادیث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جزوا الشوارب و ارخوا اللحی و خالفوا المجوس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فحلق اللحیة مکروه عند الجمهور و حرام عند الحنفیة</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اکثر علما تراشیدن ریش مکروه است و از نظر حنفیّه حرام می‌باشد</w:t>
      </w:r>
      <w:r>
        <w:rPr>
          <w:rFonts w:eastAsia="IRNazanin" w:cs="IRNazanin"/>
          <w:color w:val="111111"/>
          <w:sz w:val="28"/>
          <w:szCs w:val="28"/>
          <w:rtl w:val="true"/>
          <w:lang w:bidi="fa-IR"/>
        </w:rPr>
        <w:t>.»</w:t>
      </w:r>
    </w:p>
    <w:p>
      <w:pPr>
        <w:pStyle w:val="Heading4"/>
        <w:numPr>
          <w:ilvl w:val="3"/>
          <w:numId w:val="1"/>
        </w:numPr>
        <w:rPr/>
      </w:pPr>
      <w:bookmarkStart w:id="350" w:name="__RefHeading___Toc1014849_1479056682"/>
      <w:bookmarkStart w:id="351" w:name="_Toc129"/>
      <w:bookmarkEnd w:id="350"/>
      <w:r>
        <w:rPr/>
        <w:t>6</w:t>
      </w:r>
      <w:r>
        <w:rPr>
          <w:rtl w:val="true"/>
        </w:rPr>
        <w:t xml:space="preserve"> - </w:t>
      </w:r>
      <w:r>
        <w:rPr>
          <w:rtl w:val="true"/>
        </w:rPr>
        <w:t>استدلال به سیره در این که غسل و تکفین و تدفین و نماز بر میت واجب کفایی است</w:t>
      </w:r>
      <w:r>
        <w:rPr>
          <w:rtl w:val="true"/>
        </w:rPr>
        <w:t>.</w:t>
      </w:r>
      <w:bookmarkEnd w:id="351"/>
    </w:p>
    <w:p>
      <w:pPr>
        <w:pStyle w:val="BookText"/>
        <w:rPr/>
      </w:pPr>
      <w:r>
        <w:rPr>
          <w:rFonts w:ascii="IRNazanin" w:hAnsi="IRNazanin" w:eastAsia="IRNazanin"/>
          <w:color w:val="111111"/>
          <w:sz w:val="28"/>
          <w:sz w:val="28"/>
          <w:szCs w:val="28"/>
          <w:rtl w:val="true"/>
          <w:lang w:bidi="fa-IR"/>
        </w:rPr>
        <w:t>وجوب غسل و تکفین و نماز و دفن میت از ضروریات مذهب، بلکه از ضروریات دین است، منتها به صورت کفایی بر مسلمین واجب است بدین معنی که با قیام بعضی از مسلمین، انجام آن از دیگران ساقط می‌شود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به عنوان دلیل بر حکم مذکور ابتدا اجماع و آنگاه اخبار و سپس سیره </w:t>
      </w:r>
    </w:p>
    <w:p>
      <w:pPr>
        <w:pStyle w:val="BookText"/>
        <w:rPr/>
      </w:pPr>
      <w:r>
        <w:rPr>
          <w:rFonts w:ascii="IRNazanin" w:hAnsi="IRNazanin" w:eastAsia="IRNazanin"/>
          <w:color w:val="111111"/>
          <w:sz w:val="28"/>
          <w:sz w:val="28"/>
          <w:szCs w:val="28"/>
          <w:rtl w:val="true"/>
          <w:lang w:bidi="fa-IR"/>
        </w:rPr>
        <w:t>مسلمین را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تذکره آمده است که تمام علما بر حکم مذکور اجماع کرده‌اند و اتّفاق نظر دارند و در معتبر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مذهب اهل العلم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غنیه ادّعای نفی خلاف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مستفیضه و بلکه متواتره‌ای بر حکم مذکور دلالت می‌کند، بدون این که فرد معیّنی را برای مباشرت این عمل معیّن کند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صاحب جواهر در مورد این که منظور، ابراز و ایجاد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کفن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است نه صدور آن از مباشر معیّن،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آنچه که از ملاحظه اخبار این باب به دست می‌آید به گونه‌ای است که فقیه را مشرف بر قطع و یقین می‌دارد این که مراد ابراز وجود و تحقق خارجی این امور است نه صدور آنها از مباشر معین</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آنگاه اشکالی را مطرح می‌سازد و آن این است که در کلام اصحاب و همچنین در اخبار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الناس بالمیت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اخبار</w:t>
      </w:r>
    </w:p>
    <w:p>
      <w:pPr>
        <w:pStyle w:val="BookText"/>
        <w:rPr/>
      </w:pPr>
      <w:r>
        <w:rPr>
          <w:rFonts w:ascii="IRNazanin" w:hAnsi="IRNazanin" w:eastAsia="IRNazanin"/>
          <w:color w:val="111111"/>
          <w:sz w:val="28"/>
          <w:sz w:val="28"/>
          <w:szCs w:val="28"/>
          <w:rtl w:val="true"/>
          <w:lang w:bidi="fa-IR"/>
        </w:rPr>
        <w:t>ظاهرا با وجوب کفایی منافات دارد و در مورد وجه تنافی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تنافی بین تمام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اصحاب و اخبار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وجوب کفایی که ما قایل به آن شدیم، واضح است، زیرا معنا ندارد که واجب، منوط به رأی و نظر بعضی از 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 حالی که فرض آن است که واجب، واجب مطلق است نه مشروط</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امّا اخبار اولویّت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أُولُوالأَرْحامِ بَعْضُهُمْ أَوْلی بِبَعضٍ</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 در این باب</w:t>
      </w:r>
    </w:p>
    <w:p>
      <w:pPr>
        <w:pStyle w:val="BookText"/>
        <w:rPr/>
      </w:pPr>
      <w:r>
        <w:rPr>
          <w:rFonts w:ascii="IRNazanin" w:hAnsi="IRNazanin" w:eastAsia="IRNazanin"/>
          <w:color w:val="111111"/>
          <w:sz w:val="28"/>
          <w:sz w:val="28"/>
          <w:szCs w:val="28"/>
          <w:rtl w:val="true"/>
          <w:lang w:bidi="fa-IR"/>
        </w:rPr>
        <w:t xml:space="preserve">اخباری آمده است که اولویّت انجام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کفن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ولی و اولوالارحام میت می‌دهد، به ذکر دو خبر از آنها اکتفا می‌شود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غیاث بن ابراهیم که در تهذیب از حضرت علی علیه‌السلام روایت شده که فرموده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یغسل المیّت اولی النّاس به</w:t>
      </w:r>
      <w:r>
        <w:rPr>
          <w:rStyle w:val="FootnoteAnchor"/>
          <w:rtl w:val="true"/>
        </w:rPr>
        <w:footnoteReference w:id="3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میت، او را غسل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من لایحضر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امیرالمؤمنین علیه‌السلام یغسل المیت اولی الناس به او من یأمره الولی بذلک</w:t>
      </w:r>
      <w:r>
        <w:rPr>
          <w:rStyle w:val="FootnoteAnchor"/>
          <w:rtl w:val="true"/>
        </w:rPr>
        <w:footnoteReference w:id="3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علیه‌السلام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مردم به میت او را غسل می‌دهد یا کسی که ولی میت او را به این کار امر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مرسل بزنطی و ابن عمیر از قول امام صادق علیه‌السلام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یصلی علی الجنازة اولی الناس بها او یأمر من یحبّ</w:t>
      </w:r>
      <w:r>
        <w:rPr>
          <w:rStyle w:val="FootnoteAnchor"/>
          <w:rtl w:val="true"/>
        </w:rPr>
        <w:footnoteReference w:id="35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سزاوارترین مردم به میت بر جنازه او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آن که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کس را که بخواهد به این کار امر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اخبار زیادی وارد شده که متضمّن اولویّت واحقیّت ولی و اوالوالأرحام، در مورد غسل و کفن و دفن و ادخال در قبر است، این اخبار معتضد به شهرت و اجماع و نیز معتضد به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گفته شد وجه تنافی این اخبار که اولویّت تصدّی این امور را به ولی میت یا خویشاوندان می‌دهد، آن است که با وجوب کفایی این امور منافات دارد، زیرا فرض آن است که این واجب، واجب مطلق است نه مشروط، پس اناطه وجوب به رأی و نظر بعضی 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یا خویشاوند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 در جامع المقاصد در پاسخ به اشکال فوق گفته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پوشیده نیست که اذن ولی فقط در جماعت خواندن نماز معتبر است نه در اصل نماز زیرا اصل نماز واجب کفایی است، پس چگونه ممکن است منوط به رأی یکی از مکلّفین شود؟ بنابراین اگر مردم بدون اجازه ولی میّت، به صورت فرادا نماز میت بخوانند کافی و مجزی خواهد بود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صاحب جواهر پس از نقل کلام محقّق ثانی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محقّق ثانی وجوب کفایی را درخصوص نماز میت ذکر کرده است، لکن واضح است که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نماز از احکام میت نیز جریان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غسل دادن و مانند آن که در مورد آنها ادعای وجوب کفائی شده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بعضی دیگر از فقها این اولویّت را مستحب دانسته‌اند نه واجب، چنان که در کلام محکی از غنیه در باب صلاة بر میت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المستحب أن یقوم للصلاة اولی الناس بالمیت او من یقدمه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نزدیکترین مردم به میت اقدام به نماز میت کند، یا کسی که ولی میت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میت نماز می‌خواند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صاحب جواهر در تأیید استحباب اولویّت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 اصل، عدم وجوب اولویّت است و عمومات و اطلاقاتی وجود دارد که بعضی از آنها صریح در عدم اعتبار اولویّت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 اعتبار اذن ولی باعث نهایت صعوبت و سختی است؛ چنان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اعتبار اذن الولی فی غایة الصعوبة سیّما مع التعدد و عدم حضور الجمیع او البعض و امکان الانتظار و عدمه فلایعلم حینئذٍ سقوطها او انتقالها الی حاکم الشرع و الاّ فعدول المسلمین</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اذن ولی باعث نهایت سختی و صعوبت است، مخصوصا در صورتی که اولیا متعدد باشند و تمام یا بعضی از آنها حاضر نباشند و انتظار ممکن باشد یا نباشد و در این صورت انتقال ولایت به حاکم شرع و درصورت نبودن حاکم به عدول مسلمین،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عمل مسلمین برخلاف آن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مسلمین برخلاف تمام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 ولیّ یا اولیا و انتظار برای آمدن </w:t>
      </w:r>
    </w:p>
    <w:p>
      <w:pPr>
        <w:pStyle w:val="BookText"/>
        <w:rPr/>
      </w:pPr>
      <w:r>
        <w:rPr>
          <w:rFonts w:ascii="IRNazanin" w:hAnsi="IRNazanin" w:eastAsia="IRNazanin"/>
          <w:color w:val="111111"/>
          <w:sz w:val="28"/>
          <w:sz w:val="28"/>
          <w:szCs w:val="28"/>
          <w:rtl w:val="true"/>
          <w:lang w:bidi="fa-IR"/>
        </w:rPr>
        <w:t>ولیّ و در صورت غیبت ولی انتقال آن به حاکم یا عدول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ما در هیچ زمانی نشنیده‌ایم که کسی متعرض هیچ یک از آنها شود و نیز احدی را ندیده‌ایم که در تغسیل میّتِ بدون ولی، منتظر اذن حاکم شرع یا عدول مسلمین باشد و نیز احدی را ندیده‌ایم که تغسیل میت را معطل کند و انتظار بکشد که ولیّ میت بیاید، او را غسل دهد، یا از او اجازه تغسیل بگیرد و احدی را ندیدیم که به خاطر خلل و نبودن ولی یا عدم اذن حاکم، غسل میتّ را اعاده کند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در نصوص تفصیل هیچ حکمی از این احکام نیامده، با آن که این احکام زیادند و شناخت حکم این موارد مشکل است، این خود بزرگترین شاهد بر عدم وجوب بر 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مشعر بر استحباب است نه وجوب، چنان که در کلمات اصحاب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نماز میت نیز مشعر بر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صاحب جواهر در این مسأله قایل به وجوب کفایی است، البته با رعایت اولویّت اذن ولیّ میّت، چنان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قابل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قایل به وجوب کفایی شویم، البته با رعایت اولویّت مذکور، بنابراین غسل و دفن و تکفین و سایر احکام واجب میّت بدون اجازه ولی جایز نیست، بخصوص در صورتی که ولی از آن نهی نموده و خود اراده کرده باشد که میّت را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عنوان شاهد و مؤیّد مختار خود می‌گوید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فقیه در کتاب و سنّت دقّت کند و نیز در احوال سلف و خلف از سایر مسلمین و بلکه غیر مسلمین در طی قرون و اعصار و در بلاد مختلف ملاحظه و دقت کند، با قطع و یقین درمی‌یابد که انسان از نظر مداخله اقوام و ذی رحم </w:t>
      </w:r>
      <w:bookmarkStart w:id="352" w:name="pg4331_49113"/>
    </w:p>
    <w:p>
      <w:pPr>
        <w:pStyle w:val="BookText"/>
        <w:rPr/>
      </w:pPr>
      <w:bookmarkEnd w:id="352"/>
      <w:r>
        <w:rPr>
          <w:rFonts w:ascii="IRNazanin" w:hAnsi="IRNazanin" w:eastAsia="IRNazanin"/>
          <w:color w:val="111111"/>
          <w:sz w:val="28"/>
          <w:sz w:val="28"/>
          <w:szCs w:val="28"/>
          <w:rtl w:val="true"/>
          <w:lang w:bidi="fa-IR"/>
        </w:rPr>
        <w:t>در کارهای او، غیر از سایر افراد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اقوام و خویشاوندان انسان برای او اولیایی قرار داده که آنها نسبت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کفن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اولی و شایسته‌ترند و این مقتضای نظام نوع انسانی و از مرتکزات طبیعی آنهاست، به طوری که اگر فردی از افراد بیگانه و غیر ذی رحم بدون اجازه ولی میت، در امور میت دخالت کند از سوی دیگران مورد مذمت و ملامت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ولی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سایر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دیگران در امور میت دخالت کند هیچ کس بر او اعتراض نخواهد کرد، بلکه عمل او نزد صاحبان بصیرت و عقول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دخالت فامیل و اقوام میت در امور میت از امور مرتکز در طبیعت نوع افراد انسان است و شرع مقدّس هم آن را تأیید و تقریر فرموده است، زیرا در اغلب موارد دخالت ذی رحم و اولیای میت در امور او، به نفع و مصلحت میت بوده و برای قطع قیل و قال و رفع نزاع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سپس در مقام جواب از اشکال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بین وجوب کفایی و دخالت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وجوب این عمل بر سایر 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منوط بودن انجام این عمل به رأی و اجازه ولیّ اصلاً منافاتی وجود ندارد و در حقیقت اگر درست دقّت و تأمل شود، وجوب کفایی این عمل منوط به رأی و نظر فرد خاصّی نیست تا منافات حاصل شود، زیرا در واقع اذن ولیّ میّت شرط صحّت عمل است و بین وجوب مطلق و بین شرط صحّت فعل، منافاتی نیست</w:t>
      </w:r>
      <w:r>
        <w:rPr>
          <w:rFonts w:eastAsia="IRNazanin" w:cs="IRNazanin"/>
          <w:color w:val="111111"/>
          <w:sz w:val="28"/>
          <w:szCs w:val="28"/>
          <w:rtl w:val="true"/>
          <w:lang w:bidi="fa-IR"/>
        </w:rPr>
        <w:t>.</w:t>
      </w:r>
    </w:p>
    <w:p>
      <w:pPr>
        <w:pStyle w:val="Heading4"/>
        <w:numPr>
          <w:ilvl w:val="3"/>
          <w:numId w:val="1"/>
        </w:numPr>
        <w:rPr/>
      </w:pPr>
      <w:bookmarkStart w:id="353" w:name="__RefHeading___Toc1014851_1479056682"/>
      <w:bookmarkStart w:id="354" w:name="_Toc130"/>
      <w:bookmarkEnd w:id="353"/>
      <w:r>
        <w:rPr/>
        <w:t>7</w:t>
      </w:r>
      <w:r>
        <w:rPr>
          <w:rtl w:val="true"/>
        </w:rPr>
        <w:t xml:space="preserve"> - </w:t>
      </w:r>
      <w:r>
        <w:rPr>
          <w:rtl w:val="true"/>
        </w:rPr>
        <w:t>استدلال به سیره بر اشتراط سلطان عادل در وجوب نماز جمعه</w:t>
      </w:r>
      <w:bookmarkEnd w:id="354"/>
    </w:p>
    <w:p>
      <w:pPr>
        <w:pStyle w:val="BookText"/>
        <w:rPr/>
      </w:pPr>
      <w:r>
        <w:rPr>
          <w:rFonts w:ascii="IRNazanin" w:hAnsi="IRNazanin" w:eastAsia="IRNazanin"/>
          <w:color w:val="111111"/>
          <w:sz w:val="28"/>
          <w:sz w:val="28"/>
          <w:szCs w:val="28"/>
          <w:rtl w:val="true"/>
          <w:lang w:bidi="fa-IR"/>
        </w:rPr>
        <w:t>یکی از فرایض مهم اسلامی که جنبه عبادی سیاسی دارد،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به نصّ قرآن کریم و سنّت و به اجماع همه علمای اسلام واجب است و وجوب آن از ضروریات دین مبین اسلام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و مهمترین دلیل بر وجوب و اهمّیّت این فریضه بزرگ اسلامی آیاتی از سوره </w:t>
      </w:r>
    </w:p>
    <w:p>
      <w:pPr>
        <w:pStyle w:val="BookText"/>
        <w:rPr/>
      </w:pPr>
      <w:r>
        <w:rPr>
          <w:rFonts w:ascii="IRNazanin" w:hAnsi="IRNazanin" w:eastAsia="IRNazanin"/>
          <w:color w:val="111111"/>
          <w:sz w:val="28"/>
          <w:sz w:val="28"/>
          <w:szCs w:val="28"/>
          <w:rtl w:val="true"/>
          <w:lang w:bidi="fa-IR"/>
        </w:rPr>
        <w:t>جمعه است که به همه مسلمانان و اهل ایمان دستور می‌دهد که با شنیدن اذان روز جمعه به سوی این واجب بزرگ بشتابند و کار و کسب خود را رها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اِذا نُودِیَ لِلصَّلاةِ مِنْ یَوْمِ الْجُمُعَةِ فَاسْعَوا اِلی ذکرِ اللّه‌ِ وَ ذَرُوا البَیْعَ</w:t>
      </w:r>
      <w:r>
        <w:rPr>
          <w:rFonts w:eastAsia="Amiri" w:cs="Amiri" w:ascii="Amiri" w:hAnsi="Amiri"/>
          <w:color w:val="111111"/>
          <w:sz w:val="28"/>
          <w:szCs w:val="28"/>
          <w:rtl w:val="true"/>
          <w:lang w:bidi="ar-SA"/>
        </w:rPr>
        <w:t>»</w:t>
      </w:r>
      <w:r>
        <w:rPr>
          <w:rStyle w:val="FootnoteAnchor"/>
          <w:rtl w:val="true"/>
        </w:rPr>
        <w:footnoteReference w:id="3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نماز روز جمعه ندا داده شود، به سوی ذکر خدا بشتابید</w:t>
      </w:r>
    </w:p>
    <w:p>
      <w:pPr>
        <w:pStyle w:val="BookText"/>
        <w:rPr/>
      </w:pPr>
      <w:r>
        <w:rPr>
          <w:rFonts w:ascii="IRNazanin" w:hAnsi="IRNazanin" w:eastAsia="IRNazanin"/>
          <w:color w:val="111111"/>
          <w:sz w:val="28"/>
          <w:sz w:val="28"/>
          <w:szCs w:val="28"/>
          <w:rtl w:val="true"/>
          <w:lang w:bidi="fa-IR"/>
        </w:rPr>
        <w:t>و خرید و فروش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نیز تأکیدهای فراوانی بر وجوب و اهمّیّت اقامه نماز جمعه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در خطبه پیامبر اکرم صلی‌الله‌علیه‌و‌آله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تعالی فرض علیکم الجمعة فمن ترکها فی حیاتی او بعد موتی استخفافا بها او جحودا لَها فلاجمع اللّه شمله و لابارک له فی امره، ألا و لاصلاة له، ألا و لازکاة له، ألا و لاحجّ له، ألا و لابرّ له حتّی یتوب</w:t>
      </w:r>
      <w:r>
        <w:rPr>
          <w:rStyle w:val="FootnoteAnchor"/>
          <w:rtl w:val="true"/>
        </w:rPr>
        <w:footnoteReference w:id="3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خدای تعالی نماز جمعه را بر شما واجب فرموده هر کس آن را در حیات من یا بعد از وفات من از روی استخفاف یا انکار ترک کند خداوند او را پریشان می‌کند و به کار او برکت نمی‌دهد، آگاه باشید که نماز او قبول نمی‌شود، بدانید که زکات او پذیرفته نیست، بدانید که حج او قبول نمی‌شود، بدانید که اعمال نیک او قبول نخواهد شد، تا زمانی 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باقر علیه‌السلام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الجُمعةِ فَریضةٌ وَ الاِجتماعُ اِلَیها فَریضةٌ مَعَ الإمامِ فَاِنْ تَرَکَ رجلٌ مِن غَیر عِلّةٍ ثَلاثَ جُمَعٍ فَقَد تَرَکَ ثلاثَ فَرائِضَ وَ لا یَدَعُ ثَلاثَ فَرائِضَ مِنْ غَیرِ عِلّةٍ اِلاّ مُنافِقٌ</w:t>
      </w:r>
      <w:r>
        <w:rPr>
          <w:rStyle w:val="FootnoteAnchor"/>
          <w:rtl w:val="true"/>
        </w:rPr>
        <w:footnoteReference w:id="3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جمعه فریضه است و اجتماع برای آن به همراه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هرگاه مردی بدون عذر، سه جمعه را ترک گوید، سه فریضه را ترک گفته و کسی سه فریضه را بدون عذر و علّت ترک نمی‌کند مگر منافق</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اصل بحث ما در این قسمت درباره استدلال به سیره در مورد یکی از شرایط وجوب نماز جمعه است، ولی به لحاظ اهمّیّت این فریضه بزرگ الهی که دارای ابعاد عبادی، سیاسی و اجتماعی است، ابتدا حکم آن را در زمان حضور معصوم و آنگاه در </w:t>
      </w:r>
    </w:p>
    <w:p>
      <w:pPr>
        <w:pStyle w:val="BookText"/>
        <w:rPr/>
      </w:pPr>
      <w:r>
        <w:rPr>
          <w:rFonts w:ascii="IRNazanin" w:hAnsi="IRNazanin" w:eastAsia="IRNazanin"/>
          <w:color w:val="111111"/>
          <w:sz w:val="28"/>
          <w:sz w:val="28"/>
          <w:szCs w:val="28"/>
          <w:rtl w:val="true"/>
          <w:lang w:bidi="fa-IR"/>
        </w:rPr>
        <w:t>زمان غیبت بیان کرده و اقوال مختلف را اجمالاً ذکر خواهیم کرد و پس از آن به بیان استدلال به سیره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نماز جمعه در زمان حضور و تمکّن معصوم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وجوب نماز جمعه امام عادل یا نایب ایشان است، مراد از امام عادل که گاهی از آن به سلطان عادل تعبیر می‌شود، امام معصوم یا نایب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فقها چه آنان که حضور و اذن معصوم علیه‌السلام را در نماز جمعه شرط می‌دانند و چه آنان که منکر اشتراط چنین شرطی هستند، همه اتّفاق نظر دارند که در زمان حضور معصوم و به هنگام قدرت و حکومت او، نماز جمعه واجب تعیینی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نماز جمعه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حکم نماز جمعه در زمان غیبت بین فقهای</w:t>
      </w:r>
    </w:p>
    <w:p>
      <w:pPr>
        <w:pStyle w:val="BookText"/>
        <w:rPr/>
      </w:pPr>
      <w:r>
        <w:rPr>
          <w:rFonts w:ascii="IRNazanin" w:hAnsi="IRNazanin" w:eastAsia="IRNazanin"/>
          <w:color w:val="111111"/>
          <w:sz w:val="28"/>
          <w:sz w:val="28"/>
          <w:szCs w:val="28"/>
          <w:rtl w:val="true"/>
          <w:lang w:bidi="fa-IR"/>
        </w:rPr>
        <w:t>شیعه اختلاف شدیدی وجود دارد، شاید کمتر مسأله فقهی را در فقه شیعه بتوان یافت که درباره آن چنین اختلافات وسیعی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اصلی این اختلاف، بحث پیرامون اشتراط یا عدم اشتراط معصوم یا نایب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اسباب این اختلاف نزد شیعه و روشن نبودن حکم نماز جمعه در زمان غیبت، در امور زیر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ائمه علیهم‌السلام در زمانی که مقبوض الید بودند و حکومت به دست مخالفان بود، نماز جمعه را ترک می‌کردند و بعضی اوقات در نماز جمعه آنها حاضر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و یاران ائمه علیهم‌السلام معمولاً از شرکت در نماز جمعه مخالفین خودداری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عملیّه قائم بر اقامه نماز جمعه این بوده که این فریضه به وسیله امرا و خلفا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خلفای حق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وسیله منصوبین از جانب آنان اقامه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بعضی از روایات که موهم جواز ترک در زمان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عامل عمده، قبض ید شیعه و تقیّه شدید حاکم بر آنها در خصوص اقامه جمعه بوده، که اقامه آن از شؤون خلفا و امرا بوده است و بعد از رسیدن سلطنت و حکومت به دست شیعیان، این مسأله تاکنون در میان شیعیان اختلافی باقی مانده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اقوال مختلف علمای شیعه را درباره نماز جمعه در عصر غیبت در اقوال زیر خلاصه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مشروعیّت و بطلان، این قول به ابن ادریس و سلاّر و سیّد مرتضی و به بعضی دیگر از علما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تخییری،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بین نماز ظهر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بین متأخرین از فقها وجوب تخییری نماز جمعه در عصر غیبت است و نیز کسانی که قایل به جواز یا استحباب نماز جمعه در عصر غیبت هستند، باتوجه به این که نماز جمعه را مجزی از ظهر می‌دانند، قایل به وجوب تخییری می‌باشند، زیرا واضح و مسلم است که عمل مستحب، از واجب کفایت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ثبوت تخییر فقط برای مجتهد نه غیر مجتهد، این قول از محقّق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 وجوب تخییر نماز جمعه در زمان غیبت را مشروط به اقامه آن توسط فقیه جامع الشرایط می‌داند و انجام آن را در غیر این صورت مشروع نمی‌داند، حتّی محقّق ثانی این قول را به همه قایلین وجوب تخییری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 یک از علمای امامیّه را نمی‌شناسیم که در عصری از اعصار، به وجوب تعیینی به طور مطلق یا وجوب تخییری بدون حضور فقیه، در زمان غیبت تصریح کرده باشد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انعقاد نماز جمعه بر فقیه و حرمت آن بر غیر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این قول را از محدث متبحر شیخ حسین بن عصفور نقل کرده است</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مجتهد اقامه جمعه به امامت وی واجب است، ولی غیر مجتهد نمی‌تواند امامت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تعیینی بر تمام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فقها، قایل به وجوب تعیینی نماز جمعه در عصر غیبت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این قول را به عده‌ای از قدماء و متأخرین از فقهای امامیّه نسبت داده است</w:t>
      </w:r>
      <w:r>
        <w:rPr>
          <w:rFonts w:eastAsia="IRNazanin" w:cs="IRNazanin"/>
          <w:color w:val="111111"/>
          <w:sz w:val="28"/>
          <w:szCs w:val="28"/>
          <w:rtl w:val="true"/>
          <w:lang w:bidi="fa-IR"/>
        </w:rPr>
        <w:t>.</w:t>
      </w:r>
      <w:r>
        <w:rPr>
          <w:rStyle w:val="FootnoteAnchor"/>
          <w:rtl w:val="true"/>
        </w:rPr>
        <w:footnoteReference w:id="36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ظاهر عبارات بسیاری از فقها وجوب تعیینی نماز جمعه در عصر غیبت است و عدّه‌ای از آنها رساله‌هایی در این زمینه تألیف کرده‌اند که به عنوان نمونه اسامی </w:t>
      </w:r>
    </w:p>
    <w:p>
      <w:pPr>
        <w:pStyle w:val="BookText"/>
        <w:rPr/>
      </w:pPr>
      <w:r>
        <w:rPr>
          <w:rFonts w:ascii="IRNazanin" w:hAnsi="IRNazanin" w:eastAsia="IRNazanin"/>
          <w:color w:val="111111"/>
          <w:sz w:val="28"/>
          <w:sz w:val="28"/>
          <w:szCs w:val="28"/>
          <w:rtl w:val="true"/>
          <w:lang w:bidi="fa-IR"/>
        </w:rPr>
        <w:t>برخی از آنها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در مقنعه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ابوالصلاح حلبی در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در من لایحضره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کلینی در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ثانی در رساله وجوب نماز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حسن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رساله‌اش به نام الاثنی عشریّه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حسین بن عبدالصمد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العقد الطهماسبی که در تتمه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یحتم فعله فی زماننا صلاة الجمعة، لدفع تشنیع اهل السنّة </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در باب صلاة الجمعة از کتاب بحار الانوار، جلد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مولی محسن فیض در رساله الشهاب الثاقب مؤلف، این رساله را در اثبات وجوب عینی نماز جمعه در عصر غیبت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الذریعه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اثبات الوجوب العینی لصلاة الجمعة فی زمان الغیبة</w:t>
      </w:r>
      <w:r>
        <w:rPr>
          <w:rStyle w:val="FootnoteAnchor"/>
          <w:rtl w:val="true"/>
        </w:rPr>
        <w:footnoteReference w:id="36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یوسف بحرانی در الحدائق الناضرة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محقّق کرکی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سید محمّد تقی خوانساری از مراجع تقلید ساکن قم که در زمان حیاتشان شخصا نماز جمعه را اقامه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عدم مشروعیت حرمت تکلیفی آن، این قول از ظاهر عبارت کشف اللّثام برمی‌آید چنان که در جواهر از کشف اللثام نقل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لم یقطع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الظهر تحرزا عن غصب منصب الامام و الاقتداء بغاصبه و فعل عبادة غیر مشروعة</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که یقین به صدور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اقامه نماز جمعه پیدا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می‌خواند، به خاطر این که </w:t>
      </w:r>
    </w:p>
    <w:p>
      <w:pPr>
        <w:pStyle w:val="BookText"/>
        <w:rPr/>
      </w:pPr>
      <w:r>
        <w:rPr>
          <w:rFonts w:ascii="IRNazanin" w:hAnsi="IRNazanin" w:eastAsia="IRNazanin"/>
          <w:color w:val="111111"/>
          <w:sz w:val="28"/>
          <w:sz w:val="28"/>
          <w:szCs w:val="28"/>
          <w:rtl w:val="true"/>
          <w:lang w:bidi="fa-IR"/>
        </w:rPr>
        <w:t>ازغصب منصب امام واقتدا به غاصب این منصب و انجام عبادتی غیر مشروع،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اشتراط سلطان عادل در وجوب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وجوب نماز جمعه وجود و حضور امام یا سلطان عادل و یا نماینده اوست، اکثر و بلکه می‌توان گفت تمام علما و فقهای شیعه اتّفاق نظر دارند که یکی از شرایط وجوب عینی نماز جمعه وجود امام یا سلطان عادل مبسوط الید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برای اثبات شرط مذکور به ادلّه زیر</w:t>
      </w:r>
    </w:p>
    <w:p>
      <w:pPr>
        <w:pStyle w:val="BookText"/>
        <w:rPr/>
      </w:pPr>
      <w:r>
        <w:rPr>
          <w:rFonts w:ascii="IRNazanin" w:hAnsi="IRNazanin" w:eastAsia="IRNazanin"/>
          <w:color w:val="111111"/>
          <w:sz w:val="28"/>
          <w:sz w:val="28"/>
          <w:szCs w:val="28"/>
          <w:rtl w:val="true"/>
          <w:lang w:bidi="fa-IR"/>
        </w:rPr>
        <w:t>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فقهای بزرگوار شیعه ادعای اجماع کرده‌اند که یکی از</w:t>
      </w:r>
    </w:p>
    <w:p>
      <w:pPr>
        <w:pStyle w:val="BookText"/>
        <w:rPr/>
      </w:pPr>
      <w:r>
        <w:rPr>
          <w:rFonts w:ascii="IRNazanin" w:hAnsi="IRNazanin" w:eastAsia="IRNazanin"/>
          <w:color w:val="111111"/>
          <w:sz w:val="28"/>
          <w:sz w:val="28"/>
          <w:szCs w:val="28"/>
          <w:rtl w:val="true"/>
          <w:lang w:bidi="fa-IR"/>
        </w:rPr>
        <w:t>شرایط وجوب نماز جمعه وجود و حضور امام یا نایب و مأمور از طرف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خلاف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شروط انعقاد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 شخص مأمور به اقامه جمعه از طرف امام است، مانند قاضی یا امیر یا امثال آنها، و هرگاه نماز جمعه بدون امر امام اقامه شود،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 و ابوحنیفه نیز قایل به همین قولند و 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مریض شود یا به سفر رود یا بمیرد و مردم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اقامه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بدارند که نماز جمعه را با آنها برگزار کند، صحیح خواهد بود، زیرا چنین موردی از باب ضرورت است و نماز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 و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ایشان مانند نماز جمعه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خلافی نیست در این که نماز جمعه به وسیله امام یا به امر او منعقد می‌شود و هرگاه امام و یا امر امام نباشد، برای انعقاد آن دلیلی نیست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اشکال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گذشته و در کتابهایتان روایت نکرده‌اید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اجتماع تعدادی که شرط انعقاد جمعه است، برای مردم روستاها و آبادی‌ها و مؤمنین جایز است که نماز جمعه را برگزار کنند ؟</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ائمه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شده و نسبت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ترغیب گردیده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اذن و ترغیب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آن است که امام کسی را برای اقامه جمعه نصب و تعیین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 شرط مذکور اجماع فرقه امامیّه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علمای</w:t>
      </w:r>
    </w:p>
    <w:p>
      <w:pPr>
        <w:pStyle w:val="BookText"/>
        <w:rPr/>
      </w:pPr>
      <w:r>
        <w:rPr>
          <w:rFonts w:ascii="IRNazanin" w:hAnsi="IRNazanin" w:eastAsia="IRNazanin"/>
          <w:color w:val="111111"/>
          <w:sz w:val="28"/>
          <w:sz w:val="28"/>
          <w:szCs w:val="28"/>
          <w:rtl w:val="true"/>
          <w:lang w:bidi="fa-IR"/>
        </w:rPr>
        <w:t>امامیّه در این که از شرایط انعقاد جمعه، امام یا امر امام است با هم اختلافی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علیه‌السلام روایت کرده که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بر هفت نفر از مسلمین واجب می‌شود و بر کمتر از هفت نفر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هفت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قاضیِ او، ادّعا کننده حقی، مدّعی علیه، دو شاهد، و کسی که در پیشگاه امام حدود را اجرا می‌کند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نسبت به شرط مذکور، اجماع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زمان پیامبر صلی‌الله‌علیه‌و‌آله تا زمان ما به جز خلفاء و امراء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اقامه جمعه بوده‌اند، کسی نماز جمعه را اقامه نکرده است، پس معلوم می‌شود که سیره و اجماع عملی اهل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بلاد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 جمعه را با امام یا نماینده او برگزار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رعیت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حضور امام یا نماینده‌اش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می‌شد، آن را همان گونه برگزار می‌کردند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مرحوم صاحب جواهر بعد از نقل عبارات فوق از خلاف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می‌بینی عبارت خلاف در نفی وجوب عینی نماز جمعه بدون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وجود امام یا مأمور از طرف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دارد، پس احتمال عبارت خلاف زیانی به وجوب تخییری یا توقف مشروعیت آن بر وجود امام ندارد، اگر چه ظاهر عبارت، اراده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کتب دیگر شیخ طوسی نیز همین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تخییری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می‌شود و در کتاب مبسوط در اوّل باب صلاة الجمعة، سلطان عادل یا منصوب از طرف</w:t>
      </w:r>
    </w:p>
    <w:p>
      <w:pPr>
        <w:pStyle w:val="BookText"/>
        <w:rPr/>
      </w:pPr>
      <w:r>
        <w:rPr>
          <w:rFonts w:ascii="IRNazanin" w:hAnsi="IRNazanin" w:eastAsia="IRNazanin"/>
          <w:color w:val="111111"/>
          <w:sz w:val="28"/>
          <w:sz w:val="28"/>
          <w:szCs w:val="28"/>
          <w:rtl w:val="true"/>
          <w:lang w:bidi="fa-IR"/>
        </w:rPr>
        <w:t>او را شرط وجوب نماز جمعه دانسته، می‌گوید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فامّاالشروط‌الراجعة الی صحّة الانعقاد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العادل او من یأمره السلطان </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 در آخر بحث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که مؤمنین در زمان تقیّه، نماز جمعه را اقامه کنند، به گونه‌ای که زیانی متوجه ایشان نشود، پس نماز جمعه را با دو خطبه برگزار می‌کنند و اگر متمکّن از ایراد خطبه نباشند، چهار رکعت نماز ظهر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نهایه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کردن در نماز جمعه واجب است به شرط آن که شرایط آن فراهم باشد و از جمله شرایط آن این است که امامی عادل یا شخص منصوب از طرف امام باشد که نماز جمعه را با مردم برگزار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باب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اشکالی ندارد که در زمان تقیّه،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اقامه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کنند، به گونه‌ای که زیانی متوجه آنان نشود، پس نماز جمعه را با دو خطبه برگزار می‌کنند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صاحب جواهر پس از نقل عباراتی از کتاب مبسوط و نهایه شیخ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صراحت کلام شیخ در نفی وجوب عینی انعقاد نماز جمعه مخفی نیست و نیز مخفی نیست ظهور کلامش در نفی وجوب عینی اجتماع و شرکت در نماز جمعه به خاطر منتفی بودن شرایط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سلطان عادل یا نماینده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جواز آن در زمان غیبت از باب رخصت است نه عزیمت، نه در انعقاد آن و نه در اجتماع و شرکت در آن بعد از انعقاد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محقّق ثانی بر نفی وجوب عینی نماز جمعه در زمان غیبت ادعای اجماع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امامیّه، طبقه‌ای پس از طبقه دیگر، از زمان امامان ما تا زمان ما بر انتفای وجوب عینی نماز جمعه در زمان غیبت، اجماع و اتّفاق نظر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اجماع علمای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عادل شرط وجوب نماز جمعه است، منظور از سلطان عادل، امام علیه‌السلام یا نایب عامّ اوست، یا نایب او در اقامه </w:t>
      </w:r>
    </w:p>
    <w:p>
      <w:pPr>
        <w:pStyle w:val="BookText"/>
        <w:rPr/>
      </w:pPr>
      <w:r>
        <w:rPr>
          <w:rFonts w:ascii="IRNazanin" w:hAnsi="IRNazanin" w:eastAsia="IRNazanin"/>
          <w:color w:val="111111"/>
          <w:sz w:val="28"/>
          <w:sz w:val="28"/>
          <w:szCs w:val="28"/>
          <w:rtl w:val="true"/>
          <w:lang w:bidi="fa-IR"/>
        </w:rPr>
        <w:t>نماز جمعه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شهید ثانی در شرح لمعه درباره حکم نماز جمعه در حال حضور امام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و حاصل مسأله آن است که در صورت حضور امام علیه‌السلام نماز جمعه جز به وسیله امام یا نایب خاصّ او که برای انعقاد نماز جمعه، یا برای اموری اعمّ از آن نصب شده منعقد نمی‌شود و بدون حضور امام، نماز جمعه ساقط می‌شود و این مسأله مورد اتّفاق فقهاست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درباره حکم آن در حال غیبت می‌فرماید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موارد بسیاری، فقها درباره حکم نماز جمعه در حال غیبت، گاهی تعبیر به جواز و زمانی تعبیر به استحباب کرده‌اند و این باتوجه به اجماع ایشان است که در زمان غیبت بر عدم وجوب تعیینی آن، اجماع و اتّفاق نظر دارند، و بر تقدیر وجوب، وجوب آن را از باب وجوب تخییری بین نماز جمعه و نماز ظهر می‌دانند، لیکن از نظر ایشان نماز جمعه از نماز ظهر افضل است و همین معنای استحباب است، بدین معنی که نماز جمعه واجب تخییری و مستحب عینی است، چنان که در تمام افراد واجب تخییری چنین است، به شرط آن که بعضی افراد آن نسبت به افراد دیگر راجح باشد و بر این اساس، در نماز جمعه نیت وجوب می‌شود و از نماز ظهر مجزی خواهد بود و به همین جهت است که بسیاری وقتها در کلام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و اشتباه حاصل می‌شود، زیرا فقها به صورت اجماعی و با اتّفاق نظر، امام یا نایب او را شرط وجوب می‌دانند، سپس حکم آن را در زمان غیبت ذکر می‌کنند و در آن اختلاف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ایهام به وجود می‌آید که اجماع مذکور مقتضی عدم جواز نماز جمعه در زمان غیبت، بدون فقیه است، در حالی که از نظر فقها نماز جمعه در زمان غیبت واجب عینی نیست و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نایب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شرط واجب عینی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وجوب عینی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است که عدّه‌ای از فقهای امامیّه قایل به عدم جواز اقامه آن در </w:t>
      </w:r>
    </w:p>
    <w:p>
      <w:pPr>
        <w:pStyle w:val="BookText"/>
        <w:rPr/>
      </w:pPr>
      <w:r>
        <w:rPr>
          <w:rFonts w:ascii="IRNazanin" w:hAnsi="IRNazanin" w:eastAsia="IRNazanin"/>
          <w:color w:val="111111"/>
          <w:sz w:val="28"/>
          <w:sz w:val="28"/>
          <w:szCs w:val="28"/>
          <w:rtl w:val="true"/>
          <w:lang w:bidi="fa-IR"/>
        </w:rPr>
        <w:t>زمان غیبت شده‌اند، به خاطر آن که شرط مذکور مفقود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عملی و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پس از نقل کلام عده زیادی از علما</w:t>
      </w:r>
    </w:p>
    <w:p>
      <w:pPr>
        <w:pStyle w:val="BookText"/>
        <w:rPr/>
      </w:pPr>
      <w:r>
        <w:rPr>
          <w:rFonts w:ascii="IRNazanin" w:hAnsi="IRNazanin" w:eastAsia="IRNazanin"/>
          <w:color w:val="111111"/>
          <w:sz w:val="28"/>
          <w:sz w:val="28"/>
          <w:szCs w:val="28"/>
          <w:rtl w:val="true"/>
          <w:lang w:bidi="fa-IR"/>
        </w:rPr>
        <w:t>که در مورد اشتراط امام یا نایب او بالاتفاق ادعای اجماع کرده‌اند، می‌فرماید با قطع نظر از اجماع مذکور می‌توان از ادلّه و امور دیگری به اشتراط مذکور قطع حاصل کرد که یکی</w:t>
      </w:r>
    </w:p>
    <w:p>
      <w:pPr>
        <w:pStyle w:val="BookText"/>
        <w:rPr/>
      </w:pPr>
      <w:r>
        <w:rPr>
          <w:rFonts w:ascii="IRNazanin" w:hAnsi="IRNazanin" w:eastAsia="IRNazanin"/>
          <w:color w:val="111111"/>
          <w:sz w:val="28"/>
          <w:sz w:val="28"/>
          <w:szCs w:val="28"/>
          <w:rtl w:val="true"/>
          <w:lang w:bidi="fa-IR"/>
        </w:rPr>
        <w:t>از آن امور سیره است که اساطین مذهب و علمای بزرگ نیز بدان اشاره کرده‌اند،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شرطیت امام در وجوب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است که بزرگان مذهب بدان اشاره کرده و فتاوی و اجماعاتشان با آن موافق است و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 مقام به آن اعتراف کرده و نتوانسته آن را انکار کند با آن که بر انکار ادلّه شرطیت حرص شدید دارد و نیز آنچه امروز در دست مخالفین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همین سیره است و احدی از علما آن را از بدعتها و مخترعات ایشان نشمرده است با آن که بدعتهای آنان را در فروع و اصول محصور و معین کرده‌اند و چیزی از آنها را فروگزار نکرده، همه را ذکر کرده‌اند، حتّی اذان دوم را برای عثمان در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و اگر در گذشته نماز جمعه در رأس هر فرسخ بدون نایب امام خوانده می‌شد، حتما شایع می‌گردید و انتشار می‌یافت و حتّی نزد اطفال معلوم می‌شد تا چه رسد به علمای ماهر در احکام، و امینان خداوند در زمین، پس هیچ شک و تردیدی نیست که این سیره را از گذشتگان خود دست به دست تا زمان پیامبر صلی‌الله‌علیه‌و‌آلهاخذ کرده‌اند و نیز تردیدی در دلالت این سیره بر شرطیت نیست، به علاوه که چیزی دال بر نفی آن از سوی ائمه علیهم‌السلام صادر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نشده، چنان که نسبت به تعیین ائمه جماعت و مؤذنین دستوراتی بر نفی آن صادر شده، به طوری که عدم اعتبار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ائمه جماعت یا 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تعیین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ضروری بلکه ضروری است، پس ادامه و استمرار این عمل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امام یا نایب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نص در شرطیت است و گرنه باعث اغرای به‌جهل وقصور درتبلیغ دین و بلکه </w:t>
      </w:r>
      <w:bookmarkStart w:id="355" w:name="pg4331_49134"/>
    </w:p>
    <w:p>
      <w:pPr>
        <w:pStyle w:val="BookText"/>
        <w:rPr/>
      </w:pPr>
      <w:bookmarkEnd w:id="355"/>
      <w:r>
        <w:rPr>
          <w:rFonts w:ascii="IRNazanin" w:hAnsi="IRNazanin" w:eastAsia="IRNazanin"/>
          <w:color w:val="111111"/>
          <w:sz w:val="28"/>
          <w:sz w:val="28"/>
          <w:szCs w:val="28"/>
          <w:rtl w:val="true"/>
          <w:lang w:bidi="fa-IR"/>
        </w:rPr>
        <w:t xml:space="preserve">باعث مخالفت با دستورات وحی شده به آنان می‌شود و اعتماد بر اطلاق وجوب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نماز جمعه به طور مطلق بر همه اعم از زمان حضور و غیبت واجب عینی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این عمل از ائمه علیهم‌السلامصادر شده و افعال آنها مانند اقوالشان حجت است، این اعتماد نادرست است، به علاوه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نایب خاصّ امام برای همیشه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نواب آنها برای تمام مردم در سراسر عالم کافی و پاسخگوی همه نخواهد بود، همان طور که کثرت عوارض نسبت به نواب اعم از مرگ و جنون و فسق و مانند آن، معلوم است، پس با فرض این که نماز جمعه در آن زمان جز با معصوم خوانده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این مطلب را از شیخ و دیگران که این سیره را حکایت کرده‌اند،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از آن است که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عینی نباشد</w:t>
      </w:r>
      <w:r>
        <w:rPr>
          <w:rFonts w:eastAsia="IRNazanin" w:cs="IRNazanin"/>
          <w:color w:val="111111"/>
          <w:sz w:val="28"/>
          <w:szCs w:val="28"/>
          <w:rtl w:val="true"/>
          <w:lang w:bidi="fa-IR"/>
        </w:rPr>
        <w:t>.»</w:t>
      </w:r>
      <w:r>
        <w:rPr>
          <w:rStyle w:val="FootnoteAnchor"/>
          <w:rtl w:val="true"/>
        </w:rPr>
        <w:footnoteReference w:id="373"/>
      </w:r>
    </w:p>
    <w:p>
      <w:pPr>
        <w:pStyle w:val="Heading4"/>
        <w:numPr>
          <w:ilvl w:val="3"/>
          <w:numId w:val="1"/>
        </w:numPr>
        <w:rPr/>
      </w:pPr>
      <w:bookmarkStart w:id="356" w:name="__RefHeading___Toc1014853_1479056682"/>
      <w:bookmarkStart w:id="357" w:name="_Toc131"/>
      <w:bookmarkEnd w:id="356"/>
      <w:r>
        <w:rPr/>
        <w:t>8</w:t>
      </w:r>
      <w:r>
        <w:rPr>
          <w:rtl w:val="true"/>
        </w:rPr>
        <w:t xml:space="preserve"> - </w:t>
      </w:r>
      <w:r>
        <w:rPr>
          <w:rtl w:val="true"/>
        </w:rPr>
        <w:t>سیره قطعی بر جواز اعانت به ظالمین در امور مباح</w:t>
      </w:r>
      <w:bookmarkEnd w:id="357"/>
    </w:p>
    <w:p>
      <w:pPr>
        <w:pStyle w:val="BookText"/>
        <w:rPr/>
      </w:pPr>
      <w:r>
        <w:rPr>
          <w:rFonts w:ascii="IRNazanin" w:hAnsi="IRNazanin" w:eastAsia="IRNazanin"/>
          <w:color w:val="111111"/>
          <w:sz w:val="28"/>
          <w:sz w:val="28"/>
          <w:szCs w:val="28"/>
          <w:rtl w:val="true"/>
          <w:lang w:bidi="fa-IR"/>
        </w:rPr>
        <w:t>یکی از کسبهای حرام که فقها آن را در بخش مکاسب محرمه ذکر می‌کنندمعونت به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حرمت آن قطعی و مسلّم است اعانت به ظالمین در ظلم آنهاست، چنان که عناوین مطرح شده در این مسأله در کتب مختلف فقهی، شاهد و مؤیّد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بخش مکاسب محرّمه از کتاب مکاسب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معونة الظالمین فی ظلمهم حرامٌ بالادلّة الاربعة و هو من الکبائر</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ستم ستمگران، بنا به ادلّه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در شرایع، معونت به ظالمین را جزء قسم چهارم از انواع کسبهای حرام قرار داده و می‌فرماید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 ما هو محرم فی نفسه کعمل الصور المجسّمة و الغناء و معونة الظالمین بما </w:t>
      </w:r>
    </w:p>
    <w:p>
      <w:pPr>
        <w:pStyle w:val="BookText"/>
        <w:rPr/>
      </w:pPr>
      <w:r>
        <w:rPr>
          <w:rFonts w:ascii="IRNazanin" w:hAnsi="IRNazanin" w:eastAsia="IRNazanin"/>
          <w:color w:val="111111"/>
          <w:sz w:val="28"/>
          <w:sz w:val="28"/>
          <w:szCs w:val="28"/>
          <w:rtl w:val="true"/>
          <w:lang w:bidi="fa-IR"/>
        </w:rPr>
        <w:t>یحرم</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کسبهای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است که فی نفسه حرام باشد مانند مجسمه‌سازی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به ستمگران در امری که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قرینه کلمه ظالمین در عنوان فوق طبق قاعده معروف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حکم بر وصف مُشعر به علیّت مبدأ اشتقاق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منظور از حرمت معونت ظالمین، حرمت معاونت در ظلم آنهاست، امّا حرمت، اختصاص به معونت ظالمین ندارد، زیرا طبق آیات و روایات به طور کلّی تعاون بر معصیت و اثم حرام است، بنابراین</w:t>
      </w:r>
    </w:p>
    <w:p>
      <w:pPr>
        <w:pStyle w:val="BookText"/>
        <w:rPr/>
      </w:pPr>
      <w:r>
        <w:rPr>
          <w:rFonts w:ascii="IRNazanin" w:hAnsi="IRNazanin" w:eastAsia="IRNazanin"/>
          <w:color w:val="111111"/>
          <w:sz w:val="28"/>
          <w:sz w:val="28"/>
          <w:szCs w:val="28"/>
          <w:rtl w:val="true"/>
          <w:lang w:bidi="fa-IR"/>
        </w:rPr>
        <w:t>اعانت به هر عاصی در معصیتش نیز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عَلَی البِرّ وَ التَّقوی وَ لا تَعاوَنوُا عَلَی الإِثمِ وَ العُدْوانِ</w:t>
      </w:r>
      <w:r>
        <w:rPr>
          <w:rFonts w:eastAsia="Amiri" w:cs="Amiri" w:ascii="Amiri" w:hAnsi="Amiri"/>
          <w:color w:val="111111"/>
          <w:sz w:val="28"/>
          <w:szCs w:val="28"/>
          <w:rtl w:val="true"/>
          <w:lang w:bidi="ar-SA"/>
        </w:rPr>
        <w:t>»</w:t>
      </w:r>
      <w:r>
        <w:rPr>
          <w:rStyle w:val="FootnoteAnchor"/>
          <w:rtl w:val="true"/>
        </w:rPr>
        <w:footnoteReference w:id="3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نیکی و پرهیزگاری با هم تعاون و همکاری کنید و در راه گناه و دشمنی همکاری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یک اصل کلّی اسلامی ذکر شده که تمام مسائل اجتماعی و حقوقی و اخلاقی جامعه را در بر می‌گیرد، طبق این اصل مسلمانان موظفند در کارهای نیک و آنچه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یکدیگر همکاری کنند و همکاری در اعمال خلاف و نادرست و ظلم و ستم ممنوع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اسلامی با توجه به همین اصل کلّی پاره‌ای از معاملات و قراردادهای تجاری که جنبه کمک به گناه دارد تحریم شده است، مانند فروختن سلاح به دشمنان و یا اجاره دادن محلّ کسب و کار برای معاملات نامشروع و یا فروختن انگور برای شراب سازی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بحث آن است که آیا مطلق اعانت به ظالمین حرام است، به طوری که شامل امور مباح هم بشود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دوختن لباس، یا ساختن خانه و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اخبار متواتره و مستفیضه به دست می‌آید آن است که اعانت حرام عبارت است از اعانت بر مظالم ستمگران و به طور کلّی کارهایی که فی نفسه حرام است، نه امور مباح، ولی در مورد منع از اعانت به ظالمین در امور مباح نیز روایات متواتره و </w:t>
      </w:r>
    </w:p>
    <w:p>
      <w:pPr>
        <w:pStyle w:val="BookText"/>
        <w:rPr/>
      </w:pPr>
      <w:r>
        <w:rPr>
          <w:rFonts w:ascii="Amiri" w:hAnsi="Amiri" w:eastAsia="Amiri" w:cs="Amiri"/>
          <w:color w:val="111111"/>
          <w:sz w:val="28"/>
          <w:sz w:val="28"/>
          <w:szCs w:val="28"/>
          <w:rtl w:val="true"/>
          <w:lang w:bidi="ar-SA"/>
        </w:rPr>
        <w:t>نصوص مستفیضه‌ای وارد شده است، مانند خبر یونس بن یعقوب که امام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لاتُعِنْهُمْ عَلی بَناءِ مَسْجِدٍ</w:t>
      </w:r>
      <w:r>
        <w:rPr>
          <w:rStyle w:val="FootnoteAnchor"/>
          <w:rtl w:val="true"/>
        </w:rPr>
        <w:footnoteReference w:id="3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ساختن مسجد اعانت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صفّوان جمال می‌بینیم که از کرایه دادن شتران به هارون الرشید حتّی برای سفر مکه نهی شده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از پیامبر اکرم صلی‌الله‌علیه‌و‌آله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کان یوم القیامة نادی مُنادٍ اَیْنَ الظَّلَمةُ ؟ و اَعوانُ الظَلمة و أشباهُ الظّلَمة ؟ حتّی مَنْ بَری لَهُمْ قَلَما وَ لاقَ لَهُم دَواةً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فَیَجتَمِعُون فی تابوتٍ مِنْ حَدیدٍ ثُمّ یُرْمی بِهِمْ فی جَهَنَّمَ</w:t>
      </w:r>
      <w:r>
        <w:rPr>
          <w:rStyle w:val="FootnoteAnchor"/>
          <w:rtl w:val="true"/>
        </w:rPr>
        <w:footnoteReference w:id="3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روز قیامت فرا رسد، منادی ندا می‌کند کجا هستند ستمکاران و کجا هستند یاوران آنها و کسانی که خود را شبیه آنها ساخته‌اند، حتّی کسانی که برای آنها قلمی تراشیده‌اند و یا دواتی را لیقه کرده‌اند، همه آنها را در تابوتی از آهن قرار می‌دهند، سپس در میان جهنم پرتاب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نهی از اعانت ظالمین در امور مباح، به خاطر آن باشد که معمولاً اعانت به ایشان در امور مباح به تدریج منجر به اعانت در محرّمات و مظالم ایشان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 بنی امیّة وَ جَدوا لَهُم مَن یَکتُبُ و یَجْبِی لَهُمْ الْفَیْ‌ءَ و یُقاتِلُ عَنْهم وَ یَشْهَدُ جَماعَتَهُم لَما سَلَبُونا حَقَّنا وَلَوْ تَرَکَهُمُ النّاسُ وَ ما فی اَیْدیهِمْ ما وَجَدوُا شَیئا اِلاّ ما وَقَعَ فیأَیْدیهِمْ</w:t>
      </w:r>
      <w:r>
        <w:rPr>
          <w:rStyle w:val="FootnoteAnchor"/>
          <w:rtl w:val="true"/>
        </w:rPr>
        <w:footnoteReference w:id="3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بنی امیه کسی را نمی‌یافتند که برای آنهابنویسد و زکات جمع کند و از آنها دفاع کند و در جماعت ایشان حاضر شود، هرگز حق ما را از ما سلب نمی‌کردند، اگر مردم ایشان را با آنچه داشتند، به حال خود رها می‌کردند، آنان جز آنچه که خود داشتند مال و قدرتی نمی‌یافتند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درباره اعانت به ظالمین در غیر محرمات می‌گوید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درباره اعانت به ظالمین در امور غیر محرّم، ظاهر بسیاری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حرمت اعانت در این امور است، مانند بعضی از اخباری که گذشت و مانند </w:t>
      </w:r>
    </w:p>
    <w:p>
      <w:pPr>
        <w:pStyle w:val="BookText"/>
        <w:rPr/>
      </w:pPr>
      <w:r>
        <w:rPr>
          <w:rFonts w:ascii="IRNazanin" w:hAnsi="IRNazanin" w:eastAsia="IRNazanin"/>
          <w:color w:val="111111"/>
          <w:sz w:val="28"/>
          <w:sz w:val="28"/>
          <w:szCs w:val="28"/>
          <w:rtl w:val="true"/>
          <w:lang w:bidi="fa-IR"/>
        </w:rPr>
        <w:t>قول امام صادق در روایت یونس بن یعقوب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مسجد اعانت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مشهور عدم حرمت اعانت، در این گونه امور است، زیرا اعانت حرم را مقیّد به اعانت در ظلم کرده‌اند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وی 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حرمت در این گونه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اعانت کننده از اعوان ظلمه به حساب آید، یعنی عرفا او را از اعوان ظلمه به حساب آورند، به طوری که انجام آن عملِ مباح برای او منصبی از مناصب دربار حاکم ظالم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زمینه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قویتر، تحریم اعانت است، در صورتی که اعانت کننده از اعوان و یاران ظلمه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صِرف اعانت به ظالمین در ساختن مسجد، حرام نیست، جز آن که هرگاه شخص اعانت کننده، معمار یا بنّاء شخص ظالم شمرده شود، گر چه در خصوص مسجد باشد، به گونه‌ای که این عمل برای او منصب و مقامی در دربار سلطان باشد، در این صورت این عمل حرام خواهد بود و تمام روایاتی که در مذمّت یاوران ظلمه، وارد شده، دلالت بر حرمت اعانت به ظالمین می‌کند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شیخ سپس روایات دیگری در این مورد ذکر می‌کند، مانند فرمایش امام صادق علیه‌السلامکه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سَوّدَ اسمَه فی دیوان وُلْد سابع، حشره اللّه یوم القیامة خنزیرا</w:t>
      </w:r>
      <w:r>
        <w:rPr>
          <w:rStyle w:val="FootnoteAnchor"/>
          <w:rtl w:val="true"/>
        </w:rPr>
        <w:footnoteReference w:id="3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نام خود را در دیوان بنی عباس بنویسد، خداوند در روز قیامت او را به صورت خوک محشور می‌کند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سابع که در روایت آمده، 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اخبار ما تعبیر شایعی است که به عنوان تقیّه به کار رفته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امام صادق علیه‌السلام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اقترب عبدٌ من سلطان جائر اِلاّ تباعد من اللّه‌</w:t>
      </w:r>
      <w:r>
        <w:rPr>
          <w:rStyle w:val="FootnoteAnchor"/>
          <w:rtl w:val="true"/>
        </w:rPr>
        <w:footnoteReference w:id="3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به سلطان ستمگر نزدیک نشد مگر آن که از خداوند دور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صلی‌الله‌علیه‌و‌آله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ابوابَ السلطان و حواشیها، فَإنّ أقربکم من أبواب السلطان و حواشیها، أبعدکم من اللّه</w:t>
      </w:r>
    </w:p>
    <w:p>
      <w:pPr>
        <w:pStyle w:val="BookText"/>
        <w:rPr/>
      </w:pPr>
      <w:r>
        <w:rPr>
          <w:rFonts w:ascii="Amiri" w:hAnsi="Amiri" w:eastAsia="Amiri" w:cs="Amiri"/>
          <w:color w:val="111111"/>
          <w:sz w:val="28"/>
          <w:sz w:val="28"/>
          <w:szCs w:val="28"/>
          <w:rtl w:val="true"/>
          <w:lang w:bidi="ar-SA"/>
        </w:rPr>
        <w:t>عزّ و جلّ</w:t>
      </w:r>
      <w:r>
        <w:rPr>
          <w:rStyle w:val="FootnoteAnchor"/>
          <w:rtl w:val="true"/>
        </w:rPr>
        <w:footnoteReference w:id="3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نزدیک شدن به دربار سلطان و اطرافیان او بپرهیزید، زیرا نزدیکترین شما به دربار و اطرافیان سلطان، دورترین شما از خدای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مورد کارکردن برای ظالمان در امور مباح، برای گرفتن اجرت یا تبرّعا، بدون آن که از اعوان ظلمه به حساب آید، قایل به عدم حرمت است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کار کردن برای ستمگر، در امور مباح، به خاطر گرفتن اجرت یا به صورت تبرّعی، بدون آن که در آن کار یاور او شمرده شود، تا چه رسد به آن که از اعوان و انصار او به حساب آید، در این مورد، اَوْلی عدم حرمت است، به خاطر این که اصل عدم حرمت است و نیز به خاطر آن که به جز ظاهر بعضی اخبار، دلیلی بر حرمت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در پایان بحث، عمل حرام برای ظالمین را به دو قسم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 اعانت بر ظلم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 عملی که عامل، از اعوان و منسوبین ظلمه به حساب آید، به طوری که مثلاً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خیاط سلطان است و یا این شخص معمار سلطان می‌باشد</w:t>
      </w:r>
      <w:r>
        <w:rPr>
          <w:rFonts w:eastAsia="IRNazanin" w:cs="IRNazanin"/>
          <w:color w:val="111111"/>
          <w:sz w:val="28"/>
          <w:szCs w:val="28"/>
          <w:rtl w:val="true"/>
          <w:lang w:bidi="fa-IR"/>
        </w:rPr>
        <w:t>.</w:t>
      </w:r>
      <w:r>
        <w:rPr>
          <w:rStyle w:val="FootnoteAnchor"/>
          <w:rtl w:val="true"/>
        </w:rPr>
        <w:footnoteReference w:id="38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نیز روایات زیادی را نقل می‌کند که ظاهر آنها دلالت بر حرمت کمک به ظالمین در امور مباح دارد، مانند روایت صفوان جمال و روایت یونس بن یعقوب که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لاتُعِنْهُم عَلی بَناءِ مَسْجَدٍ و خبر ابن ابی یعفور که در آن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کُنتُ عِند أبی عَبدِاللّه علیه‌السلام فَدَخَلَ عَلَیْهِ رجلٌ مِنْ أصْحابِنا فَقالَ لَهُ جُعلت فِداکَ إنَّهُ رُبَما أصابَ الرجلُ مِنّا الضیقَ او الشّدةَ فیُدْعی اِلی البَناءِ یَبْنیِهِ، اَوِ النَّهرِ یَکرِیهِ، اَوِ المُسنّاةِ یَصْلَحُها فَما تَقُولُ فی ذلِکَ ؟ فَقالَ اَبوُ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أَنّی عَقَدْتُ لَهُمْ عُقْدَةً، أوْ وَکَیْتُ لَهُمْ وِکاءً و إنْ لِی ما بَیْنَ لابِتَیْها، لا وَ لا مَدَّةً بِقَلَمٍ إنَّ اَعْوانَ الظَّلَمَةِ یَوْمَ القِیامَةِ فیسُرادِقَ مِنْ نارٍ حتّی یَحْکُمَ اللّه‌ُ بَیْنَ العِبادِ</w:t>
      </w:r>
      <w:r>
        <w:rPr>
          <w:rStyle w:val="FootnoteAnchor"/>
          <w:rtl w:val="true"/>
        </w:rPr>
        <w:footnoteReference w:id="3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صادق علیه‌السلام بودم، مردی</w:t>
      </w:r>
    </w:p>
    <w:p>
      <w:pPr>
        <w:pStyle w:val="BookText"/>
        <w:rPr/>
      </w:pPr>
      <w:r>
        <w:rPr>
          <w:rFonts w:ascii="IRNazanin" w:hAnsi="IRNazanin" w:eastAsia="IRNazanin"/>
          <w:color w:val="111111"/>
          <w:sz w:val="28"/>
          <w:sz w:val="28"/>
          <w:szCs w:val="28"/>
          <w:rtl w:val="true"/>
          <w:lang w:bidi="fa-IR"/>
        </w:rPr>
        <w:t>از شیعیان بر آن حضرت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بسیاری از وقتها کسی از ما دچار مضیقه و سختی معیشت می‌شود،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ساختن ساختمان یا لای‌روبی نهر، یا تعمیر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می‌شود، در این باره چه می‌گویید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گرهی بزنم، یا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ببندم،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ازا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سرزمین مدینه را به من بدهند، نه چنین نمی‌کنم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قلمی را برای آنها فراهم می‌کنم، همانا یاوران ستمگران در روز قیامت در سراپرده‌ای از آتش هستند، تا آن که خدا بین بندگانش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ذکر و نقل روایات فوق می‌گوید سیره قطعیه برخلاف آن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قطعیّه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بازار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گونه روایات است، بلکه تحریم امور مباح با دین سمحه سهله بعثت بالحنفیة السمحة السهلة</w:t>
      </w:r>
      <w:r>
        <w:rPr>
          <w:rStyle w:val="FootnoteAnchor"/>
          <w:rtl w:val="true"/>
        </w:rPr>
        <w:footnoteReference w:id="388"/>
      </w:r>
      <w:r>
        <w:rPr>
          <w:rFonts w:ascii="IRNazanin" w:hAnsi="IRNazanin" w:eastAsia="IRNazanin"/>
          <w:color w:val="111111"/>
          <w:sz w:val="28"/>
          <w:sz w:val="28"/>
          <w:szCs w:val="28"/>
          <w:rtl w:val="true"/>
          <w:lang w:bidi="fa-IR"/>
        </w:rPr>
        <w:t>و با سهولت احکام و آسان گیری شارع منافات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 لایرید بکم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در مواردی که شیعیان بازار مخصوص به خود نداشته باشند و ناچار باشند معاملات و داد و ستدهای خود را در بازار مخالفان انجام دهند و معمولاً در حکومت ظالمان و خلفای ستمگر شیعیان قادر به امتناع و سرپیچی از فرمان حاکمان نبودند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تأیید این سیره می‌توان گفت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 انسان در هر جامعه و حکومتی که زندگی می‌کند برای رفع نیازهای زندگی </w:t>
      </w:r>
    </w:p>
    <w:p>
      <w:pPr>
        <w:pStyle w:val="BookText"/>
        <w:rPr/>
      </w:pPr>
      <w:r>
        <w:rPr>
          <w:rFonts w:ascii="IRNazanin" w:hAnsi="IRNazanin" w:eastAsia="IRNazanin"/>
          <w:color w:val="111111"/>
          <w:sz w:val="28"/>
          <w:sz w:val="28"/>
          <w:szCs w:val="28"/>
          <w:rtl w:val="true"/>
          <w:lang w:bidi="fa-IR"/>
        </w:rPr>
        <w:t>خود ناچار به روابط اقتصادی و اجتماعی با افراد آن جامعه و در مواردی ناچار به برخورد و رابطه با عوامل حکومت است و نمی‌تواند کاملاً منزوی باشد و با همه قطع رابطه کند، آنچه حرمت آن مسلم است اعانت و تقویت ظالمان است، پس در درجه اوّل نباید در ظلمها و ستمگریهای ظالمان شرکت کرد و در مرحله بعد نباید بر ظالم و ستمگر متکی بود 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لاترکنوا الی الذین ظلموا فتمسّکم النار</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ستمگران تکیه نکنید که گرفتار آتش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 در تاریخ اسلام و روایات اسلامی مشاهده می‌کنیم که بعضی از اصحاب ائمه علیهم‌السلام در دستگاه حاکمان ستمگر کار می‌کردند و دارای مناصبی بودند و امام از آنها می‌خواستند که از آن منصب و مقام به نفع شیعیان استفاده کنند مانند علی بن یقطین وزیر هارون الرشید، با این که به امام کاظم علیه‌السلام نامه می‌نویسد و از بودن و کار کردن در دستگاه حکومت هارون اظهار ناراحتّی می‌کند و به امام می‌نویسد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قلبی یضیق مما</w:t>
      </w:r>
    </w:p>
    <w:p>
      <w:pPr>
        <w:pStyle w:val="BookText"/>
        <w:rPr/>
      </w:pPr>
      <w:r>
        <w:rPr>
          <w:rFonts w:ascii="IRNazanin" w:hAnsi="IRNazanin" w:eastAsia="IRNazanin"/>
          <w:color w:val="111111"/>
          <w:sz w:val="28"/>
          <w:sz w:val="28"/>
          <w:szCs w:val="28"/>
          <w:rtl w:val="true"/>
          <w:lang w:bidi="fa-IR"/>
        </w:rPr>
        <w:t>انا علیه من عمل السلطان، و از امام اجازه می‌خواهد که از دستگاه حکومت بیرون بیاید،</w:t>
      </w:r>
    </w:p>
    <w:p>
      <w:pPr>
        <w:pStyle w:val="BookText"/>
        <w:rPr/>
      </w:pPr>
      <w:r>
        <w:rPr>
          <w:rFonts w:ascii="IRNazanin" w:hAnsi="IRNazanin" w:eastAsia="IRNazanin"/>
          <w:color w:val="111111"/>
          <w:sz w:val="28"/>
          <w:sz w:val="28"/>
          <w:szCs w:val="28"/>
          <w:rtl w:val="true"/>
          <w:lang w:bidi="fa-IR"/>
        </w:rPr>
        <w:t>ولی امام در جواب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لاآذَنْ لَکَ بِالخروج مِنْ عَملِهم فَاتَقِ اللّه‌</w:t>
      </w:r>
      <w:r>
        <w:rPr>
          <w:rStyle w:val="FootnoteAnchor"/>
          <w:rtl w:val="true"/>
        </w:rPr>
        <w:footnoteReference w:id="3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 اجازه نمی‌دهم که از کار کردن برای ایشان خارج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تقوای الهی را رعایت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عمل علی بن یقطین به عنوان ثانوی،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کارگشایی برای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بوده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این باب آمده نیز حاکی از همین عنوان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کتاب وسائل الشیعة بابی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جواز الولایة من قبل الجائر لنفع المؤمنین و الدفع عنهم و العمل بالحق بقدر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است و روایات</w:t>
      </w:r>
    </w:p>
    <w:p>
      <w:pPr>
        <w:pStyle w:val="BookText"/>
        <w:rPr/>
      </w:pPr>
      <w:r>
        <w:rPr>
          <w:rFonts w:ascii="IRNazanin" w:hAnsi="IRNazanin" w:eastAsia="IRNazanin"/>
          <w:color w:val="111111"/>
          <w:sz w:val="28"/>
          <w:sz w:val="28"/>
          <w:szCs w:val="28"/>
          <w:rtl w:val="true"/>
          <w:lang w:bidi="fa-IR"/>
        </w:rPr>
        <w:t>متعددی در این زمینه آورده‌است، مانند روایت علی‌بن‌یقطین از امام کاظم علیه‌السلامکه می‌فرماید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 تَعالی مَعَ السُّلْطانِ اَوْلِیاءَ یَدْفَعُ بِهِمْ عَنْ أوْلِیائِهِ</w:t>
      </w:r>
      <w:r>
        <w:rPr>
          <w:rStyle w:val="FootnoteAnchor"/>
          <w:rtl w:val="true"/>
        </w:rPr>
        <w:footnoteReference w:id="3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در دستگاه </w:t>
      </w:r>
      <w:bookmarkStart w:id="358" w:name="pg4331_49148"/>
    </w:p>
    <w:p>
      <w:pPr>
        <w:pStyle w:val="BookText"/>
        <w:rPr/>
      </w:pPr>
      <w:bookmarkEnd w:id="358"/>
      <w:r>
        <w:rPr>
          <w:rFonts w:ascii="IRNazanin" w:hAnsi="IRNazanin" w:eastAsia="IRNazanin"/>
          <w:color w:val="111111"/>
          <w:sz w:val="28"/>
          <w:sz w:val="28"/>
          <w:szCs w:val="28"/>
          <w:rtl w:val="true"/>
          <w:lang w:bidi="fa-IR"/>
        </w:rPr>
        <w:t>سلاطین اولیائی دارد که به وسیله آنها از اولیا و دوستان خود دفاع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روایت دیگری از امام صادق علیه‌السلام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کَفّارةُ عَمَلِ السُّلْطانِ قَضاءُ حَوائِجِ الإخْوانِ</w:t>
      </w:r>
      <w:r>
        <w:rPr>
          <w:rStyle w:val="FootnoteAnchor"/>
          <w:rtl w:val="true"/>
        </w:rPr>
        <w:footnoteReference w:id="3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 کار کردن برای سلطان برآوردن حوائج برادران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هم در تأیید از این سیره روایاتی نقل می‌کند که دالّ بر مجاملت و حسن رفتار و معاشرت نیکو با حاکمان است، به طوری که باعث جلب محبت و تمایل قلوب ایشان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در مورد جمع بین تمام اخبار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وجه برای جمع بین تمام اخبار این باب آن است که حرمت اعانت را اختصاص دهیم به عملی که فی نفسه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مورد هر شخص عاصی و هر کسی که خود را آماده گناه می‌کند، چنین است و نیازی نیست که عمل را مقیّد به حلال و حرام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ملاک حرمت عمل آن است که عامل در ردیف اعوان ظلمه درآید و در اِعْلای مقام و حکومت آنها تلاش کند و باعث تقویت سلطنت و حکومت آنها شود که چنین اعمالی مسلما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اعمال دیگر مانند دوختن لباس یا ساختن بناء و مانند آن از اموری که فی نفسه مباح است، به شرط آن که قصد عامل از آنها تقویت حکومت ظالم نباشد، ظاهرا چنین اعمالی جایز است، گر چه خالی از کراهت نمی‌باشد</w:t>
      </w:r>
      <w:r>
        <w:rPr>
          <w:rFonts w:eastAsia="IRNazanin" w:cs="IRNazanin"/>
          <w:color w:val="111111"/>
          <w:sz w:val="28"/>
          <w:szCs w:val="28"/>
          <w:rtl w:val="true"/>
          <w:lang w:bidi="fa-IR"/>
        </w:rPr>
        <w:t>».</w:t>
      </w:r>
      <w:r>
        <w:rPr>
          <w:rStyle w:val="FootnoteAnchor"/>
          <w:rtl w:val="true"/>
        </w:rPr>
        <w:footnoteReference w:id="394"/>
      </w:r>
    </w:p>
    <w:p>
      <w:pPr>
        <w:pStyle w:val="Heading4"/>
        <w:numPr>
          <w:ilvl w:val="3"/>
          <w:numId w:val="1"/>
        </w:numPr>
        <w:rPr/>
      </w:pPr>
      <w:bookmarkStart w:id="359" w:name="__RefHeading___Toc1014855_1479056682"/>
      <w:bookmarkStart w:id="360" w:name="_Toc132"/>
      <w:bookmarkEnd w:id="359"/>
      <w:r>
        <w:rPr/>
        <w:t>9</w:t>
      </w:r>
      <w:r>
        <w:rPr>
          <w:rtl w:val="true"/>
        </w:rPr>
        <w:t xml:space="preserve"> - </w:t>
      </w:r>
      <w:r>
        <w:rPr>
          <w:rtl w:val="true"/>
        </w:rPr>
        <w:t>استدلال به سیره در معاطات</w:t>
      </w:r>
      <w:bookmarkEnd w:id="36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اقسام معاملات رایج بین مردم، معامله به صورت معاطات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مفاعله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دادن و گرفتن طرفینی است که معادل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به تعبیر دیگر معاطات یک نوع بیع بدون صیغه است، یعنی در انجام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نیست، بلکه فعل و عمل مطرح </w:t>
      </w:r>
    </w:p>
    <w:p>
      <w:pPr>
        <w:pStyle w:val="BookText"/>
        <w:rPr/>
      </w:pPr>
      <w:r>
        <w:rPr>
          <w:rFonts w:ascii="IRNazanin" w:hAnsi="IRNazanin" w:eastAsia="IRNazanin"/>
          <w:color w:val="111111"/>
          <w:sz w:val="28"/>
          <w:sz w:val="28"/>
          <w:szCs w:val="28"/>
          <w:rtl w:val="true"/>
          <w:lang w:bidi="fa-IR"/>
        </w:rPr>
        <w:t>است، یعنی چیزی را می‌دهد و درعوض چیزی را می‌گیرد، چنان که مرحوم شیخ انصاری در تعریف معاطات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معاطات بنا بر تفسیری که گروهی از علما از آن کرده‌اند، آن است که هر یک از دو طرف معامله به جای آنچه که از دیگری می‌گیرد، عوضی را به او بدهد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درباره این که آیا معاطات بیع است ؟ یا این که یک نوع معامله مستقلّ دیگر است و بر فرض بیع بودن آیا بیع صحیح است یا فاسد و بر فرض صحت آیا مفید اباحه است یا ملکیّت ؟ بین فقها اختلاف نظر شدید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به همین اختلاف شدید اشاره کرده،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 بَیْنَ الأصحاب و مَعْرکةٌ عَظیمةٌ</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به هر حال قایلین به صحت معاطات نیز درباره این که معاطات مفید چه چیزی می‌باشد،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بخش بیع از کتاب مکاسب اقوال مختلف در معاطات را در شش قول خلاصه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اذاعرفت ماذکرنا فالاقوال فی المعاطاة علی ما یساعده ظواهر کلماتهم ستّة</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آنچه را ذکر کردیم، 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 در باب معاطات، بنا بر تأییدی که از ظاهر عباراتشان به دست می‌آید، شش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اقوال شش گانه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معاطات بیع صحیح و لازم است مطلقا، خواه در انجام آن لفظی در کار باشد یا نباشد، چنان که ظاهر عبارت شیخ مفید همین قول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المفید و بعض العامّة القول بکونها لازمة کالبیع</w:t>
      </w:r>
      <w:r>
        <w:rPr>
          <w:rStyle w:val="FootnoteAnchor"/>
          <w:rtl w:val="true"/>
        </w:rPr>
        <w:footnoteReference w:id="39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بعضی از اهل سنّت قایل شده‌اند که معاطات مانند بیع، عقد لازم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معاطات بیع صحیح و لازم است به شرط آن که در انجام آن لفظی دالّ بر تراضی یا معامله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معاطات مفید ملکیّت است، امّا نه ملکیّت لازم، بلکه ملکیّت جایز و متزلزل، محقّق ثانی قایل به این قول است و نیز این قول را به تمام قایلین به اباحه نسبت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به عدم حصول ملکیت ولی نتیجه آن اباحه جمیع تصرفات است حتّی تصرفات متوقف بر ملک مانند وطی جاریه و عتق عبد و بیع مال مأخوذ به معاطات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بسیاری از فقها همین قول است و مرحوم شهید در مسالک فرموده است، تمام کسانی که قایل به اباحه شده‌اند جمیع تصرفات را جایز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به اباحه تصرّفات غیر مترتبه بر ملک، مثلاً اگر کتابی را به بیع معاطاتی بخرد،</w:t>
      </w:r>
    </w:p>
    <w:p>
      <w:pPr>
        <w:pStyle w:val="BookText"/>
        <w:rPr/>
      </w:pPr>
      <w:r>
        <w:rPr>
          <w:rFonts w:ascii="IRNazanin" w:hAnsi="IRNazanin" w:eastAsia="IRNazanin"/>
          <w:color w:val="111111"/>
          <w:sz w:val="28"/>
          <w:sz w:val="28"/>
          <w:szCs w:val="28"/>
          <w:rtl w:val="true"/>
          <w:lang w:bidi="fa-IR"/>
        </w:rPr>
        <w:t xml:space="preserve">فقط حقّ استفاده و مطالعه آن را دارد، نه حقّ فروش،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لابیع إلاّ فی 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معاطات نه مفید ملکیت است و نه مفید هیچ گونه اباحه‌ای، بلکه بیعی فاسد است، این قول به شیخ طوسی در نهایة نسبت داده شده است، ولی در غیر نهایة، رجوع</w:t>
      </w:r>
    </w:p>
    <w:p>
      <w:pPr>
        <w:pStyle w:val="BookText"/>
        <w:rPr/>
      </w:pPr>
      <w:r>
        <w:rPr>
          <w:rFonts w:ascii="IRNazanin" w:hAnsi="IRNazanin" w:eastAsia="IRNazanin"/>
          <w:color w:val="111111"/>
          <w:sz w:val="28"/>
          <w:sz w:val="28"/>
          <w:szCs w:val="28"/>
          <w:rtl w:val="true"/>
          <w:lang w:bidi="fa-IR"/>
        </w:rPr>
        <w:t>شیخ از آن قول ثابت شده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پایه و اساس اختلاف اقوال در معاطات آن است که در انجام این معامله معمولاً یا اصلاً لفظ به کار نمی‌رود و یا آن که لفظ معتبر در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مشاهده</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می‌دانیم یکی از شرایط صحت انعقاد بیع، ایجاب و قبول و تقدم ایجاب بر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کسانی که معاطات را بیع نمی‌دانند به خاطر فراهم نبودن شرط فوق یعنی نبودن ایجاب و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زهره در کتاب غنیه شروط بیع را به دو قسم تقسیم</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شرایط صحّت انعقاد بیع و قسم دوم شرایط لزوم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ایجاب و قبول را از شرایط صحت انعقاد بیع می‌داند و می‌گوید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یحصل الایجاب من البایع و القبول من المشتری من غیر اکراه و لا اجبار</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شرایط انعقاد 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است که بدون اجبار واکراه،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فروسنده،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مشتری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ذکر شرایط دیگری از شروط صحت انعقاد بیع مانند تراضی و معلومیّت عوضین، درباره علّت اعتبار ایجاب و قبول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حصول ایجاب را از بایع و قبول را از مشتری، معتبر دانستیم تا از قول به انعقاد بیع با درخواست مشتری و ایجاب بایع پرهیز شود و آن به این صورت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بفروش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تو فروختم، پس با چنین گفتاری، بیع منعقد نمی‌شود، بلکه بعد از آن که بایع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بیع منعقد شود و نیز از باب احتراز از قول به انعقاد بیع به صورت معاطات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ایجاب را از بایع و قبول را از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دانستیم،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مقداری پول به سبزی فروش بدهد و بگوید به من مقداری سبزی بده وسبزی فروش به او بدهد، چنین معامله‌ای بیع نیست، بلکه فقط اباحه تصرّف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بنا به نقل شیخ انصاری، علامه در تذکرة درباره لزوم صیغه عقد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الاشهر عندنا أنه لابدّ منها فلایکفی التعاطی فی الجلیل و الحقیر</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ما مشهورتر آن است که در بیع ناگزیر از صیغه هستیم،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انعقاد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اشیای با ارزش و مهم و اشیای کم ارزش، تعاطی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تحریر بعد از بیان اعتبار ایجاب و قبول و تقدم ایجاب بر قبول آمده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مقداری پول به سبزی فروش یا به 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و بگوید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 یا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چنین موردی نه بیع است و نه عقد، به خاطر آن که ایجاب و قبول حاصل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اباحه تصرّف است، پس هر یک از آن دو، در آنچه گرفته است تصرف می‌کند، بدون آن که ملک او </w:t>
      </w:r>
    </w:p>
    <w:p>
      <w:pPr>
        <w:pStyle w:val="BookText"/>
        <w:rPr/>
      </w:pPr>
      <w:r>
        <w:rPr>
          <w:rFonts w:ascii="IRNazanin" w:hAnsi="IRNazanin" w:eastAsia="IRNazanin"/>
          <w:color w:val="111111"/>
          <w:sz w:val="28"/>
          <w:sz w:val="28"/>
          <w:szCs w:val="28"/>
          <w:rtl w:val="true"/>
          <w:lang w:bidi="fa-IR"/>
        </w:rPr>
        <w:t>باشد یا داخل در ملک او شود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علامه در قواعد نیز ایجاب و قبول را شرط تحقق بیع می‌داند و معاطات را در تحقّق آن کافی ندانسته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لزوما باید صیغه دلالت کننده بر رضایت باطنی وجود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صیغه عبارت است از ایجاب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إشتَرَیْتُ‌یاتَمَلَّکْتُ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انعقاد 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 نیست</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محقّق کرکی در جامع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قواعد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لاتکفی 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علامه آن است که معاطات برای حصول آنچه که از بیع قصد شده، یعنی نقل ملک،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نظر علامه را رد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نیست که علامه می‌گوید، زیرا بین اصحاب معروف است که معاطات بیع است گرچه از نظر لزوم مانند عقد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معاطات از نظر لزوم مانند بیع به صیغه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ظاهر عبارت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معاطات را بیع لازم می‌داند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محقّق کرکی می‌افزاید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غیر از مصنّف در کتاب نهایه، احدی از اصحاب قایل نشده که معاطات، بیع فاسد است و مصنف هم در کتابهای بعد از نهایه‌اش از آن قول برگشته است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معاطات را شامل می‌شود، زیرا معاطات به اتّفاق همه علما حتّی قایلین به فساد آن، بیع است چرا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معاطات مفید اباحه است و با از بین رفتن یکی از عوضین، تبدیل به بیع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از این گفته عدم لزوم معاطات در آغاز امر است که با ذهاب احد العوضین، لزوم تحقق می‌یابد، به خاطر آن که اراده اباحه صِرف و جدای از </w:t>
      </w:r>
    </w:p>
    <w:p>
      <w:pPr>
        <w:pStyle w:val="BookText"/>
        <w:rPr/>
      </w:pPr>
      <w:r>
        <w:rPr>
          <w:rFonts w:ascii="IRNazanin" w:hAnsi="IRNazanin" w:eastAsia="IRNazanin"/>
          <w:color w:val="111111"/>
          <w:sz w:val="28"/>
          <w:sz w:val="28"/>
          <w:szCs w:val="28"/>
          <w:rtl w:val="true"/>
          <w:lang w:bidi="fa-IR"/>
        </w:rPr>
        <w:t xml:space="preserve">اصل ملک، ممتنع است، زیرا مقصود متعاطیان از معاطات، فقط حصول ملکیت است، پس اگر ملکیت حاصل نشود، معاطات فاسد خواهد بود و تصرف در عین جایز نیست و تمام اصحاب برخلاف آنند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معاطات بیع فاسد باشد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صاحب جواهر پس از نقل کلام محقّق ثانی در جامع المقاصد، چنین اظهار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محقّق ثانی گرچه در نهایت جودت و نیکویی است، بلکه علاوه بر دلایلی که خود محقّق ذکر کرده، جریان سیره هم که به زودی آن را خواهی شناخت کلام او را تأیید می‌کند، جریان سیره در معاطات چنین است که با مال گرفته شده به وسیله معاطات در تمام تصرفات مانند سایر املاک، برخورد و رفتار می‌کنند، حتّی آن تصرفاتی که جز از سوی مالک صحیح نیست، مانند عتق بنده و وطی جاریه و امثال آنها و حتّی مال مأخوذ به معاطات، غیر از جواز تصرفات، آثار دیگر مال را دارد، مانند ارث و فقر و غنا و استطاعت حج و زکات و خمس و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مال معاطاتی شامل این امور هم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تنزیل و تطبیق عبارات اصحاب بر کلام محقّق مشکل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وی پس از آن، عباراتی را از مبسوط و غنیه و دروس و تنقیح و سایر کتب، مبنی بر عدم تطبیق آنها با کلام محقّق ذکر می‌کند و آنگاه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این که تنزیل تمام کلمات اصحاب بر این که از معاطات اباحه ملکیّت اراده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طور که محقّق ثانی می‌گوید که از آن تعبیر به ملکیت متزلزل و غیر لازم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اباحه‌ای که در مناکح و مساکن و متاجر می‌گویند و این که منظور و مراد اصحاب آن است که معاطات بیع هست، ولی بیع ثابت و لازم مانند بیع به صیغه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تکلّف نیست</w:t>
      </w:r>
      <w:r>
        <w:rPr>
          <w:rFonts w:eastAsia="IRNazanin" w:cs="IRNazanin"/>
          <w:color w:val="111111"/>
          <w:sz w:val="28"/>
          <w:szCs w:val="28"/>
          <w:rtl w:val="true"/>
          <w:lang w:bidi="fa-IR"/>
        </w:rPr>
        <w:t>.»</w:t>
      </w:r>
      <w:r>
        <w:rPr>
          <w:rStyle w:val="FootnoteAnchor"/>
          <w:rtl w:val="true"/>
        </w:rPr>
        <w:footnoteReference w:id="40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دلیلی که بر مشروعیت معاطات مورد استدلال واقع شده، </w:t>
      </w:r>
    </w:p>
    <w:p>
      <w:pPr>
        <w:pStyle w:val="BookText"/>
        <w:rPr/>
      </w:pPr>
      <w:r>
        <w:rPr>
          <w:rFonts w:ascii="IRNazanin" w:hAnsi="IRNazanin" w:eastAsia="IRNazanin"/>
          <w:color w:val="111111"/>
          <w:sz w:val="28"/>
          <w:sz w:val="28"/>
          <w:szCs w:val="28"/>
          <w:rtl w:val="true"/>
          <w:lang w:bidi="fa-IR"/>
        </w:rPr>
        <w:t>استدلال به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چند مورد از مباحث معاطات به همین امر اشاره می‌کند که دلیل عمده در اثبات معاطات سیره است، چنان که در یک جا در مورد این که در معاطات فقط قبض از یک طرف کافی است و نیازی به تقابض از سوی طرفین نیست،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در معاطات قطعا تقابض معتبر نمی‌باشد به خاطر وجود سیره قطعیّه‌ای که پایه و اساس در اثبات معاطات است، بنابراین بر قبض یکی از متعاطیان، حکم بیع و اباحه جاری می‌شود، بلکه بنا بر عدم اعتبار صیغه مخصوص در بیع، قول متّجه جواز آن است با الفاظی غیر از صیغه مخصوص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الفاظی که مقصود از آنها انشاء بیع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الفاظی که به قصد انشاء بیع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از سوی هیچ یک از متعاقدین قبضی صورت نگرفته باشد که در این صورت حکم مبیع غیر مقبوض در آن جاری می‌شود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سپس در این که در هیچ یک از نصوص در مورد صحّت بیع اشاره به لزوم لفظ مخصوصی نشده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واضح است که در هیچ یک از نصوص، لفظ مخصوصی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معاطات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تا عدم صدق لفظ مخصوص، دلیل عدم صحت معاطات باشد، بلکه دلیل عمده در مورد معاطات سیره است که بین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معاطات با لفظ و بدون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به هر حال مهمترین دلیل بر صحّت معاطات، سیره است که بین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معاطات با لفظ و معاطات بدون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 یعنی چه این که معاطات با لفظ مخصوص صادر شود و یا بدون لفظ مخصوص، سیره هر دو قسمت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جای دیگر درباره جریان سیره در معاطات می‌گوید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جریان السیرة علی المعاملة المأخوذ بها معاملةَ الأملاک فی جمیع التصرفات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التصرفات کالارث و الفقر و الغنا و استطاعة الحج و الزکاة </w:t>
      </w:r>
    </w:p>
    <w:p>
      <w:pPr>
        <w:pStyle w:val="BookText"/>
        <w:rPr/>
      </w:pPr>
      <w:r>
        <w:rPr>
          <w:rFonts w:ascii="IRNazanin" w:hAnsi="IRNazanin" w:eastAsia="IRNazanin"/>
          <w:color w:val="111111"/>
          <w:sz w:val="28"/>
          <w:sz w:val="28"/>
          <w:szCs w:val="28"/>
          <w:rtl w:val="true"/>
          <w:lang w:bidi="fa-IR"/>
        </w:rPr>
        <w:t>و الخمس</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متشرّعه جاری است بر این که با مال مأخوذ به معاطات در تمام تصرفات مانند سایر اموال و املاک رفتار می‌کنند و نیز در غیر تصرفات، مانند سایر اموال با آن برخورد می‌کنند مانند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معاطاتی را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فروش و هزینه کردن مال معاطاتی فقیر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غنا و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دست آوردن مال از طریق معاطات غنی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استطاعت برای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مال معاطاتی مستطیع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 آن را در زکات و خمس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نیز برای اثبات حصول ملکیت به وسیله معاطات به سیره استدلال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بعدا در آن خدشه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جماعة تبعا للمحقّق الثانی الی حصول الملک و لایخلو عن قوّه للسیرة المستمرة علی معاملة المأخوذ بالمعاطاة معاملةَ الملک فی التصرف فیه بالعتق و البیع و الوطی و الإیصاء و توریثه و غیر ذلک من آثار الملک</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علما از محقّق ثانی تبعیت کرده و قایل به حصول ملک به وسیله معاطات شده‌اند و این قول و نظر خالی از قوت نمی‌باشد، به خاطر برقرار بودن سیره مستمره بر این که با مال مأخوذ به معاطات به مانند ملک رفتار می‌کنند از نظر تصرف در آن، مانند تصرف به 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مأخوذ به معاطات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تصرف به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مأخوذ به معاطات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تصرف به 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کنیز مأخوذ به معاطات آمیزش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ایصاء و توریث آن و تصرفات دیگر از این قبیل که همه از آثار ملک می‌باشند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مهمترین دلیل قایلین به ملکیّت در بیع معاطات،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دلیل بر این که معاطات مفید ملکیّت است سیره مستمرّه متشرّعه می‌باشد، یعنی سیره و بنای عملی متشرّعه به طور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بوده است به همه نوع تصرفات در اموال مأخوذ به نحو معاطات، تصرّفاتی از قبیل، بیع، توریث، استطاعت برای حج و </w:t>
      </w:r>
      <w:bookmarkStart w:id="361" w:name="pg4331_49164"/>
    </w:p>
    <w:p>
      <w:pPr>
        <w:pStyle w:val="BookText"/>
        <w:rPr/>
      </w:pPr>
      <w:bookmarkEnd w:id="361"/>
      <w:r>
        <w:rPr>
          <w:rFonts w:ascii="IRNazanin" w:hAnsi="IRNazanin" w:eastAsia="IRNazanin"/>
          <w:color w:val="111111"/>
          <w:sz w:val="28"/>
          <w:sz w:val="28"/>
          <w:szCs w:val="28"/>
          <w:rtl w:val="true"/>
          <w:lang w:bidi="fa-IR"/>
        </w:rPr>
        <w:t>پرداختن خمس و زکات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و بنای عملی متشرّعه از زمان شارع تاکنون بر این منوال بوده که کسی در صحت تصرّف اموال معاطاتی در اموری مانند حج و خمس و زکات و توریث آن، تردید و تشکیک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کسی فوت می‌کند به هنگام توریث و تقسیم اموال بین وارثان، هیچ یک از ورثه در تعیین اموال متوفی بین اموال مأخوذ به معاطات و اموال غیر</w:t>
      </w:r>
    </w:p>
    <w:p>
      <w:pPr>
        <w:pStyle w:val="BookText"/>
        <w:rPr/>
      </w:pPr>
      <w:r>
        <w:rPr>
          <w:rFonts w:ascii="IRNazanin" w:hAnsi="IRNazanin" w:eastAsia="IRNazanin"/>
          <w:color w:val="111111"/>
          <w:sz w:val="28"/>
          <w:sz w:val="28"/>
          <w:szCs w:val="28"/>
          <w:rtl w:val="true"/>
          <w:lang w:bidi="fa-IR"/>
        </w:rPr>
        <w:t>معاطاتی فرقی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قایلین به مشروعیت معاطات می‌گویند از قیام این سیره بر توریث اموال مأخوذ به معاطات و سایر تصرفات مالکانه در آن، نتیجه می‌گیریم که معاطات مفید ملکیت لازمه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بدان اشاره شد و قبلاً هم در بخش اوّل مباحث سیره ذکر شد، مرحوم شیخ انصاری بر استدلال به این گونه سیره‌ها مناقشه کرده و آنها را ناشی از مسامحه متدینین و قلّت مبالات ایشان در امور دین می‌داند و می‌فرماید این گونه سیره‌ها بسیار زیاد و غیر</w:t>
      </w:r>
    </w:p>
    <w:p>
      <w:pPr>
        <w:pStyle w:val="BookText"/>
        <w:rPr/>
      </w:pPr>
      <w:r>
        <w:rPr>
          <w:rFonts w:ascii="IRNazanin" w:hAnsi="IRNazanin" w:eastAsia="IRNazanin"/>
          <w:color w:val="111111"/>
          <w:sz w:val="28"/>
          <w:sz w:val="28"/>
          <w:szCs w:val="28"/>
          <w:rtl w:val="true"/>
          <w:lang w:bidi="fa-IR"/>
        </w:rPr>
        <w:t>قابل احصا بوده و در اغلب امور مردم، مانند امور عبادی و معاملات و امور سیاسی آنها</w:t>
      </w:r>
    </w:p>
    <w:p>
      <w:pPr>
        <w:pStyle w:val="BookText"/>
        <w:rPr/>
      </w:pPr>
      <w:r>
        <w:rPr>
          <w:rFonts w:ascii="IRNazanin" w:hAnsi="IRNazanin" w:eastAsia="IRNazanin"/>
          <w:color w:val="111111"/>
          <w:sz w:val="28"/>
          <w:sz w:val="28"/>
          <w:szCs w:val="28"/>
          <w:rtl w:val="true"/>
          <w:lang w:bidi="fa-IR"/>
        </w:rPr>
        <w:t xml:space="preserve">جریان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w:t>
      </w:r>
    </w:p>
    <w:p>
      <w:pPr>
        <w:pStyle w:val="Heading4"/>
        <w:numPr>
          <w:ilvl w:val="3"/>
          <w:numId w:val="1"/>
        </w:numPr>
        <w:rPr/>
      </w:pPr>
      <w:bookmarkStart w:id="362" w:name="__RefHeading___Toc1014857_1479056682"/>
      <w:bookmarkStart w:id="363" w:name="_Toc133"/>
      <w:bookmarkEnd w:id="362"/>
      <w:r>
        <w:rPr/>
        <w:t>10</w:t>
      </w:r>
      <w:r>
        <w:rPr>
          <w:rtl w:val="true"/>
        </w:rPr>
        <w:t xml:space="preserve"> - </w:t>
      </w:r>
      <w:r>
        <w:rPr>
          <w:rtl w:val="true"/>
        </w:rPr>
        <w:t>جریان معاطات در قرض و استدلال به سیره</w:t>
      </w:r>
      <w:bookmarkEnd w:id="363"/>
    </w:p>
    <w:p>
      <w:pPr>
        <w:pStyle w:val="BookText"/>
        <w:rPr/>
      </w:pPr>
      <w:r>
        <w:rPr>
          <w:rFonts w:ascii="IRNazanin" w:hAnsi="IRNazanin" w:eastAsia="IRNazanin"/>
          <w:color w:val="111111"/>
          <w:sz w:val="28"/>
          <w:sz w:val="28"/>
          <w:szCs w:val="28"/>
          <w:rtl w:val="true"/>
          <w:lang w:bidi="fa-IR"/>
        </w:rPr>
        <w:t>به دنبال بحث درباره معاطات و استدلال به سیره در اثبات آن، اکنون درباره جریان معاطات در عقود دیگر و استدلال به سیره درباره جریان آن در باب قرض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معاطات، غیر از باب بیع، در عقود دیگر هم جاری است ؟ آیا اجاره یا هبه یا قرض و یا رهن به صورت معاطات صحیح است ؟</w:t>
      </w:r>
    </w:p>
    <w:p>
      <w:pPr>
        <w:pStyle w:val="BookText"/>
        <w:rPr/>
      </w:pPr>
      <w:r>
        <w:rPr>
          <w:rFonts w:ascii="IRNazanin" w:hAnsi="IRNazanin" w:eastAsia="IRNazanin"/>
          <w:color w:val="111111"/>
          <w:sz w:val="28"/>
          <w:sz w:val="28"/>
          <w:szCs w:val="28"/>
          <w:rtl w:val="true"/>
          <w:lang w:bidi="fa-IR"/>
        </w:rPr>
        <w:t>محقّق ثانی در جامع المقاصد درباره اعتبار معاطات در عقود دیگر می‌فرماید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در کلام بعضی از علما مطلبی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مقتضی اعتبار معاطات در اجاره و همچنین در هبه است، زیرا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کار معینی در مقابل اجرت معیّنی، امر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مأمور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انجام دهد و استحقاق گرفتن اجرت را دارد و اگر این عمل اجاره فاسد بود، برای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عمل جایز نبود و با آگاهی به فساد اجاره، مستحق</w:t>
      </w:r>
    </w:p>
    <w:p>
      <w:pPr>
        <w:pStyle w:val="BookText"/>
        <w:rPr/>
      </w:pPr>
      <w:r>
        <w:rPr>
          <w:rFonts w:ascii="IRNazanin" w:hAnsi="IRNazanin" w:eastAsia="IRNazanin"/>
          <w:color w:val="111111"/>
          <w:sz w:val="28"/>
          <w:sz w:val="28"/>
          <w:szCs w:val="28"/>
          <w:rtl w:val="true"/>
          <w:lang w:bidi="fa-IR"/>
        </w:rPr>
        <w:t xml:space="preserve">دریافت اجرت نبود، ولی ظاهر کلمات علما مفید جواز آن است و همچنین هرگاه بدون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هبه کند، ظاهرا علما مصرف کردن شی‌ء موهوبه را جایز می‌دانند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فاسده باشد، جایز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تصرفی منع می‌شود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یکی از عقود اسلامی قرض است که شارع برای آن اهمّیّت فراوان قایل شده و مردم را به آن ترغیب فرموده و در اهمّیّت آن نصوص متواتره‌ای وارد شده چنان که 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علی باب الجنّة الصدقةُ بعشرة و القرضُ بثمانیة عشر</w:t>
      </w:r>
      <w:r>
        <w:rPr>
          <w:rStyle w:val="FootnoteAnchor"/>
          <w:rtl w:val="true"/>
        </w:rPr>
        <w:footnoteReference w:id="4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در بهشت نوشته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ده برابر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هیجده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چه نوع تملیکی است ؟ اصولاً ما سه نوع تملیک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تملیک عین بلاعوض مانند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غیر معوضه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تملیک عین به عوض که همان بیع و هبه معوضه و صلح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معاوضه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تملیک عین به ضمان که همان قرض است، یعنی قرض، تملیک بر وجه ضمان مثل یا قیمت است نه معاوضه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قرض با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ظاهرا قرض شبیه بیع نسیه است، همان طور که در بیع نسیه، اوّل کتاب را می‌فروشد و ثمن آن را بعد از مدتی می‌گیرد، در قرض هم اوّل مال را می‌دهد و عوض آن را بعد می‌گیرد، ولی قرض با بیع چند فرق اساسی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بیع هم ذکر عوض لازم است و هم علم به عوض، ولی در قرض نه علم به عوض لازم است و نه ذکر آن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قرض، غرر و ضرر اشکالی ندارد، قرض غرری مانند آن که مثلاً شی‌ء مجهول را قرض بدهد، مثلاً یک مشت پول ناشمار را قرض بدهد، ولی در بیع، مبیع باید معلوم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ربای معاوضی با ربای قرضی در بسیاری از موارد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ربای معاوضی عوضین باید اوّلاً مکیل یا موزون باشند و ثانیا از یک جنس باشند،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تومان را به صدوبیست تومان بفروشد، ربا نیست و جایز است، ولی در ربای قرضی هرگونه اضافه‌ای حتّی وصف و حتّی فعل زائدی در مقابل آنچه که قرض گرفته، موجب ربا می‌شود، مثلاً اگر صد تومان بدهد و صدوبیست تومان پس بگیرد،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صد تومان قرض بدهد و شرط کند که کاری هم برای مقرض انجام دهد، باز هم ریا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مکاسب درباره فرق قرض با بیع و این که قرض داخل در بیع نمی‌باشد،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قرض داخل در تعریف بیع باقی ماند و اخراج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تعریف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گونه ممکن است که مفهوم قرض نفس معاوضه نیست، بلکه قرض عبارت است از تملیک بر وجه ضمان مثل یا قیمت، نه معاوضه عین به مثل و قیمت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در بیع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قرض جاری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ربای معاوضی، غرر که در بیع منفی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بیع غرری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عوض، علم به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 امور در قرض جریان ندارد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این که آیا قرض از عقود لازم است یا از عقود جایز بین فقها اختلاف است، اکثر فقها آن را از عقود جایز دانسته‌اند و بعضی مانند صاحب عروه و صاحب جواهر آن</w:t>
      </w:r>
    </w:p>
    <w:p>
      <w:pPr>
        <w:pStyle w:val="BookText"/>
        <w:rPr/>
      </w:pPr>
      <w:r>
        <w:rPr>
          <w:rFonts w:ascii="IRNazanin" w:hAnsi="IRNazanin" w:eastAsia="IRNazanin"/>
          <w:color w:val="111111"/>
          <w:sz w:val="28"/>
          <w:sz w:val="28"/>
          <w:szCs w:val="28"/>
          <w:rtl w:val="true"/>
          <w:lang w:bidi="fa-IR"/>
        </w:rPr>
        <w:t>را از عقود لازم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درباره حقّ فسخ و رجوع مقرض به عین مقترضه، بعد از قبض، ابتدا قول به جواز فسخ را مطرح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طوسی قایل به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علّت جواز فسخ گفته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قرض چیزی افزون بر هبه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قرض مثل هبه است که رجوع در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اجماع بر این که قرض از عقود جایز است؛ در عقود جایز مراد از جواز فسخ، رجوع و برگشت شی‌ء منتقل شده به وسیله </w:t>
      </w:r>
    </w:p>
    <w:p>
      <w:pPr>
        <w:pStyle w:val="BookText"/>
        <w:rPr/>
      </w:pPr>
      <w:r>
        <w:rPr>
          <w:rFonts w:ascii="IRNazanin" w:hAnsi="IRNazanin" w:eastAsia="IRNazanin"/>
          <w:color w:val="111111"/>
          <w:sz w:val="28"/>
          <w:sz w:val="28"/>
          <w:szCs w:val="28"/>
          <w:rtl w:val="true"/>
          <w:lang w:bidi="fa-IR"/>
        </w:rPr>
        <w:t>این عقود، به مالک آن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ولی بعد از آن، قول به عدم جواز را مطرح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که قرض قابل فسخ نیست و همین قول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اصول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أشهر است، بلکه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بین متأخرین باشد، زیرا فایده ملک،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مملوک است، پس اصل اولیه در آن، عدم خروج ملک از ملکیت مالک است، مگر به رضایت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هبه به واسطه دلیل از این اصل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نمی‌شود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همان گونه حکم و قضاوت شود، خصوصا بعد از آن که بین قرض و هبه فرق گذاشتیم به این که قرض معاوضه است، به خلاف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معاوضه بر آن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اجماع بر جواز فسخ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اجماعی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معلوم شد که مقرض نمی‌تواند به عین مقترضه رجوع کند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محقّق در شرایع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قرض عقدی است که مشتمل بر ایجاب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مانند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قرض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معنای آن را برساند، مانند آن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تصرف کن، یا از آن استفاده کن و بازگردانیدن آن بر تو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مشتمل بر قبول است و قبول لفظی است که دالّ بر رضای به ایجاب باشد و منحصر به عبارت خاصّی نیست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 صاحب جواهر به نقل از مسالک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در اشتراط ایجاب و قبول در قرض نسبت به تحقق ملک نیست، به شرط آن که قایل شویم که در قرض تملک به ایجاب و قبول و به قبض، حاصل می‌شود، اما اگر قایل شویم که حصول ملکیت متوقف بر تصرف</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ما قبلِ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بمنزله اباحه است، در این صورت ملکیت متوقف بر عقد نخواهد بود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حال این سؤال مطرح است که آیا قرض با معاطات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صیغه عقد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یا نه ؟</w:t>
      </w:r>
    </w:p>
    <w:p>
      <w:pPr>
        <w:pStyle w:val="BookText"/>
        <w:rPr/>
      </w:pPr>
      <w:r>
        <w:rPr>
          <w:rFonts w:ascii="IRNazanin" w:hAnsi="IRNazanin" w:eastAsia="IRNazanin"/>
          <w:color w:val="111111"/>
          <w:sz w:val="28"/>
          <w:sz w:val="28"/>
          <w:szCs w:val="28"/>
          <w:rtl w:val="true"/>
          <w:lang w:bidi="fa-IR"/>
        </w:rPr>
        <w:t>مرحوم محقّق ثانی در جامع المقاصد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بیع قبلاً گذشت که می‌شود به معاطات اکتفا کرد، معاطات عبارت است از گرفتن و دادن، پس اگر در عقد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ایجاب و قبول فعلی اکتفا شود، حق آن است که در باب قرض به طریق اولی به ایجاب و قبول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شود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به نظر نگارنده وجه اولویّت آن است که محقّق ثانی قرض را از عقود جائزه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نیز قایل است که معاطات در باب قرض نیز جاری است و بلکه جریان معاطات را در قرض اَوْلی از بیع می‌داند و دلیل آن را سیره دانسته و سیره در باب</w:t>
      </w:r>
    </w:p>
    <w:p>
      <w:pPr>
        <w:pStyle w:val="BookText"/>
        <w:rPr/>
      </w:pPr>
      <w:r>
        <w:rPr>
          <w:rFonts w:ascii="IRNazanin" w:hAnsi="IRNazanin" w:eastAsia="IRNazanin"/>
          <w:color w:val="111111"/>
          <w:sz w:val="28"/>
          <w:sz w:val="28"/>
          <w:szCs w:val="28"/>
          <w:rtl w:val="true"/>
          <w:lang w:bidi="fa-IR"/>
        </w:rPr>
        <w:t>قرض را از سیره در باب بیع کاملتر و تمامتر می‌داند و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ظاهرا معاطات در باب قرض جریان دارد، بنابر جریان آن در غیر قرض، بلکه قرض از بیع و غیر آن به معاطات سزاوارتر است و سیره در باب قرض تمام تر و کامل تر می‌باشد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وی سپس درباره تفاوت قرض معاطاتی با قرض عقدی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به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عدم جواز رجوع قرض دهنده به عین، بعد از قبض، فرق بین قرضِ با معاطات و قرض با عقد، واضح است، زیرا معلوم است که در معاطات، رجوع به عین جایز است، هر چند که قایل به حصول ملک در هر دو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معاطات و هم در عقد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در قرض معاطاتی ملکیت متزلزل است، مانند بیع معاطاتی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قرض به صورت معاطات باشد، هریک از طرفین حق رجوع دارند، اما اگر قایل شویم که ملک با قبض حاصل نمی‌شود، بلکه علاوه بر قبض، تصرف هم لازم است، در این صورت فرق</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عقد و معاطات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ملتزم شویم به این که در عقد قرض، تصرف کاشف از ملکیّت یا متمم آن است به خلاف تصرف در قرض </w:t>
      </w:r>
      <w:bookmarkStart w:id="364" w:name="pg4331_49174"/>
    </w:p>
    <w:p>
      <w:pPr>
        <w:pStyle w:val="BookText"/>
        <w:rPr/>
      </w:pPr>
      <w:bookmarkEnd w:id="364"/>
      <w:r>
        <w:rPr>
          <w:rFonts w:ascii="IRNazanin" w:hAnsi="IRNazanin" w:eastAsia="IRNazanin"/>
          <w:color w:val="111111"/>
          <w:sz w:val="28"/>
          <w:sz w:val="28"/>
          <w:szCs w:val="28"/>
          <w:rtl w:val="true"/>
          <w:lang w:bidi="fa-IR"/>
        </w:rPr>
        <w:t>معاطاتی که ممکن است تصرف در قرض معاطاتی مانند اباحه به عوض باشد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چنان که قبلاً درباره استدلال به سیره در بیع معاطات گفتیم، مهمترین دلیل قایلین به ملکیت در بیع معاطات، سیره متشرّعه است که متشرّعه از گذشته تاکنون همه نوع تصرفات، حتّی تصرفات متوقف بر ملک، در اموال مأخوذ به معاطات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قرض هم صاحب جواهر بهترین دلیل بر جواز معاطات در قرض را سیره می‌داند، بلکه استدلال به سیره را در قرض از باب بیع تمامتر و کاملتر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این جانب آنچه عملاً در بین مسلمین مشاهده می‌کنیم،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 قرضِ عقدی و به صورت صیغه، بسیار کم است، خیلی کم و به ندرت دیده شده که صاحب مالی، خود اقدام به قرض دادن و اجرای صیغه قرض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أَقْرَضْتُکَ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 اکثر و بلکه نودونُه درصد قرضها به صورت استقراض است، یعنی کسی که نیاز به قرض دارد از صاحب مال تقاضای قرض دادن می‌کند و مثلاً می‌گوید فلان مبلغ یا فلان مال را به من قرض بده و او هم بدون اجرای صیغه آن مبلغ یا آن مال را قرض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اکثر قرضهایی که در خارج واقع می‌شود، به صورت معاطاتی و نیز به صورت استدعا و استقراض است</w:t>
      </w:r>
      <w:r>
        <w:rPr>
          <w:rFonts w:eastAsia="IRNazanin" w:cs="IRNazanin"/>
          <w:color w:val="111111"/>
          <w:sz w:val="28"/>
          <w:szCs w:val="28"/>
          <w:rtl w:val="true"/>
          <w:lang w:bidi="fa-IR"/>
        </w:rPr>
        <w:t>.</w:t>
      </w:r>
    </w:p>
    <w:p>
      <w:pPr>
        <w:pStyle w:val="Heading4"/>
        <w:numPr>
          <w:ilvl w:val="3"/>
          <w:numId w:val="1"/>
        </w:numPr>
        <w:rPr/>
      </w:pPr>
      <w:bookmarkStart w:id="365" w:name="__RefHeading___Toc1014859_1479056682"/>
      <w:bookmarkStart w:id="366" w:name="_Toc134"/>
      <w:bookmarkEnd w:id="365"/>
      <w:r>
        <w:rPr/>
        <w:t>11</w:t>
      </w:r>
      <w:r>
        <w:rPr>
          <w:rtl w:val="true"/>
        </w:rPr>
        <w:t xml:space="preserve"> - </w:t>
      </w:r>
      <w:r>
        <w:rPr>
          <w:rtl w:val="true"/>
        </w:rPr>
        <w:t>جریان معاطات در مساقات و استدلال به سیره</w:t>
      </w:r>
      <w:bookmarkEnd w:id="366"/>
    </w:p>
    <w:p>
      <w:pPr>
        <w:pStyle w:val="BookText"/>
        <w:rPr/>
      </w:pPr>
      <w:r>
        <w:rPr>
          <w:rFonts w:ascii="IRNazanin" w:hAnsi="IRNazanin" w:eastAsia="IRNazanin"/>
          <w:color w:val="111111"/>
          <w:sz w:val="28"/>
          <w:sz w:val="28"/>
          <w:szCs w:val="28"/>
          <w:rtl w:val="true"/>
          <w:lang w:bidi="fa-IR"/>
        </w:rPr>
        <w:t xml:space="preserve">قبلاً در مورد جریان معاطات در عقود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کردیم و نیز کلام محقّق ثانی را در اعتبار معاطات در عقود دیگر متذکر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درباره جریان معاطات در عقد مساقات و استدلال به سیره سخن می‌گوییم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مساقات عقدی است لازم، هم از طرف مالک و هم از طرف عامل، مساقات قرارداد و معامله‌ای است بین صاحب درختان 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آبیاری و محافظت و پرورش درختان در برابر سهمی از میوه آنها، نامگذاری این معامله به‌مساقات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است که مساقات از ریشه سَقْی به معنی آبیاری است و آبیاری مهمترین و </w:t>
      </w:r>
    </w:p>
    <w:p>
      <w:pPr>
        <w:pStyle w:val="BookText"/>
        <w:rPr/>
      </w:pPr>
      <w:r>
        <w:rPr>
          <w:rFonts w:ascii="IRNazanin" w:hAnsi="IRNazanin" w:eastAsia="IRNazanin"/>
          <w:color w:val="111111"/>
          <w:sz w:val="28"/>
          <w:sz w:val="28"/>
          <w:szCs w:val="28"/>
          <w:rtl w:val="true"/>
          <w:lang w:bidi="fa-IR"/>
        </w:rPr>
        <w:t>سودمندترین عمل در پرورش درختان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تعریف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مُعامَلةٌ عَلی أصولٍ ثابتةٍ بحصّةٍ من حاصِلها</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 معامله‌ای است بر درختان ثابت به حصه‌ای از میوه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علّت نامگذاری این معامله به مساقات، علامه در قواعد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مساقات، مصدر باب مفاعلة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معامله رامساقات‌نامیده‌اند، به خاطر آن که اهل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کم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زیادی به آن دارند، زیرا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 آبیاری می‌کنند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صاحب جواهر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جدیدی است که بعد از زمان شارع و بلکه بعد از زمان صحابه و تابعین، پدید آمده است و معنای لغوی آن همان مفاعله از ریشه سقی است و هیچ یک از لغویون معنای مذکور توسط فقها را جزء معانی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نکرده‌اند و نقل معنای لغوی آن به معنای اصطلاحی در عرف شارع و ائمه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کتاب و سنّت و در احادیث روایت شده از طریق اهل بیت، ذکری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نیامده و لذا احدی از اصحاب حدیث، مانند کلینی و صدوق، بابی را برای مساقات منعقد نکرده‌اند، بلکه احادیث مربوط به مساقات را در باب مزارعه آورده‌اند،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دیگر، متفرع بر استعمال آن کلمه در آن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وقتی استعمال ثابت نشود، نقل هم ثابت نمی‌شود و ثبوت نقل نزد فقها، مقتضی حقیقت شرعیّه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که قایل به ثبوت حقیقت شرعیّه بشویم و ثبوت حقیقت شرعیّه در صورتی است که شارع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معنای معروف آن، استعمال کرده باشد، نه این که آن را به صورت مطلق استعمال کند، زیرا تردیدی نیست که فقها و متکلمین و اصولیین، اصطلاحات زیادی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 شرعیه نیست، بنابراین از این که مساقات در این معنا، در عرف متشرعه، حقیقت باشد، لازم نمی‌آید که نزد شارع هم در این معنا حقیقت باشد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صاحب جواهر پس از بحثی طولانی در مورد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جدید و حادث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مساقات مانند عقود معاوضی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است، لیکن معامله و قراردادی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آبیاری و مراقبت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و مانند مزارعه نیست که معامله بر زراعت و کشتکاری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وی سپس درباره جریان معاطات در مساقات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بحث و کلام درباره صحت معاطات در مساقات است، بر حسب آنچه در بیع شنیدی بنابر الحاق معاطات به بیع، زیرا ضروری است که بین مساقات و بین بیع و اجاره و غیر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عقود دیکر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نیست، حتّی نسبت به ادعای سیره قطعی که دال بر مشروعیت معاطات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سیره قطعی که مشروعیت معاطات را ثابت می‌کند هم شامل معاطات در بیع و هم شامل معاطات در اجاره و هم معاطات در مساقات می‌شود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صاحب جواهر آنگاه اشاره می‌کند که شهید در مسالک به تبعیّت از جامع المقاصد، جریان معاطات در مساقات را مستبعد می‌داند و علّت آن را غرر و جهالت عوض دانسته به خلاف بیع و اجاره که معاطات در آن دو جاری بوده و غرر و جهالتی در معاطات آن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ردّ ادعای مسالک و جامع المقاصد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قیام دلیل بر جواز معاطات در مساقات، مشتمل بودن آن بر غرر، زیانی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جواز، مساقات معاطاتی مانند مساقات عقدی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اضافه می‌کند</w:t>
      </w:r>
      <w:r>
        <w:rPr>
          <w:rFonts w:eastAsia="IRNazanin" w:cs="IRNazanin"/>
          <w:color w:val="111111"/>
          <w:sz w:val="28"/>
          <w:szCs w:val="28"/>
          <w:rtl w:val="true"/>
          <w:lang w:bidi="fa-IR"/>
        </w:rPr>
        <w:t xml:space="preserve">: </w:t>
      </w:r>
      <w:bookmarkStart w:id="367" w:name="pg4331_49179"/>
    </w:p>
    <w:p>
      <w:pPr>
        <w:pStyle w:val="BookText"/>
        <w:rPr/>
      </w:pPr>
      <w:bookmarkEnd w:id="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بنابر آنچه که ما در بیع معاطاتی اختیار کردیم و قایل به اباحه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معاطات در بیع مفید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جریان معاطات در مساقات و نظایر آن، نظر و اشکال وجود دارد و شاید قول به جواز معاطات در مساقات، خالی از قوت نباشد، البته با فرض قائم شدن سیره، که صلاحیّت اثبات مانند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نگارنده با توجه به معنای معاطات که همان اخذ و اعطاء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که قبول از سوی عامل، عبارت است از التزام به سقایت و مراقبت</w:t>
      </w:r>
    </w:p>
    <w:p>
      <w:pPr>
        <w:pStyle w:val="BookText"/>
        <w:rPr/>
      </w:pPr>
      <w:r>
        <w:rPr>
          <w:rFonts w:ascii="IRNazanin" w:hAnsi="IRNazanin" w:eastAsia="IRNazanin"/>
          <w:color w:val="111111"/>
          <w:sz w:val="28"/>
          <w:sz w:val="28"/>
          <w:szCs w:val="28"/>
          <w:rtl w:val="true"/>
          <w:lang w:bidi="fa-IR"/>
        </w:rPr>
        <w:t>از درختان که امری تدریجی الحصول است، تصوّر معنای معاطات در مساقات مبهم و غیر واضح است و شاید محقّق ثانی که جریان آن را در مساقات انکار کرده، به خاطر همین اشکال بوده است</w:t>
      </w:r>
      <w:r>
        <w:rPr>
          <w:rFonts w:eastAsia="IRNazanin" w:cs="IRNazanin"/>
          <w:color w:val="111111"/>
          <w:sz w:val="28"/>
          <w:szCs w:val="28"/>
          <w:rtl w:val="true"/>
          <w:lang w:bidi="fa-IR"/>
        </w:rPr>
        <w:t>.</w:t>
      </w:r>
    </w:p>
    <w:p>
      <w:pPr>
        <w:pStyle w:val="Heading4"/>
        <w:numPr>
          <w:ilvl w:val="3"/>
          <w:numId w:val="1"/>
        </w:numPr>
        <w:rPr/>
      </w:pPr>
      <w:bookmarkStart w:id="368" w:name="__RefHeading___Toc1014861_1479056682"/>
      <w:bookmarkStart w:id="369" w:name="_Toc135"/>
      <w:bookmarkEnd w:id="368"/>
      <w:r>
        <w:rPr/>
        <w:t>12</w:t>
      </w:r>
      <w:r>
        <w:rPr>
          <w:rtl w:val="true"/>
        </w:rPr>
        <w:t xml:space="preserve"> - </w:t>
      </w:r>
      <w:r>
        <w:rPr>
          <w:rtl w:val="true"/>
        </w:rPr>
        <w:t>استدلال به سیره در بیع فضولی</w:t>
      </w:r>
      <w:bookmarkEnd w:id="369"/>
    </w:p>
    <w:p>
      <w:pPr>
        <w:pStyle w:val="BookText"/>
        <w:rPr/>
      </w:pPr>
      <w:r>
        <w:rPr>
          <w:rFonts w:ascii="IRNazanin" w:hAnsi="IRNazanin" w:eastAsia="IRNazanin"/>
          <w:color w:val="111111"/>
          <w:sz w:val="28"/>
          <w:sz w:val="28"/>
          <w:szCs w:val="28"/>
          <w:rtl w:val="true"/>
          <w:lang w:bidi="fa-IR"/>
        </w:rPr>
        <w:t xml:space="preserve">یکی از شرایط متعاقدین آن است که بایع مالک مبیع باشد، یا این که شرعا ولایت داشته و یا مأذون از جانب مالک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 و جدّ و وکیل یا وصی و یا حاکم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در مکاسب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شروط معاقدین آن است که مالک باشند و یا این که از سوی مالک یا شارع، مأذون باشند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بنابراین اگر کسی که شرعا ولایت یا اذن ندارد، اقدام به فروش مال دیگری کند، چنین معامله‌ای صحیح است و آن را بیع فضولی می‌گویند، منتها تمامیّت بیع و انتقال مبیع متوقف بر اجازه مالک است، بحث فضولی یکی از مسائل مهم و گسترده بیع و برخی عقود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مکاسب می‌گوید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مهم آن است که به مسأله عقد فضولی بپردازیم که از مهمترین مسائل است، 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و دیگران در بیع فضولی بلکه در مطلق عقد فضولی اختلاف نظر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اتّفاق نظر تمام علما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بطلان ایقاع فضولی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طلاق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کتاب غایة المراد این اتّفاق را از قول عده‌ای نقل کرده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به هر حال تا وقتی که عاقد از طرف مالک، مأذون در اجرای عقد نباشد، فضولی تلقی خواهد شد، هر چند که علم به رضایت مالک هم داشته باشد، چنان که مرحوم شیخ در 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ظاهرا بیع فضولی شامل موردی می‌شود که رضایت باطنی مالک نسبت به تصرف فضولی و طیب نفس او نسبت به عقد فضولی، محقّق شود، بدون آن که صریحا یا به طور فحوی و ضمنی، اذن مالک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عاقد فضولی به مجرد علمش به رضایت مالک، مالک و مسلط بر تصرف نمی‌شود و این که فقها برای لزوم عقد، شرط کرده‌اند که عاقد باید مالک یا مأذون از طرف مالک یا ولیّ مالک باشد و بیع فضولی را بر همین شرط متفرع ساخته‌اند، همین، گفته و نظر ما را تأیید می‌کند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در باب بیع فضولی اکثر و بلکه تمام فقهای امامیّه و اهل سنت، تمامیّت بیع فضولی و حصول نقل و انتقال و ملکیّت و سایر آثار آن را، متوقف بر اجازه مالک یا ولیّ او می‌دانند، چنان که از مطاوی سخنان و ظاهر کلام فقها، این نظریه به وضوح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شیخ انصاری تمامیت بیع فضولی و ترتّب آثار بیع را بر آن، فقط متوقف بر اجازه لاحق از سوی مالک ندانسته، بلکه رضایت مقرون به عقد را هم در این زمنیه کافی می‌داند، چنان که می‌فرماید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اشکال مخالفت با ظاهر کلام اصحاب، صرف نظر کنیم، قول و نظر قوی در نفس،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 بیع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اجازه لاحق و پس از عقد، از سوی مالک نیست، بلکه رضای مقرون به عقد، کافی است، خواه عاقد علم به آن داشته باشد یا آن که بعد از عقد معلوم شود که در حین عقد، رضای مالک حاصل بوده است، یا این که رضایت حین العقد، اصلاً کشف نشود، پس بین خود و خدا بر مالک، امضای عقدی که به آن راضی بوده </w:t>
      </w:r>
    </w:p>
    <w:p>
      <w:pPr>
        <w:pStyle w:val="BookText"/>
        <w:rPr/>
      </w:pPr>
      <w:r>
        <w:rPr>
          <w:rFonts w:ascii="IRNazanin" w:hAnsi="IRNazanin" w:eastAsia="IRNazanin"/>
          <w:color w:val="111111"/>
          <w:sz w:val="28"/>
          <w:sz w:val="28"/>
          <w:szCs w:val="28"/>
          <w:rtl w:val="true"/>
          <w:lang w:bidi="fa-IR"/>
        </w:rPr>
        <w:t xml:space="preserve">واجب است و آثار عقد هم بر آن مترتب می‌شود، به دلیل این که وجوب وفای به عقود عامّ است و این مورد را هم شامل می‌شود و نیز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این مورد می‌شود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به هر حال معامله فضولی بعد از رضایت مالک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می‌شود و ادلّه دالّ بر صحت و لزوم بیع از کتاب و سنّت آن را شامل می‌شود، زیرا در هیچ یک از ادلّه صحت و اعتبار بیع اعم از کتاب و سنت، دلیلی دال بر</w:t>
      </w:r>
    </w:p>
    <w:p>
      <w:pPr>
        <w:pStyle w:val="BookText"/>
        <w:rPr/>
      </w:pPr>
      <w:r>
        <w:rPr>
          <w:rFonts w:ascii="IRNazanin" w:hAnsi="IRNazanin" w:eastAsia="IRNazanin"/>
          <w:color w:val="111111"/>
          <w:sz w:val="28"/>
          <w:sz w:val="28"/>
          <w:szCs w:val="28"/>
          <w:rtl w:val="true"/>
          <w:lang w:bidi="fa-IR"/>
        </w:rPr>
        <w:t xml:space="preserve">اعتبار و لزوم صدور لفظ عقد از مالک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ادلّه نمی‌گوید لفظ عقد فقط باید از مالک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هیچ یک از ادلّه صحت و اعتبار بیع نمی‌گوید که رضایت مالک باید قبل از صدور لفظ عقد یا مقارن آن حاصل باشد و نیز قایلین به صحت بیع فضولی اقدام به تصرف در مال را قبل از حصول رضایت مالک، تجویز نمی‌کنند، زیرا لفظ عقد که قبل از اجازه و رضایت مالک صادر شده جزئی از علّت برای حصول نقل و انتقال و سایر آثار ملک است و تمام علّت بعد از رضایت و امضای مالک حاصل می‌شود، اما لفظ عقدی که به وسیله خود مالک صادر می‌شود، دال بر رضایت مالک نیز می‌باشد، زیرا صدور لفظ عقد از مالک مختار مستلزم رضایت است و رضای مالک از کیفیات نفسانی اوست و لذا تأثیر آن در حصول ملکیت متوقف بر اجازه مالک و اعلام رضایت نمی‌باشد، ولی وقتی که لفظ عقد از غیر مالک و از عاقد فضول صادر می‌شود، چنین لفظی مسلما دال بر رضایت مالک نیست، زیرا مسلما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بلکه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 المال من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چنین مواردی تمامیت عقد و حصول نقل و انتقال موقوف به حصول رضای مالک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وقتی مالک اجازه می‌دهد رضایت عاقد فضول را مثل رضای خود می‌داند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بهترین وجه استدلال بر صحت و اعتبار بیع فضولی، عدم دلیل بر اعتبار مباشرت مالک در صدور لفظ عقد است، به عبارت دیگر صحت عقد، منوط به مباشرت مالک در صدور لفظ عقد از او نیست و حداقل آن است که در چنین شرط شرعی، یعنی مباشرت مالک و قائم مقام او در صدور لفظ عقد، شک داریم، پس می‌توان بر نفی این شرط به اطلاق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استدلال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استدلال به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زمانهای بسیار گذشته تاکنون، تصرف وکلا و افراد مأذون از طرف مالک در اموال او سیره‌ای مأنوس و طریقه و روشی مألوف بوده است، مخصوصا در مورد افرادی که اموال زیاد و املاک وسیع و گسترده‌ای دارند و در مواردی افراد بدون</w:t>
      </w:r>
    </w:p>
    <w:p>
      <w:pPr>
        <w:pStyle w:val="BookText"/>
        <w:rPr/>
      </w:pPr>
      <w:r>
        <w:rPr>
          <w:rFonts w:ascii="IRNazanin" w:hAnsi="IRNazanin" w:eastAsia="IRNazanin"/>
          <w:color w:val="111111"/>
          <w:sz w:val="28"/>
          <w:sz w:val="28"/>
          <w:szCs w:val="28"/>
          <w:rtl w:val="true"/>
          <w:lang w:bidi="fa-IR"/>
        </w:rPr>
        <w:t>اذن قبلی از سوی مالک اقدام به فروش بعضی از اموال او می‌کنند و بعد از اجرای عقد بیع، به مالک خبر داده و از او کسب اجازه می‌کنند و نیز گاهی دوستان و آشنایان مالک</w:t>
      </w:r>
    </w:p>
    <w:p>
      <w:pPr>
        <w:pStyle w:val="BookText"/>
        <w:rPr/>
      </w:pPr>
      <w:r>
        <w:rPr>
          <w:rFonts w:ascii="IRNazanin" w:hAnsi="IRNazanin" w:eastAsia="IRNazanin"/>
          <w:color w:val="111111"/>
          <w:sz w:val="28"/>
          <w:sz w:val="28"/>
          <w:szCs w:val="28"/>
          <w:rtl w:val="true"/>
          <w:lang w:bidi="fa-IR"/>
        </w:rPr>
        <w:t>اقدام به بیع فضولی می‌کنند، مخصوصا در مواردی که مالک خود در شهری و ملک او در شهر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فروش، بایع فضولی به مالک خبر می‌دهند و او هم اجازه و رضایت خود را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از زمان شارع تاکنون، این گونه معاملات بین مردم رایج و متداوّل بوده و به صورت یک عادت معروف و طریقه‌ای مأنوس درآمده است، بخصوص امروزه این نوع معاملات در آژانس‌ها و بنگاه‌های معاملات بسیار رواج دارد که در غیاب مالک ملک او را به دیگری می‌فروشند و مالک بعد از اطلاع رد یا قبول می‌کند، می‌توان روایت</w:t>
      </w:r>
    </w:p>
    <w:p>
      <w:pPr>
        <w:pStyle w:val="BookText"/>
        <w:rPr/>
      </w:pPr>
      <w:r>
        <w:rPr>
          <w:rFonts w:ascii="IRNazanin" w:hAnsi="IRNazanin" w:eastAsia="IRNazanin"/>
          <w:color w:val="111111"/>
          <w:sz w:val="28"/>
          <w:sz w:val="28"/>
          <w:szCs w:val="28"/>
          <w:rtl w:val="true"/>
          <w:lang w:bidi="fa-IR"/>
        </w:rPr>
        <w:t>عروه بارقی را مؤید این سیره دانست و جز به وسیله ظاهر بعضی از اخبار مثل فرمایش رسول اکرم صلی‌الله‌علیه‌و‌آله به 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ما لَیْسَ عِنْدَکَ و خبر نبوی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بَیْعَ اِلاّ فِیما یُمْلَکُ از این سیره منع و ردعی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ردّ استدلال به سیره در بیع فضولی که بعضی به آن استدلال کرده‌اند، برای اثبات این که بیع فضولی از عقود متداوله و رایج زمان شارع بوده و لذا</w:t>
      </w:r>
    </w:p>
    <w:p>
      <w:pPr>
        <w:pStyle w:val="BookText"/>
        <w:rPr/>
      </w:pPr>
      <w:r>
        <w:rPr>
          <w:rFonts w:ascii="IRNazanin" w:hAnsi="IRNazanin" w:eastAsia="IRNazanin"/>
          <w:color w:val="111111"/>
          <w:sz w:val="28"/>
          <w:sz w:val="28"/>
          <w:szCs w:val="28"/>
          <w:rtl w:val="true"/>
          <w:lang w:bidi="fa-IR"/>
        </w:rPr>
        <w:t xml:space="preserve">تحت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است، می‌فرماید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اثبات معامله فضولی، استدلال به سیره و روش مأنوس و مألوف که عبارت است از این که وکلا و مأذونین از طرف مالک، نسبت به اموالی که اذن در تصرف ندارند، تصرف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تصرف آنها بر غیر وجهی است که مالک اذن داده است، مثلاً اقدام به فروش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صورتی که اموال مالک، بسیار و توان مالی او وسیع باشد، پس از تصرف، به موکلین خود خبر داده و از آنها درخواست اجازه می‌کنند و همچنین است تصرف دوستان و یاران مالک در اموال او، بخصوص در صورت دور بودن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مالک خود در شهری است و املاک او در شهر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این عمل یک </w:t>
      </w:r>
      <w:bookmarkStart w:id="370" w:name="pg4331_49188"/>
    </w:p>
    <w:p>
      <w:pPr>
        <w:pStyle w:val="BookText"/>
        <w:rPr/>
      </w:pPr>
      <w:bookmarkEnd w:id="370"/>
      <w:r>
        <w:rPr>
          <w:rFonts w:ascii="IRNazanin" w:hAnsi="IRNazanin" w:eastAsia="IRNazanin"/>
          <w:color w:val="111111"/>
          <w:sz w:val="28"/>
          <w:sz w:val="28"/>
          <w:szCs w:val="28"/>
          <w:rtl w:val="true"/>
          <w:lang w:bidi="fa-IR"/>
        </w:rPr>
        <w:t>عادت و روش معروف و غیر قابل انکاری است، اما استدلال به آن ناتمام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چنان که مشاهده می‌شود، صاحب جواهر در عبارت فوق استدلال به سیره را برای اندراج بیع فضولی تحت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ناتمام می‌داند و در وجه ناتمامیت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بر فرض این که این سیره در زمان شرع و پیروان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بوده باشد، خود همین سیره کاشف از رضایت شارع به بیع فضولی است و در این صورت همین سیره به عنوان دلیل بر مطلوب کافی است و نیازی به آن نیست که از روی تکلّف آن را تحت آیه مندرج سازیم</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سیره از آن سیره‌هایی باشد که منشأ آن تسامح در امور شرع و جهالت به احکام آن است و به خاطر همین تسامح و جهالت است که افراد فضولی مبیع را تسلیم و ثمن را اخذ می‌کنند و نیز دیگر احکام و تصرفات مالکان را بر آن جاری می‌سازند، چنین سیره‌ای معتبر نخواهد بود، زیرا متضمن و مقتضی صحت بیع فضولی بدون تعقیب اجازه مالک است که فساد آن معلوم و روشن است</w:t>
      </w:r>
      <w:r>
        <w:rPr>
          <w:rFonts w:eastAsia="IRNazanin" w:cs="IRNazanin"/>
          <w:color w:val="111111"/>
          <w:sz w:val="28"/>
          <w:szCs w:val="28"/>
          <w:rtl w:val="true"/>
          <w:lang w:bidi="fa-IR"/>
        </w:rPr>
        <w:t>.»</w:t>
      </w:r>
      <w:r>
        <w:rPr>
          <w:rStyle w:val="FootnoteAnchor"/>
          <w:rtl w:val="true"/>
        </w:rPr>
        <w:footnoteReference w:id="434"/>
      </w:r>
    </w:p>
    <w:p>
      <w:pPr>
        <w:pStyle w:val="Heading4"/>
        <w:numPr>
          <w:ilvl w:val="3"/>
          <w:numId w:val="1"/>
        </w:numPr>
        <w:rPr/>
      </w:pPr>
      <w:bookmarkStart w:id="371" w:name="__RefHeading___Toc1014863_1479056682"/>
      <w:bookmarkStart w:id="372" w:name="_Toc136"/>
      <w:bookmarkEnd w:id="371"/>
      <w:r>
        <w:rPr/>
        <w:t>13</w:t>
      </w:r>
      <w:r>
        <w:rPr>
          <w:rtl w:val="true"/>
        </w:rPr>
        <w:t xml:space="preserve"> - </w:t>
      </w:r>
      <w:r>
        <w:rPr>
          <w:rtl w:val="true"/>
        </w:rPr>
        <w:t xml:space="preserve">استدلال به سیره در جواز بیع مذوق و مشموم </w:t>
      </w:r>
      <w:r>
        <w:rPr>
          <w:rtl w:val="true"/>
        </w:rPr>
        <w:t>(</w:t>
      </w:r>
      <w:r>
        <w:rPr>
          <w:rtl w:val="true"/>
        </w:rPr>
        <w:t>چشیدنی و بوییدنی</w:t>
      </w:r>
      <w:r>
        <w:rPr>
          <w:rtl w:val="true"/>
        </w:rPr>
        <w:t xml:space="preserve">) </w:t>
      </w:r>
      <w:r>
        <w:rPr>
          <w:rtl w:val="true"/>
        </w:rPr>
        <w:t>و در جواز بیع، نسبت به آنچه آزمایش آن منجر به افساد آن می‌شود</w:t>
      </w:r>
      <w:bookmarkEnd w:id="37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شروط صحت بیع دارای اقسامی است ؛ بعضی از شروط مربوط به متعاقدین و برخی مربوط به عوضین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شروط صحتّ بیع، علم به عوضین است، یعنی ثمن و مثمن باید معلوم باشد، چون جهالت موجب غرر می‌شود و بیع غرری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شیخ در مکاسب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علما معروف است که علم به مقدار ثمن،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تعیین مقدار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حکم و قضاوت یکی از متعاقدین،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مختلف فرموده این معامله اجماعا باطل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فرموده اتفاقا باطل است و در کتاب سرائر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بیع به حکم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ابطال این بیع به این است که هر بیعی که در آن ثمن ذکر نشود، بدون این که بین مسلمین خلافی باشد، باطل است و اصل و مبنا در بطلان آن، حدیث نفی غرر است که بین مسلمین مشهور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اجماع علمای امامیه، علم به مقدار مثمن مانند خود ثمن شرط است، چنان که از کتاب تذکره این اجماع نقل شده است و از کتاب غنیه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 بدون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بر مجهول باطل است و از کتاب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 آنچه که با 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می‌شود، بیع آن به صورت تخمین، صحیح نیست گرچه مبیع مشاهده شود واین مسأله اجماعی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به هر حال آن طور که از نصوص فقهیّه استفاده می‌شود، معلوم بودن عوضین از نظر جنس و مقدار و اوصاف، یکی از شروط مورد اتّفاق تمام فقهای مذهب شیعه و بلکه فقهای مذاهب اربعه اهل سنّت است و به همین جهت تمام فقها اتّفاق نظر دارند که هر نوع جهالتی در ثمن و مثمن که موجب تغریر و خصومت متعاقدین شود باید برطرف شود و لذا اشیایی که در آنها کیل یا وزن معتبر است حتما باید با کیل یا وزن مقدار آنها</w:t>
      </w:r>
    </w:p>
    <w:p>
      <w:pPr>
        <w:pStyle w:val="BookText"/>
        <w:rPr/>
      </w:pPr>
      <w:r>
        <w:rPr>
          <w:rFonts w:ascii="IRNazanin" w:hAnsi="IRNazanin" w:eastAsia="IRNazanin"/>
          <w:color w:val="111111"/>
          <w:sz w:val="28"/>
          <w:sz w:val="28"/>
          <w:szCs w:val="28"/>
          <w:rtl w:val="true"/>
          <w:lang w:bidi="fa-IR"/>
        </w:rPr>
        <w:t>معلوم شود و اغلب فقها فروش مکیل و موزون را با تخمین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حلبی آمده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اشتری من رجل طعاما عدلاً بکیل معلوم ثم ان صاحبه قال </w:t>
      </w:r>
    </w:p>
    <w:p>
      <w:pPr>
        <w:pStyle w:val="BookText"/>
        <w:rPr/>
      </w:pPr>
      <w:r>
        <w:rPr>
          <w:rFonts w:ascii="IRNazanin" w:hAnsi="IRNazanin" w:eastAsia="IRNazanin"/>
          <w:color w:val="111111"/>
          <w:sz w:val="28"/>
          <w:sz w:val="28"/>
          <w:szCs w:val="28"/>
          <w:rtl w:val="true"/>
          <w:lang w:bidi="fa-IR"/>
        </w:rPr>
        <w:t xml:space="preserve">للمشتری ابتَعْ منی هذا العِدلَ الأخیر بغیر کیل فان فیه مثل ما فی الآخر الذی ابتعته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لایصلح الاّ بکیل، قال و ما کان من طعام سمّیت فیه کیلاً فانه</w:t>
      </w:r>
    </w:p>
    <w:p>
      <w:pPr>
        <w:pStyle w:val="BookText"/>
        <w:rPr/>
      </w:pPr>
      <w:r>
        <w:rPr>
          <w:rFonts w:ascii="IRNazanin" w:hAnsi="IRNazanin" w:eastAsia="IRNazanin"/>
          <w:color w:val="111111"/>
          <w:sz w:val="28"/>
          <w:sz w:val="28"/>
          <w:szCs w:val="28"/>
          <w:rtl w:val="true"/>
          <w:lang w:bidi="fa-IR"/>
        </w:rPr>
        <w:t>لایصلح مجازفةً</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دیگری یک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طعامی را به کیل و پیمانه معلوم خرید، سپس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مشتری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بسته دیگر را بدون کیل از من بخر، زیرا در آن مانند همان مقداری است که در بسته دیگر بود که آن را از من خریدی،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کیل کردن، درست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طعامی که در آن کیل را نام برده‌ای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کرده‌ای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تخمین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اختبار طعم و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رفع جهالت از مبیع آن قدر دقیق و مهم است که در مورد اشیائی که مقصور از خرید آنها طعم و بوی آنهاست و انواع متعدد با رنگها و طعمها</w:t>
      </w:r>
    </w:p>
    <w:p>
      <w:pPr>
        <w:pStyle w:val="BookText"/>
        <w:rPr/>
      </w:pPr>
      <w:r>
        <w:rPr>
          <w:rFonts w:ascii="IRNazanin" w:hAnsi="IRNazanin" w:eastAsia="IRNazanin"/>
          <w:color w:val="111111"/>
          <w:sz w:val="28"/>
          <w:sz w:val="28"/>
          <w:szCs w:val="28"/>
          <w:rtl w:val="true"/>
          <w:lang w:bidi="fa-IR"/>
        </w:rPr>
        <w:t>و بوهای متعدد از آنها موجود است و اختلاف طعم و رنگ و بو مسلّما در اختلاف قیمت مؤثر است، تمام فقها می‌گویند این گونه اشیاء قبل از بیع باید به وسیله چشیدن و بوییدن،</w:t>
      </w:r>
    </w:p>
    <w:p>
      <w:pPr>
        <w:pStyle w:val="BookText"/>
        <w:rPr/>
      </w:pPr>
      <w:r>
        <w:rPr>
          <w:rFonts w:ascii="IRNazanin" w:hAnsi="IRNazanin" w:eastAsia="IRNazanin"/>
          <w:color w:val="111111"/>
          <w:sz w:val="28"/>
          <w:sz w:val="28"/>
          <w:szCs w:val="28"/>
          <w:rtl w:val="true"/>
          <w:lang w:bidi="fa-IR"/>
        </w:rPr>
        <w:t>مزه و بوی آنها آزمایش شود تا جهالت و غرر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مکاسب شیخ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 لا بُدَّ من إختبار الطعم و اللّوْن و الرائحة فیما یختلف باختلاف ذلک کما فی کل وصف یکون کذلک، إذ لافرق فی توقّف رفع الغرر علی العلم بین هذه الاوصاف و بین تقدیر العوضین بالکیل و الوزن و العدّ و یغنی الوصف عن الاختبار فیما ینضبط من الاوصاف دون مالاینضبط کمقدار الطعم و الرائحة و اللون و کیفیاتها فإن ذلک مما لایمکن ضبطه الاّ باختبار شی‌ءٍ من جنسه ثم الشراء علی ذلک النحو من الوصف</w:t>
      </w:r>
      <w:r>
        <w:rPr>
          <w:rStyle w:val="FootnoteAnchor"/>
          <w:rtl w:val="true"/>
        </w:rPr>
        <w:footnoteReference w:id="43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باید مزه و رنگ و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پیدا می‌کند، آزمایش شود، همچنین است هر وصفی که موجب اختلاف قیمت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آزمایش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متوقف بودن رفع غرر بر علم، بین این اوصاف و بین تعیین مقدار عوضین، با کیل و وزن و شمردن فرقی </w:t>
      </w:r>
    </w:p>
    <w:p>
      <w:pPr>
        <w:pStyle w:val="BookText"/>
        <w:rPr/>
      </w:pPr>
      <w:r>
        <w:rPr>
          <w:rFonts w:ascii="IRNazanin" w:hAnsi="IRNazanin" w:eastAsia="IRNazanin"/>
          <w:color w:val="111111"/>
          <w:sz w:val="28"/>
          <w:sz w:val="28"/>
          <w:szCs w:val="28"/>
          <w:rtl w:val="true"/>
          <w:lang w:bidi="fa-IR"/>
        </w:rPr>
        <w:t>نیست و توصیف کالا در صورتی ما را از آزمایش بی‌نیاز می‌کند که مربوط به اوصاف منضبط و مشخص باشد، نه اوصاف غیر منضبط، مانند مقدار مزه و بو و رنگ و کیفیات آنها، زیرا ضبط و تعیین این امور جز با آزمودن مقداری از جنس آن، ممکن نیست، که پس از آزمایش بر طبق همان وصفی که آزمایش کرده، آن را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سیره در بیع مطعوم و مشموم بدون 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ابتیاع این</w:t>
      </w:r>
    </w:p>
    <w:p>
      <w:pPr>
        <w:pStyle w:val="BookText"/>
        <w:rPr/>
      </w:pPr>
      <w:r>
        <w:rPr>
          <w:rFonts w:ascii="IRNazanin" w:hAnsi="IRNazanin" w:eastAsia="IRNazanin"/>
          <w:color w:val="111111"/>
          <w:sz w:val="28"/>
          <w:sz w:val="28"/>
          <w:szCs w:val="28"/>
          <w:rtl w:val="true"/>
          <w:lang w:bidi="fa-IR"/>
        </w:rPr>
        <w:t xml:space="preserve">گونه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طعم و بوی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و بدون آزمایش از طریق چشیدن و بوییدن و بدون توصیف صحیح است ؟ آیا در این اشیاء فقط مشاهده کافی است، یعنی بدون توصیف مزه و بوی آنها و بدون آزمایش مزه و بوی آنها ابتیاع آنها جایز است؟</w:t>
      </w:r>
    </w:p>
    <w:p>
      <w:pPr>
        <w:pStyle w:val="BookText"/>
        <w:rPr/>
      </w:pPr>
      <w:r>
        <w:rPr>
          <w:rFonts w:ascii="IRNazanin" w:hAnsi="IRNazanin" w:eastAsia="IRNazanin"/>
          <w:color w:val="111111"/>
          <w:sz w:val="28"/>
          <w:sz w:val="28"/>
          <w:szCs w:val="28"/>
          <w:rtl w:val="true"/>
          <w:lang w:bidi="fa-IR"/>
        </w:rPr>
        <w:t>صاحب جواهر سؤال فوق را چنین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در این است که آیا بدون آزمایش و بدون توصیف، خریدن آن صحیح است ؟ بعد از آن که آن را مشاهده کرد و جهالت آن از نظر قوام و رنگ و مانند آن برطرف شد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و بو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آن جایز است، بنابر اصل صحت و سلامت در آن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تردد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صاحب جواهر در جواب از سؤال فوق قایل به جواز است و یکی از ادلّه آن را سیره قطعی می‌داند و می‌گوید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اولی و اقوی از نظر ابن ادریس و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متأخرین از آن دو، قول به جواز است، به خاطر عموماتی که در معارضه با دلیل غرر سالم می‌مانند و نیز دلیل غرر به وسیله اصل سلامت مبیع و به وسیله سیره قطعی مرتفع است، زیرا بسیاری از صفات ظاهر نمی‌شوند مگر بعد از نوعی از تصرفات،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قول به جواز را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آن فساد اکثر معاملات است زیرا اگر در مذوق و مشموم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چشیدنی و بوییدنی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صحت و سلامت کافی نباشد، در غیر آنها از حیوانات و مانند آن نیز کافی نخواهد بود و علاوه بر آن، اطلاع یافتن بر عیوب در بسیاری از موارد متوقف است بر تصرف زیاد </w:t>
      </w:r>
    </w:p>
    <w:p>
      <w:pPr>
        <w:pStyle w:val="BookText"/>
        <w:rPr/>
      </w:pPr>
      <w:r>
        <w:rPr>
          <w:rFonts w:ascii="IRNazanin" w:hAnsi="IRNazanin" w:eastAsia="IRNazanin"/>
          <w:color w:val="111111"/>
          <w:sz w:val="28"/>
          <w:sz w:val="28"/>
          <w:szCs w:val="28"/>
          <w:rtl w:val="true"/>
          <w:lang w:bidi="fa-IR"/>
        </w:rPr>
        <w:t>در زمان طولانی</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چنان که در عبارات فوق ملاحظه می‌شود یکی ادلّه صاحب جواهر بر جواز بیع مطعوم و مشموم بدون آزمایش طعم و بوی آنها، سیره قطعیه مسلمین است، از نظر نگارنده، هم به واقع چنین است، وقتی بازار مسلمین را مشاهده می‌کنیم، می‌بینیم جز در</w:t>
      </w:r>
    </w:p>
    <w:p>
      <w:pPr>
        <w:pStyle w:val="BookText"/>
        <w:rPr/>
      </w:pPr>
      <w:r>
        <w:rPr>
          <w:rFonts w:ascii="IRNazanin" w:hAnsi="IRNazanin" w:eastAsia="IRNazanin"/>
          <w:color w:val="111111"/>
          <w:sz w:val="28"/>
          <w:sz w:val="28"/>
          <w:szCs w:val="28"/>
          <w:rtl w:val="true"/>
          <w:lang w:bidi="fa-IR"/>
        </w:rPr>
        <w:t>موارد معدود و جز افراد قلیلی، بیشتر مردم وقتی این گونه اشیاء را می‌خرند فقط به پرسیدن قیمت و مشاهده ظاهر کالا و گاهی لمس و دست کشیدن بر آنها اکتفا می‌کنند و بسیار کم هستند کسانی که موقع خرید، خوردنیها را بچشند و مشمومات را ببویند و چه بسا که بسیاری از مردم این عمل را دون شأن خود و به تعبیر دیگر آن را خلاف مروت و وقار تلقی کنند، بنابراین سیره عملی غالب مردم در ابتیاع این اشیاء فقط اکتفا به مشاهده</w:t>
      </w:r>
    </w:p>
    <w:p>
      <w:pPr>
        <w:pStyle w:val="BookText"/>
        <w:rPr/>
      </w:pPr>
      <w:r>
        <w:rPr>
          <w:rFonts w:ascii="IRNazanin" w:hAnsi="IRNazanin" w:eastAsia="IRNazanin"/>
          <w:color w:val="111111"/>
          <w:sz w:val="28"/>
          <w:sz w:val="28"/>
          <w:szCs w:val="28"/>
          <w:rtl w:val="true"/>
          <w:lang w:bidi="fa-IR"/>
        </w:rPr>
        <w:t>کالا و توصیف آن است نه چشیدن و بوییدن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سیره در جواز ابتیاع اشیایی که آزمایش آنها منجرّ به افساد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اشیاء خوردنی هستند که اختبار و آزمایش آنها منجر به افساد و نقص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گردو، خربزه، هندوانه، تخم مرغ و امثال آنها، زیرا اگر قرار باشد طعم و بوی آنها آزمایش شود، باید پس از شکستن آزمایش شوند و معلوم است که با شکستن دچار نقص می‌شوند و بعضی از آنها مثل تخم مرغ با شکستن 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این گونه اشیاء بدون آزمایش صحیح است، با این که وضع درونی آنها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مکاسب می‌گوید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اجماعا، بنابر ظاهر، خریدن چیزی که آزمایش آن را فاسد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و اقوی آن است که شرط صحت کالا در عقد معتبر نیست و اعتماد بر أصالة السلامة کافی است، چنان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اشیائی هم که آزمایش موجب افساد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صحت، در عقد معتبر نیست و اعتماد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و این برخلاف ظاهر کلام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آنها گذشت، که ظاهر کلام ایشان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صحت و براءت از عیوب یا خصوص یکی از این دو، معتبر </w:t>
      </w:r>
      <w:bookmarkStart w:id="373" w:name="pg4331_49197"/>
    </w:p>
    <w:p>
      <w:pPr>
        <w:pStyle w:val="BookText"/>
        <w:rPr/>
      </w:pPr>
      <w:bookmarkEnd w:id="373"/>
      <w:r>
        <w:rPr>
          <w:rFonts w:ascii="IRNazanin" w:hAnsi="IRNazanin" w:eastAsia="IRNazanin"/>
          <w:color w:val="111111"/>
          <w:sz w:val="28"/>
          <w:sz w:val="28"/>
          <w:szCs w:val="28"/>
          <w:rtl w:val="true"/>
          <w:lang w:bidi="fa-IR"/>
        </w:rPr>
        <w:t>و لازم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صاحب جواهر بر جواز ابتیاع این گونه اشیاء ادعای سیره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آنچه آزمایش آن منجر به افسادش می‌شود، مانند گردو و هندوانه و تخم مرغ، خریدن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با آن که وضع درونی آن مجهول است و دلیل آن سیره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مسلمین آن است که این اشیاء را بدون آزمایش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بین شرط صحت یا براءت از عیوب و عدم چنین شرطی فرقی باشد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مشتری آزمایش کرد و معیوب درآمد، فقط حق ارش و گرفتن تفاوت قیمت را دارد نه حق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شکسته آن اصلاً قیمتی نداشته باشد، مشتری به تمام ثمن رجوع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یکی از ادلّه جواز ابتیاع این گونه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آزمایش فاسد یا ناقص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روش عملی مسلمین است که معمولاً در ابتیاع این اشیاء آزمایش نمی‌کند، موقع خرید، مثلاً گردو یا هندوانه را با دست زدن و احیانا فشار دادن قدری بررسی می‌کند، اما هیچ یک از آنها را نمی‌شکند و در بسیاری از موارد فروشنده با شکستن مخالف است</w:t>
      </w:r>
      <w:r>
        <w:rPr>
          <w:rFonts w:eastAsia="IRNazanin" w:cs="IRNazanin"/>
          <w:color w:val="111111"/>
          <w:sz w:val="28"/>
          <w:szCs w:val="28"/>
          <w:rtl w:val="true"/>
          <w:lang w:bidi="fa-IR"/>
        </w:rPr>
        <w:t>.</w:t>
      </w:r>
    </w:p>
    <w:p>
      <w:pPr>
        <w:pStyle w:val="Heading4"/>
        <w:numPr>
          <w:ilvl w:val="3"/>
          <w:numId w:val="1"/>
        </w:numPr>
        <w:rPr/>
      </w:pPr>
      <w:bookmarkStart w:id="374" w:name="__RefHeading___Toc1014865_1479056682"/>
      <w:bookmarkStart w:id="375" w:name="_Toc137"/>
      <w:bookmarkEnd w:id="374"/>
      <w:r>
        <w:rPr/>
        <w:t>14</w:t>
      </w:r>
      <w:r>
        <w:rPr>
          <w:rtl w:val="true"/>
        </w:rPr>
        <w:t xml:space="preserve"> - </w:t>
      </w:r>
      <w:r>
        <w:rPr>
          <w:rtl w:val="true"/>
        </w:rPr>
        <w:t>استدلال به سیره در بعضی از مسائل صلح مربوط به تزاحم حقوق و منازعات در املاک</w:t>
      </w:r>
      <w:bookmarkEnd w:id="375"/>
    </w:p>
    <w:p>
      <w:pPr>
        <w:pStyle w:val="BookText"/>
        <w:rPr/>
      </w:pPr>
      <w:r>
        <w:rPr>
          <w:rFonts w:ascii="IRNazanin" w:hAnsi="IRNazanin" w:eastAsia="IRNazanin"/>
          <w:color w:val="111111"/>
          <w:sz w:val="28"/>
          <w:sz w:val="28"/>
          <w:szCs w:val="28"/>
          <w:rtl w:val="true"/>
          <w:lang w:bidi="fa-IR"/>
        </w:rPr>
        <w:t>یکی از عقود لازمه، صلح است که مقصود اصلی از تشریع آن رفع تنازع بین</w:t>
      </w:r>
    </w:p>
    <w:p>
      <w:pPr>
        <w:pStyle w:val="BookText"/>
        <w:rPr/>
      </w:pPr>
      <w:r>
        <w:rPr>
          <w:rFonts w:ascii="IRNazanin" w:hAnsi="IRNazanin" w:eastAsia="IRNazanin"/>
          <w:color w:val="111111"/>
          <w:sz w:val="28"/>
          <w:sz w:val="28"/>
          <w:szCs w:val="28"/>
          <w:rtl w:val="true"/>
          <w:lang w:bidi="fa-IR"/>
        </w:rPr>
        <w:t>متخاصمین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تعریف صلح گفته‌اند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عقد شرّع لقطع التجاذب و التنازع بین الخصمین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عقدی است که برای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و نزاع بین دو طرف مخالف،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صلح عبارت </w:t>
      </w:r>
    </w:p>
    <w:p>
      <w:pPr>
        <w:pStyle w:val="BookText"/>
        <w:rPr/>
      </w:pPr>
      <w:r>
        <w:rPr>
          <w:rFonts w:ascii="IRNazanin" w:hAnsi="IRNazanin" w:eastAsia="IRNazanin"/>
          <w:color w:val="111111"/>
          <w:sz w:val="28"/>
          <w:sz w:val="28"/>
          <w:szCs w:val="28"/>
          <w:rtl w:val="true"/>
          <w:lang w:bidi="fa-IR"/>
        </w:rPr>
        <w:t>است از ملتزم و متعهد شدن طرفین دعوی به سازش و رفع خصومت، خواه خصومت و نزاع بالفعل موجود باشد، یا این که فرضی و تقدیری باشد، به عبارت دیگر برای تحقق آن وجود تنازع و خصومت ضرورتی ندارد، یعنی بدون تنازع و خصومت هم عقد صلح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محقّق ثانی در جامع المقاصد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اشکال بر این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مقتضی اشتراط صلح به سبق خصومت است، چنان که نظر بعضی از علمای اهل سنّت چنین است، زیرا قطع کننده کشمکش و نزاع، مسبوق به نزاع و خصومت است، جواب این اشکال آن است که پایه و اساس شرعیّت این عقد، برای قطع خصومت و نزاع است و لازم نیست که در هر فردی از افراد صلح، نزاع و خصومت برقرار و بالفعل موجود باشد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آن است که نزاع و خصومت، شرط این عقد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صلح یکی از عقود عامّه است که در امور زیادی جریان دارد و صحیح می‌باشد از قبیل صلح با انکار و با اقرار، صلح بر معلوم و مجهول، بر دین و عین و منفعت، صلح در خاموش ساختن آتش جنگ، و در اصلاح ذات البین و سایر موارد تنازع، حتّی برخی از معاملات که به خاطر پاره‌ای از مشکلات و بعضی از شرایط دقیق در قالب عقود دیگر امکان پذیر نیست، با عقد صلح میسّر و ممکن می‌شود، به همین جهت است که صلح را سیدالعقود نامیده‌اند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جامع المقاصد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یُفید فائدةَ عقودٍ متعددةٍ</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صلح فایده عقود متعددی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کنز العرفان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فموضوعه اعمّ من موضوع باقی العقود فلذلک اشتهر بین الأنام أنه سید الأحکام</w:t>
      </w:r>
      <w:r>
        <w:rPr>
          <w:rStyle w:val="FootnoteAnchor"/>
          <w:rtl w:val="true"/>
        </w:rPr>
        <w:footnoteReference w:id="44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عقد صلح از موضوع سایر عقود اعمّ است به همین جهت است که </w:t>
      </w:r>
    </w:p>
    <w:p>
      <w:pPr>
        <w:pStyle w:val="BookText"/>
        <w:rPr/>
      </w:pPr>
      <w:r>
        <w:rPr>
          <w:rFonts w:ascii="IRNazanin" w:hAnsi="IRNazanin" w:eastAsia="IRNazanin"/>
          <w:color w:val="111111"/>
          <w:sz w:val="28"/>
          <w:sz w:val="28"/>
          <w:szCs w:val="28"/>
          <w:rtl w:val="true"/>
          <w:lang w:bidi="fa-IR"/>
        </w:rPr>
        <w:t>بین مردم مشهور است که صلح، سید الأحکام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آیاتی از قرآن و احادیثی از معصومین علیهم‌السلام بر مشروعیّت آن دلالت می‌کند، چنان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جائز بین المسلمین الاّ صلحا احلّ حراما او حرّم حلالاً</w:t>
      </w:r>
      <w:r>
        <w:rPr>
          <w:rStyle w:val="FootnoteAnchor"/>
          <w:rtl w:val="true"/>
        </w:rPr>
        <w:footnoteReference w:id="4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بین مسلمین جایز است مگر صلحی که موجب تحلیل حرام و تحریم حلال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سیره در بعضی از مسائل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موارد جریان صلح بسیار فراوان و متنوع است که یکی از آن موارد، جریان آن در منازعات مربوط به املاک است، چنان که در شرایع الاسلام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بذلک احکام النزاع فی الأملاک</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نزاع در املاک به باب صلح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مسائل و مواردی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 از اختلاف و تنازع مالکان با همسایگان خود، در حقوق ارتفاقی ملک است و اوّلین مسأله‌ای را که فقهای بزرگ، همچون محقّق حلّی و علاّمه حلّی، در این بخش از کتاب صلح مطرح کرده‌اند،</w:t>
      </w:r>
    </w:p>
    <w:p>
      <w:pPr>
        <w:pStyle w:val="BookText"/>
        <w:rPr/>
      </w:pPr>
      <w:r>
        <w:rPr>
          <w:rFonts w:ascii="IRNazanin" w:hAnsi="IRNazanin" w:eastAsia="IRNazanin"/>
          <w:color w:val="111111"/>
          <w:sz w:val="28"/>
          <w:sz w:val="28"/>
          <w:szCs w:val="28"/>
          <w:rtl w:val="true"/>
          <w:lang w:bidi="fa-IR"/>
        </w:rPr>
        <w:t xml:space="preserve">مسأله نصب میزاب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بیرون آمدن ستونهای ساختمان به طرف راه است که از آنها تعبیر به رواشن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روشن به معنی روزن و محلّ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 یا گذاردن پنجره و ساباط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از این قبیل است که به ممرّ و محلّ عبور و مرور همسایگان و دیگر عابران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باب صلح در کتاب قواعد گفت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 در تزاحم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بیرون آوردن روشن و جناح و قراردادن ساباط و باز کردن درهای جدید و نصب ناودانها در راهها به شرط آن که به رهگذران زیانی نرساند، گرچه 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و مخالف آن باشد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محقّق ثانی در توضیح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کلمه روشن و جناح فرقی نیست، زیرا هر دو عبارتند از بیرون آوردن چوب از دیوار و ساختن بر روی آن و مانند آن، به طوری که به دیوار مقابل نرسد و اگر برسد ساباط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لغویّون کلمه روشن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پنجره و سوراخ دیوار، تفسیر کرده‌اند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وی سپس 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امامیّه شیخ طوسی و از اهل سنّت ابوحنیفه در صورتی که مسلمانی معارض باشد، در این مسأله مخالفند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ملک از قرار دادن جناح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می‌شود، مصنف این اختلاف را در تذکره حکایت کرده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جواهر نیز اخراج رواشن را مطرح کرده و دلیل جواز آن را سیره مستمرّه در تمام اعصار و امصار از زمان پیامبر صلی‌الله‌علیه‌و‌آله تا کنون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و اشکالی نیست در این که جایز است بیرون آوردن روشنها و جناحها و مانند آن به سوی کوچه‌ها و راههای باز و دارای رفت و آمد، به شرط آن که بلند باشند که زیانی به رهگذران نرسانند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صاحب جواهر سیره مستمره مسلمین را به عنوان دلیل جواز چنین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للسیرة المستمرّة فی سایر الأعصار و الأمصار من زمن النبی صلی‌الله‌علیه‌و‌آله الی یومنا هذا</w:t>
      </w:r>
    </w:p>
    <w:p>
      <w:pPr>
        <w:pStyle w:val="BookText"/>
        <w:rPr/>
      </w:pPr>
      <w:r>
        <w:rPr>
          <w:rFonts w:ascii="IRNazanin" w:hAnsi="IRNazanin" w:eastAsia="IRNazanin"/>
          <w:color w:val="111111"/>
          <w:sz w:val="28"/>
          <w:sz w:val="28"/>
          <w:szCs w:val="28"/>
          <w:rtl w:val="true"/>
          <w:lang w:bidi="fa-IR"/>
        </w:rPr>
        <w:t>و قد وضع هو صلی‌الله‌علیه‌و‌آله میزابا لدار عمه العباس، بل هی کذلک من غیر حاجة الی الإذن من حاکم و لامن غیره سواء قلنا بکون الهواء ملکا للمسلمین او باقیا علی الاباحة الاصلیّة</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سیره مستمرّه که در سایر زمانها و سایر شهرها از زمان پیامبر صلی‌الله‌علیه‌و‌آله تا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ما استمرار داشته است و خود پیامبر صلی‌الله‌علیه‌و‌آله برای خانه عمویش عباس </w:t>
      </w:r>
      <w:bookmarkStart w:id="376" w:name="pg4331_49206"/>
    </w:p>
    <w:p>
      <w:pPr>
        <w:pStyle w:val="BookText"/>
        <w:rPr/>
      </w:pPr>
      <w:bookmarkEnd w:id="376"/>
      <w:r>
        <w:rPr>
          <w:rFonts w:ascii="IRNazanin" w:hAnsi="IRNazanin" w:eastAsia="IRNazanin"/>
          <w:color w:val="111111"/>
          <w:sz w:val="28"/>
          <w:sz w:val="28"/>
          <w:szCs w:val="28"/>
          <w:rtl w:val="true"/>
          <w:lang w:bidi="fa-IR"/>
        </w:rPr>
        <w:t>ناودانی نصب کرد، حکم این مسأله همان است و نیازی به اذن حاکم و دیگران ندارد، اعم از این که بگوییم هوا ملک مسلمانان است، یا بر اباحه اصلیه باقی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وی 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أصحّ حتّی در صورت معارضه و مخالفت یک فرد مسلمان، باز هم حکم آن جواز است، به خاطر همان سیره مستمره که معتضد به فتوا نیز می‌باشد، یعنی فقها بر جواز آن فتوا داده‌اند و به مخالفت معارض اعتنا و التفاتی نکرده‌اند، بلی جواز مبتنی بر عدم زیان به عابران و رهگذارن می‌باشد</w:t>
      </w:r>
      <w:r>
        <w:rPr>
          <w:rFonts w:eastAsia="IRNazanin" w:cs="IRNazanin"/>
          <w:color w:val="111111"/>
          <w:sz w:val="28"/>
          <w:szCs w:val="28"/>
          <w:rtl w:val="true"/>
          <w:lang w:bidi="fa-IR"/>
        </w:rPr>
        <w:t>. »</w:t>
      </w:r>
    </w:p>
    <w:p>
      <w:pPr>
        <w:pStyle w:val="Heading4"/>
        <w:numPr>
          <w:ilvl w:val="3"/>
          <w:numId w:val="1"/>
        </w:numPr>
        <w:rPr/>
      </w:pPr>
      <w:bookmarkStart w:id="377" w:name="__RefHeading___Toc1014867_1479056682"/>
      <w:bookmarkStart w:id="378" w:name="_Toc138"/>
      <w:bookmarkEnd w:id="377"/>
      <w:r>
        <w:rPr/>
        <w:t>15</w:t>
      </w:r>
      <w:r>
        <w:rPr>
          <w:rtl w:val="true"/>
        </w:rPr>
        <w:t xml:space="preserve"> - </w:t>
      </w:r>
      <w:r>
        <w:rPr>
          <w:rtl w:val="true"/>
        </w:rPr>
        <w:t>استدلال به سیره در بعضی از مسائل ودیعه</w:t>
      </w:r>
      <w:bookmarkEnd w:id="378"/>
    </w:p>
    <w:p>
      <w:pPr>
        <w:pStyle w:val="BookText"/>
        <w:rPr/>
      </w:pPr>
      <w:r>
        <w:rPr>
          <w:rFonts w:ascii="IRNazanin" w:hAnsi="IRNazanin" w:eastAsia="IRNazanin"/>
          <w:color w:val="111111"/>
          <w:sz w:val="28"/>
          <w:sz w:val="28"/>
          <w:szCs w:val="28"/>
          <w:rtl w:val="true"/>
          <w:lang w:bidi="fa-IR"/>
        </w:rPr>
        <w:t xml:space="preserve">یکی از عقود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دو طرف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ودیعه می‌باشد، ودیعه آن است که کسی دیگری را در حفظ مال خود نایب قرار می‌دهد و به عبارت دیگر صاحب مال، مال خود را به دیگری می‌سپارد تا مجانا و بلاعوض آن را محافظت کند، شخص نایب را وَدَعّی یا مستودع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ودیعه عقد است و به ایجاب و قبول نیازمند است و در ایجاب یا قبول یا هر دو، فعل کفایت می‌کند، نگهداری مال بر وَدَعّی واجب است و اگر بدون تفریط، مال نزد او تلف شود ضامن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دو مورد، استدلال به سیره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وقوع ودیعه بدون عقد و لفظ، یعنی با فعل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مثال، بیع با عقد و با غیر عقد حاصل می‌شود که بیع بدون عقد در عرف فقها معاطات نامیده می‌شود و ظاهرا از نظر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ودیعه هم مطلب چنین است، زیرا ودیعه در ادعای سیره قطعیه بر وقوع </w:t>
      </w:r>
      <w:bookmarkStart w:id="379" w:name="pg4331_49207"/>
    </w:p>
    <w:p>
      <w:pPr>
        <w:pStyle w:val="BookText"/>
        <w:rPr/>
      </w:pPr>
      <w:bookmarkEnd w:id="379"/>
      <w:r>
        <w:rPr>
          <w:rFonts w:ascii="IRNazanin" w:hAnsi="IRNazanin" w:eastAsia="IRNazanin"/>
          <w:color w:val="111111"/>
          <w:sz w:val="28"/>
          <w:sz w:val="28"/>
          <w:szCs w:val="28"/>
          <w:rtl w:val="true"/>
          <w:lang w:bidi="fa-IR"/>
        </w:rPr>
        <w:t>آن بدون عقد، با بیع مشترک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که در صورت احتمال تلف شدن ودیعه، آیا وَدَعّی حقّ رفتن به سفر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سفر ضروری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سفر ضروری نباشد حق رفتن به سفر را دارد و سفر بر او حرام نیست، الاّ این که ردّ ودیعه به صاحب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در وجوب ردّ ودیعه مناقشه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گاهی در آن مناقشه و اشکال می‌شود به این که وجوب ردّ، مخالف سیره است، زیرا در تمام اعصار و امصار، سیره مستمرّه آن بوده که ودعی‌ها بدون ردّ ودیعه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می‌رفته‌اند و به باقی گذاردن ودیعه در جایگاه مناسب آن در خانه خود اکتفا می‌کرده‌اند، خانه‌ای که در اختیار همسر و فرزندان و خانواده او بوده است</w:t>
      </w:r>
      <w:r>
        <w:rPr>
          <w:rFonts w:eastAsia="IRNazanin" w:cs="IRNazanin"/>
          <w:color w:val="111111"/>
          <w:sz w:val="28"/>
          <w:szCs w:val="28"/>
          <w:rtl w:val="true"/>
          <w:lang w:bidi="fa-IR"/>
        </w:rPr>
        <w:t>.»</w:t>
      </w:r>
      <w:r>
        <w:rPr>
          <w:rStyle w:val="FootnoteAnchor"/>
          <w:rtl w:val="true"/>
        </w:rPr>
        <w:footnoteReference w:id="455"/>
      </w:r>
    </w:p>
    <w:p>
      <w:pPr>
        <w:pStyle w:val="Heading4"/>
        <w:numPr>
          <w:ilvl w:val="3"/>
          <w:numId w:val="1"/>
        </w:numPr>
        <w:rPr/>
      </w:pPr>
      <w:bookmarkStart w:id="380" w:name="__RefHeading___Toc1014869_1479056682"/>
      <w:bookmarkStart w:id="381" w:name="_Toc139"/>
      <w:bookmarkEnd w:id="380"/>
      <w:r>
        <w:rPr/>
        <w:t>16</w:t>
      </w:r>
      <w:r>
        <w:rPr>
          <w:rtl w:val="true"/>
        </w:rPr>
        <w:t xml:space="preserve"> - </w:t>
      </w:r>
      <w:r>
        <w:rPr>
          <w:rtl w:val="true"/>
        </w:rPr>
        <w:t>استدلال به سیره درباره جریان معاطات در عاریه</w:t>
      </w:r>
      <w:bookmarkEnd w:id="381"/>
    </w:p>
    <w:p>
      <w:pPr>
        <w:pStyle w:val="BookText"/>
        <w:rPr/>
      </w:pPr>
      <w:r>
        <w:rPr>
          <w:rFonts w:ascii="IRNazanin" w:hAnsi="IRNazanin" w:eastAsia="IRNazanin"/>
          <w:color w:val="111111"/>
          <w:sz w:val="28"/>
          <w:sz w:val="28"/>
          <w:szCs w:val="28"/>
          <w:rtl w:val="true"/>
          <w:lang w:bidi="fa-IR"/>
        </w:rPr>
        <w:t>عاریه نیز یکی از عقود جایز است که در آن مُعیر به مُستعیر اجازه می‌دهد که از عین مال او مجانا استفاده کند، مستعیر ضامن نیست مگر با سهل انگاری و تفریط، در مورد جریان معاطات در عاریه نیز، صاحب جواهر به سیره استدلال می‌کند و ابتدا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عاریه هم با ایجاب و قبول لفظی واقع می‌شود که همان عقد عاریه است و هم با ایجاب و قبول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عاریه به صورت معاطات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تنها قبول آن فعلی باشد باز هم ملحق به عقد عاریه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عاریه به صورت معاطات،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هر گاه ایجاب و قبول هر دو فعلی باشند، یا تنها ایجاب آن فعلی باشد،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عاریه‌ای از باب معاطات است، بنابر مشروعیّت معاطات در عاریه که دلیل مشروعیّت آن سیره مستمره به عنوان عاریه است، گرچه اقوا آن است </w:t>
      </w:r>
      <w:bookmarkStart w:id="382" w:name="pg4331_49210"/>
    </w:p>
    <w:p>
      <w:pPr>
        <w:pStyle w:val="BookText"/>
        <w:rPr/>
      </w:pPr>
      <w:bookmarkEnd w:id="382"/>
      <w:r>
        <w:rPr>
          <w:rFonts w:ascii="IRNazanin" w:hAnsi="IRNazanin" w:eastAsia="IRNazanin"/>
          <w:color w:val="111111"/>
          <w:sz w:val="28"/>
          <w:sz w:val="28"/>
          <w:szCs w:val="28"/>
          <w:rtl w:val="true"/>
          <w:lang w:bidi="fa-IR"/>
        </w:rPr>
        <w:t xml:space="preserve">که چنین موردی اباحه بدون عوض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عاریه</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1014871_1479056682"/>
      <w:bookmarkStart w:id="384" w:name="_Toc140"/>
      <w:bookmarkEnd w:id="383"/>
      <w:r>
        <w:rPr/>
        <w:t>17</w:t>
      </w:r>
      <w:r>
        <w:rPr>
          <w:rtl w:val="true"/>
        </w:rPr>
        <w:t xml:space="preserve"> - </w:t>
      </w:r>
      <w:r>
        <w:rPr>
          <w:rtl w:val="true"/>
        </w:rPr>
        <w:t>ادعای سیره مستمرّه بر مشروعیت عاریه منحه</w:t>
      </w:r>
      <w:bookmarkEnd w:id="384"/>
    </w:p>
    <w:p>
      <w:pPr>
        <w:pStyle w:val="BookText"/>
        <w:rPr/>
      </w:pPr>
      <w:r>
        <w:rPr>
          <w:rFonts w:ascii="IRNazanin" w:hAnsi="IRNazanin" w:eastAsia="IRNazanin"/>
          <w:color w:val="111111"/>
          <w:sz w:val="28"/>
          <w:sz w:val="28"/>
          <w:szCs w:val="28"/>
          <w:rtl w:val="true"/>
          <w:lang w:bidi="fa-IR"/>
        </w:rPr>
        <w:t>منحه عبارت است از گوسفندی که برای دوشیدن شیر آن به عاریه گرفته شود، چنان که در جواهر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 کردن گوسفند برای دوشیدن جایز است، این گوسفند را منحه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صاحب جواهر قبلاً درباره ضابط عین مستعاره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کلّ مایصح الانتفاع به مع بقاء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درباره لزوم دلیل بر مشروعیت عاریه منحه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عاریه منحه ناگزیر از دلیل هستیم و دلیلی جز اجماع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اجماع تمام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نصوص دالّه بر عاریه چیزی به عنوان دلیل بر عاریه منحه نیافتیم</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وی 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دلیلی بجز اجماع ادّعا شده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اجماع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من آن است که این اجماع برگرفته از فتاوی و سیره مستمره بر معلومیّت مشروعیّت منحه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قسمی از اباحه می‌داند، نه عاریه و حکم را به غیر گوسفند هم سرایت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همان طور که دانستی این اجماع مقتضی جواز از باب عاریه نمی‌باشد و شاید قسمی از اباحه باشد و در این صورت متّجه آن است که حکم را به غیر گوسفند هم سرایت دهیم، چنان که در زمان ما این عمل در مورد گاو متعارف</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نیز بهتر است حکم را به غیر شیر هم سرایت دهیم، مانند استفاده از پشم و مو و کرک، اما بنا بر عاریه، وجهی برای تعدّی مزبور نخواهد بود، به </w:t>
      </w:r>
      <w:bookmarkStart w:id="385" w:name="pg4331_49212"/>
    </w:p>
    <w:p>
      <w:pPr>
        <w:pStyle w:val="BookText"/>
        <w:rPr/>
      </w:pPr>
      <w:bookmarkEnd w:id="385"/>
      <w:r>
        <w:rPr>
          <w:rFonts w:ascii="IRNazanin" w:hAnsi="IRNazanin" w:eastAsia="IRNazanin"/>
          <w:color w:val="111111"/>
          <w:sz w:val="28"/>
          <w:sz w:val="28"/>
          <w:szCs w:val="28"/>
          <w:rtl w:val="true"/>
          <w:lang w:bidi="fa-IR"/>
        </w:rPr>
        <w:t>علاوه که تعدی با ضابط سابق نیز مخالف است</w:t>
      </w:r>
      <w:r>
        <w:rPr>
          <w:rFonts w:eastAsia="IRNazanin" w:cs="IRNazanin"/>
          <w:color w:val="111111"/>
          <w:sz w:val="28"/>
          <w:szCs w:val="28"/>
          <w:rtl w:val="true"/>
          <w:lang w:bidi="fa-IR"/>
        </w:rPr>
        <w:t>.»</w:t>
      </w:r>
      <w:r>
        <w:rPr>
          <w:rStyle w:val="FootnoteAnchor"/>
          <w:rtl w:val="true"/>
        </w:rPr>
        <w:footnoteReference w:id="458"/>
      </w:r>
    </w:p>
    <w:p>
      <w:pPr>
        <w:pStyle w:val="Heading4"/>
        <w:numPr>
          <w:ilvl w:val="3"/>
          <w:numId w:val="1"/>
        </w:numPr>
        <w:rPr/>
      </w:pPr>
      <w:bookmarkStart w:id="386" w:name="__RefHeading___Toc1014873_1479056682"/>
      <w:bookmarkStart w:id="387" w:name="_Toc141"/>
      <w:bookmarkEnd w:id="386"/>
      <w:r>
        <w:rPr/>
        <w:t>18</w:t>
      </w:r>
      <w:r>
        <w:rPr>
          <w:rtl w:val="true"/>
        </w:rPr>
        <w:t xml:space="preserve"> - </w:t>
      </w:r>
      <w:r>
        <w:rPr>
          <w:rtl w:val="true"/>
        </w:rPr>
        <w:t>استدلال به سیره در مورد عدم تعیین و قطعیّت اجرت اجیر</w:t>
      </w:r>
      <w:bookmarkEnd w:id="387"/>
    </w:p>
    <w:p>
      <w:pPr>
        <w:pStyle w:val="BookText"/>
        <w:rPr/>
      </w:pPr>
      <w:r>
        <w:rPr>
          <w:rFonts w:ascii="IRNazanin" w:hAnsi="IRNazanin" w:eastAsia="IRNazanin"/>
          <w:color w:val="111111"/>
          <w:sz w:val="28"/>
          <w:sz w:val="28"/>
          <w:szCs w:val="28"/>
          <w:rtl w:val="true"/>
          <w:lang w:bidi="fa-IR"/>
        </w:rPr>
        <w:t>در مورد به کار گرفتن اجیر، یکی از چیزهایی که بر آن تأکید شده، تعیین قطعی اجرت اجیر، قبل از به کار گرفتن اوست، محقّق در شرایع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است که اجیر را به کار وادار کند، پیش از آن که اجرت او را قطعی و معین کند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گرچه تعیین و قطعی کردن اجرت اجیر قبل از شروع به عمل بهتر و مستحب است و در روایات به آن تأکید شده است، ولی اگر تعیین نکند اشکالی ندارد زیرا بر عدم تعیینِ</w:t>
      </w:r>
    </w:p>
    <w:p>
      <w:pPr>
        <w:pStyle w:val="BookText"/>
        <w:rPr/>
      </w:pPr>
      <w:r>
        <w:rPr>
          <w:rFonts w:ascii="IRNazanin" w:hAnsi="IRNazanin" w:eastAsia="IRNazanin"/>
          <w:color w:val="111111"/>
          <w:sz w:val="28"/>
          <w:sz w:val="28"/>
          <w:szCs w:val="28"/>
          <w:rtl w:val="true"/>
          <w:lang w:bidi="fa-IR"/>
        </w:rPr>
        <w:t>قطعیِ اجرت اجیر، سیره مستمرّه دایر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ابتدا دو روایت را در مورد تعیین اجرت اجیر ذکر می‌کند و 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روایت به همراه سیره و اطلاق فتوی، جواز عدم تعیین اجرت استفاده می‌شود، هر چند که برای کار اجیر عادةً اجرت معینی هم نباشد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 نیز در ادامه بحث در مورد عدم تعیین قطعی اجرت اجیر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تعیین اجرت اشکالی ندارد، زیرا سیره مستمره مسلمین دایر بر عدم تعیین اجرت بوده است و احتمال این که نص و 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تعیین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کارهای دارای اجرت معلوم داشته باشد، مانند آرایشگر و گازرو مانند آنها، تا این که کراهت به خاطر عدم ذکر اجرت در خصوص این موارد باشد، احتمالی نادرست است</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1014875_1479056682"/>
      <w:bookmarkStart w:id="389" w:name="_Toc142"/>
      <w:bookmarkEnd w:id="388"/>
      <w:r>
        <w:rPr/>
        <w:t>19</w:t>
      </w:r>
      <w:r>
        <w:rPr>
          <w:rtl w:val="true"/>
        </w:rPr>
        <w:t xml:space="preserve"> - </w:t>
      </w:r>
      <w:r>
        <w:rPr>
          <w:rtl w:val="true"/>
        </w:rPr>
        <w:t>سیره بر عدم لزوم تعیین وقت سیر در اجاره حیوان برای سفر</w:t>
      </w:r>
      <w:bookmarkEnd w:id="38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اجاره حیوان برای سفر، اکثر فقهای متقدّم از فقها گفته‌اند، در اجاره حیوان برای سفر به مسافت معیّن، باید وقت سیر و حرکت از نظر شب یا روز معین و مشخص </w:t>
      </w:r>
      <w:bookmarkStart w:id="390" w:name="pg4331_49214"/>
    </w:p>
    <w:p>
      <w:pPr>
        <w:pStyle w:val="BookText"/>
        <w:rPr/>
      </w:pPr>
      <w:bookmarkEnd w:id="390"/>
      <w:r>
        <w:rPr>
          <w:rFonts w:ascii="IRNazanin" w:hAnsi="IRNazanin" w:eastAsia="IRNazanin"/>
          <w:color w:val="111111"/>
          <w:sz w:val="28"/>
          <w:sz w:val="28"/>
          <w:szCs w:val="28"/>
          <w:rtl w:val="true"/>
          <w:lang w:bidi="fa-IR"/>
        </w:rPr>
        <w:t>شود، چنان که در شرایع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اجاره دادن حیوان برای سفر به مسافتی معین، ناچار است از تعیین وقت حرکت که در شب است یا روز مگر آن که عادتی معین در کار باشد که با آن عادت از تعیین زمان سیر بی‌نیاز می‌شود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خلاصه آن که اگر عادتی در میان نباشد، عدم تعیین وقت سیر موجب غرر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پس از نقل عبارت شرایع و ذکر چند مؤیّد از قواعد و جامع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لزوم تعیین وقت سیر و حتّی تعیین مقدار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عدم لزوم تعیین وقت سیر به سیره استدلال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گفته شود که به وسیله سیره قطعی، صحت چنین اجاره‌ای معلوم است و همین خود کاشف از آن است که ذکر و تعیین وقت سیر مطلقا واجب نمی‌باشد و معین بودن عمل با پیمودن مسافت معین کافی است، بدون آن که متعرض تعیین وقت و یا مقدار حرکت شود</w:t>
      </w:r>
      <w:r>
        <w:rPr>
          <w:rFonts w:eastAsia="IRNazanin" w:cs="IRNazanin"/>
          <w:color w:val="111111"/>
          <w:sz w:val="28"/>
          <w:szCs w:val="28"/>
          <w:rtl w:val="true"/>
          <w:lang w:bidi="fa-IR"/>
        </w:rPr>
        <w:t>.»</w:t>
      </w:r>
      <w:r>
        <w:rPr>
          <w:rStyle w:val="FootnoteAnchor"/>
          <w:rtl w:val="true"/>
        </w:rPr>
        <w:footnoteReference w:id="463"/>
      </w:r>
    </w:p>
    <w:p>
      <w:pPr>
        <w:pStyle w:val="Heading4"/>
        <w:numPr>
          <w:ilvl w:val="3"/>
          <w:numId w:val="1"/>
        </w:numPr>
        <w:rPr/>
      </w:pPr>
      <w:bookmarkStart w:id="391" w:name="__RefHeading___Toc1014877_1479056682"/>
      <w:bookmarkStart w:id="392" w:name="_Toc143"/>
      <w:bookmarkEnd w:id="391"/>
      <w:r>
        <w:rPr/>
        <w:t>20</w:t>
      </w:r>
      <w:r>
        <w:rPr>
          <w:rtl w:val="true"/>
        </w:rPr>
        <w:t xml:space="preserve"> - </w:t>
      </w:r>
      <w:r>
        <w:rPr>
          <w:rtl w:val="true"/>
        </w:rPr>
        <w:t>سیره بر جواز زدن حیوان در حدّ معتاد و معمول</w:t>
      </w:r>
      <w:bookmarkEnd w:id="392"/>
    </w:p>
    <w:p>
      <w:pPr>
        <w:pStyle w:val="BookText"/>
        <w:rPr/>
      </w:pPr>
      <w:r>
        <w:rPr>
          <w:rFonts w:ascii="IRNazanin" w:hAnsi="IRNazanin" w:eastAsia="IRNazanin"/>
          <w:color w:val="111111"/>
          <w:sz w:val="28"/>
          <w:sz w:val="28"/>
          <w:szCs w:val="28"/>
          <w:rtl w:val="true"/>
          <w:lang w:bidi="fa-IR"/>
        </w:rPr>
        <w:t>محقّق درباره این که اگر اجاره کننده حیوان، بیش از حدّ معتاد، حیوان را براند و یا بیش از حد معمول آن را بزند،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حیوانی را کرایه کند، آنگاه او را زیاده از عادت براند یا زیاده از عادت بزند، یا لجام حیوان را بدون ضرورت سخت بکشد تا بایستد، ضامن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تلف</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صاحب جواهر پس از نقل عبارت فوق از شرایع می‌گوید در غنیه نیز بر این مسأله ادّعای اجماع کرده و خود نیز آن را تأیید می‌کند و می‌گوید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خالی از اشکال است، زیرا او با عمل خود به آن حیوان تعدی کرده است</w:t>
      </w:r>
      <w:r>
        <w:rPr>
          <w:rFonts w:eastAsia="IRNazanin" w:cs="IRNazanin"/>
          <w:color w:val="111111"/>
          <w:sz w:val="28"/>
          <w:szCs w:val="28"/>
          <w:rtl w:val="true"/>
          <w:lang w:bidi="fa-IR"/>
        </w:rPr>
        <w:t xml:space="preserve">.» </w:t>
      </w:r>
      <w:bookmarkStart w:id="393" w:name="pg4331_49216"/>
    </w:p>
    <w:p>
      <w:pPr>
        <w:pStyle w:val="BookText"/>
        <w:rPr/>
      </w:pPr>
      <w:bookmarkEnd w:id="393"/>
      <w:r>
        <w:rPr>
          <w:rFonts w:ascii="IRNazanin" w:hAnsi="IRNazanin" w:eastAsia="IRNazanin"/>
          <w:color w:val="111111"/>
          <w:sz w:val="28"/>
          <w:sz w:val="28"/>
          <w:szCs w:val="28"/>
          <w:rtl w:val="true"/>
          <w:lang w:bidi="fa-IR"/>
        </w:rPr>
        <w:t>سپس در مورد زدن حیوان در حد لازم و معمول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مکتری حق دارد حیوان را در حد معمول و معتاد بزند و یا لجام او را بکشد و او را وادار به حرکت کند، به خاطر اصل و سیره و به خاطر این که استیفای منفعت فی الجمله متوقف بر این اعمال است و نیز پیامبر صلی‌الله‌علیه‌و‌آله شتر جابر را</w:t>
      </w:r>
    </w:p>
    <w:p>
      <w:pPr>
        <w:pStyle w:val="BookText"/>
        <w:rPr/>
      </w:pPr>
      <w:r>
        <w:rPr>
          <w:rFonts w:ascii="IRNazanin" w:hAnsi="IRNazanin" w:eastAsia="IRNazanin"/>
          <w:color w:val="111111"/>
          <w:sz w:val="28"/>
          <w:sz w:val="28"/>
          <w:szCs w:val="28"/>
          <w:rtl w:val="true"/>
          <w:lang w:bidi="fa-IR"/>
        </w:rPr>
        <w:t xml:space="preserve">سیخ زد و آن را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 که این مقدار از زدن یا تحریک کردن، مقتضای عقد اجاره است</w:t>
      </w:r>
      <w:r>
        <w:rPr>
          <w:rFonts w:eastAsia="IRNazanin" w:cs="IRNazanin"/>
          <w:color w:val="111111"/>
          <w:sz w:val="28"/>
          <w:szCs w:val="28"/>
          <w:rtl w:val="true"/>
          <w:lang w:bidi="fa-IR"/>
        </w:rPr>
        <w:t>.»</w:t>
      </w:r>
      <w:r>
        <w:rPr>
          <w:rStyle w:val="FootnoteAnchor"/>
          <w:rtl w:val="true"/>
        </w:rPr>
        <w:footnoteReference w:id="465"/>
      </w:r>
    </w:p>
    <w:p>
      <w:pPr>
        <w:pStyle w:val="Heading4"/>
        <w:numPr>
          <w:ilvl w:val="3"/>
          <w:numId w:val="1"/>
        </w:numPr>
        <w:rPr/>
      </w:pPr>
      <w:bookmarkStart w:id="394" w:name="__RefHeading___Toc1014879_1479056682"/>
      <w:bookmarkStart w:id="395" w:name="_Toc144"/>
      <w:bookmarkEnd w:id="394"/>
      <w:r>
        <w:rPr/>
        <w:t>21</w:t>
      </w:r>
      <w:r>
        <w:rPr>
          <w:rtl w:val="true"/>
        </w:rPr>
        <w:t xml:space="preserve"> - </w:t>
      </w:r>
      <w:r>
        <w:rPr>
          <w:rtl w:val="true"/>
        </w:rPr>
        <w:t>سیره بر جواز وقف اشیاء منقول</w:t>
      </w:r>
      <w:bookmarkEnd w:id="395"/>
    </w:p>
    <w:p>
      <w:pPr>
        <w:pStyle w:val="BookText"/>
        <w:rPr/>
      </w:pPr>
      <w:r>
        <w:rPr>
          <w:rFonts w:ascii="IRNazanin" w:hAnsi="IRNazanin" w:eastAsia="IRNazanin"/>
          <w:color w:val="111111"/>
          <w:sz w:val="28"/>
          <w:sz w:val="28"/>
          <w:szCs w:val="28"/>
          <w:rtl w:val="true"/>
          <w:lang w:bidi="fa-IR"/>
        </w:rPr>
        <w:t>یکی از شرایط صحت وقف آن است که مال موقوفه عین باشد نه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عینی که با انتفاع از آن، اصل آن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محقّق در شرایع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ضابطة کلّما یصّح الإنتفاع به منفعةً محلّلة مع بقاء عینه</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ضابطه وقف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قابل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مالی است که با بقاء عین، بهره بردن از آن به صورت بهره حلال،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وقف اشیائی که منفعت محلّله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اشیائی که اصلاً منفعت ندارند و یا انتفاع از آنها موجب اتلاف 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غذا و 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عدم جواز وقف حیوانات و کتب را از قول ابوحنیفه و عدم جواز وقف مطلق اموال منقول را از قول مالک نقل می‌کند و سپس در ردّ قول آنها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می‌بینی گفته آنها مخالف نصوصی است که به صورت عامّ یا به طور خاصّ، از طرق ما و طرق اهل سنّت رسیده است و نیز مخالف اجماع و سیره مستمرّه در وقف حصیرها و قندیلها و زیلوها و امثال آنهاست</w:t>
      </w:r>
      <w:r>
        <w:rPr>
          <w:rFonts w:eastAsia="IRNazanin" w:cs="IRNazanin"/>
          <w:color w:val="111111"/>
          <w:sz w:val="28"/>
          <w:szCs w:val="28"/>
          <w:rtl w:val="true"/>
          <w:lang w:bidi="fa-IR"/>
        </w:rPr>
        <w:t>.»</w:t>
      </w:r>
      <w:r>
        <w:rPr>
          <w:rStyle w:val="FootnoteAnchor"/>
          <w:rtl w:val="true"/>
        </w:rPr>
        <w:footnoteReference w:id="46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وقف اشیاء منقول بر مساجد یا مزارات، از قدیم الایّام رایج و مرسوم بوده است چنان که امروزه هم مشاهده می‌کنیم که مسلمانان اشیائی مانند فرش، چراغ، دیگ </w:t>
      </w:r>
      <w:bookmarkStart w:id="396" w:name="pg4331_49218"/>
    </w:p>
    <w:p>
      <w:pPr>
        <w:pStyle w:val="BookText"/>
        <w:rPr/>
      </w:pPr>
      <w:bookmarkEnd w:id="396"/>
      <w:r>
        <w:rPr>
          <w:rFonts w:ascii="IRNazanin" w:hAnsi="IRNazanin" w:eastAsia="IRNazanin"/>
          <w:color w:val="111111"/>
          <w:sz w:val="28"/>
          <w:sz w:val="28"/>
          <w:szCs w:val="28"/>
          <w:rtl w:val="true"/>
          <w:lang w:bidi="fa-IR"/>
        </w:rPr>
        <w:t>و سایر ظروف را وقف مساجد و دیگر اماکن مقدس می‌کنند و این یک سنّت حسنه و شیوه‌ای پسندیده و سیره مستمرّه‌ای است که از اعصار گذشته تاکنون رایج بوده و با توجه به آن که ملاک صحت وقف در آنها موجود است، جایی برای تردید در صحت وقف آنها وجود ندارد</w:t>
      </w:r>
      <w:r>
        <w:rPr>
          <w:rFonts w:eastAsia="IRNazanin" w:cs="IRNazanin"/>
          <w:color w:val="111111"/>
          <w:sz w:val="28"/>
          <w:szCs w:val="28"/>
          <w:rtl w:val="true"/>
          <w:lang w:bidi="fa-IR"/>
        </w:rPr>
        <w:t>.</w:t>
      </w:r>
    </w:p>
    <w:p>
      <w:pPr>
        <w:pStyle w:val="Heading4"/>
        <w:numPr>
          <w:ilvl w:val="3"/>
          <w:numId w:val="1"/>
        </w:numPr>
        <w:rPr/>
      </w:pPr>
      <w:bookmarkStart w:id="397" w:name="__RefHeading___Toc1014881_1479056682"/>
      <w:bookmarkStart w:id="398" w:name="_Toc145"/>
      <w:bookmarkEnd w:id="397"/>
      <w:r>
        <w:rPr/>
        <w:t>22</w:t>
      </w:r>
      <w:r>
        <w:rPr>
          <w:rtl w:val="true"/>
        </w:rPr>
        <w:t xml:space="preserve"> - </w:t>
      </w:r>
      <w:r>
        <w:rPr>
          <w:rtl w:val="true"/>
        </w:rPr>
        <w:t>استدلال به سیره در استفاده واقف از موقوفه در وقف عام</w:t>
      </w:r>
      <w:bookmarkEnd w:id="398"/>
    </w:p>
    <w:p>
      <w:pPr>
        <w:pStyle w:val="BookText"/>
        <w:rPr/>
      </w:pPr>
      <w:r>
        <w:rPr>
          <w:rFonts w:ascii="IRNazanin" w:hAnsi="IRNazanin" w:eastAsia="IRNazanin"/>
          <w:color w:val="111111"/>
          <w:sz w:val="28"/>
          <w:sz w:val="28"/>
          <w:szCs w:val="28"/>
          <w:rtl w:val="true"/>
          <w:lang w:bidi="fa-IR"/>
        </w:rPr>
        <w:t>در صورتی که عنوان وقف، عامّ باشد، مانند وقف بر فقرا یا وقف بر فقها و واقف بعدا یکی از مصادیق آن عنوان بشود، بین فقها بحث است که آیا خود واقف حقّ انتفاع از وقف را دارد و آیا انتفاع وی از موقوفه صحیح است یا نه ؟</w:t>
      </w:r>
    </w:p>
    <w:p>
      <w:pPr>
        <w:pStyle w:val="BookText"/>
        <w:rPr/>
      </w:pPr>
      <w:r>
        <w:rPr>
          <w:rFonts w:ascii="IRNazanin" w:hAnsi="IRNazanin" w:eastAsia="IRNazanin"/>
          <w:color w:val="111111"/>
          <w:sz w:val="28"/>
          <w:sz w:val="28"/>
          <w:szCs w:val="28"/>
          <w:rtl w:val="true"/>
          <w:lang w:bidi="fa-IR"/>
        </w:rPr>
        <w:t>در شرایع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مالی را بر خود وقف کند، صحیح نیست، اما اگر بر فقرا وقف کند و سپس خود فقیر شود و یا بر فقها وقف کند و سپس خود فقیه شود، صحیح است که در انتفاع از موقوفه با دیگران مشارکت کند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صاحب جواهر پس از نقل اقوال و اختلاف فقها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جواز استفاده واقف از موقوفه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 تأمل شایسته نیست ولو از باب سیره قطعیّه در مورد جواز انتفاع از مسجد و کاروانسرا و مانند آن دو که به خاطر وقف، مانند تحریر و آزاد کردن عبد شده‌اند، بلکه ظاهر امر خروج آن دو از مالیّت است، پس واقف از موقوفه منتفع می‌شود بر طبق همان وجهی که در وقف آن را ذکر کرده بدون آن که از نظر انتفاع از موقوفه بین واقف و غیر واقف فرقی باشد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در دنباله بحث می‌گوید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اشکالی در استفاده واقف از موقوفه نیست در آن مواردی که ما ذکر کردیم از چیزهایی که از مالیت خارج است و انتفاع از آنها به طریق ملکیت نیست، مانند نماز خواندن در مسجد و عبور بر پل و نشستن در کاروانسرا و امثال آنها </w:t>
      </w:r>
      <w:bookmarkStart w:id="399" w:name="pg4331_49220"/>
    </w:p>
    <w:p>
      <w:pPr>
        <w:pStyle w:val="BookText"/>
        <w:rPr/>
      </w:pPr>
      <w:bookmarkEnd w:id="399"/>
      <w:r>
        <w:rPr>
          <w:rFonts w:ascii="IRNazanin" w:hAnsi="IRNazanin" w:eastAsia="IRNazanin"/>
          <w:color w:val="111111"/>
          <w:sz w:val="28"/>
          <w:sz w:val="28"/>
          <w:szCs w:val="28"/>
          <w:rtl w:val="true"/>
          <w:lang w:bidi="fa-IR"/>
        </w:rPr>
        <w:t xml:space="preserve">از چیزهایی که به اعتبار اباحه شرعیّه جایزند ولو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وقف یا به خاطر سیره قطعیّه باشد</w:t>
      </w:r>
      <w:r>
        <w:rPr>
          <w:rFonts w:eastAsia="IRNazanin" w:cs="IRNazanin"/>
          <w:color w:val="111111"/>
          <w:sz w:val="28"/>
          <w:szCs w:val="28"/>
          <w:rtl w:val="true"/>
          <w:lang w:bidi="fa-IR"/>
        </w:rPr>
        <w:t>.»</w:t>
      </w:r>
      <w:r>
        <w:rPr>
          <w:rStyle w:val="FootnoteAnchor"/>
          <w:rtl w:val="true"/>
        </w:rPr>
        <w:footnoteReference w:id="470"/>
      </w:r>
    </w:p>
    <w:p>
      <w:pPr>
        <w:pStyle w:val="Heading4"/>
        <w:numPr>
          <w:ilvl w:val="3"/>
          <w:numId w:val="1"/>
        </w:numPr>
        <w:rPr/>
      </w:pPr>
      <w:bookmarkStart w:id="400" w:name="__RefHeading___Toc1014883_1479056682"/>
      <w:bookmarkStart w:id="401" w:name="_Toc146"/>
      <w:bookmarkEnd w:id="400"/>
      <w:r>
        <w:rPr/>
        <w:t>23</w:t>
      </w:r>
      <w:r>
        <w:rPr>
          <w:rtl w:val="true"/>
        </w:rPr>
        <w:t xml:space="preserve"> - </w:t>
      </w:r>
      <w:r>
        <w:rPr>
          <w:rtl w:val="true"/>
        </w:rPr>
        <w:t>استدلال به سیره در حبس مال</w:t>
      </w:r>
      <w:bookmarkEnd w:id="401"/>
    </w:p>
    <w:p>
      <w:pPr>
        <w:pStyle w:val="BookText"/>
        <w:rPr/>
      </w:pPr>
      <w:r>
        <w:rPr>
          <w:rFonts w:ascii="IRNazanin" w:hAnsi="IRNazanin" w:eastAsia="IRNazanin"/>
          <w:color w:val="111111"/>
          <w:sz w:val="28"/>
          <w:sz w:val="28"/>
          <w:szCs w:val="28"/>
          <w:rtl w:val="true"/>
          <w:lang w:bidi="fa-IR"/>
        </w:rPr>
        <w:t>یکی از مباحثی که فقها اعمّ از متقدّمین و متأخّرین به اختصار و به طور گذرا و اشاره، از آن بحث می‌کنند، مسأله حبس مال فی سبیل اللّه یا حبس مطلق است، که معمولاً آن را</w:t>
      </w:r>
    </w:p>
    <w:p>
      <w:pPr>
        <w:pStyle w:val="BookText"/>
        <w:rPr/>
      </w:pPr>
      <w:r>
        <w:rPr>
          <w:rFonts w:ascii="IRNazanin" w:hAnsi="IRNazanin" w:eastAsia="IRNazanin"/>
          <w:color w:val="111111"/>
          <w:sz w:val="28"/>
          <w:sz w:val="28"/>
          <w:szCs w:val="28"/>
          <w:rtl w:val="true"/>
          <w:lang w:bidi="fa-IR"/>
        </w:rPr>
        <w:t>بعد از مباحث سکنی و عمری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کتاب السکنی و الحبس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اسب خود را در راه خدای تعالی حبس کند یا غلام خود را در خدمت خانه خدا یا مسجد حبس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خدمات او را منحصر به خانه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لازم می‌شود و مادام که عین باقی باشد، تغییر دادن آن جایز نیست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اکثر قریب به اتّفاق فقها می‌گویند حبس مال فی سبیل اللّه باعث خروج مال از ملک حابس می‌شود، چنان که صاحب جواهر به قول عده‌ای از علما در این مورد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علاّمه حلّی در مورد خروج مال محبوس از ملکیّت حابس، صریح در نفی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مسالک فرموده که ظاهر عبارت مصنف آن است که مال محبوس از ملکیت حابس خارج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با استدلال به سیره از این ظهور منع می‌کند و می‌فرماید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ما بر کلام مسالک آن است که ظهور را منع می‌کنیم و شاید سیره مسلمین از قدیم و جدید درباره فرش مساجد و مشاهد مشرفه بنا بر آن که از نوع حبس به شمار آید، قائم بر خروج مال محبوس از ملکیت حابس است و </w:t>
      </w:r>
      <w:bookmarkStart w:id="402" w:name="pg4331_49222"/>
    </w:p>
    <w:p>
      <w:pPr>
        <w:pStyle w:val="BookText"/>
        <w:rPr/>
      </w:pPr>
      <w:bookmarkEnd w:id="402"/>
      <w:r>
        <w:rPr>
          <w:rFonts w:ascii="IRNazanin" w:hAnsi="IRNazanin" w:eastAsia="IRNazanin"/>
          <w:color w:val="111111"/>
          <w:sz w:val="28"/>
          <w:sz w:val="28"/>
          <w:szCs w:val="28"/>
          <w:rtl w:val="true"/>
          <w:lang w:bidi="fa-IR"/>
        </w:rPr>
        <w:t>بلکه شاید قصد حابس نیز همین خروج از ملکیت بوده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گاهی گفته می‌شود که مقتضای سیره آن است که در این مورد به عنوان حبس به فعل اکتفا شود پس صحت و بلکه لزوم آن احتیاج به لفظ ندارد تا چه رسد که آن را عقد بدانیم تا محتاج به قبول از سوی ناظر یا حاکم شرع باشد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در پایان بحث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حبس مانند وقف است نسبت به موقوف و موقوف علیه و این که فقها وقف منقطع الآخر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وقفی که موقوف علیهم منقرض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می‌دانند، ظاهر یا صریح در همین مطلب است و به همین جهت است که فقها درباره عقد حبس و شرط و مورد آن و محبوس علیه به طور کامل سخن نگفته و به اختصار و اجمال بسنده کرده‌اند</w:t>
      </w:r>
      <w:r>
        <w:rPr>
          <w:rFonts w:eastAsia="IRNazanin" w:cs="IRNazanin"/>
          <w:color w:val="111111"/>
          <w:sz w:val="28"/>
          <w:szCs w:val="28"/>
          <w:rtl w:val="true"/>
          <w:lang w:bidi="fa-IR"/>
        </w:rPr>
        <w:t>.</w:t>
      </w:r>
    </w:p>
    <w:p>
      <w:pPr>
        <w:pStyle w:val="Heading4"/>
        <w:numPr>
          <w:ilvl w:val="3"/>
          <w:numId w:val="1"/>
        </w:numPr>
        <w:rPr/>
      </w:pPr>
      <w:bookmarkStart w:id="403" w:name="__RefHeading___Toc1014885_1479056682"/>
      <w:bookmarkStart w:id="404" w:name="_Toc147"/>
      <w:bookmarkEnd w:id="403"/>
      <w:r>
        <w:rPr/>
        <w:t>24</w:t>
      </w:r>
      <w:r>
        <w:rPr>
          <w:rtl w:val="true"/>
        </w:rPr>
        <w:t xml:space="preserve"> - </w:t>
      </w:r>
      <w:r>
        <w:rPr>
          <w:rtl w:val="true"/>
        </w:rPr>
        <w:t>ادّعای سیره قطعیّه در مورد جریان معاطات در هبه</w:t>
      </w:r>
      <w:bookmarkEnd w:id="404"/>
    </w:p>
    <w:p>
      <w:pPr>
        <w:pStyle w:val="BookText"/>
        <w:rPr/>
      </w:pPr>
      <w:r>
        <w:rPr>
          <w:rFonts w:ascii="IRNazanin" w:hAnsi="IRNazanin" w:eastAsia="IRNazanin"/>
          <w:color w:val="111111"/>
          <w:sz w:val="28"/>
          <w:sz w:val="28"/>
          <w:szCs w:val="28"/>
          <w:rtl w:val="true"/>
          <w:lang w:bidi="fa-IR"/>
        </w:rPr>
        <w:t xml:space="preserve">صاحب جواهر پس از آن که می‌گوید در باب هبه علاوه بر عقد و اجرای صیغه، اکتفا به معاطات هم کافی است، در ردّ ادّعای صاحب ریاض مبنی بر اتّفاق اصحاب بر اعتبار عقد قولی در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معاطات و عقد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آن ادّعا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به عنوان سند معاطات در غیر هبه گفته شد که عبارت است از ادعای سیره قطعیّه بر جریان معاطات در آنها،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تحقق می‌یابد، مانند تحقق صدق کردن هبه بر هبه بدون عقد، پس بنا بر مشروعیت معاطات در عقود دیگر، چاره‌ای از قایل شدن به مشروعیت آن در هبه نیست</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دنباله بحث در مورد عدم احتیاج هبه به ایجاب و قبول لفظی می‌افزاید</w:t>
      </w:r>
      <w:r>
        <w:rPr>
          <w:rFonts w:eastAsia="IRNazanin" w:cs="IRNazanin"/>
          <w:color w:val="111111"/>
          <w:sz w:val="28"/>
          <w:szCs w:val="28"/>
          <w:rtl w:val="true"/>
          <w:lang w:bidi="fa-IR"/>
        </w:rPr>
        <w:t xml:space="preserve">: </w:t>
      </w:r>
      <w:bookmarkStart w:id="405" w:name="pg4331_49224"/>
    </w:p>
    <w:p>
      <w:pPr>
        <w:pStyle w:val="BookText"/>
        <w:rPr/>
      </w:pPr>
      <w:bookmarkEnd w:id="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کلامی که از تذکره حکایت شده آن است که هبه نیاز به ایجاب و قبول</w:t>
      </w:r>
    </w:p>
    <w:p>
      <w:pPr>
        <w:pStyle w:val="BookText"/>
        <w:rPr/>
      </w:pPr>
      <w:r>
        <w:rPr>
          <w:rFonts w:ascii="IRNazanin" w:hAnsi="IRNazanin" w:eastAsia="IRNazanin"/>
          <w:color w:val="111111"/>
          <w:sz w:val="28"/>
          <w:sz w:val="28"/>
          <w:szCs w:val="28"/>
          <w:rtl w:val="true"/>
          <w:lang w:bidi="fa-IR"/>
        </w:rPr>
        <w:t xml:space="preserve">لفظی ندارد، بلکه فرستادن هدیه از سوی هدیه کننده مانند ایجاب، و قبض آن از سوی هدیه شونده مانند قبول است، زیرا هدایای مختلفی از سوی کسری و قیصر و سایر پادشاهان به سوی پیامبر فرستاده می‌شد، آن حضرت آنها را می‌پذیرفت بدون آن که لفظ قبول در کار باشد و این حالت از زمان پیامبر تا کنون در سایر نواحی استمرار یافته است </w:t>
      </w:r>
      <w:r>
        <w:rPr>
          <w:rFonts w:eastAsia="IRNazanin" w:cs="IRNazanin"/>
          <w:color w:val="111111"/>
          <w:sz w:val="28"/>
          <w:szCs w:val="28"/>
          <w:rtl w:val="true"/>
          <w:lang w:bidi="fa-IR"/>
        </w:rPr>
        <w:t>...»</w:t>
      </w:r>
    </w:p>
    <w:p>
      <w:pPr>
        <w:pStyle w:val="Heading4"/>
        <w:numPr>
          <w:ilvl w:val="3"/>
          <w:numId w:val="1"/>
        </w:numPr>
        <w:rPr/>
      </w:pPr>
      <w:bookmarkStart w:id="406" w:name="__RefHeading___Toc1014887_1479056682"/>
      <w:bookmarkStart w:id="407" w:name="_Toc148"/>
      <w:bookmarkEnd w:id="406"/>
      <w:r>
        <w:rPr/>
        <w:t>25</w:t>
      </w:r>
      <w:r>
        <w:rPr>
          <w:rtl w:val="true"/>
        </w:rPr>
        <w:t xml:space="preserve"> - </w:t>
      </w:r>
      <w:r>
        <w:rPr>
          <w:rtl w:val="true"/>
        </w:rPr>
        <w:t>سیره بر جواز اکل نثار عروسی</w:t>
      </w:r>
      <w:bookmarkEnd w:id="407"/>
    </w:p>
    <w:p>
      <w:pPr>
        <w:pStyle w:val="BookText"/>
        <w:rPr/>
      </w:pPr>
      <w:r>
        <w:rPr>
          <w:rFonts w:ascii="IRNazanin" w:hAnsi="IRNazanin" w:eastAsia="IRNazanin"/>
          <w:color w:val="111111"/>
          <w:sz w:val="28"/>
          <w:sz w:val="28"/>
          <w:szCs w:val="28"/>
          <w:rtl w:val="true"/>
          <w:lang w:bidi="fa-IR"/>
        </w:rPr>
        <w:t>یکی از آداب و رسومی که از قدیم الایّام رایج بوده آن است که در عروسیها اموالی را اعمّ از مأکول یا غیر مأکول بر سر عروس و داماد می‌پاشیدند، مانند پاشیدن پول و نقل و</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اصل جواز این عمل صاحب جواهر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در جواز پاشیدن مال در عروسی ها اعم از مأکول یا غیر مأکول، خلافی نیست و این عمل از باب سفاهت و اسراف نیست، بلی ظاهرا استحباب آن ثابت نشده است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وی سپس در مورد جواز اکل نثار اعراس استدلال به سیره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خوردن آنچه در عروسیها می‌پاشند، بدون خلاف و اشکال جایز است از باب عمل به ظاهر حال که در سایر عصرها و شهرها سیره مسلمین بر آن قائم بوده است و در پاشیدن فرقی نیست بین آن که آن را برای عموم بپاشند و یا به گروه معینی اختصاص دهند</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مربوط به جواز اکل بود، امّا در مورد این که آیا آخذ و برگیرنده این اموال با اخذ که به منزله حیازت است، مالک آن اموال می‌شود ؟ در پاسخ می‌فرماید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اظهر آن است که بلی مالک می‌شود چنان که از مبسوط و مهذب و تذکره این مطلب نقل شده، به خاطر سیره قطعیه در عصرها و شهرها بر این که با این </w:t>
      </w:r>
      <w:bookmarkStart w:id="408" w:name="pg4331_49227"/>
    </w:p>
    <w:p>
      <w:pPr>
        <w:pStyle w:val="BookText"/>
        <w:rPr/>
      </w:pPr>
      <w:bookmarkEnd w:id="408"/>
      <w:r>
        <w:rPr>
          <w:rFonts w:ascii="IRNazanin" w:hAnsi="IRNazanin" w:eastAsia="IRNazanin"/>
          <w:color w:val="111111"/>
          <w:sz w:val="28"/>
          <w:sz w:val="28"/>
          <w:szCs w:val="28"/>
          <w:rtl w:val="true"/>
          <w:lang w:bidi="fa-IR"/>
        </w:rPr>
        <w:t>مال مانند مال مملوک به وسیله بیع و هبه و ارث رفتار می‌کرده‌اند</w:t>
      </w:r>
      <w:r>
        <w:rPr>
          <w:rFonts w:eastAsia="IRNazanin" w:cs="IRNazanin"/>
          <w:color w:val="111111"/>
          <w:sz w:val="28"/>
          <w:szCs w:val="28"/>
          <w:rtl w:val="true"/>
          <w:lang w:bidi="fa-IR"/>
        </w:rPr>
        <w:t>.»</w:t>
      </w:r>
      <w:r>
        <w:rPr>
          <w:rStyle w:val="FootnoteAnchor"/>
          <w:rtl w:val="true"/>
        </w:rPr>
        <w:footnoteReference w:id="477"/>
      </w:r>
    </w:p>
    <w:p>
      <w:pPr>
        <w:pStyle w:val="Heading4"/>
        <w:numPr>
          <w:ilvl w:val="3"/>
          <w:numId w:val="1"/>
        </w:numPr>
        <w:rPr/>
      </w:pPr>
      <w:bookmarkStart w:id="409" w:name="__RefHeading___Toc1014889_1479056682"/>
      <w:bookmarkStart w:id="410" w:name="_Toc149"/>
      <w:bookmarkEnd w:id="409"/>
      <w:r>
        <w:rPr/>
        <w:t>26</w:t>
      </w:r>
      <w:r>
        <w:rPr>
          <w:rtl w:val="true"/>
        </w:rPr>
        <w:t xml:space="preserve"> - </w:t>
      </w:r>
      <w:r>
        <w:rPr>
          <w:rtl w:val="true"/>
        </w:rPr>
        <w:t>تمسک به سیره در استمتاع</w:t>
      </w:r>
      <w:bookmarkEnd w:id="410"/>
    </w:p>
    <w:p>
      <w:pPr>
        <w:pStyle w:val="BookText"/>
        <w:rPr/>
      </w:pPr>
      <w:r>
        <w:rPr>
          <w:rFonts w:ascii="IRNazanin" w:hAnsi="IRNazanin" w:eastAsia="IRNazanin"/>
          <w:color w:val="111111"/>
          <w:sz w:val="28"/>
          <w:sz w:val="28"/>
          <w:szCs w:val="28"/>
          <w:rtl w:val="true"/>
          <w:lang w:bidi="fa-IR"/>
        </w:rPr>
        <w:t xml:space="preserve">مردی که دارای چند همسر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چهار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است که از نظر مضاجعت شبها را بین همسران خود قسمت کند و آنچه در قسمت واجب است، مضاجعت است نه مواقعه و وجوب مضاجعت اختصاص به شب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جواهر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 یختص الوجوب باللیل دون النهار الذی خلقه لهم مبصرا لیبتغوا فیه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الاصل و اقتصار النصوص علی اللیلة و السیرة المستمرة</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هر حال وجوب مضاجعت اختصاص به شب دارد نه روز، زیرا خداوند روز را برای بندگان روشنی بخش آفرید تا در آن فضل خدا را بجویند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اختصاص وجوب به شب به خاطر اصل است و نیز به خاطر این که نصوص وجوب را منحصر به شب کرده‌اند و به خاطر سیره مستمرّه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سیره مستمره مسلمین آن بوده که شب را اختصاص به مضاجعت می‌داده‌اند</w:t>
      </w:r>
      <w:r>
        <w:rPr>
          <w:rFonts w:eastAsia="IRNazanin" w:cs="IRNazanin"/>
          <w:color w:val="111111"/>
          <w:sz w:val="28"/>
          <w:szCs w:val="28"/>
          <w:rtl w:val="true"/>
          <w:lang w:bidi="fa-IR"/>
        </w:rPr>
        <w:t>.</w:t>
      </w:r>
    </w:p>
    <w:p>
      <w:pPr>
        <w:pStyle w:val="Heading4"/>
        <w:numPr>
          <w:ilvl w:val="3"/>
          <w:numId w:val="1"/>
        </w:numPr>
        <w:rPr/>
      </w:pPr>
      <w:bookmarkStart w:id="411" w:name="__RefHeading___Toc1014891_1479056682"/>
      <w:bookmarkStart w:id="412" w:name="_Toc150"/>
      <w:bookmarkEnd w:id="411"/>
      <w:r>
        <w:rPr/>
        <w:t>27</w:t>
      </w:r>
      <w:r>
        <w:rPr>
          <w:rtl w:val="true"/>
        </w:rPr>
        <w:t xml:space="preserve"> - </w:t>
      </w:r>
      <w:r>
        <w:rPr>
          <w:rtl w:val="true"/>
        </w:rPr>
        <w:t>سیره بر جواز لمس محارم</w:t>
      </w:r>
      <w:bookmarkEnd w:id="412"/>
    </w:p>
    <w:p>
      <w:pPr>
        <w:pStyle w:val="BookText"/>
        <w:rPr/>
      </w:pPr>
      <w:r>
        <w:rPr>
          <w:rFonts w:ascii="IRNazanin" w:hAnsi="IRNazanin" w:eastAsia="IRNazanin"/>
          <w:color w:val="111111"/>
          <w:sz w:val="28"/>
          <w:sz w:val="28"/>
          <w:szCs w:val="28"/>
          <w:rtl w:val="true"/>
          <w:lang w:bidi="fa-IR"/>
        </w:rPr>
        <w:t>صاحب جواهر در مورد جواز لمس محارم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کردن محارم اشکالی ندارد، برحسب آنچه در مورد نظر و نگاه کردن به محارم شنیدی بدون آن که در این مسأله اختلاف قابل اعتنایی باشد، بلکه تحصیل اجماع بر این مسأله ممکن است ولو به ملاحظه سیره قطعیّه</w:t>
      </w:r>
      <w:r>
        <w:rPr>
          <w:rFonts w:eastAsia="IRNazanin" w:cs="IRNazanin"/>
          <w:color w:val="111111"/>
          <w:sz w:val="28"/>
          <w:szCs w:val="28"/>
          <w:rtl w:val="true"/>
          <w:lang w:bidi="fa-IR"/>
        </w:rPr>
        <w:t>.»</w:t>
      </w:r>
      <w:r>
        <w:rPr>
          <w:rStyle w:val="FootnoteAnchor"/>
          <w:rtl w:val="true"/>
        </w:rPr>
        <w:footnoteReference w:id="47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سیره قطعیّه مسلمین دایر بر لمس و تماس با محارم است و این خود حاکی از اجماع عملی جمیع مسلمین بر این حکم است</w:t>
      </w:r>
      <w:r>
        <w:rPr>
          <w:rFonts w:eastAsia="IRNazanin" w:cs="IRNazanin"/>
          <w:color w:val="111111"/>
          <w:sz w:val="28"/>
          <w:szCs w:val="28"/>
          <w:rtl w:val="true"/>
          <w:lang w:bidi="fa-IR"/>
        </w:rPr>
        <w:t xml:space="preserve">. </w:t>
      </w:r>
      <w:bookmarkStart w:id="413" w:name="pg4331_49229"/>
    </w:p>
    <w:p>
      <w:pPr>
        <w:pStyle w:val="Heading4"/>
        <w:numPr>
          <w:ilvl w:val="3"/>
          <w:numId w:val="1"/>
        </w:numPr>
        <w:rPr/>
      </w:pPr>
      <w:bookmarkStart w:id="414" w:name="__RefHeading___Toc1014893_1479056682"/>
      <w:bookmarkStart w:id="415" w:name="_Toc151"/>
      <w:bookmarkEnd w:id="413"/>
      <w:bookmarkEnd w:id="414"/>
      <w:r>
        <w:rPr/>
        <w:t>28</w:t>
      </w:r>
      <w:r>
        <w:rPr>
          <w:rtl w:val="true"/>
        </w:rPr>
        <w:t xml:space="preserve"> - </w:t>
      </w:r>
      <w:r>
        <w:rPr>
          <w:rtl w:val="true"/>
        </w:rPr>
        <w:t>سیره بر نفقه زوجه</w:t>
      </w:r>
      <w:bookmarkEnd w:id="415"/>
    </w:p>
    <w:p>
      <w:pPr>
        <w:pStyle w:val="BookText"/>
        <w:rPr/>
      </w:pPr>
      <w:r>
        <w:rPr>
          <w:rFonts w:ascii="IRNazanin" w:hAnsi="IRNazanin" w:eastAsia="IRNazanin"/>
          <w:color w:val="111111"/>
          <w:sz w:val="28"/>
          <w:sz w:val="28"/>
          <w:szCs w:val="28"/>
          <w:rtl w:val="true"/>
          <w:lang w:bidi="fa-IR"/>
        </w:rPr>
        <w:t>زنی که در خانه مرد است و با او زندگی می‌کند و عادةً با او می‌خورد و می‌آشامد، حق مطالبه نفقه از همسر خود ندارد، صاحب جواهر بر این مطلب ادعای سیره مستمره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للسیرة المستمرّة علی ذلک</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زیرا بر خوردن و آشامیدن انفاق صدق می‌کند، زنی که با همسر خود زیر یک سقف زندگی می‌کند و با او بر سر یک سفره می‌نشیند، عرف و عادت و سیره مستمره مسلمین استفاده از مسکن و مأکل و مشرب را یکی از مصادیق بارز نفقه می‌داند</w:t>
      </w:r>
      <w:r>
        <w:rPr>
          <w:rFonts w:eastAsia="IRNazanin" w:cs="IRNazanin"/>
          <w:color w:val="111111"/>
          <w:sz w:val="28"/>
          <w:szCs w:val="28"/>
          <w:rtl w:val="true"/>
          <w:lang w:bidi="fa-IR"/>
        </w:rPr>
        <w:t>.</w:t>
      </w:r>
    </w:p>
    <w:p>
      <w:pPr>
        <w:pStyle w:val="Heading4"/>
        <w:numPr>
          <w:ilvl w:val="3"/>
          <w:numId w:val="1"/>
        </w:numPr>
        <w:rPr/>
      </w:pPr>
      <w:bookmarkStart w:id="416" w:name="__RefHeading___Toc1014895_1479056682"/>
      <w:bookmarkStart w:id="417" w:name="_Toc152"/>
      <w:bookmarkEnd w:id="416"/>
      <w:r>
        <w:rPr/>
        <w:t>29</w:t>
      </w:r>
      <w:r>
        <w:rPr>
          <w:rtl w:val="true"/>
        </w:rPr>
        <w:t xml:space="preserve"> - </w:t>
      </w:r>
      <w:r>
        <w:rPr>
          <w:rtl w:val="true"/>
        </w:rPr>
        <w:t>سیره بر استعمال پوست سباع</w:t>
      </w:r>
      <w:bookmarkEnd w:id="417"/>
    </w:p>
    <w:p>
      <w:pPr>
        <w:pStyle w:val="BookText"/>
        <w:rPr/>
      </w:pPr>
      <w:r>
        <w:rPr>
          <w:rFonts w:ascii="IRNazanin" w:hAnsi="IRNazanin" w:eastAsia="IRNazanin"/>
          <w:color w:val="111111"/>
          <w:sz w:val="28"/>
          <w:sz w:val="28"/>
          <w:szCs w:val="28"/>
          <w:rtl w:val="true"/>
          <w:lang w:bidi="fa-IR"/>
        </w:rPr>
        <w:t>یکی از مباحث صید و ذباحه بحث از حیوانات قابل تذکیه و غیر قابل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بر هر حیوان مأکول اللحم واقع می‌شود، به این معنی که بعد از ذبح پاک می‌باشد،</w:t>
      </w:r>
    </w:p>
    <w:p>
      <w:pPr>
        <w:pStyle w:val="BookText"/>
        <w:rPr/>
      </w:pPr>
      <w:r>
        <w:rPr>
          <w:rFonts w:ascii="IRNazanin" w:hAnsi="IRNazanin" w:eastAsia="IRNazanin"/>
          <w:color w:val="111111"/>
          <w:sz w:val="28"/>
          <w:sz w:val="28"/>
          <w:szCs w:val="28"/>
          <w:rtl w:val="true"/>
          <w:lang w:bidi="fa-IR"/>
        </w:rPr>
        <w:t>حیوانات نجس العین مانند سگ و خوک غیر قابل تذکیه‌اند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شرایع، غیر از حیوان مأکول اللحم و نجس العین، بقیّه حیوانات را از نظر</w:t>
      </w:r>
    </w:p>
    <w:p>
      <w:pPr>
        <w:pStyle w:val="BookText"/>
        <w:rPr/>
      </w:pPr>
      <w:r>
        <w:rPr>
          <w:rFonts w:ascii="IRNazanin" w:hAnsi="IRNazanin" w:eastAsia="IRNazanin"/>
          <w:color w:val="111111"/>
          <w:sz w:val="28"/>
          <w:sz w:val="28"/>
          <w:szCs w:val="28"/>
          <w:rtl w:val="true"/>
          <w:lang w:bidi="fa-IR"/>
        </w:rPr>
        <w:t>قابلیّت تذکیه و عدم آن به چهار قسم تقسیم می‌کند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مسوخ، حشرات، آدمی، 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قسم چهارم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چهارم درندگان است، مثل شیر و پلنگ و یوزپلنگ و روباه، پس در واقع شدن تذکیه بر اینها تردد است و واقع شدن اشبه است</w:t>
      </w:r>
      <w:r>
        <w:rPr>
          <w:rFonts w:eastAsia="IRNazanin" w:cs="IRNazanin"/>
          <w:color w:val="111111"/>
          <w:sz w:val="28"/>
          <w:szCs w:val="28"/>
          <w:rtl w:val="true"/>
          <w:lang w:bidi="fa-IR"/>
        </w:rPr>
        <w:t>.»</w:t>
      </w:r>
      <w:r>
        <w:rPr>
          <w:rStyle w:val="FootnoteAnchor"/>
          <w:rtl w:val="true"/>
        </w:rPr>
        <w:footnoteReference w:id="48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به دلیل پاره‌ای از عمومات و خصوص دو موثقه سماعه و سیره مسلمین بر استعمال کردن پوست درندگان، انتفاع از پوست آنها جایز است، چنان که جواهر بر این حکم ادّعای اتّفاق و اجماع کرده و نیز در مورد جواز انتفاع از پوست سباع تذکیه شده، ابتدا به دو روایت موثقه از سماعه و پس از آن در جواز انتفاع به سیره مسلمین استدلال کرده و گفته است</w:t>
      </w:r>
      <w:r>
        <w:rPr>
          <w:rFonts w:eastAsia="IRNazanin" w:cs="IRNazanin"/>
          <w:color w:val="111111"/>
          <w:sz w:val="28"/>
          <w:szCs w:val="28"/>
          <w:rtl w:val="true"/>
          <w:lang w:bidi="fa-IR"/>
        </w:rPr>
        <w:t xml:space="preserve">: </w:t>
      </w:r>
      <w:bookmarkStart w:id="418" w:name="pg4331_49231"/>
    </w:p>
    <w:p>
      <w:pPr>
        <w:pStyle w:val="BookText"/>
        <w:rPr/>
      </w:pPr>
      <w:bookmarkEnd w:id="418"/>
      <w:r>
        <w:rPr>
          <w:rFonts w:ascii="IRNazanin" w:hAnsi="IRNazanin" w:eastAsia="IRNazanin"/>
          <w:color w:val="111111"/>
          <w:sz w:val="28"/>
          <w:sz w:val="28"/>
          <w:szCs w:val="28"/>
          <w:rtl w:val="true"/>
          <w:lang w:bidi="fa-IR"/>
        </w:rPr>
        <w:t>بل و بالسیرة المستمرة فی جمیع الأعصار و الأمصار علی استعمال جلودها</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خاطر این که سیره دائمی در تمام زمانها و در تمام شهرها دایر بر استعمال و به کار بردن پوست درندگان بوده است</w:t>
      </w:r>
      <w:r>
        <w:rPr>
          <w:rFonts w:eastAsia="IRNazanin" w:cs="IRNazanin"/>
          <w:color w:val="111111"/>
          <w:sz w:val="28"/>
          <w:szCs w:val="28"/>
          <w:rtl w:val="true"/>
          <w:lang w:bidi="fa-IR"/>
        </w:rPr>
        <w:t>.»</w:t>
      </w:r>
    </w:p>
    <w:p>
      <w:pPr>
        <w:pStyle w:val="Heading4"/>
        <w:numPr>
          <w:ilvl w:val="3"/>
          <w:numId w:val="1"/>
        </w:numPr>
        <w:rPr/>
      </w:pPr>
      <w:bookmarkStart w:id="419" w:name="__RefHeading___Toc1014897_1479056682"/>
      <w:bookmarkStart w:id="420" w:name="_Toc153"/>
      <w:bookmarkEnd w:id="419"/>
      <w:r>
        <w:rPr/>
        <w:t>30</w:t>
      </w:r>
      <w:r>
        <w:rPr>
          <w:rtl w:val="true"/>
        </w:rPr>
        <w:t xml:space="preserve"> - </w:t>
      </w:r>
      <w:r>
        <w:rPr>
          <w:rtl w:val="true"/>
        </w:rPr>
        <w:t>سیره بر جواز استفاده از حقوق ارتفاقی راهها</w:t>
      </w:r>
      <w:bookmarkEnd w:id="420"/>
    </w:p>
    <w:p>
      <w:pPr>
        <w:pStyle w:val="BookText"/>
        <w:rPr/>
      </w:pPr>
      <w:r>
        <w:rPr>
          <w:rFonts w:ascii="IRNazanin" w:hAnsi="IRNazanin" w:eastAsia="IRNazanin"/>
          <w:color w:val="111111"/>
          <w:sz w:val="28"/>
          <w:sz w:val="28"/>
          <w:szCs w:val="28"/>
          <w:rtl w:val="true"/>
          <w:lang w:bidi="fa-IR"/>
        </w:rPr>
        <w:t>بعضی از منافع را منافع مشترکه می‌گویند، مانند استفاده از راهها، مساجد، موقوفات مطلقه، مانند مدارس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منافع مشترکه استفاده از راههاست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اصلی طرق، استطراق یعنی رفت و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استطراق، استفاده از حقوق ارتفاقی دیگر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گذاردن بارها در راه و توقف حیوانات و یا وسایل نقلیه و نشستن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جواز استفاده از حقوق ارتفاقی راهها سیره مسلمین است، چنان که صاحب جواهر در 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گاهی گفته می‌شود که سیره مقتضی جواز ارتفاق راههاست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ارتفاقی غیر از استطراق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نهادن بارها در راه و توقف چهار پایان تا چه رسد به توقف خود شخص در آن، که به خاطر اغراض و اهدافی در آن توقف می‌کند،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متّجه آن است که مستطرق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رهگذر و 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حق اعتراض بر این موارد را ندارد، به خاطر آن که تمام مردم در استفاده از حق ارتفاق مشترک می‌باشند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بحث دیگر در مسأله حقّ ارتفاق طریق آن است که در استحقاق استطراق از طرق، مسلمین و غیر مسلمین از اهل ذمه هر دو، حق انتفاع دارند و دلیل آن نیز سیره مستمره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آغاز این بحث گفته شد، یکی از منافع مشترکه استفاده از طرق و راههاست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مسلمانان حقّ انتفاع استطراق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غیر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از اهل ذمّه هم حقّ استطراق دارند به دلیل سیره مستمره، چنان که صاحب جواهر در این مورد می‌گوید</w:t>
      </w:r>
      <w:r>
        <w:rPr>
          <w:rFonts w:eastAsia="IRNazanin" w:cs="IRNazanin"/>
          <w:color w:val="111111"/>
          <w:sz w:val="28"/>
          <w:szCs w:val="28"/>
          <w:rtl w:val="true"/>
          <w:lang w:bidi="fa-IR"/>
        </w:rPr>
        <w:t xml:space="preserve">: </w:t>
      </w:r>
      <w:bookmarkStart w:id="421" w:name="pg4331_49233"/>
    </w:p>
    <w:p>
      <w:pPr>
        <w:pStyle w:val="BookText"/>
        <w:rPr/>
      </w:pPr>
      <w:bookmarkEnd w:id="4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استحقاق استطراق بین مسلمانان و غیر مسلمانان از اهل ذمه،</w:t>
      </w:r>
    </w:p>
    <w:p>
      <w:pPr>
        <w:pStyle w:val="BookText"/>
        <w:rPr/>
      </w:pPr>
      <w:r>
        <w:rPr>
          <w:rFonts w:ascii="IRNazanin" w:hAnsi="IRNazanin" w:eastAsia="IRNazanin"/>
          <w:color w:val="111111"/>
          <w:sz w:val="28"/>
          <w:sz w:val="28"/>
          <w:szCs w:val="28"/>
          <w:rtl w:val="true"/>
          <w:lang w:bidi="fa-IR"/>
        </w:rPr>
        <w:t>فرقی نیست، بلکه غیر مسلمانان نیز حق انتفاع را مانند مسلمانان در مواردی که زیانی به عابران نرسد، دارند و دلیل آن سیره مستمره مسلمین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یعنی سیره مسلمین آن بوده که غیر مسلمانان از اهل ذمه نیز مانند مسلمانان حقّ استطراق و رفت و آمد دارند</w:t>
      </w:r>
      <w:r>
        <w:rPr>
          <w:rFonts w:eastAsia="IRNazanin" w:cs="IRNazanin"/>
          <w:color w:val="111111"/>
          <w:sz w:val="28"/>
          <w:szCs w:val="28"/>
          <w:rtl w:val="true"/>
          <w:lang w:bidi="fa-IR"/>
        </w:rPr>
        <w:t>.</w:t>
      </w:r>
    </w:p>
    <w:p>
      <w:pPr>
        <w:pStyle w:val="Heading4"/>
        <w:numPr>
          <w:ilvl w:val="3"/>
          <w:numId w:val="1"/>
        </w:numPr>
        <w:rPr/>
      </w:pPr>
      <w:bookmarkStart w:id="422" w:name="__RefHeading___Toc1014899_1479056682"/>
      <w:bookmarkStart w:id="423" w:name="_Toc154"/>
      <w:bookmarkEnd w:id="422"/>
      <w:r>
        <w:rPr/>
        <w:t>31</w:t>
      </w:r>
      <w:r>
        <w:rPr>
          <w:rtl w:val="true"/>
        </w:rPr>
        <w:t xml:space="preserve"> - </w:t>
      </w:r>
      <w:r>
        <w:rPr>
          <w:rtl w:val="true"/>
        </w:rPr>
        <w:t>سیره بر این که معادن متعلّق به همه مردم است</w:t>
      </w:r>
      <w:bookmarkEnd w:id="423"/>
    </w:p>
    <w:p>
      <w:pPr>
        <w:pStyle w:val="BookText"/>
        <w:rPr/>
      </w:pPr>
      <w:r>
        <w:rPr>
          <w:rFonts w:ascii="IRNazanin" w:hAnsi="IRNazanin" w:eastAsia="IRNazanin"/>
          <w:color w:val="111111"/>
          <w:sz w:val="28"/>
          <w:sz w:val="28"/>
          <w:szCs w:val="28"/>
          <w:rtl w:val="true"/>
          <w:lang w:bidi="fa-IR"/>
        </w:rPr>
        <w:t>در مورد این که آیا معادن از انفال است و اختصاص به امام دارد یا متعلّق به همه مردم است، بین فقها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متقدّمین و فقهای بزرگ مانند شیخ مفید و سلاّر و شیخ کلینی وشیخ طوسی قایلند که معادن اختصاص به امام دارد، یعنی از انفال می‌باشد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این گروه از فقها به خبر اسحاق بن عمار، روایت شده از تفسیر علی بن ابراهیم، تمسّک کرده‌اند که در آن راوی از امام علیه‌السلام درباره انفال سؤال می‌کند، امام مواردی از انفال را بیان می‌کند تا آن 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معادن هم از انفال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بنا بر نظریه فوق و طبق روایت مذکور، معادن از انفال است و جز امام کسی مالک آن نیست و جز با تملیک از سوی امام، قابل تملّک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حیازت و احیای اراضی 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دیگر از فقها، مانند محقّق حلّی قایلند که معادن متعلق به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ابتدا اشاره به ضعف خبر مذکور می‌کند و می‌گوید اجماع منقول و محصّل داریم که تمام مردم بالسّویّه حقّ استفاده از معادن را دارند و این اجماع را موهن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مذکور می‌داند و سپس مدّعی می‌شود که سیره مستمره مسلمین نیز دلالت بر این دارد که معادن متعلق به همه مردم است، می‌گوید</w:t>
      </w:r>
      <w:r>
        <w:rPr>
          <w:rFonts w:eastAsia="IRNazanin" w:cs="IRNazanin"/>
          <w:color w:val="111111"/>
          <w:sz w:val="28"/>
          <w:szCs w:val="28"/>
          <w:rtl w:val="true"/>
          <w:lang w:bidi="fa-IR"/>
        </w:rPr>
        <w:t xml:space="preserve">: </w:t>
      </w:r>
      <w:bookmarkStart w:id="424" w:name="pg4331_49235"/>
    </w:p>
    <w:p>
      <w:pPr>
        <w:pStyle w:val="BookText"/>
        <w:rPr/>
      </w:pPr>
      <w:bookmarkEnd w:id="424"/>
      <w:r>
        <w:rPr>
          <w:rFonts w:ascii="IRNazanin" w:hAnsi="IRNazanin" w:eastAsia="IRNazanin"/>
          <w:color w:val="111111"/>
          <w:sz w:val="28"/>
          <w:sz w:val="28"/>
          <w:szCs w:val="28"/>
          <w:rtl w:val="true"/>
          <w:lang w:bidi="fa-IR"/>
        </w:rPr>
        <w:t>مضافا الی السیرة المستمرة فی سائر الأعصار و الأمصار فی زمن تسلطهم و غیره علی الأخذ منها بلا اذن، حتّی ما کان فی الموات الذی قد عرفت أنه لهم منها</w:t>
      </w:r>
      <w:r>
        <w:rPr>
          <w:rStyle w:val="FootnoteAnchor"/>
          <w:rtl w:val="true"/>
        </w:rPr>
        <w:footnoteReference w:id="4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اجماع مذکور سیره مستمره مسلمین در سایر زمانها و شهرها در زمان تسلط ائمه و غیر آن دایر بر آن بوده که بدون اجازه امام از معادن استفاده و برداشت می‌کرده‌اند، حتّی از آن معادنی که اراضی موات بوده و دانستی که این گونه معادن در اراضی، متعلق به امام است</w:t>
      </w:r>
      <w:r>
        <w:rPr>
          <w:rFonts w:eastAsia="IRNazanin" w:cs="IRNazanin"/>
          <w:color w:val="111111"/>
          <w:sz w:val="28"/>
          <w:szCs w:val="28"/>
          <w:rtl w:val="true"/>
          <w:lang w:bidi="fa-IR"/>
        </w:rPr>
        <w:t>.»</w:t>
      </w:r>
    </w:p>
    <w:p>
      <w:pPr>
        <w:pStyle w:val="Heading4"/>
        <w:numPr>
          <w:ilvl w:val="3"/>
          <w:numId w:val="1"/>
        </w:numPr>
        <w:rPr/>
      </w:pPr>
      <w:bookmarkStart w:id="425" w:name="__RefHeading___Toc1014901_1479056682"/>
      <w:bookmarkStart w:id="426" w:name="_Toc155"/>
      <w:bookmarkEnd w:id="425"/>
      <w:r>
        <w:rPr/>
        <w:t>32</w:t>
      </w:r>
      <w:r>
        <w:rPr>
          <w:rtl w:val="true"/>
        </w:rPr>
        <w:t xml:space="preserve"> - </w:t>
      </w:r>
      <w:r>
        <w:rPr>
          <w:rtl w:val="true"/>
        </w:rPr>
        <w:t>سیره بر تملک آب با اسباب مملّکه مانند حیازت</w:t>
      </w:r>
      <w:bookmarkEnd w:id="426"/>
    </w:p>
    <w:p>
      <w:pPr>
        <w:pStyle w:val="BookText"/>
        <w:rPr/>
      </w:pPr>
      <w:r>
        <w:rPr>
          <w:rFonts w:ascii="IRNazanin" w:hAnsi="IRNazanin" w:eastAsia="IRNazanin"/>
          <w:color w:val="111111"/>
          <w:sz w:val="28"/>
          <w:sz w:val="28"/>
          <w:szCs w:val="28"/>
          <w:rtl w:val="true"/>
          <w:lang w:bidi="fa-IR"/>
        </w:rPr>
        <w:t xml:space="preserve">یکی از مشترکات و اموال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 حدیث نبوی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شرکاء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 الماء و الکلاء</w:t>
      </w:r>
      <w:r>
        <w:rPr>
          <w:rStyle w:val="FootnoteAnchor"/>
          <w:rtl w:val="true"/>
        </w:rPr>
        <w:footnoteReference w:id="4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سه چیز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آب و چراگاه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تملک آب با اسباب مملکه مانند حیازت، منافاتی با خبر نبوی مذکور ندارد، زیرا اولاً حدیث نبوی دیگر مؤیّد آن است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سَبَق إلی ما لم یَسْبِق إلیه المسلم فهو احق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سبقت گیرد به چیزی که قبل از او مسلمانی بر آن سبقت نگرفته باشد، پس او به آن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سیره مستمرّه مسلمین دایر است بر تملک آب و بیع آن و جمیع احکام ملک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حدیث نبوی مذکور، سیره مستمره مسلمین در سایر عصرها و شهرها دایر بر تملک آب و فروش آن و جاری بودن تمام احکام ملک بر آن بوده است بدون آن که بین مسلمانان و غیر مسلمانان در این مورد، فرقی قایل شوند</w:t>
      </w:r>
      <w:r>
        <w:rPr>
          <w:rFonts w:eastAsia="IRNazanin" w:cs="IRNazanin"/>
          <w:color w:val="111111"/>
          <w:sz w:val="28"/>
          <w:szCs w:val="28"/>
          <w:rtl w:val="true"/>
          <w:lang w:bidi="fa-IR"/>
        </w:rPr>
        <w:t>.»</w:t>
      </w:r>
      <w:r>
        <w:rPr>
          <w:rStyle w:val="FootnoteAnchor"/>
          <w:rtl w:val="true"/>
        </w:rPr>
        <w:footnoteReference w:id="489"/>
      </w:r>
    </w:p>
    <w:p>
      <w:pPr>
        <w:pStyle w:val="Heading4"/>
        <w:numPr>
          <w:ilvl w:val="3"/>
          <w:numId w:val="1"/>
        </w:numPr>
        <w:rPr/>
      </w:pPr>
      <w:bookmarkStart w:id="427" w:name="__RefHeading___Toc1014903_1479056682"/>
      <w:bookmarkStart w:id="428" w:name="_Toc156"/>
      <w:bookmarkEnd w:id="427"/>
      <w:r>
        <w:rPr/>
        <w:t>33</w:t>
      </w:r>
      <w:r>
        <w:rPr>
          <w:rtl w:val="true"/>
        </w:rPr>
        <w:t xml:space="preserve"> - </w:t>
      </w:r>
      <w:r>
        <w:rPr>
          <w:rtl w:val="true"/>
        </w:rPr>
        <w:t>سیره بر تبعیّت اولاد مسلمین از پدران خود از نظر اسلام</w:t>
      </w:r>
      <w:bookmarkEnd w:id="42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در این مورد ابتدا به حدیثی از امیر مؤمنان علیه‌السلام استشهاد، و آنگاه در </w:t>
      </w:r>
      <w:bookmarkStart w:id="429" w:name="pg4331_49237"/>
    </w:p>
    <w:p>
      <w:pPr>
        <w:pStyle w:val="BookText"/>
        <w:rPr/>
      </w:pPr>
      <w:bookmarkEnd w:id="429"/>
      <w:r>
        <w:rPr>
          <w:rFonts w:ascii="IRNazanin" w:hAnsi="IRNazanin" w:eastAsia="IRNazanin"/>
          <w:color w:val="111111"/>
          <w:sz w:val="28"/>
          <w:sz w:val="28"/>
          <w:szCs w:val="28"/>
          <w:rtl w:val="true"/>
          <w:lang w:bidi="fa-IR"/>
        </w:rPr>
        <w:t>این مسأله سیره را مطرح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آن، سیره دایر است بر تبعیت اولاد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تبعیت دیوانگان ایشان که جنونشان به بلوغ متّصل باشد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 در دنباله بحث می‌گوید مسأله تبعیت به وسیله اسارت کودک به تنهایی و جدای از پدر و مادر نیز حاصل می‌شود، یعنی اگر اسیر کننده مسلمان باشد کودک اسیر شده از نظر مسلمان بودن تابع اسیر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تبعیت نیز به وسیله اسارت کودک جدای از پدر و مادرش حاصل می‌شود، چنان که از اسکافی و شیخ طوسی و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و دیگران این فتوا نقل شده است، به خاطر جریان سیره مستمره در تمام زمانها و شهرها بر اجرای حکم مسلمان بر چنین کودکی خواه زنده باشد یا مرده، خواه در طهارت باشد یا غیر از آن</w:t>
      </w:r>
      <w:r>
        <w:rPr>
          <w:rFonts w:eastAsia="IRNazanin" w:cs="IRNazanin"/>
          <w:color w:val="111111"/>
          <w:sz w:val="28"/>
          <w:szCs w:val="28"/>
          <w:rtl w:val="true"/>
          <w:lang w:bidi="fa-IR"/>
        </w:rPr>
        <w:t>.»</w:t>
      </w:r>
      <w:r>
        <w:rPr>
          <w:rStyle w:val="FootnoteAnchor"/>
          <w:rtl w:val="true"/>
        </w:rPr>
        <w:footnoteReference w:id="491"/>
      </w:r>
    </w:p>
    <w:p>
      <w:pPr>
        <w:pStyle w:val="Heading4"/>
        <w:numPr>
          <w:ilvl w:val="3"/>
          <w:numId w:val="1"/>
        </w:numPr>
        <w:rPr/>
      </w:pPr>
      <w:bookmarkStart w:id="430" w:name="__RefHeading___Toc1014905_1479056682"/>
      <w:bookmarkStart w:id="431" w:name="_Toc157"/>
      <w:bookmarkEnd w:id="430"/>
      <w:r>
        <w:rPr/>
        <w:t>34</w:t>
      </w:r>
      <w:r>
        <w:rPr>
          <w:rtl w:val="true"/>
        </w:rPr>
        <w:t xml:space="preserve"> - </w:t>
      </w:r>
      <w:r>
        <w:rPr>
          <w:rtl w:val="true"/>
        </w:rPr>
        <w:t>سیره بر ثبوت ولایت قاضی از راه شیاع</w:t>
      </w:r>
      <w:bookmarkEnd w:id="431"/>
    </w:p>
    <w:p>
      <w:pPr>
        <w:pStyle w:val="BookText"/>
        <w:rPr/>
      </w:pPr>
      <w:r>
        <w:rPr>
          <w:rFonts w:ascii="IRNazanin" w:hAnsi="IRNazanin" w:eastAsia="IRNazanin"/>
          <w:color w:val="111111"/>
          <w:sz w:val="28"/>
          <w:sz w:val="28"/>
          <w:szCs w:val="28"/>
          <w:rtl w:val="true"/>
          <w:lang w:bidi="fa-IR"/>
        </w:rPr>
        <w:t>در مورد ثبوت ولایت قاضی از راه شیاع و استفاضه به سیره مسلمین استدلال شده است و غیر از ولایت قاضی، امور دیگری هم با استفاضه و شیاع ثابت می‌شود و سیره مسلمین جاری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قاضی به وسیله استفاضه که آن را شیاع می‌نامند، ثابت می‌شود و غالبا از آن برای نفس انسان آرامش و اطمینان نسبت به مضمون آن حاصل می‌شود و همچنین است غیر ولایت از آنچه بر ثبوت آن به وسیله استفاضه، سیره مسلمین جاری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شهید ثانی در شرح لمعه استفاضه را چنین تعریف می‌کند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استفعال من الفیض و هو الظهور و الکثرة و المراد بها هنا شیاع الخبر الی </w:t>
      </w:r>
      <w:bookmarkStart w:id="432" w:name="pg4331_49239"/>
    </w:p>
    <w:p>
      <w:pPr>
        <w:pStyle w:val="BookText"/>
        <w:rPr/>
      </w:pPr>
      <w:bookmarkEnd w:id="432"/>
      <w:r>
        <w:rPr>
          <w:rFonts w:ascii="IRNazanin" w:hAnsi="IRNazanin" w:eastAsia="IRNazanin"/>
          <w:color w:val="111111"/>
          <w:sz w:val="28"/>
          <w:sz w:val="28"/>
          <w:szCs w:val="28"/>
          <w:rtl w:val="true"/>
          <w:lang w:bidi="fa-IR"/>
        </w:rPr>
        <w:t>حدٍّ یفید السامع الظن المقارب للعلم و لاتنحصر فی عدد بل یختلف باختلاف المخبرین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استفاضه مصدر باب استفعال از ماده فیض است که به معنی ظهور و کثرت است و منظور از آن در این جا شیوع خبر به حدی است که برای شنونده مفید ظن نزدیک به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استفاضه در عددی خاصّ منحصر و محدود نیست، بلکه با اختلاف مخبرین اختلاف پیدا می‌کند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خلاصه آن که اموری که با استفاضه و شیاع ثابت می‌شود و سیره مسلمین جاری بر آن است هفت امر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موت، ملک مطلق، وقف، نکاح، عتق، ولایت قاضی</w:t>
      </w:r>
      <w:r>
        <w:rPr>
          <w:rFonts w:eastAsia="IRNazanin" w:cs="IRNazanin"/>
          <w:color w:val="111111"/>
          <w:sz w:val="28"/>
          <w:szCs w:val="28"/>
          <w:rtl w:val="true"/>
          <w:lang w:bidi="fa-IR"/>
        </w:rPr>
        <w:t>.</w:t>
      </w:r>
    </w:p>
    <w:p>
      <w:pPr>
        <w:pStyle w:val="Heading4"/>
        <w:numPr>
          <w:ilvl w:val="3"/>
          <w:numId w:val="1"/>
        </w:numPr>
        <w:rPr/>
      </w:pPr>
      <w:bookmarkStart w:id="433" w:name="__RefHeading___Toc1014907_1479056682"/>
      <w:bookmarkStart w:id="434" w:name="_Toc158"/>
      <w:bookmarkEnd w:id="433"/>
      <w:r>
        <w:rPr/>
        <w:t>35</w:t>
      </w:r>
      <w:r>
        <w:rPr>
          <w:rtl w:val="true"/>
        </w:rPr>
        <w:t xml:space="preserve"> - </w:t>
      </w:r>
      <w:r>
        <w:rPr>
          <w:rtl w:val="true"/>
        </w:rPr>
        <w:t>سیره بر حجّیّت کتابت در بعضی موارد</w:t>
      </w:r>
      <w:bookmarkEnd w:id="434"/>
    </w:p>
    <w:p>
      <w:pPr>
        <w:pStyle w:val="BookText"/>
        <w:rPr/>
      </w:pPr>
      <w:r>
        <w:rPr>
          <w:rFonts w:ascii="IRNazanin" w:hAnsi="IRNazanin" w:eastAsia="IRNazanin"/>
          <w:color w:val="111111"/>
          <w:sz w:val="28"/>
          <w:sz w:val="28"/>
          <w:szCs w:val="28"/>
          <w:rtl w:val="true"/>
          <w:lang w:bidi="fa-IR"/>
        </w:rPr>
        <w:t>درباره حجّیّت یا عدم حجّیّت کتابت و خط قاضی برای قاضی دیگر بین فقها بحث و اختلاف نظر وجود دارد، صاحب جواهر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رسانیدن حکم و نظر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 دیگر یا با کتابت و نوشتن است یا با گفتار و یا با شهادت و گواهی دادن</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آنگاه درباره عدم حجّیّت کتابت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کتابت نزد امامیّه اجماعا معتبر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اقوال مختلف علما را در این باره ذکر می‌کند و پس از ذکر اقوال مختلف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آن است که کتابت از نظر این که کتابت است، مطلقا هیچ دلیلی بر حجّیّت آن نیست، خواه در مورد اقرار باشد یا غیر اقرار، بلکه ابن ادریس در نوادر قضاء تصریح کرده است که برای مستفتی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رجوع به قول مفتی جایز نیست و نمی‌تواند به خط موجود از مفتی رجوع کند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یک مورد از موارد کتابت را دارای حجّیّت و سیره مستمرّه را دلیل آن دانسته است و چنان که می‌گوید</w:t>
      </w:r>
      <w:r>
        <w:rPr>
          <w:rFonts w:eastAsia="IRNazanin" w:cs="IRNazanin"/>
          <w:color w:val="111111"/>
          <w:sz w:val="28"/>
          <w:szCs w:val="28"/>
          <w:rtl w:val="true"/>
          <w:lang w:bidi="fa-IR"/>
        </w:rPr>
        <w:t xml:space="preserve">: </w:t>
      </w:r>
      <w:bookmarkStart w:id="435" w:name="pg4331_49241"/>
    </w:p>
    <w:p>
      <w:pPr>
        <w:pStyle w:val="BookText"/>
        <w:rPr/>
      </w:pPr>
      <w:bookmarkEnd w:id="4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قراین حالیه و غیر حالیه قائم شود که نویسنده از نوشته خود مدلول لفظ مستفاد و موجود در رسم الخط را اراده کرده است در این صورت ظاهرا عمل به این نوشته جایز است چرا که سیره مستمره در زمانها و شهرها جاری بر آن بوده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وی آنگاه اشکالی را بر سیره مذکور مطرح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ادّعای این که تمام اینها از حیث فتح باب ظن در احکام شرعی و موضوعات آن می‌باشد، چنین ادعایی فسادش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وضوح فساد این ادّعا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ضروری است که سیره مزبور بر اعم از احکام شرعی و موضوعات آن جریان داشته باشد، مانند جریان آن بر نوشته‌هایی در مورد وکالت و اقرار و وصایا و اوقاف و نیز در تصنیف کتب فتوی به وسیله فقها و فرستادن آنها به اطراف و عمل مردم به آنها، و نظایر آن</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به هر حال خط و نوشته نویسنده در تمام موارد فوق اعمّ از وکالت، وصیت، اقرار و وقف کتب فتوا حجت است و دلیل حجّیّت آن سیره مسلمین است</w:t>
      </w:r>
      <w:r>
        <w:rPr>
          <w:rFonts w:eastAsia="IRNazanin" w:cs="IRNazanin"/>
          <w:color w:val="111111"/>
          <w:sz w:val="28"/>
          <w:szCs w:val="28"/>
          <w:rtl w:val="true"/>
          <w:lang w:bidi="fa-IR"/>
        </w:rPr>
        <w:t>.</w:t>
      </w:r>
    </w:p>
    <w:p>
      <w:pPr>
        <w:pStyle w:val="Heading4"/>
        <w:numPr>
          <w:ilvl w:val="3"/>
          <w:numId w:val="1"/>
        </w:numPr>
        <w:rPr/>
      </w:pPr>
      <w:bookmarkStart w:id="436" w:name="__RefHeading___Toc1014909_1479056682"/>
      <w:bookmarkStart w:id="437" w:name="_Toc159"/>
      <w:bookmarkEnd w:id="436"/>
      <w:r>
        <w:rPr/>
        <w:t>36</w:t>
      </w:r>
      <w:r>
        <w:rPr>
          <w:rtl w:val="true"/>
        </w:rPr>
        <w:t xml:space="preserve"> - </w:t>
      </w:r>
      <w:r>
        <w:rPr>
          <w:rtl w:val="true"/>
        </w:rPr>
        <w:t>سیره بر تملّک یا اباحه مال مُعرَضٌ عنه</w:t>
      </w:r>
      <w:bookmarkEnd w:id="437"/>
    </w:p>
    <w:p>
      <w:pPr>
        <w:pStyle w:val="BookText"/>
        <w:rPr/>
      </w:pPr>
      <w:r>
        <w:rPr>
          <w:rFonts w:ascii="IRNazanin" w:hAnsi="IRNazanin" w:eastAsia="IRNazanin"/>
          <w:color w:val="111111"/>
          <w:sz w:val="28"/>
          <w:sz w:val="28"/>
          <w:szCs w:val="28"/>
          <w:rtl w:val="true"/>
          <w:lang w:bidi="fa-IR"/>
        </w:rPr>
        <w:t>در مورد تملّک یا اباحه بعضی از اشیاء برای آخذِ آنها، بین فقها بحث و اختلاف نظر وجود دارد، مانند اموال و اشیائی که از کشتی غرق شده در دریا حاصل می‌شود، یا اموال</w:t>
      </w:r>
    </w:p>
    <w:p>
      <w:pPr>
        <w:pStyle w:val="BookText"/>
        <w:rPr/>
      </w:pPr>
      <w:r>
        <w:rPr>
          <w:rFonts w:ascii="IRNazanin" w:hAnsi="IRNazanin" w:eastAsia="IRNazanin"/>
          <w:color w:val="111111"/>
          <w:sz w:val="28"/>
          <w:sz w:val="28"/>
          <w:szCs w:val="28"/>
          <w:rtl w:val="true"/>
          <w:lang w:bidi="fa-IR"/>
        </w:rPr>
        <w:t xml:space="preserve">و اشیاء خرد و ریز که از مسافران باقی می‌ماند که اصطلاحا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عَطَب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یا مانند اموال و اشیائی که صاحبان آنها از آنها اعراض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بحث در این است که برای آخذین و گیرندگان این اموال، تملّک حاصل می‌شود یا اباحه تصرف ؟</w:t>
      </w:r>
    </w:p>
    <w:p>
      <w:pPr>
        <w:pStyle w:val="BookText"/>
        <w:rPr/>
      </w:pPr>
      <w:r>
        <w:rPr>
          <w:rFonts w:ascii="IRNazanin" w:hAnsi="IRNazanin" w:eastAsia="IRNazanin"/>
          <w:color w:val="111111"/>
          <w:sz w:val="28"/>
          <w:sz w:val="28"/>
          <w:szCs w:val="28"/>
          <w:rtl w:val="true"/>
          <w:lang w:bidi="fa-IR"/>
        </w:rPr>
        <w:t>محقّق در شرایع گفته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کشتی در دریا شکسته شود، پس آنچه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اندازد، برای اهل آن است و آنچه به وسیله غوّاصی بیرون آورده شود، از آن بیرون </w:t>
      </w:r>
    </w:p>
    <w:p>
      <w:pPr>
        <w:pStyle w:val="BookText"/>
        <w:rPr/>
      </w:pPr>
      <w:r>
        <w:rPr>
          <w:rFonts w:ascii="IRNazanin" w:hAnsi="IRNazanin" w:eastAsia="IRNazanin"/>
          <w:color w:val="111111"/>
          <w:sz w:val="28"/>
          <w:sz w:val="28"/>
          <w:szCs w:val="28"/>
          <w:rtl w:val="true"/>
          <w:lang w:bidi="fa-IR"/>
        </w:rPr>
        <w:t>آورنده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 مبنای حکم مذکور خبر شعیری است که از امام درباره اموال کشتی غرق شده سؤال می‌کند، 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أخرجه البحر فهو لأهله، اللّه تعالی اخرجه و اما ما أُخرج بالغوص فهو لهم و هم احق به</w:t>
      </w:r>
      <w:r>
        <w:rPr>
          <w:rStyle w:val="FootnoteAnchor"/>
          <w:rtl w:val="true"/>
        </w:rPr>
        <w:footnoteReference w:id="4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آنچه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برای اهل دریاست که خدای تعالی آن را بیرون آورده است و امّا آنچه با غوّاصی بیرون آورده شده است، برای بیرون آورندگان است و آنها به آن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در کتاب سرائر این روایت را حمل بر یأس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اصلی مال از رسیدن به آن مأیوس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صاحبانش آن را رها کرده و از آن مأیوس شده‌اند، برای کسی است که آن را می‌یابد و بر آن غواصی می‌کند، زیرا به منزله مباح شده است و مثل آن است که کسی که به خاطر خسته شدن و درماندن شترش، آن را در محلّی بی‌آب و علف رها کرده باشد، آن شتر از آن کسی است که آن را بگیرد، زیرا صاحبش او را رها کرده در حالی که از آن ناامید است و دست برداشته، پس مالی مباح شده است و این قیاس نیست و فقط به عنوان مثال است و مرجع این حکم اجماع و نصوص متواتره است نه قیاس و اجتهاد به رأی</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صاحب جواهر پس از نقل کلام صاحب سرائر چنین اظهار نظر می‌کند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دلیل عمده در تملک مال معرض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اجماع باشد و علاوه بر آن دلیل تملّک اموال ناچیز بازمانده از مسافر و مانند آن، سیره است و گرنه معلوم است که زوال ملکیت مانند حصول ملکیت متوقف بر سبب شرعی است و دلیلی نداریم که به وسیله اعراض صاحب مال، ملکیت مال از او مرتفع شده باشد به نحوی که هر که آن را اخذ کند بتواند مانند شی‌ء مباح آن را تملک کند</w:t>
      </w:r>
      <w:r>
        <w:rPr>
          <w:rFonts w:eastAsia="IRNazanin" w:cs="IRNazanin"/>
          <w:color w:val="111111"/>
          <w:sz w:val="28"/>
          <w:szCs w:val="28"/>
          <w:rtl w:val="true"/>
          <w:lang w:bidi="fa-IR"/>
        </w:rPr>
        <w:t>.»</w:t>
      </w:r>
      <w:r>
        <w:rPr>
          <w:rStyle w:val="FootnoteAnchor"/>
          <w:rtl w:val="true"/>
        </w:rPr>
        <w:footnoteReference w:id="499"/>
      </w:r>
      <w:bookmarkStart w:id="438" w:name="pg4331_49245"/>
    </w:p>
    <w:p>
      <w:pPr>
        <w:pStyle w:val="BookText"/>
        <w:rPr/>
      </w:pPr>
      <w:bookmarkEnd w:id="438"/>
      <w:r>
        <w:rPr>
          <w:rFonts w:ascii="IRNazanin" w:hAnsi="IRNazanin" w:eastAsia="IRNazanin"/>
          <w:color w:val="111111"/>
          <w:sz w:val="28"/>
          <w:sz w:val="28"/>
          <w:szCs w:val="28"/>
          <w:rtl w:val="true"/>
          <w:lang w:bidi="fa-IR"/>
        </w:rPr>
        <w:t>صاحب جواهر سپس به نظر کسانی اشاره می‌کند که در مورد مال مُعرضٌ عَنه احتمال اباحه تصرّف داده‌اند نه ملکیت و می‌گوید شهید دوم و فاضل مقداد جزما قایل به اباحه تصرف شده‌اند و در پایان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که از عبارت قبلی ابن ادریس چنین بر آید که در مال مُعرضٌ عَنه علاوه بر اعراض صاحب مال، یأس او نیز معتبر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اعراض، از دسترسی مجدد به مال مأیوس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فی الجمله سیره بر اباحه چنین مالی دلالت می‌کند و غیر از آنچه دانستی در نصوص تعرض دیگری نسبت به این مسأله وجود ندارد</w:t>
      </w:r>
      <w:r>
        <w:rPr>
          <w:rFonts w:eastAsia="IRNazanin" w:cs="IRNazanin"/>
          <w:color w:val="111111"/>
          <w:sz w:val="28"/>
          <w:szCs w:val="28"/>
          <w:rtl w:val="true"/>
          <w:lang w:bidi="fa-IR"/>
        </w:rPr>
        <w:t>.»</w:t>
      </w:r>
      <w:r>
        <w:rPr>
          <w:rStyle w:val="FootnoteAnchor"/>
          <w:rtl w:val="true"/>
        </w:rPr>
        <w:footnoteReference w:id="500"/>
      </w:r>
    </w:p>
    <w:p>
      <w:pPr>
        <w:pStyle w:val="Heading4"/>
        <w:numPr>
          <w:ilvl w:val="3"/>
          <w:numId w:val="1"/>
        </w:numPr>
        <w:rPr/>
      </w:pPr>
      <w:bookmarkStart w:id="439" w:name="__RefHeading___Toc1014911_1479056682"/>
      <w:bookmarkStart w:id="440" w:name="_Toc160"/>
      <w:bookmarkEnd w:id="439"/>
      <w:r>
        <w:rPr/>
        <w:t>37</w:t>
      </w:r>
      <w:r>
        <w:rPr>
          <w:rtl w:val="true"/>
        </w:rPr>
        <w:t xml:space="preserve"> - </w:t>
      </w:r>
      <w:r>
        <w:rPr>
          <w:rtl w:val="true"/>
        </w:rPr>
        <w:t>سیره درباره شناخت امور قلبی مانند ایمان و عدالت شاهد، از روی آثار آنها</w:t>
      </w:r>
      <w:bookmarkEnd w:id="440"/>
    </w:p>
    <w:p>
      <w:pPr>
        <w:pStyle w:val="BookText"/>
        <w:rPr/>
      </w:pPr>
      <w:r>
        <w:rPr>
          <w:rFonts w:ascii="IRNazanin" w:hAnsi="IRNazanin" w:eastAsia="IRNazanin"/>
          <w:color w:val="111111"/>
          <w:sz w:val="28"/>
          <w:sz w:val="28"/>
          <w:szCs w:val="28"/>
          <w:rtl w:val="true"/>
          <w:lang w:bidi="fa-IR"/>
        </w:rPr>
        <w:t>شهادت شاهد از نظر شرعی وقتی معتبر و مؤثر است که شاهد دارای شرایط و اوصاف شش گانه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حلال‌زادگی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اوصاف و شرایط پذیرش شهادت شاهد، ایمان شاهد است و محقّق در شرایع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شاهد به یکی از سه امر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حاکم، بیّنه، 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شهید در مسالک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هر سه به اقرار است، زیرا ایمان امری است قلبی که شناخت آن جز از طریق اقرار شخص معتقد و مؤمن امکان پذیر نیست</w:t>
      </w:r>
      <w:r>
        <w:rPr>
          <w:rFonts w:eastAsia="IRNazanin" w:cs="IRNazanin"/>
          <w:color w:val="111111"/>
          <w:sz w:val="28"/>
          <w:szCs w:val="28"/>
          <w:rtl w:val="true"/>
          <w:lang w:bidi="fa-IR"/>
        </w:rPr>
        <w:t>.»</w:t>
      </w:r>
      <w:r>
        <w:rPr>
          <w:rStyle w:val="FootnoteAnchor"/>
          <w:rtl w:val="true"/>
        </w:rPr>
        <w:footnoteReference w:id="50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به سخن مسالک اشکال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ایمان امری قلبی است، ولی آثار و لوازمی دارد که شناخت آن به وسیله آثار و لوازمش امکان پذیر است و اضافه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السیرة القطعیّة علیه کغیره من الامور الباطنه</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شناخت ایمان از روی آثار و لوازم آن، سیره قطعیه داریم، مانند شناخت غیر ایمان از امور باطنی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 با آن که ایمان و عدالت از امور قلبی و باطنی است و یکی از راههای ثبوت شرعی آن اقرار خود فرد است، ولی آنچه از همه مهمتر و بلکه بهترین وسیله برای شناخت ایمان می‌باشد، رفتار و عمل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عمل ثمره و نتیجه ایمان است، چنان که در ادبیات فارسی در اهمّیّت عمل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عمل، کار برآید، به سخندانی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صد گفته چون نیم کردار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سخنان رسول اکرم صلی‌الله‌علیه‌و‌آله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قول و عملٌ، اخوان شریکان</w:t>
      </w:r>
      <w:r>
        <w:rPr>
          <w:rStyle w:val="FootnoteAnchor"/>
          <w:rtl w:val="true"/>
        </w:rPr>
        <w:footnoteReference w:id="5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عبارت است از گفتار و عمل و این دو با هم برادر و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 دیگری از پیامبر صلی‌الله‌علیه‌و‌آله ایمان دارای سه جزء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معرفة بالجنان و اقرارٌ باللسان و عمل بالارکان</w:t>
      </w:r>
      <w:r>
        <w:rPr>
          <w:rStyle w:val="FootnoteAnchor"/>
          <w:rtl w:val="true"/>
        </w:rPr>
        <w:footnoteReference w:id="5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عبارت است از معرفت و شناخت قلبی و اقرار به زبان و عمل کردن به وسیله اعضاء و 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خود را در این مبحث، درباره اهمّیّت عمل، با سخنی از، حضرت علی علیه‌السلام به پایان می‌برم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بالعمل تحصل الجنّة لابالأمل</w:t>
      </w:r>
      <w:r>
        <w:rPr>
          <w:rStyle w:val="FootnoteAnchor"/>
          <w:rtl w:val="true"/>
        </w:rPr>
        <w:footnoteReference w:id="5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با عمل به دست می‌آید، نه با آرزو</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توفیق عمل به احکام و دستورات متعالی و حیات بخش اسلام را خواستارم</w:t>
      </w:r>
      <w:r>
        <w:rPr>
          <w:rFonts w:eastAsia="IRNazanin" w:cs="IRNazanin"/>
          <w:color w:val="111111"/>
          <w:sz w:val="28"/>
          <w:szCs w:val="28"/>
          <w:rtl w:val="true"/>
          <w:lang w:bidi="fa-IR"/>
        </w:rPr>
        <w:t xml:space="preserve">. </w:t>
      </w:r>
      <w:bookmarkStart w:id="441" w:name="pg4331_49249"/>
    </w:p>
    <w:p>
      <w:pPr>
        <w:pStyle w:val="Heading2"/>
        <w:numPr>
          <w:ilvl w:val="1"/>
          <w:numId w:val="1"/>
        </w:numPr>
        <w:rPr/>
      </w:pPr>
      <w:bookmarkStart w:id="442" w:name="__RefHeading___Toc1014913_1479056682"/>
      <w:bookmarkStart w:id="443" w:name="_Toc161"/>
      <w:bookmarkEnd w:id="441"/>
      <w:bookmarkEnd w:id="442"/>
      <w:r>
        <w:rPr>
          <w:rtl w:val="true"/>
        </w:rPr>
        <w:t>بخش چهارم</w:t>
      </w:r>
      <w:r>
        <w:rPr>
          <w:rtl w:val="true"/>
        </w:rPr>
        <w:t xml:space="preserve">: </w:t>
      </w:r>
      <w:r>
        <w:rPr>
          <w:rtl w:val="true"/>
        </w:rPr>
        <w:t>منابع تبعی فقه اهل سنّت</w:t>
      </w:r>
      <w:bookmarkEnd w:id="443"/>
    </w:p>
    <w:p>
      <w:pPr>
        <w:pStyle w:val="Heading3"/>
        <w:numPr>
          <w:ilvl w:val="2"/>
          <w:numId w:val="1"/>
        </w:numPr>
        <w:rPr/>
      </w:pPr>
      <w:bookmarkStart w:id="444" w:name="__RefHeading___Toc1014915_1479056682"/>
      <w:bookmarkStart w:id="445" w:name="_Toc162"/>
      <w:bookmarkEnd w:id="444"/>
      <w:r>
        <w:rPr>
          <w:rtl w:val="true"/>
        </w:rPr>
        <w:t>اشاره</w:t>
      </w:r>
      <w:bookmarkEnd w:id="4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استحسان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مصالح مرسله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سدّ ذرایع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4331_49253"/>
      <w:bookmarkStart w:id="447" w:name="pg4331_49253"/>
      <w:bookmarkEnd w:id="447"/>
    </w:p>
    <w:p>
      <w:pPr>
        <w:pStyle w:val="Heading3"/>
        <w:numPr>
          <w:ilvl w:val="2"/>
          <w:numId w:val="1"/>
        </w:numPr>
        <w:rPr/>
      </w:pPr>
      <w:bookmarkStart w:id="448" w:name="pg4331_49253"/>
      <w:bookmarkStart w:id="449" w:name="__RefHeading___Toc1014917_1479056682"/>
      <w:bookmarkStart w:id="450" w:name="_Toc163"/>
      <w:bookmarkEnd w:id="448"/>
      <w:bookmarkEnd w:id="449"/>
      <w:r>
        <w:rPr>
          <w:rtl w:val="true"/>
        </w:rPr>
        <w:t>بحثی مختصر درباره قیاس</w:t>
      </w:r>
      <w:bookmarkEnd w:id="450"/>
    </w:p>
    <w:p>
      <w:pPr>
        <w:pStyle w:val="Heading4"/>
        <w:numPr>
          <w:ilvl w:val="3"/>
          <w:numId w:val="1"/>
        </w:numPr>
        <w:rPr/>
      </w:pPr>
      <w:bookmarkStart w:id="451" w:name="__RefHeading___Toc1014919_1479056682"/>
      <w:bookmarkStart w:id="452" w:name="_Toc164"/>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مقدمه و تاریخچه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آغاز مبحث عقل بیان شد، علمای اهل سنّت غالبا در تقسیم بندی و شمارش ادلّه احکام، به جای عقل، قیاس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از جمله اماراتی است که از آغاز پیدایش محلّ نزاع و برخورد آرای علما و فقها بوده است، سابقه تاریخی این واژه به عصر خلفای پیامبر صلی‌الله‌علیه‌و‌آله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متون تاریخی ثابت می‌کند که ابوبکر و عمر و عثمان در مواردی که نصّی بر حکم شرعی نمی‌یافتند، برای صدور حکم آن موارد، به قیاس متوسّل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عبدربّه در کتاب العقد الفرید نقل کرده است که عمر در نامه‌اش در باب قضاء به</w:t>
      </w:r>
    </w:p>
    <w:p>
      <w:pPr>
        <w:pStyle w:val="BookText"/>
        <w:rPr/>
      </w:pPr>
      <w:r>
        <w:rPr>
          <w:rFonts w:ascii="IRNazanin" w:hAnsi="IRNazanin" w:eastAsia="IRNazanin"/>
          <w:color w:val="111111"/>
          <w:sz w:val="28"/>
          <w:sz w:val="28"/>
          <w:szCs w:val="28"/>
          <w:rtl w:val="true"/>
          <w:lang w:bidi="fa-IR"/>
        </w:rPr>
        <w:t>ابوموسی اشعری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همانا قضاوت فریضه‌ای محکم و سنتی پیروی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فهم خود را به کار انداز در آنچه که در سینه‌ات جولان می‌کند، از آن اموری که کتاب خدا و سنّت پیامبر صلی‌الله‌علیه‌و‌آلهحکم آنها را برای تو بیان نکرده و امور همانند را بشناس و آنها را با یکدیگر مقایسه کن، سپس به حکمی تکیه کن که نزد خدا و رسولش محبوبتر و به حق شبیه تر باشد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ابن خلدون نیز در مقدمه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ابو موسی اشعری را والی کوفه قرار داد و به او نوشت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بحثی مختصر درباره قیاس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همانندها را بشناس و امور را با همانندها و نظائر خود قیاس کن</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دکتر محمّد یوسف موسی، در کتاب تاریخ الفقه الاسلامی معتقد است که در ابتداء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می‌شده است و در زمان رسول اکرم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فقهی وجود داشته و حتّی خود پیامبر صلی‌الله‌علیه‌و‌آله به هنگام فرستادن معاذبن جبل به عنوان قاضی به یمن، به او اجازه اجتهاد به رأی داد و نیز عمر بن خطّاب و دیگر صحابه و عدّه کثیری از تابعین در مسائل بسیاری که حکم آنها را در کتاب</w:t>
      </w:r>
    </w:p>
    <w:p>
      <w:pPr>
        <w:pStyle w:val="BookText"/>
        <w:rPr/>
      </w:pPr>
      <w:r>
        <w:rPr>
          <w:rFonts w:ascii="IRNazanin" w:hAnsi="IRNazanin" w:eastAsia="IRNazanin"/>
          <w:color w:val="111111"/>
          <w:sz w:val="28"/>
          <w:sz w:val="28"/>
          <w:szCs w:val="28"/>
          <w:rtl w:val="true"/>
          <w:lang w:bidi="fa-IR"/>
        </w:rPr>
        <w:t>نمی‌یافتند، اجتهاد به رأی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بحث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رأی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جایگاه بزرگی برخوردار شد و طرفداران و قایلان به آن زیاد شدند، سپس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به‌قیاس‌معروف شد و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رأس آنها شافعی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وضع شرایطی برای آن، شروطی که آن را ابزار و اداتی شایسته و مورد اطمینان برای استنباط احکام شرعی قرار می‌داد و با همین شرایط و قیود، قیاس چهارمین اصل، از اصول و ادلّه فقه شد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همان طور که بارها گفته‌ایم، علّت و ریشه تاریخی قیاس و رواج آن در میان اهل سنّت آن بود که اینان بعد از رحلت پیامبر صلی‌الله‌علیه‌و‌آله دست از دامن اهل بیت پیامبر علیهم‌السلام برداشتند و</w:t>
      </w:r>
    </w:p>
    <w:p>
      <w:pPr>
        <w:pStyle w:val="BookText"/>
        <w:rPr/>
      </w:pPr>
      <w:r>
        <w:rPr>
          <w:rFonts w:ascii="IRNazanin" w:hAnsi="IRNazanin" w:eastAsia="IRNazanin"/>
          <w:color w:val="111111"/>
          <w:sz w:val="28"/>
          <w:sz w:val="28"/>
          <w:szCs w:val="28"/>
          <w:rtl w:val="true"/>
          <w:lang w:bidi="fa-IR"/>
        </w:rPr>
        <w:t>سنّت را محدود به سنّت پیامبر صلی‌الله‌علیه‌و‌آله کردند و در استنباط احکام عملاً دچار فقر منابع شدند به اجتهاد به رأی و قیاس روی آوردند و باب عمل به قیاس را در زمینه صدور فتوا و قضاوت بین مردم باز کردند و حتّی مسائل بسیار مهم و خطاها و اشتباهات رهبران خود را به وسیله اجتهاد به رأی و قیاس توجیه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ابابکر خلیفه اول، عمل ضد اسلامی خالد بن ولید را به وسیله اجتهاد به رأی و قیاس توجیه و او را تبرئه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ماجرا چنین بود که خالدبن‌ولید به امر خلیفه اوّل برای مطالبه زکات به سراغ مالک بن نویره می‌رود، مالک در پاسخ می‌گوید باید زکات خود را به علی بن ابیطالب تحویل دهم، به جرم این سخن و این اعتقاد، خالد، مالک بن نویره را به قتل می‌رساند و</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شب قتل او، با همسر مالک مرتکب عمل شنیع زنا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خطاب </w:t>
      </w:r>
      <w:bookmarkStart w:id="453" w:name="pg4331_49257"/>
    </w:p>
    <w:p>
      <w:pPr>
        <w:pStyle w:val="BookText"/>
        <w:rPr/>
      </w:pPr>
      <w:bookmarkEnd w:id="453"/>
      <w:r>
        <w:rPr>
          <w:rFonts w:ascii="IRNazanin" w:hAnsi="IRNazanin" w:eastAsia="IRNazanin"/>
          <w:color w:val="111111"/>
          <w:sz w:val="28"/>
          <w:sz w:val="28"/>
          <w:szCs w:val="28"/>
          <w:rtl w:val="true"/>
          <w:lang w:bidi="fa-IR"/>
        </w:rPr>
        <w:t>تصمیم می‌گیرد که در باره خالد حدّ الهی را جاری کند، ولی خلیفه اوّل از اجرای حدّ مانع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اجتهاد به رأی کرده، منتها دچار خطا شده و معذور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اوّلین کسی که بعد از خلفا در قرن دوم هجری به شکل گسترده‌ای عمل به قیاس را در استنباط احکام به کار گرفت،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زمان ابوحنیفه به</w:t>
      </w:r>
    </w:p>
    <w:p>
      <w:pPr>
        <w:pStyle w:val="BookText"/>
        <w:rPr/>
      </w:pPr>
      <w:r>
        <w:rPr>
          <w:rFonts w:ascii="IRNazanin" w:hAnsi="IRNazanin" w:eastAsia="IRNazanin"/>
          <w:color w:val="111111"/>
          <w:sz w:val="28"/>
          <w:sz w:val="28"/>
          <w:szCs w:val="28"/>
          <w:rtl w:val="true"/>
          <w:lang w:bidi="fa-IR"/>
        </w:rPr>
        <w:t>کار بردن قیاس در استنباط احکام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طایفه دیگری از اهل سنّت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دیگری به نام مالکیّه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قیاس را در استنباط احکام</w:t>
      </w:r>
    </w:p>
    <w:p>
      <w:pPr>
        <w:pStyle w:val="BookText"/>
        <w:rPr/>
      </w:pPr>
      <w:r>
        <w:rPr>
          <w:rFonts w:ascii="IRNazanin" w:hAnsi="IRNazanin" w:eastAsia="IRNazanin"/>
          <w:color w:val="111111"/>
          <w:sz w:val="28"/>
          <w:sz w:val="28"/>
          <w:szCs w:val="28"/>
          <w:rtl w:val="true"/>
          <w:lang w:bidi="fa-IR"/>
        </w:rPr>
        <w:t>پیشه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دیگر از مذاهب اهل سنّت با قیاس مخالف بودند، چنان که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داود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را مردود می‌دانند و همچنین حنابله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قیاس ارزشی قایل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امامیّه و پیروان مکتب تشیع به تبعیت از اهل بیت و ائمه معصومین علیهم‌السلام عمل به قیاس را باطل و خلاف موازین شرعی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حجّیّت قیاس، روایاتی در مذمت و بطلان قیاس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یوسف درباره مخالفین قیاس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علما شدیدا با قیاس مخالفت کردند و از سخت ترین مخالفان حجّیّت و اعتبار آن، گروهی از شیعه و بعد از آنان اهل ظاهرند که در رأس آنان داود بن علی و ابن حزم ناشر مذهب ظاهری و مدافع سرسخت آن مذهب می‌باشند</w:t>
      </w:r>
      <w:r>
        <w:rPr>
          <w:rFonts w:eastAsia="IRNazanin" w:cs="IRNazanin"/>
          <w:color w:val="111111"/>
          <w:sz w:val="28"/>
          <w:szCs w:val="28"/>
          <w:rtl w:val="true"/>
          <w:lang w:bidi="fa-IR"/>
        </w:rPr>
        <w:t>.»</w:t>
      </w:r>
      <w:r>
        <w:rPr>
          <w:rStyle w:val="FootnoteAnchor"/>
          <w:rtl w:val="true"/>
        </w:rPr>
        <w:footnoteReference w:id="510"/>
      </w:r>
    </w:p>
    <w:p>
      <w:pPr>
        <w:pStyle w:val="Heading4"/>
        <w:numPr>
          <w:ilvl w:val="3"/>
          <w:numId w:val="1"/>
        </w:numPr>
        <w:rPr/>
      </w:pPr>
      <w:bookmarkStart w:id="454" w:name="__RefHeading___Toc1014921_1479056682"/>
      <w:bookmarkStart w:id="455" w:name="_Toc165"/>
      <w:bookmarkEnd w:id="454"/>
      <w:r>
        <w:rPr>
          <w:rtl w:val="true"/>
        </w:rPr>
        <w:t>تعریف قیاس</w:t>
      </w:r>
      <w:bookmarkEnd w:id="45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قیاس در لغت به معنای اندازه گیری آمده است، مثلاً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قِسْتُ الثوبَ بِالذِّراعِ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را با ذراع اندازه گیری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تعریفهای مختلفی برای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الاصول العامة للفقه المقارن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عبارت است از برابری فرع با اصل خود در علّت حکم شرعی‌اش</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استاد عبد الوهّاب خلاّف در تعریف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قیاس در اصطلاح اصولیین عبارت است از ملحق ساختن واقعه‌ای که نصّی بر حکم آن نیست، به واقعه‌ای که نسبت به حکم آن نصی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حکمی است که نسبت به آن نص وارد شده است، به خاطر آن که هر دو واقعه در علّت حکم مساوی‌اند</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مظفّر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تعریف برای قیاس از نظر امامیّه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اثبات حکم فی محلّ بعلّةٍ لثبوته فی محلّ آخر بتلک العلّة</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عبارت است از اثبات حکمی برای مورد و محلّی به خاطر علتی، به خاطر این که آن حکم در مورد و محلّ دیگر به جهت همان علّت ثابت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قیاس، عمل شخص قائس است و غرض او از به کار بردن قیاس، استنتاج حکم شرعی در مورد و محلی است که برای حکم آن مورد، نصی از شرع نرسیده باشد، عمل قائس بدین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موضوع باشد که یکی از آن دو دارای حکم شرعی منصوص باشد و موضوع دیگر فاقد حکم منصوص شرعی باشد، به دلیل مشابهت این دو موضوع با یکدیگر، قائس حکم منصوص را به موضوع فاقد حکم سرایت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شرع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حرمت برای خمر ثابت شده، وقتی مستدل بررسی می‌کند، می‌بیند خمر به خاطر مسکر بودنش محکوم به حرمت شده است، هنگامی که با موضوع جدیدی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می‌شود که مانند خمر مسکر است، ولی در نصوص شرعی حکم خاصّی برای آن بیان نشده، به صرف شباهت فقّاع با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مسکریّت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حرمت خمر را به مایع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می‌دهد و می‌گوید نوشیدن فقّاع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قیاس، عملی است که از قیاس کننده صادر می‌شود و موجب ظنّ به حکم شرعی می‌گردد، قیاسگر ادّعا </w:t>
      </w:r>
      <w:bookmarkStart w:id="456" w:name="pg4331_49261"/>
    </w:p>
    <w:p>
      <w:pPr>
        <w:pStyle w:val="BookText"/>
        <w:rPr/>
      </w:pPr>
      <w:bookmarkEnd w:id="456"/>
      <w:r>
        <w:rPr>
          <w:rFonts w:ascii="IRNazanin" w:hAnsi="IRNazanin" w:eastAsia="IRNazanin"/>
          <w:color w:val="111111"/>
          <w:sz w:val="28"/>
          <w:sz w:val="28"/>
          <w:szCs w:val="28"/>
          <w:rtl w:val="true"/>
          <w:lang w:bidi="fa-IR"/>
        </w:rPr>
        <w:t>می‌کند که شارع حکم به حرمت فقّاع صادر کرده است، در حالی که طبق فرض، شارع فقط حرمت خمر را بیان فرموده است</w:t>
      </w:r>
      <w:r>
        <w:rPr>
          <w:rFonts w:eastAsia="IRNazanin" w:cs="IRNazanin"/>
          <w:color w:val="111111"/>
          <w:sz w:val="28"/>
          <w:szCs w:val="28"/>
          <w:rtl w:val="true"/>
          <w:lang w:bidi="fa-IR"/>
        </w:rPr>
        <w:t>.</w:t>
      </w:r>
    </w:p>
    <w:p>
      <w:pPr>
        <w:pStyle w:val="Heading4"/>
        <w:numPr>
          <w:ilvl w:val="3"/>
          <w:numId w:val="1"/>
        </w:numPr>
        <w:rPr/>
      </w:pPr>
      <w:bookmarkStart w:id="457" w:name="__RefHeading___Toc1014923_1479056682"/>
      <w:bookmarkStart w:id="458" w:name="_Toc166"/>
      <w:bookmarkEnd w:id="457"/>
      <w:r>
        <w:rPr>
          <w:rtl w:val="true"/>
        </w:rPr>
        <w:t>ارکان قیاس</w:t>
      </w:r>
      <w:bookmarkEnd w:id="458"/>
    </w:p>
    <w:p>
      <w:pPr>
        <w:pStyle w:val="BookText"/>
        <w:rPr/>
      </w:pPr>
      <w:r>
        <w:rPr>
          <w:rFonts w:ascii="IRNazanin" w:hAnsi="IRNazanin" w:eastAsia="IRNazanin"/>
          <w:color w:val="111111"/>
          <w:sz w:val="28"/>
          <w:sz w:val="28"/>
          <w:szCs w:val="28"/>
          <w:rtl w:val="true"/>
          <w:lang w:bidi="fa-IR"/>
        </w:rPr>
        <w:t>قیاس دارای چهار رکن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مقیس علیه است، حکم اصل از ناحیه شارع صادر شده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خمر در مثال 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مقیس است، حکم شرعی آن معلوم نیست و قائس می‌خواهد حکم شرعی آن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قبل فرع یا مقیس، همان فقّاع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جهت مشترک و جامع بین اصل و فرع که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مسکر بودن است که بین خمر و فقّاع مشترک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حکم همان حکم شرعی است که در مورد اصل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نوع حکم اصل باید معلوم و با دلیل معتبر شرعی ثابت شده باشد که در مثال مذکور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ارکان با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است، زیرا نسبت به حکم آن نص شرعی وارد شده که خداوند در قرآن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 بر تحریم شرب خمر دلالت می‌کند و علّت حکم اسکار خمر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است، زیرا نسبت به حکم آن نصّی وارد نشده، ولی فقّاع در اسکار با خمر مشترک است، پس در حکم با آن مساوی می‌باشد، یعنی شرب فقّاع هم حرام است</w:t>
      </w:r>
      <w:r>
        <w:rPr>
          <w:rFonts w:eastAsia="IRNazanin" w:cs="IRNazanin"/>
          <w:color w:val="111111"/>
          <w:sz w:val="28"/>
          <w:szCs w:val="28"/>
          <w:rtl w:val="true"/>
          <w:lang w:bidi="fa-IR"/>
        </w:rPr>
        <w:t>.</w:t>
      </w:r>
    </w:p>
    <w:p>
      <w:pPr>
        <w:pStyle w:val="Heading4"/>
        <w:numPr>
          <w:ilvl w:val="3"/>
          <w:numId w:val="1"/>
        </w:numPr>
        <w:rPr/>
      </w:pPr>
      <w:bookmarkStart w:id="459" w:name="__RefHeading___Toc1014925_1479056682"/>
      <w:bookmarkStart w:id="460" w:name="_Toc167"/>
      <w:bookmarkEnd w:id="459"/>
      <w:r>
        <w:rPr>
          <w:rtl w:val="true"/>
        </w:rPr>
        <w:t>اقسام قیاس</w:t>
      </w:r>
      <w:bookmarkEnd w:id="460"/>
    </w:p>
    <w:p>
      <w:pPr>
        <w:pStyle w:val="BookText"/>
        <w:rPr/>
      </w:pPr>
      <w:r>
        <w:rPr>
          <w:rFonts w:ascii="IRNazanin" w:hAnsi="IRNazanin" w:eastAsia="IRNazanin"/>
          <w:color w:val="111111"/>
          <w:sz w:val="28"/>
          <w:sz w:val="28"/>
          <w:szCs w:val="28"/>
          <w:rtl w:val="true"/>
          <w:lang w:bidi="fa-IR"/>
        </w:rPr>
        <w:t>برای قیاس اقسامی ذکر شده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قیاس تمثیل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تمثیل همین قیاس مورد بحث است که تعریف آن گذشت قیاس در اصطلاح علم فقه و اصول، همان تمثیل منطقی است که در مورد </w:t>
      </w:r>
    </w:p>
    <w:p>
      <w:pPr>
        <w:pStyle w:val="BookText"/>
        <w:rPr/>
      </w:pPr>
      <w:r>
        <w:rPr>
          <w:rFonts w:ascii="Amiri" w:hAnsi="Amiri" w:eastAsia="Amiri" w:cs="Amiri"/>
          <w:color w:val="111111"/>
          <w:sz w:val="28"/>
          <w:sz w:val="28"/>
          <w:szCs w:val="28"/>
          <w:rtl w:val="true"/>
          <w:lang w:bidi="ar-SA"/>
        </w:rPr>
        <w:t>حجّیّت آن بعد بحث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قیاس منصوص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نص شارع، هم حکم و هم علّت حکم به صراحت بیان شود و ما در مقایسه با آن در هر موضوع دیگری که آن علّت وجود دارد، همان حکم را جاری کنیم، چنین قیاسی، قیاس منصوص العلّة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البئر واسع لایفسده شی‌ء لأنّ له مادّة در این مثال شارع برای آب چاه حکمی را بیان فرموده که عبارت است از عدم نجس شدن با ملاقات نجس و علّت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نبعان و جوشش آب چاه است، بنابراین اگر آب حمام و آب چشمه نیز دارای ماده باشند، دارای همان حکم خواهند بود، یعنی با ملاقات نجس، نجس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قیاس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اولویّت آن است که شارع حکمی را برای موضوعی جعل فرموده و از راه اولویت، موضوعات دیگر نیز مشمول آن حکم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لاتقل لهما افّ، شارع اف گفتن به والدین را حرام کرده است، در مقایسه با آن، ضرب و شتم والدین به طریق اولی محکوم به حرمت خواهد بود، از قیاس اولویت،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فحوای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اعتبار و حجّیّت قیاس منصوص العله و قیاس اولویّت و این که آیا این دو از مصادیق قیاس می‌باشند، یانه ؟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مانند علاّمه حلّی معتقدند که هر دو واژه مذکور مصداق قیاس می‌باشند و لکن قیاس فقط در این دو مورد حجّت است و در بقیّه موارد اعتباری ندارد و</w:t>
      </w:r>
    </w:p>
    <w:p>
      <w:pPr>
        <w:pStyle w:val="BookText"/>
        <w:rPr/>
      </w:pPr>
      <w:r>
        <w:rPr>
          <w:rFonts w:ascii="IRNazanin" w:hAnsi="IRNazanin" w:eastAsia="IRNazanin"/>
          <w:color w:val="111111"/>
          <w:sz w:val="28"/>
          <w:sz w:val="28"/>
          <w:szCs w:val="28"/>
          <w:rtl w:val="true"/>
          <w:lang w:bidi="fa-IR"/>
        </w:rPr>
        <w:t>لذا باید این دو مورد، را از حرمت عمل به قیاس استثناء کرد، یعنی عمل به قیاس جایز نیست مگر دو مورد یکی قیاس منصوص العله و دیگری قیاس اولویّت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مانند سید مرتضی فرموده‌اند ادلّه حرمت عمل به قیاس، قیاس منصوص العله و قیاس اولویّت را نیز شامل می‌شود و بنابراین فرقی بین این دو قیاس و سایر قیاسها نیست و ادلّه منع قیاس شامل این دو هم می‌شود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علما مانند محقّق اوّل و صاحب قوانین و استاد مظفر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امر این است که قیاس منصوص العله و قیاس اولویّت هر دو از اعتبار و حجّیّت برخوردارند و لکن مصداق برای قیاس نیستند، بلکه حجّیّت آنها از باب حجّیّت ظواهر </w:t>
      </w:r>
    </w:p>
    <w:p>
      <w:pPr>
        <w:pStyle w:val="BookText"/>
        <w:rPr/>
      </w:pPr>
      <w:r>
        <w:rPr>
          <w:rFonts w:ascii="IRNazanin" w:hAnsi="IRNazanin" w:eastAsia="IRNazanin"/>
          <w:color w:val="111111"/>
          <w:sz w:val="28"/>
          <w:sz w:val="28"/>
          <w:szCs w:val="28"/>
          <w:rtl w:val="true"/>
          <w:lang w:bidi="fa-IR"/>
        </w:rPr>
        <w:t>است و حجّیّت ظواهر به بنای عقلا ثابت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قیاس تنقیح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مناط که گاهی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الغاء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 عبارت است از ؛ سرایت دادن حکم واقعه‌ای به واقعه دیگر به جهت یکی بودن مناط حکم در هر دو واقعه ؛ هر گاه موضوع حکم همراه با اوصاف و خصوصیاتی باشد که دخالتی در حکم نداشته باشد، در سرایت دادن حکم این موضوع به موضوع دیگر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و خصوصیات دخالتی در حکم ندارد، لذا با الغاء آن خصوصیات، حکم آن موضوع را به موارد دیگر سرایت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رکعت سوم و چهارم شک کند و حکم مسأله را از امام بپرسد و امام در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بنا را بر اکثر بگذارد، در این 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الغاء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حکم را به موارد دیگر هم سرایت می‌دهیم، بدین معنی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نماز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یک دخالتی در حکم ندارد، بلکه مناط و موضوع حکم عبارت است از؛ شک بین رکعت سوم و چهارم، پس در هر موردی که شک بین سه و چهار باشد، حکم آن بنای بر اکثر است، خواه نمازگزار مرد باشد، یا زن، خواه نماز در مسجد باشد یا در خانه، خواه نماز ظهر باشد یا نماز عصر و یا نماز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مثلاً شخصی اعرابی خدمت پیامبر صلی‌الله‌علیه‌و‌آله رسید و از همبستر شدن با همسرش در روز ماه رمضان سؤال 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عنوان کفّاره، رقبه‌ای آزاد کند، در این جا گرچه مورد سؤال دارای خصوصیاتی است از قبیل این که سؤال کنند اعرابی است و آمیزش شده همسر اوست و زمان آمیزش روز خاصی از ماه رمضان بوده است، ولی می‌توان تمام این خصوصیات را الغاء کرد و آنچه را که در حقیقت مناط و موضوع حکم به وجوب کفّاره است، به وسیله تنقیح، از این خصوصیات مشخص نمود که مناط حکم، آمیزش در روز ماه رمضان است، خواه آمیزش کننده مرد عرب یا غیر عرب باشد و خواه زن، همسر یا کنیز و یا اجنبیّه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در کتاب معارج الاصول درباره تنقیح مناط می‌گوید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کردن بین اصل و فرع گاهی به وسیله عدم 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اصل و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پس اگر از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p>
    <w:p>
      <w:pPr>
        <w:pStyle w:val="BookText"/>
        <w:rPr/>
      </w:pPr>
      <w:r>
        <w:rPr>
          <w:rFonts w:ascii="IRNazanin" w:hAnsi="IRNazanin" w:eastAsia="IRNazanin"/>
          <w:color w:val="111111"/>
          <w:sz w:val="28"/>
          <w:sz w:val="28"/>
          <w:szCs w:val="28"/>
          <w:rtl w:val="true"/>
          <w:lang w:bidi="fa-IR"/>
        </w:rPr>
        <w:t>اصل و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معلوم و قطعی باشد، سرایت دادن حکم جایز است و اگر تفاوت و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یا جایز باشد که بین آن دو امتیاز قایل شد، در این صورت سرایت دادن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اصل به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در صورتی که در این مورد نصّی باشد، زیرا ممکن است حکم، اختصاص به همان مزیّت داشته باشد و دلیلی هم بر تعدیه و سرایت دادن حکم وجود ندارد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حجّیّت تنقیح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باشد، فقهای امامیّه آن را حجت و معتبر می‌دانند، زیرا حجّیّت و اعتبار قطع، ذاتی است و در واقع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قیاس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کشمیری در کتاب فیض الباری فی شرح صحیح البخاری درباره تفاوت بین قیاس و تنقیح مناط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نظر مجتهد به فرع تعلق می‌گیرد و سپس آن را از حیث حکم، به اصل ملحق می‌نماید و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نظر مجتهد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 مورد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 و از راه آن، مناط و علّت حکم را به دست می‌آورد و سپس فرع را از حیث حکم، به اصل ملحق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مناط در نزد من از نوع قیاس نیست، در هر حال شکی نیست که تنقیح مناط قطعی حجّت و معتبر است، زیرا وقتی قطع آمد، مجالی برای بحث از حجّت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آنچه جای بحث دارد این است که آیا عقل انسان می‌تواند مناطها و ملاکهای احکام و موانع آنها را به گونه قطع ادراک کند یا خیر ؟</w:t>
      </w:r>
      <w:r>
        <w:rPr>
          <w:rStyle w:val="FootnoteAnchor"/>
          <w:rtl w:val="true"/>
        </w:rPr>
        <w:footnoteReference w:id="51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حجّیّت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یکی از امارات است و اماره در صورتی حجت است که مفید علم یا مفید ظنّ معتبر باشد و از آن جا که قیاس فقهی همان تمثیل منطقی است و تمثیل فقط مفید احتمال است، احتمال هرگز افاده علم و یقین نمی‌کند، در علم منطق تمثیل را </w:t>
      </w:r>
    </w:p>
    <w:p>
      <w:pPr>
        <w:pStyle w:val="BookText"/>
        <w:rPr/>
      </w:pPr>
      <w:r>
        <w:rPr>
          <w:rFonts w:ascii="IRNazanin" w:hAnsi="IRNazanin" w:eastAsia="IRNazanin"/>
          <w:color w:val="111111"/>
          <w:sz w:val="28"/>
          <w:sz w:val="28"/>
          <w:szCs w:val="28"/>
          <w:rtl w:val="true"/>
          <w:lang w:bidi="fa-IR"/>
        </w:rPr>
        <w:t>چنین تعریف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عبارت است از ثابت کردن حکمی برای یک فرد جزئی به خاطر ثبوت آن حکم در فرد جزئی دیگر که مشابه با فرد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چیزی را که تمثیل افاده می‌کند، احتمال است، زیرا تشابه دو شی‌ء در یک امر باعث آن نمی‌شود که هر دو شی‌ء محکوم به یک حکم باشند، بنابراین قیاس هرگز مفید علم به حکم شرعی نیست و نهایت ثمره آن ظن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والظن لایغنی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طرفداران و قایلین به قیاس مدعی آن نیستند که قیاس مفید علم است، بلکه حداکثر چیزی را که از قیاس انتظار دارند این است که مفید ظن به حکم شرعی باشد، منتها ظنّ حاصل از قیاس را از باب ظن خاصّ حجت می‌دانند و از کتاب و سنّت و اجماع و دلیل عقل بر حجّیّت و اعتبار آن ادلّه‌ای اقامه می‌کنند که به نظر مخالفین قیاس تمام آنها</w:t>
      </w:r>
    </w:p>
    <w:p>
      <w:pPr>
        <w:pStyle w:val="BookText"/>
        <w:rPr/>
      </w:pPr>
      <w:r>
        <w:rPr>
          <w:rFonts w:ascii="IRNazanin" w:hAnsi="IRNazanin" w:eastAsia="IRNazanin"/>
          <w:color w:val="111111"/>
          <w:sz w:val="28"/>
          <w:sz w:val="28"/>
          <w:szCs w:val="28"/>
          <w:rtl w:val="true"/>
          <w:lang w:bidi="fa-IR"/>
        </w:rPr>
        <w:t>مخدوش و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علمای امامیه، قیاس هیچ گونه ارزش و اعتباری ندارد زیرا اخبار و روایات صادره از پیامبر صلی‌الله‌علیه‌و‌آله و ائمه علیهم‌السلام را دلیل قطعی بر حرمت عمل به قیاس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منقول از پیامبر صلی‌الله‌علیه‌و‌آله و ائمه معصومین علیهم‌السلام درباره منع از عمل به قیاس و حرمت عمل به قیاس و کاربرد آن در استنباط احکام شرعی بسیار است و در کتب معتبری مانند وسائل الشیعه، کافی و محاسن برقی، ابوابی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المقائیس و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البدع و الرأی والمقائیس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اکنون چند مورد از آنها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بحار الانوار از امالی صدوق از حضرت علی علیه‌السلام نقل می‌کند که پیامبر صلی‌الله‌علیه‌و‌آله فرمود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بی من فسّر برأیه کلامی و ما عرفنی من شبّهنی بخلقی و ما علی دینی من استعمل القیاس فی دینی</w:t>
      </w:r>
      <w:r>
        <w:rPr>
          <w:rStyle w:val="FootnoteAnchor"/>
          <w:rtl w:val="true"/>
        </w:rPr>
        <w:footnoteReference w:id="5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گفتار و کلام مرا به رأی و نظر خود تفسیر کند، به من ایمان نیاورده است و کسی که مرا به خلقم </w:t>
      </w:r>
    </w:p>
    <w:p>
      <w:pPr>
        <w:pStyle w:val="BookText"/>
        <w:rPr/>
      </w:pPr>
      <w:r>
        <w:rPr>
          <w:rFonts w:ascii="IRNazanin" w:hAnsi="IRNazanin" w:eastAsia="IRNazanin"/>
          <w:color w:val="111111"/>
          <w:sz w:val="28"/>
          <w:sz w:val="28"/>
          <w:szCs w:val="28"/>
          <w:rtl w:val="true"/>
          <w:lang w:bidi="fa-IR"/>
        </w:rPr>
        <w:t>تشبیه کند، مرا نشناخته و کسی که قیاس را در دین من به کار برد، بر دین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محاسن برقی از امیر المؤمنین علیه‌السلام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تقیسوا الدین فإنّ امر اللّه لایقاس و سیأتی قوم یقیسون و هم اعداء الدین</w:t>
      </w:r>
      <w:r>
        <w:rPr>
          <w:rStyle w:val="FootnoteAnchor"/>
          <w:rtl w:val="true"/>
        </w:rPr>
        <w:footnoteReference w:id="5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 قیاس</w:t>
      </w:r>
    </w:p>
    <w:p>
      <w:pPr>
        <w:pStyle w:val="BookText"/>
        <w:rPr/>
      </w:pPr>
      <w:r>
        <w:rPr>
          <w:rFonts w:ascii="IRNazanin" w:hAnsi="IRNazanin" w:eastAsia="IRNazanin"/>
          <w:color w:val="111111"/>
          <w:sz w:val="28"/>
          <w:sz w:val="28"/>
          <w:szCs w:val="28"/>
          <w:rtl w:val="true"/>
          <w:lang w:bidi="fa-IR"/>
        </w:rPr>
        <w:t>نکنید زیرا امر خدا قیاس پذیر نیست و به زودی قومی خواهند آمد که قیاس می‌کنند و حال آن که ایشان دشمنان دین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هجدهم نهج البلاغه در مذمت و نکوهش شدید از عالمانی که به رأی و نظر خود در یک مسأله فتواهای مختلف می‌دهند،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 علی أحدهم القضیّة فی حکم من الاحکام فیحکم فیها برأیه، ثم ترد تلک القضیّة بعینها علی</w:t>
      </w:r>
    </w:p>
    <w:p>
      <w:pPr>
        <w:pStyle w:val="BookText"/>
        <w:rPr/>
      </w:pPr>
      <w:r>
        <w:rPr>
          <w:rFonts w:ascii="IRNazanin" w:hAnsi="IRNazanin" w:eastAsia="IRNazanin"/>
          <w:color w:val="111111"/>
          <w:sz w:val="28"/>
          <w:sz w:val="28"/>
          <w:szCs w:val="28"/>
          <w:rtl w:val="true"/>
          <w:lang w:bidi="fa-IR"/>
        </w:rPr>
        <w:t>غیره فیحکم فیها بخلافه، ثم یجتمع القضاة بذلک عند الامام الذی استقضاهم فیصوّب آراءهم</w:t>
      </w:r>
    </w:p>
    <w:p>
      <w:pPr>
        <w:pStyle w:val="BookText"/>
        <w:rPr/>
      </w:pPr>
      <w:r>
        <w:rPr>
          <w:rFonts w:ascii="IRNazanin" w:hAnsi="IRNazanin" w:eastAsia="IRNazanin"/>
          <w:color w:val="111111"/>
          <w:sz w:val="28"/>
          <w:sz w:val="28"/>
          <w:szCs w:val="28"/>
          <w:rtl w:val="true"/>
          <w:lang w:bidi="fa-IR"/>
        </w:rPr>
        <w:t>جمیعا و اِلههم واحد و نبیّهم واحد و کتابهم واحد، أفامرهم اللّه تعالی بالإختلاف فأطاعوه أم نهاهم فعَصْوه، أم أنزل اللّه سبحانه دینا ناقصا فاستعان بهم علی اتمامه ؟</w:t>
      </w:r>
      <w:r>
        <w:rPr>
          <w:rStyle w:val="FootnoteAnchor"/>
          <w:rtl w:val="true"/>
        </w:rPr>
        <w:footnoteReference w:id="5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قضیّه و مسأله‌ای</w:t>
      </w:r>
    </w:p>
    <w:p>
      <w:pPr>
        <w:pStyle w:val="BookText"/>
        <w:rPr/>
      </w:pPr>
      <w:r>
        <w:rPr>
          <w:rFonts w:ascii="IRNazanin" w:hAnsi="IRNazanin" w:eastAsia="IRNazanin"/>
          <w:color w:val="111111"/>
          <w:sz w:val="28"/>
          <w:sz w:val="28"/>
          <w:szCs w:val="28"/>
          <w:rtl w:val="true"/>
          <w:lang w:bidi="fa-IR"/>
        </w:rPr>
        <w:t xml:space="preserve">از احکام از یکی از علما پرسیده می‌شود و او در آن مسأله به رأی خود فتوی می‌دهد، سپس همان مسأله از دیگری سؤال می‌شود، در آن برخلاف اولی فتوا می‌دهد آنگاه که قضاة با حکمها فتواهای خلاف یکدیگر نزد پیشوایی که آنان را قاضی قرار داده اجتماع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تصدیق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آرای و نظریات همه آنان را درست می‌داند، در صورتی که خدای ایشان یکی و پیغمبرشان یکی و کتابشان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تعالی ایشان را امر فرموده که مخالف یکدیگر فتوا بدهند و آنان هم فرمان خدا را اطاعت کرده‌اند ؟ یا این که خداوند ایشان را از اختلاف نهی فرموده و آنها نافرمانی کرده‌اند، یا این که خداوند دین ناقصی فرستاده و برای اتمام آن از ایشان یاری خواسته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حمیری در کتاب قرب الإسناد از علی علیه‌السلام نقل کرده که فرمود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نصب نفسه للقیاس، لم یزل دهره فی التباس و من دان اللّه بالرأی لم یزل دهره فی </w:t>
      </w:r>
    </w:p>
    <w:p>
      <w:pPr>
        <w:pStyle w:val="BookText"/>
        <w:rPr/>
      </w:pPr>
      <w:r>
        <w:rPr>
          <w:rFonts w:ascii="IRNazanin" w:hAnsi="IRNazanin" w:eastAsia="IRNazanin"/>
          <w:color w:val="111111"/>
          <w:sz w:val="28"/>
          <w:sz w:val="28"/>
          <w:szCs w:val="28"/>
          <w:rtl w:val="true"/>
          <w:lang w:bidi="fa-IR"/>
        </w:rPr>
        <w:t>ارتماس</w:t>
      </w:r>
      <w:r>
        <w:rPr>
          <w:rStyle w:val="FootnoteAnchor"/>
          <w:rtl w:val="true"/>
        </w:rPr>
        <w:footnoteReference w:id="5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قیاس را پیشه خود سازد همواره در اشتباه خواهد بود و هر که در دین خدا اعمال رأی کند همواره در ابهام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چهارم، حضرت سجاد علیه‌السلام درباره قیاس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دین اللّه لایصاب بالعقول الناقصة و الآراء الباطلة و المقائیس الفاسدة و لایصاب الاّ بالتسلیم فمن سلّم لنا سَلِم و من اهتدی بنا هُدی و من دان بالقیاس و الرأی هلک</w:t>
      </w:r>
      <w:r>
        <w:rPr>
          <w:rStyle w:val="FootnoteAnchor"/>
          <w:rtl w:val="true"/>
        </w:rPr>
        <w:footnoteReference w:id="5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دین خدا با عقلهای ناقص و آرا و نظریات باطل و قیاسهای فاسد قابل درک نیست، دین خدا دریافت نمی‌شود، مگر با تسلیم شدن در برابر آن پس هر که در برابر ما تسلیم باشد به سلامت نایل شود و هر که از ما هدایت خواهد به هدایت راه یابد و هر که با قیاس و رأی دینداری کند، هلاک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بحثها و مناظرات امام صادق علیه‌السلام با ابو حنیفه معروف است، نمونه‌های زیادی از این مناظرات در کتبی مانند احتجاج طبرسی، محاسن برقی، اصول کافی و وسائل الشّیعه</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وسائل الشیعه به نقل از احتجاج طبرسی حدیث مفصّلی را درباره احتجاج امام</w:t>
      </w:r>
    </w:p>
    <w:p>
      <w:pPr>
        <w:pStyle w:val="BookText"/>
        <w:rPr/>
      </w:pPr>
      <w:r>
        <w:rPr>
          <w:rFonts w:ascii="IRNazanin" w:hAnsi="IRNazanin" w:eastAsia="IRNazanin"/>
          <w:color w:val="111111"/>
          <w:sz w:val="28"/>
          <w:sz w:val="28"/>
          <w:szCs w:val="28"/>
          <w:rtl w:val="true"/>
          <w:lang w:bidi="fa-IR"/>
        </w:rPr>
        <w:t>صادق علیه‌السلام با ابوحنیفه آورده است که به لحاظ رعایت اختصار به ترجمه حدیث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مقام احتجاج بر ابطال قیاس به ابوحنیفه فرمود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آیا گناه قتل نزد خداوند بزرگتر است، یا زنا؟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که خداوند در مورد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شاهد اکتفا کرده و رضایت داده است، ولی در مورد زنا جز به چهار شاهد رضایت نمی‌دهد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افضل است، یا روزه؟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قیاس تو، زن باید نمازهایی را که در حال حیض از او فوت شده قضا نماید، نه روزه‌هایی را که در آن حال از او فوت شده و حال آن که خداوند قضای روزه را بر وی واجب کرده نه قضای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بول بیشتر است، یا 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w:t>
      </w:r>
      <w:bookmarkStart w:id="461" w:name="pg4331_49277"/>
    </w:p>
    <w:p>
      <w:pPr>
        <w:pStyle w:val="BookText"/>
        <w:rPr/>
      </w:pPr>
      <w:bookmarkEnd w:id="461"/>
      <w:r>
        <w:rPr>
          <w:rFonts w:ascii="IRNazanin" w:hAnsi="IRNazanin" w:eastAsia="IRNazanin"/>
          <w:color w:val="111111"/>
          <w:sz w:val="28"/>
          <w:sz w:val="28"/>
          <w:szCs w:val="28"/>
          <w:rtl w:val="true"/>
          <w:lang w:bidi="fa-IR"/>
        </w:rPr>
        <w:t xml:space="preserve">نجس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قیاس تو، باید برای بول کردن، غسل واجب باشد، نه برای منی و حال آن که خداوند غسل را برای خروج منی واجب فرموده است، نه برای 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گمان می‌کنی که بر اساس کتاب خدا فتوا می‌دهی و حال آن که خداوند تو را از وارثان قرآن قرار نداده است و تو می‌پنداری که صاحب رأی و نظر هستی و حال آن که رأی و نظر پیامبر صواب و مطابق واقع است و رأی نظر دیگران خطا و نادرست است زیرا خدای تعالی به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فاحکم بینهم بما أراک اللّه </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در میان مردم</w:t>
      </w:r>
    </w:p>
    <w:p>
      <w:pPr>
        <w:pStyle w:val="BookText"/>
        <w:rPr/>
      </w:pPr>
      <w:r>
        <w:rPr>
          <w:rFonts w:ascii="IRNazanin" w:hAnsi="IRNazanin" w:eastAsia="IRNazanin"/>
          <w:color w:val="111111"/>
          <w:sz w:val="28"/>
          <w:sz w:val="28"/>
          <w:szCs w:val="28"/>
          <w:rtl w:val="true"/>
          <w:lang w:bidi="fa-IR"/>
        </w:rPr>
        <w:t>براساس آنچه خداوند به تو نمایانده حکم کن و این سخن را خداوند به غیر پیامبر نفرموده است</w:t>
      </w:r>
      <w:r>
        <w:rPr>
          <w:rFonts w:eastAsia="IRNazanin" w:cs="IRNazanin"/>
          <w:color w:val="111111"/>
          <w:sz w:val="28"/>
          <w:szCs w:val="28"/>
          <w:rtl w:val="true"/>
          <w:lang w:bidi="fa-IR"/>
        </w:rPr>
        <w:t>.</w:t>
      </w:r>
    </w:p>
    <w:p>
      <w:pPr>
        <w:pStyle w:val="Heading4"/>
        <w:numPr>
          <w:ilvl w:val="3"/>
          <w:numId w:val="1"/>
        </w:numPr>
        <w:rPr/>
      </w:pPr>
      <w:bookmarkStart w:id="462" w:name="__RefHeading___Toc1014927_1479056682"/>
      <w:bookmarkStart w:id="463" w:name="_Toc168"/>
      <w:bookmarkEnd w:id="462"/>
      <w:r>
        <w:rPr>
          <w:rtl w:val="true"/>
        </w:rPr>
        <w:t>نتیجه بحث</w:t>
      </w:r>
      <w:bookmarkEnd w:id="463"/>
    </w:p>
    <w:p>
      <w:pPr>
        <w:pStyle w:val="BookText"/>
        <w:rPr/>
      </w:pPr>
      <w:r>
        <w:rPr>
          <w:rFonts w:ascii="IRNazanin" w:hAnsi="IRNazanin" w:eastAsia="IRNazanin"/>
          <w:color w:val="111111"/>
          <w:sz w:val="28"/>
          <w:sz w:val="28"/>
          <w:szCs w:val="28"/>
          <w:rtl w:val="true"/>
          <w:lang w:bidi="fa-IR"/>
        </w:rPr>
        <w:t>بنابر آنچه گذشت، از نظر علمای امامیّه و مخالفان قیاس، قیاس هیچ گونه ارزش و اعتباری در استنباط احکام ندارد و ظن حاصل از آن مشمول عموماتی است که عمل به ظن را تحریم می‌کند و دلیل قطعی بر حرمت عمل به قیاس روایاتی است که نمونه‌هایی از آنها ذکر شد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ولی همان طور که قبلاً بیان شد گروهی از علمای اهل سنت، مانند حنفیان و دیگران که قیاس را به عنوان مصدر و مبنای حکم شرعی پذیرفته‌اند و برای حجّیّت و اعتبار آن از کتاب و سنّت و اجماع و دلیل عقل ادله‌ای اقامه کرده‌اند که از نظر مخالفان قیاس این ادلّه ناتمام و مردود است و به خاطر پرهیز از اطاله بحث، از ذکر ادلّه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و پاسخ به آن صرف نظر می‌شود و فقط به نحو اشاره می‌گوییم که سرخسی در اصول خود می‌گوید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جمهور علما دلایلی از کتاب و سنّت و عقل را بر اعتبار و حجّیّت قیاس ذکر کرده‌اند، مثلاً از قرآن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أولی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ذلک لعبرة لأولی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للرؤیا تعبرون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این جانب این آیات هیچ ربطی به قیاس ندارد و از سنّت جریان ارسال معاذ به یمن از سوی </w:t>
      </w:r>
      <w:bookmarkStart w:id="464" w:name="pg4331_49279"/>
    </w:p>
    <w:p>
      <w:pPr>
        <w:pStyle w:val="BookText"/>
        <w:rPr/>
      </w:pPr>
      <w:bookmarkEnd w:id="464"/>
      <w:r>
        <w:rPr>
          <w:rFonts w:ascii="IRNazanin" w:hAnsi="IRNazanin" w:eastAsia="IRNazanin"/>
          <w:color w:val="111111"/>
          <w:sz w:val="28"/>
          <w:sz w:val="28"/>
          <w:szCs w:val="28"/>
          <w:rtl w:val="true"/>
          <w:lang w:bidi="fa-IR"/>
        </w:rPr>
        <w:t xml:space="preserve">پیامبر صلی‌الله‌علیه‌و‌آله و پاسخ او به سؤال پیامبر صلی‌الله‌علیه‌و‌آله در مورد کیفیّت صدور حکم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مشاورت آن حضرت به اصحاب خود درامور جنگ را به عنوان دلیل بر قیاس ذکر می‌کند که به نظر نگارنده چندان ارتباطی به قیاس ندارد</w:t>
      </w:r>
      <w:r>
        <w:rPr>
          <w:rFonts w:eastAsia="IRNazanin" w:cs="IRNazanin"/>
          <w:color w:val="111111"/>
          <w:sz w:val="28"/>
          <w:szCs w:val="28"/>
          <w:rtl w:val="true"/>
          <w:lang w:bidi="fa-IR"/>
        </w:rPr>
        <w:t>.</w:t>
      </w:r>
    </w:p>
    <w:p>
      <w:pPr>
        <w:pStyle w:val="Heading3"/>
        <w:numPr>
          <w:ilvl w:val="2"/>
          <w:numId w:val="1"/>
        </w:numPr>
        <w:rPr/>
      </w:pPr>
      <w:bookmarkStart w:id="465" w:name="__RefHeading___Toc1014929_1479056682"/>
      <w:bookmarkStart w:id="466" w:name="_Toc169"/>
      <w:bookmarkEnd w:id="465"/>
      <w:r>
        <w:rPr>
          <w:rtl w:val="true"/>
        </w:rPr>
        <w:t>استحسان</w:t>
      </w:r>
      <w:bookmarkEnd w:id="466"/>
    </w:p>
    <w:p>
      <w:pPr>
        <w:pStyle w:val="Heading4"/>
        <w:numPr>
          <w:ilvl w:val="3"/>
          <w:numId w:val="1"/>
        </w:numPr>
        <w:rPr/>
      </w:pPr>
      <w:bookmarkStart w:id="467" w:name="__RefHeading___Toc1014931_1479056682"/>
      <w:bookmarkStart w:id="468" w:name="_Toc170"/>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ادلّه و منابع احکام نزد علمای اهل سنت، استحسان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مباحث ادلّه احکام اغلب همراه واژه قیاس و پس از آن ذکر می‌شود، گویی این کلمه در مقابل قیاس بوده و یا این که خود نوعی قیاس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بسیاری از فقهای اهل سنّت استحسان را یکی از منابع استنباط حکم شرعی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استحسان در کلام فقهای حنفیه بسیار آمده و اغلب اوقات آن را در مقابل قیاس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مسأله، قیاس مقتضی حظر است و استحسان مقتضی اباحه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حنفیان استحسان را دلیل شرعی می‌دانند و گاهی آن را بر ادلّه دیگر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منابع فقهی حنفی نظری اجمالی بیفکند، خواهد دید که در این منابع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فراوان همراه یکدیگر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این مسأله فلان است، ولی ما چنین استحسان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مسأله استحسان چنین حکم می‌کند، ولی قیاس خلاف آن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تعبیراتی مانند اینها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حجّیّت و اعتبار استحسان بعدا به تفصیل بحث خواهیم کرد، ولی در این مقدمه اجمالاً می‌گوییم استحسان در منابع فقهی اهل سنّت از منابع ظنّی و از مظاهر رأی</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یکی از مقدمات مذکور در آغاز این کتاب گفتیم برادران اهل سنّت به خاطر عدم پذیرش احادیث اهل بیت علیهم‌السلام به عنوان ادامه سنّت پیامبر صلی‌الله‌علیه‌و‌آله از نظر منابع فقهی دچار مضیقه شده و به اجتهاد به رأی متوسّل شده‌اند که قیاس و استحسان و مصالح مرسله همه از مظاهر رأی می‌باشند، در بحث گذشته درباره یکی از ادلّه ظنی و </w:t>
      </w:r>
      <w:bookmarkStart w:id="469" w:name="pg4331_49281"/>
    </w:p>
    <w:p>
      <w:pPr>
        <w:pStyle w:val="BookText"/>
        <w:rPr/>
      </w:pPr>
      <w:bookmarkEnd w:id="469"/>
      <w:r>
        <w:rPr>
          <w:rFonts w:ascii="IRNazanin" w:hAnsi="IRNazanin" w:eastAsia="IRNazanin"/>
          <w:color w:val="111111"/>
          <w:sz w:val="28"/>
          <w:sz w:val="28"/>
          <w:szCs w:val="28"/>
          <w:rtl w:val="true"/>
          <w:lang w:bidi="fa-IR"/>
        </w:rPr>
        <w:t>مظاهر رأی، یعنی قیاس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سراغ یکی دیگر از این منابع ظنی یعنی استحسان می‌رویم</w:t>
      </w:r>
      <w:r>
        <w:rPr>
          <w:rFonts w:eastAsia="IRNazanin" w:cs="IRNazanin"/>
          <w:color w:val="111111"/>
          <w:sz w:val="28"/>
          <w:szCs w:val="28"/>
          <w:rtl w:val="true"/>
          <w:lang w:bidi="fa-IR"/>
        </w:rPr>
        <w:t>.</w:t>
      </w:r>
    </w:p>
    <w:p>
      <w:pPr>
        <w:pStyle w:val="Heading4"/>
        <w:numPr>
          <w:ilvl w:val="3"/>
          <w:numId w:val="1"/>
        </w:numPr>
        <w:rPr/>
      </w:pPr>
      <w:bookmarkStart w:id="470" w:name="__RefHeading___Toc1014933_1479056682"/>
      <w:bookmarkStart w:id="471" w:name="_Toc171"/>
      <w:bookmarkEnd w:id="470"/>
      <w:r>
        <w:rPr>
          <w:rtl w:val="true"/>
        </w:rPr>
        <w:t>تعریف استحسان</w:t>
      </w:r>
      <w:bookmarkEnd w:id="471"/>
    </w:p>
    <w:p>
      <w:pPr>
        <w:pStyle w:val="BookText"/>
        <w:rPr/>
      </w:pPr>
      <w:r>
        <w:rPr>
          <w:rFonts w:ascii="IRNazanin" w:hAnsi="IRNazanin" w:eastAsia="IRNazanin"/>
          <w:color w:val="111111"/>
          <w:sz w:val="28"/>
          <w:sz w:val="28"/>
          <w:szCs w:val="28"/>
          <w:rtl w:val="true"/>
          <w:lang w:bidi="fa-IR"/>
        </w:rPr>
        <w:t xml:space="preserve">از نظر لغوی، استحسان مصدر باب استفعال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نیکو دانستن و پسندیدن می‌باشد و شامل امور معنوی و امور حسی هر دو می‌شود و از نظر اصطلاح اصولی، طرفداران و قایلین به استحسان در تفسیر و تعریف استحسان اختلاف نظر دارند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و آن را به صورتهای بسیار متعدّد و متفاوت تعریف کرده‌اند، اکثر این تعاریف به محسنات بدیعیّه ادبا بیشتر شبیه است، تا به تعریف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الأصول العامّة للفقه المقارن به نقل از مبسوط سرخسی چند نمونه از این گونه</w:t>
      </w:r>
    </w:p>
    <w:p>
      <w:pPr>
        <w:pStyle w:val="BookText"/>
        <w:rPr/>
      </w:pPr>
      <w:r>
        <w:rPr>
          <w:rFonts w:ascii="IRNazanin" w:hAnsi="IRNazanin" w:eastAsia="IRNazanin"/>
          <w:color w:val="111111"/>
          <w:sz w:val="28"/>
          <w:sz w:val="28"/>
          <w:szCs w:val="28"/>
          <w:rtl w:val="true"/>
          <w:lang w:bidi="fa-IR"/>
        </w:rPr>
        <w:t>تعاریف را آورده است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الاستحسان ترک القیاس و الأخذ بماهو اوفق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استحسان عبارت است از ترک قیاس و روی آوردن به دلیلی که به حال مردم موافقتر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الاستحسان طلب السهولة فی الأحکام فیما یبتلی به الخاصّ و العامّ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استحسان عبارت است از طلب سهولت و آسانی در احکامی که مورد ابتلای خاصّ و عامّ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الاستحسان الأخذ بالسعة و ابتغاء الدعة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استحسان یعنی برگزیدن وسعت و فراخی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جستجوی آرامش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الاستحسان الأخذ بالسماحة و انتقاء ما فیه الراحة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استحسان یعنی برگزیدن سماحت و گذشت و گرفتن چیزی که در آن راحتّی و آسایش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می‌شود تعاریف و تعابیر مذکور جز محسنات لفظی و عبارت پردازی چیزی نیست و هیچ یک از آنها شکل منطقی ندارد و تصویر روشنی از استحسان را ترسیم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دیگری که تا اندازه‌ای مفهوم معینی از استحسان را ارائه </w:t>
      </w:r>
    </w:p>
    <w:p>
      <w:pPr>
        <w:pStyle w:val="BookText"/>
        <w:rPr/>
      </w:pPr>
      <w:r>
        <w:rPr>
          <w:rFonts w:ascii="IRNazanin" w:hAnsi="IRNazanin" w:eastAsia="IRNazanin"/>
          <w:color w:val="111111"/>
          <w:sz w:val="28"/>
          <w:sz w:val="28"/>
          <w:szCs w:val="28"/>
          <w:rtl w:val="true"/>
          <w:lang w:bidi="fa-IR"/>
        </w:rPr>
        <w:t>می‌دهد، در کلام عده‌ای از علمای اهل سنّت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حنفی، در تعریف استحسان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عبارت است از عدول کردن از قیاسی به قیاسی قویتر از آن، یا این که عبارت است از تخصیص دادن قیاس به دلیلی که از آن قویتر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خضری در کتابش، اصول الفقه، از قول شمس الائمه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در حقیقت دو قیاس است، یکی جلی و آشکار است، ولی اثرش ضعیف می‌باشد و آن را قیاس نامیده‌اند و دیگری قیاسی خفی و پنهان است، ولی اثرش قوی است، که استحسان یعنی قیاسِ مستحسن نامیده شده 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شاطبی از علمای مالکیه در الموافقات به نقل از احکام القرآن ابن العربی</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از نظر ما و از نظر حنفیه عبارت است از عمل کردن بر طبق دلیل قوی 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قدامه برای استحسان سه تعریف ذکر می‌کند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العدول بحکم المسألة عن نظائرها لدلیل شرعی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عبارت است از این که حکم مسأله‌ای را از دلیل شرعی خاصی به دست آوریم و به خاطر همین دلیل از حکم نظائر آن عدول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حکم مسأله را از همان دلیل شرعی خاصّ به دست آوریم، نه از راه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الاستحسان ما یستحسنه المجتهد بعقله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استحسان عبارت است از دلیلی که مجتهد با عقل خود آن را می‌پسندند و نیکو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دلیل ینقدح فی نفس المجتهد لایقدر علی التعبیر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عبارت است از دلیلی که در ذهن مجتهد و در نفس او پدید آید، ولی از تعبیر آن عاجز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یدرک و لایوصف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غزّالی نیز در المستصفی تعریف اخیر را ذکر و بر آن اشکال می‌کند، ابتدا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دوم برای استحسان آن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استحسان دلیلی</w:t>
      </w:r>
    </w:p>
    <w:p>
      <w:pPr>
        <w:pStyle w:val="BookText"/>
        <w:rPr/>
      </w:pPr>
      <w:r>
        <w:rPr>
          <w:rFonts w:ascii="IRNazanin" w:hAnsi="IRNazanin" w:eastAsia="IRNazanin"/>
          <w:color w:val="111111"/>
          <w:sz w:val="28"/>
          <w:sz w:val="28"/>
          <w:szCs w:val="28"/>
          <w:rtl w:val="true"/>
          <w:lang w:bidi="fa-IR"/>
        </w:rPr>
        <w:t>است که در نفس مجتهد ظاهر می‌شود و عبارت و کلام برای بیان، او را مساعدت نمی‌کند و بر ابراز و اظهار آن قادر نمی‌باشد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وی سپس در مقام اشکال بر این تعریف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خلط کردن حق به باطل است، زیرا آنچه را قادر بر تعبیر از آن نیست، نمی‌داند وهم و خیال است یا تحقیق و چاره‌ای از ظهور و بیان آن نیست تا برای صحت و سقمش با ادلّه شرعی اعتبار و سنجش گردد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یعنی مجتهد باید آن دلیل ذهنی خود را به لفظ درآورد و بیان کند تا با ادلّه شرعی مقایسه و صحّت و سقم آن معلوم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از تمام تعاریف مذکور بهتر و گسترده‌تر تعریف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الاستحسان هو قطع المسألة عن نظائرها و العدول بالمسألة عن حکم نظائرها الی حکم آخر لوجه اقوی یقتضی هذا العدول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عبارت است از بریدن و جدا کردن مسأله‌ای از نظایرش و عدول کردن از حکم نظائرش به حکم دیگری به خاطر وجهی قوی تر که مقتضی این عدول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را ابوالحسن کرخی، از ائمه مذهب حنفی برگزیده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مفهوم این تعریف چنین است که استحسان درست عکس قیاس است، یعنی قیاس سبب می‌شود که مسأله غیر منصوصی را به خاطر شباهتهایی که با منصوص دارد به آن ملحق کنیم، ولی استحسان سبب می‌شود که مسأله‌ای را از مسائل نظیر و مشابهش به خاطر ویژگیهایی که دارد جدا سازیم و از قیاس در مورد آن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روشنی که برای آن ذکر کرده‌اند، در بحث عدم ضمان امین در باب ودیعه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می‌پذیرد، چنانچه در حفظ آن تعدی و تفریط نکند و بر اثر حوادثی از بین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برود، ضامن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منصوص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امور دیگری را که شبیه به ودیعه </w:t>
      </w:r>
      <w:bookmarkStart w:id="472" w:name="pg4331_49287"/>
    </w:p>
    <w:p>
      <w:pPr>
        <w:pStyle w:val="BookText"/>
        <w:rPr/>
      </w:pPr>
      <w:bookmarkEnd w:id="472"/>
      <w:r>
        <w:rPr>
          <w:rFonts w:ascii="IRNazanin" w:hAnsi="IRNazanin" w:eastAsia="IRNazanin"/>
          <w:color w:val="111111"/>
          <w:sz w:val="28"/>
          <w:sz w:val="28"/>
          <w:szCs w:val="28"/>
          <w:rtl w:val="true"/>
          <w:lang w:bidi="fa-IR"/>
        </w:rPr>
        <w:t>بوده به آن قیاس کرده‌اند، مثلاً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مورد اجاره و همچنین مال شرکت که در اختیار مستأجر یا یکی از شرکا است، در صورتی که تعدی و تفریطی در آن رخ ندهد ضمان ندارد، یعنی اگر بر اثر حوادث غیر مترقبه‌ای مانند سرقت، آتش سوزی یا زلزله تلف شود، ضامن نمی‌باشد و برای این الحاق از قیاس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میان</w:t>
      </w:r>
    </w:p>
    <w:p>
      <w:pPr>
        <w:pStyle w:val="BookText"/>
        <w:rPr/>
      </w:pPr>
      <w:r>
        <w:rPr>
          <w:rFonts w:ascii="IRNazanin" w:hAnsi="IRNazanin" w:eastAsia="IRNazanin"/>
          <w:color w:val="111111"/>
          <w:sz w:val="28"/>
          <w:sz w:val="28"/>
          <w:szCs w:val="28"/>
          <w:rtl w:val="true"/>
          <w:lang w:bidi="fa-IR"/>
        </w:rPr>
        <w:t>بین اجیر خاص، مانند خادم شخصی، و اجیر عامّ مانند تمام ارباب حرف و صاحبان صنایع و خدمات مورد نیاز مردم، فرق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روشنتر؛ هرگاه انسان اموالی را به وکیل یا خادم خود بسپارد و بدون تعدی و تفریط از بین برود ضامن نمی‌باشد، اما اگر لباس خود را به خیاط و اتومبیل را به تعمیرکار</w:t>
      </w:r>
    </w:p>
    <w:p>
      <w:pPr>
        <w:pStyle w:val="BookText"/>
        <w:rPr/>
      </w:pPr>
      <w:r>
        <w:rPr>
          <w:rFonts w:ascii="IRNazanin" w:hAnsi="IRNazanin" w:eastAsia="IRNazanin"/>
          <w:color w:val="111111"/>
          <w:sz w:val="28"/>
          <w:sz w:val="28"/>
          <w:szCs w:val="28"/>
          <w:rtl w:val="true"/>
          <w:lang w:bidi="fa-IR"/>
        </w:rPr>
        <w:t>و پارچه را به رنگرز بسپارد، هرگاه تلف شود، ضامن می‌باشند، هر چند که تعدی و تفریطی از این ارباب حرف سر نزده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جدایی را استحسان ذکر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قیاس را در این گونه موارد تعمیم دهیم، اموال مردم به خطر می‌افتد، زیرا صاحبان حرفه‌ها برای جلب منافع و درآمد بیشتر بیش از استعداد و توانایی خود اموال مردم را می‌پذیرند و از عهده</w:t>
      </w:r>
    </w:p>
    <w:p>
      <w:pPr>
        <w:pStyle w:val="BookText"/>
        <w:rPr/>
      </w:pPr>
      <w:r>
        <w:rPr>
          <w:rFonts w:ascii="IRNazanin" w:hAnsi="IRNazanin" w:eastAsia="IRNazanin"/>
          <w:color w:val="111111"/>
          <w:sz w:val="28"/>
          <w:sz w:val="28"/>
          <w:szCs w:val="28"/>
          <w:rtl w:val="true"/>
          <w:lang w:bidi="fa-IR"/>
        </w:rPr>
        <w:t>خدمات لازم و دقت در عمل، یا حفظ کافی آن بر نمی‌آیند و اموال مردم به خطر می‌افتد،</w:t>
      </w:r>
    </w:p>
    <w:p>
      <w:pPr>
        <w:pStyle w:val="BookText"/>
        <w:rPr/>
      </w:pPr>
      <w:r>
        <w:rPr>
          <w:rFonts w:ascii="IRNazanin" w:hAnsi="IRNazanin" w:eastAsia="IRNazanin"/>
          <w:color w:val="111111"/>
          <w:sz w:val="28"/>
          <w:sz w:val="28"/>
          <w:szCs w:val="28"/>
          <w:rtl w:val="true"/>
          <w:lang w:bidi="fa-IR"/>
        </w:rPr>
        <w:t>پس بهتر این است که در این مورد خاصّ قیاس را کنار بگذاریم و حکم به ضامن بودن آنها کنیم تا اموال مردم حفظ شود</w:t>
      </w:r>
      <w:r>
        <w:rPr>
          <w:rFonts w:eastAsia="IRNazanin" w:cs="IRNazanin"/>
          <w:color w:val="111111"/>
          <w:sz w:val="28"/>
          <w:szCs w:val="28"/>
          <w:rtl w:val="true"/>
          <w:lang w:bidi="fa-IR"/>
        </w:rPr>
        <w:t>.</w:t>
      </w:r>
    </w:p>
    <w:p>
      <w:pPr>
        <w:pStyle w:val="Heading4"/>
        <w:numPr>
          <w:ilvl w:val="3"/>
          <w:numId w:val="1"/>
        </w:numPr>
        <w:rPr/>
      </w:pPr>
      <w:bookmarkStart w:id="473" w:name="__RefHeading___Toc1014935_1479056682"/>
      <w:bookmarkStart w:id="474" w:name="_Toc172"/>
      <w:bookmarkEnd w:id="473"/>
      <w:r>
        <w:rPr>
          <w:rtl w:val="true"/>
        </w:rPr>
        <w:t>نقد و بررسی تعاریف استحسان</w:t>
      </w:r>
      <w:bookmarkEnd w:id="474"/>
    </w:p>
    <w:p>
      <w:pPr>
        <w:pStyle w:val="BookText"/>
        <w:rPr/>
      </w:pPr>
      <w:r>
        <w:rPr>
          <w:rFonts w:ascii="IRNazanin" w:hAnsi="IRNazanin" w:eastAsia="IRNazanin"/>
          <w:color w:val="111111"/>
          <w:sz w:val="28"/>
          <w:sz w:val="28"/>
          <w:szCs w:val="28"/>
          <w:rtl w:val="true"/>
          <w:lang w:bidi="fa-IR"/>
        </w:rPr>
        <w:t xml:space="preserve">آنچه در بادی امر به نظر می‌رسد، آن است که هیچ یک از تعاریف مذکور طوری نیست که بتواند استحسان را دلیل مستقلی بر احکام شرعی قرار دهد، زیرا بعضی از این تعاریف به کتاب و سنّت بازگشت می‌کند و بعضی از آنها استحسان را در عداد قیاس و برخی آن را در ردیف حکم عقل و برخی آن را در 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تعریفی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العمل باقوی الدلیلین این تعبیر کلام عامی است که شامل</w:t>
      </w:r>
    </w:p>
    <w:p>
      <w:pPr>
        <w:pStyle w:val="BookText"/>
        <w:rPr/>
      </w:pPr>
      <w:r>
        <w:rPr>
          <w:rFonts w:ascii="IRNazanin" w:hAnsi="IRNazanin" w:eastAsia="IRNazanin"/>
          <w:color w:val="111111"/>
          <w:sz w:val="28"/>
          <w:sz w:val="28"/>
          <w:szCs w:val="28"/>
          <w:rtl w:val="true"/>
          <w:lang w:bidi="fa-IR"/>
        </w:rPr>
        <w:t>مواردی می‌شود که هر دو دلیل لفظی و یا هر دو عقلی و یا یکی لفظی و دیگری عقلی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 که تعاریف استحسان جدّا متعدد و مختلف است و پیدا کردن قدر جامع </w:t>
      </w:r>
      <w:bookmarkStart w:id="475" w:name="pg4331_49289"/>
    </w:p>
    <w:p>
      <w:pPr>
        <w:pStyle w:val="BookText"/>
        <w:rPr/>
      </w:pPr>
      <w:bookmarkEnd w:id="475"/>
      <w:r>
        <w:rPr>
          <w:rFonts w:ascii="IRNazanin" w:hAnsi="IRNazanin" w:eastAsia="IRNazanin"/>
          <w:color w:val="111111"/>
          <w:sz w:val="28"/>
          <w:sz w:val="28"/>
          <w:szCs w:val="28"/>
          <w:rtl w:val="true"/>
          <w:lang w:bidi="fa-IR"/>
        </w:rPr>
        <w:t>برای آنها مشکل و تقریبا ناممکن است، چه این که بعضی از آنها مربوط به اختلاف ادلّه لفظی با یکدیگر است و منشأ اختلاف در ادلّه لفظی گاهی از باب تزاحم و گاهی از باب تعارض است، که فعلاً مجال بحث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تعاریف، آن را با عرف مرتبط می‌سازد و برخی دیگر آن را به حالات شخصی و نفسانی مجتهد مرتبط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شاطبی در کتاب الاعتصام در ردّ تعریفی که استحسان را میل شخصی و حالت نفسانی مجتهد می‌داند، عمل صحابه را ملاک قرار داده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که صحابه در حوادثی که نصی در مورد آنها نبود، در استنباط حکم این وقایع منحصرا آنها را بازگشت می‌دادند به آنچه از اصول و ادلّه ثابته فهمیده بودند و هیچ یک از آنها نمی‌گفت من در این مسأله چنین حکم کردم، چون طبع من مایل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چون آن حکم موافق میل و رضای من بود و اگر چنین می‌گفت به شدت مورد انکار واقع می‌شد و به او گفته می‌شد از کجا حق داری که به محض میل نفسانی و هوی و هوس دل خود بر بندگان خدا حکم صادر کنی و این قطعا باطل است</w:t>
      </w:r>
      <w:r>
        <w:rPr>
          <w:rFonts w:eastAsia="IRNazanin" w:cs="IRNazanin"/>
          <w:color w:val="111111"/>
          <w:sz w:val="28"/>
          <w:szCs w:val="28"/>
          <w:rtl w:val="true"/>
          <w:lang w:bidi="fa-IR"/>
        </w:rPr>
        <w:t>.»</w:t>
      </w:r>
      <w:r>
        <w:rPr>
          <w:rStyle w:val="FootnoteAnchor"/>
          <w:rtl w:val="true"/>
        </w:rPr>
        <w:footnoteReference w:id="533"/>
      </w:r>
    </w:p>
    <w:p>
      <w:pPr>
        <w:pStyle w:val="Heading4"/>
        <w:numPr>
          <w:ilvl w:val="3"/>
          <w:numId w:val="1"/>
        </w:numPr>
        <w:rPr/>
      </w:pPr>
      <w:bookmarkStart w:id="476" w:name="__RefHeading___Toc1014937_1479056682"/>
      <w:bookmarkStart w:id="477" w:name="_Toc173"/>
      <w:bookmarkEnd w:id="476"/>
      <w:r>
        <w:rPr>
          <w:rtl w:val="true"/>
        </w:rPr>
        <w:t>اقسام استحسان و امثله آن</w:t>
      </w:r>
      <w:bookmarkEnd w:id="477"/>
    </w:p>
    <w:p>
      <w:pPr>
        <w:pStyle w:val="BookText"/>
        <w:rPr/>
      </w:pPr>
      <w:r>
        <w:rPr>
          <w:rFonts w:ascii="IRNazanin" w:hAnsi="IRNazanin" w:eastAsia="IRNazanin"/>
          <w:color w:val="111111"/>
          <w:sz w:val="28"/>
          <w:sz w:val="28"/>
          <w:szCs w:val="28"/>
          <w:rtl w:val="true"/>
          <w:lang w:bidi="fa-IR"/>
        </w:rPr>
        <w:t>استحسان به اعتبار وجه و مستند آن دارای اقسامی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استحسان به قیاس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عدول کردن از قیاس جلی به قیاس خفی، به خاطر آن که علّت آن دقیقتر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وقف زمین زراعی، این وقف از یک جهت شبیه بیع است و با آن قیاس می‌شود، لذا حق شرب و مسیل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ارتفاقی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ملحق نمی‌شود، مگر با تصریح به هنگام وقف، چنان که در بیع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وقف از جهت دیگر شبیه اجاره است و با آن قیاس می‌شود و در اجاره به مجرد عقد اجاره، حقوق ارتفاقی به اجاره ملحق می‌شود، به خاطر این که استفاده از زمین بدون حقوق مزبور ممکن نیست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مثال قیاس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وقف به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قیاس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وقف به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دارد، به خاطر همان علتی که در اجاره ذکر شد، زیرا انتفاع از زمین زراعی موقوفه </w:t>
      </w:r>
    </w:p>
    <w:p>
      <w:pPr>
        <w:pStyle w:val="BookText"/>
        <w:rPr/>
      </w:pPr>
      <w:r>
        <w:rPr>
          <w:rFonts w:ascii="IRNazanin" w:hAnsi="IRNazanin" w:eastAsia="IRNazanin"/>
          <w:color w:val="111111"/>
          <w:sz w:val="28"/>
          <w:sz w:val="28"/>
          <w:szCs w:val="28"/>
          <w:rtl w:val="true"/>
          <w:lang w:bidi="fa-IR"/>
        </w:rPr>
        <w:t>جز با استیفای حقوق ارتفاقی امکان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استحسان به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عدول کردن از حکمی به حکم دیگر به خاطر نصی که مقتضی این عدول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بیع سلم به مقتضای قیاس باطل است، زیرا بیع معدوم است و مشمول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ولی مقتضای استحسان به نص، جواز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صلی‌الله‌علیه‌و‌آلهفرموده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أسلف فی شی‌ء فلیُسلف فی کیل معلوم و وزن معلوم إلی اجل معلوم</w:t>
      </w:r>
      <w:r>
        <w:rPr>
          <w:rStyle w:val="FootnoteAnchor"/>
          <w:rtl w:val="true"/>
        </w:rPr>
        <w:footnoteReference w:id="5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چیزی به سلف بفروشد، باید کیل و وزن و مدت آن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قبیل است حکم به بقاء صوم در صورت اکل و شرب ناسیا، زیرا به خاطر عدم امساک، قاعده مقتضی فساد صوم است ولی از باب استحسان به نص، حکم به بقای صوم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صلی‌الله‌علیه‌و‌آله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نسی و هو صائم فأکل أو شرب فلیتمّ صومه فانّما أطعمه اللّه و سقاه</w:t>
      </w:r>
      <w:r>
        <w:rPr>
          <w:rStyle w:val="FootnoteAnchor"/>
          <w:rtl w:val="true"/>
        </w:rPr>
        <w:footnoteReference w:id="5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فراموش کند که روزه است، پس بخورد و یا بیاشامد، باید روزه خود را تمام کند، زیرا خداوند او را اطعامّ</w:t>
      </w:r>
    </w:p>
    <w:p>
      <w:pPr>
        <w:pStyle w:val="BookText"/>
        <w:rPr/>
      </w:pPr>
      <w:r>
        <w:rPr>
          <w:rFonts w:ascii="IRNazanin" w:hAnsi="IRNazanin" w:eastAsia="IRNazanin"/>
          <w:color w:val="111111"/>
          <w:sz w:val="28"/>
          <w:sz w:val="28"/>
          <w:szCs w:val="28"/>
          <w:rtl w:val="true"/>
          <w:lang w:bidi="fa-IR"/>
        </w:rPr>
        <w:t>کرده و سقایت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استحسان به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مقتضای قاعده، بیع چیزی که در وقت عقد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باطل است، ولی به خاطر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استصناع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قاعده استثناء شده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استصناع بدین معنی است که مثلاً به کفاش سفارش دوختن کفش می‌دهد با ذکر خصوصیات و تعیین قیمت آن، در این جا مقتضای قیاس عدم جواز استصناع است، چون از قبیل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مالیس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شرعا از آن نهی شده، لکن به خاطر وجود اجماع، استحسان جواز این بیع را ایجاب می‌کند</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یا مانند حکم به صحت عقد بیعی که با غبن اندک همراه است، مقتضای قیاس بطلان این عقد است، اما به خاطر رفع حرج و به حکم ضرورت باید گفت صحت آن مستحسن است</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xml:space="preserve">و یا این که یکی از شرایط صحّت شهادت، اشتراط رؤیت و معاینه شاهد نسبت به مورد شهادت است، ولی در </w:t>
      </w:r>
    </w:p>
    <w:p>
      <w:pPr>
        <w:pStyle w:val="BookText"/>
        <w:rPr/>
      </w:pPr>
      <w:r>
        <w:rPr>
          <w:rFonts w:ascii="IRNazanin" w:hAnsi="IRNazanin" w:eastAsia="IRNazanin"/>
          <w:color w:val="111111"/>
          <w:sz w:val="28"/>
          <w:sz w:val="28"/>
          <w:szCs w:val="28"/>
          <w:rtl w:val="true"/>
          <w:lang w:bidi="fa-IR"/>
        </w:rPr>
        <w:t>اموری مانند نسب و موت و نکاح، شهادت به شنیدن و سماع هم جایز و مستحسن است، از باب ضرورت و رفع و حرج، زیرا اگر مردم مکلف شوند که مثلاً در مورد اثبات ولادت، شهودی را احضار کنند که بالمعاینه شاهد ولادت بوده‌اند، دچار مشقّت و حرج می‌شوند و چه بسا که در موقع ولادت شاهدی نباشد و یا این که شاهدان اصلی مرده باشند و یا در دسترس نباشند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استحسان به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جریان حکم عرف بر استثناء حکم مسأله‌ای از حکم قاعده‌ای کلی، مانند حکم به صحت وقف منقولاتی مثل کتب و ظروف، با آن که در شی‌ء موقوف، فرض آن است که آن شی‌ء دوام و استقرار دارد و در معرض ضرر و تلف نیست و یا مانند دخول حمام در مقابل مبلغ معین و حال آن که زمان ماندن در حمام و مقدار مصرف آب را معین نمی‌کنند با آن که دخول در حمام از انواع اجاره می‌باشد که باید اجرت و مقدار آب مصرفی و مدت ماندن در حمام معین باشد، در تمام این موارد عرف حکم به صحت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چند مسأله و فتوی براساس استحسان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یوسف موسی در کتاب تاریخ الفقه الاسلامی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قیل فیها بالاستحسان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مثالها و نمونه‌هایی از استحسان، حدود ده مسأله را به نقل از کتاب الاصل تألیف امام شیبانی ذکر می‌کند که در آنها قیاس مقتضی حکمی بوده، ولی</w:t>
      </w:r>
    </w:p>
    <w:p>
      <w:pPr>
        <w:pStyle w:val="BookText"/>
        <w:rPr/>
      </w:pPr>
      <w:r>
        <w:rPr>
          <w:rFonts w:ascii="IRNazanin" w:hAnsi="IRNazanin" w:eastAsia="IRNazanin"/>
          <w:color w:val="111111"/>
          <w:sz w:val="28"/>
          <w:sz w:val="28"/>
          <w:szCs w:val="28"/>
          <w:rtl w:val="true"/>
          <w:lang w:bidi="fa-IR"/>
        </w:rPr>
        <w:t>امام شیبانی از آن عدول کرده و بر اساس استحسان حکم دیگری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مورد از آنها عینا نقل می‌شود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کسی غذایی را بخرد، بنابر آن که در منزلش به او تحویل داده شود، این بیع فاسد است، جز آن که من در این مسأله یک حالت را نیکو و مستحسن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در شهر باشد آن را اجازه می‌دهم و اگر در خارج شهر باشد، بیع جایز نمی‌باشد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فروشنده بمیرد و ورثه او در مورد ثمن با مشتری اختلاف کنند، در این </w:t>
      </w:r>
      <w:bookmarkStart w:id="478" w:name="pg4331_49295"/>
    </w:p>
    <w:p>
      <w:pPr>
        <w:pStyle w:val="BookText"/>
        <w:rPr/>
      </w:pPr>
      <w:bookmarkEnd w:id="478"/>
      <w:r>
        <w:rPr>
          <w:rFonts w:ascii="IRNazanin" w:hAnsi="IRNazanin" w:eastAsia="IRNazanin"/>
          <w:color w:val="111111"/>
          <w:sz w:val="28"/>
          <w:sz w:val="28"/>
          <w:szCs w:val="28"/>
          <w:rtl w:val="true"/>
          <w:lang w:bidi="fa-IR"/>
        </w:rPr>
        <w:t xml:space="preserve">صورت حرف کسی پذیرفته است که مبیع در دست او باشد و همچنین است اگر مشتری بمیرد و فروشنده باقی بماند، قول کسی از آنها پذیرفته است که مبیع در دست او باشد و این قیاس نیست بلکه استحسان است و قیاس در این و در اولی آن است که در تمام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مشتری مقدّم باشد و همانا ما قول به قیاس را ترک کردیم به خاطر اثر و روایتی که در این مسأله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چیزی بخرد و برای پرداخت ثمن آن زمان نامعلومی قرار دهد، مانند وقت درو یا وقت چیدن خرما یا وقت پرداخت زکات، عقد باطل می‌باشد، به خاطر آن که مدت فاسد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مضبوط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مشتری می‌تواند مدت فاسد را ابطال کرده و ثمن را نقدا بپردازد، در این مسأله استحسان می‌کنم و قیاس را رها می‌سازم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مسیحی از مسیحی شراب بخرد و آن را قبض نکند تا زمانی که مشتری مسلمان شود، در این صورت بیعی بین آن دو نخواهد بود و همچنین است اگر بایع مسلمان شود و این استحسان است و قیاس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ذمة در تمام معاملات مانند مسلمانان می‌باشند، بجز در مورد شراب و خوک، امّا در مورد شراب و خوک من بیع آنها را در میان اهل ذمة اجازه می‌دهم، زیرا از نظر اهل ذمة شراب و خوک جزء اموال است، من در این مسأله استحسان می‌کنم و قیاس را وامی‌گذارم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اثر و خبری که در این مورد از عمر رسیده است</w:t>
      </w:r>
      <w:r>
        <w:rPr>
          <w:rFonts w:eastAsia="IRNazanin" w:cs="IRNazanin"/>
          <w:color w:val="111111"/>
          <w:sz w:val="28"/>
          <w:szCs w:val="28"/>
          <w:rtl w:val="true"/>
          <w:lang w:bidi="fa-IR"/>
        </w:rPr>
        <w:t>.</w:t>
      </w:r>
    </w:p>
    <w:p>
      <w:pPr>
        <w:pStyle w:val="Heading4"/>
        <w:numPr>
          <w:ilvl w:val="3"/>
          <w:numId w:val="1"/>
        </w:numPr>
        <w:rPr/>
      </w:pPr>
      <w:bookmarkStart w:id="479" w:name="__RefHeading___Toc1014939_1479056682"/>
      <w:bookmarkStart w:id="480" w:name="_Toc174"/>
      <w:bookmarkEnd w:id="479"/>
      <w:r>
        <w:rPr>
          <w:rtl w:val="true"/>
        </w:rPr>
        <w:t>ادلّه حجّیّت استحسان</w:t>
      </w:r>
      <w:bookmarkEnd w:id="480"/>
    </w:p>
    <w:p>
      <w:pPr>
        <w:pStyle w:val="BookText"/>
        <w:rPr/>
      </w:pPr>
      <w:r>
        <w:rPr>
          <w:rFonts w:ascii="IRNazanin" w:hAnsi="IRNazanin" w:eastAsia="IRNazanin"/>
          <w:color w:val="111111"/>
          <w:sz w:val="28"/>
          <w:sz w:val="28"/>
          <w:szCs w:val="28"/>
          <w:rtl w:val="true"/>
          <w:lang w:bidi="fa-IR"/>
        </w:rPr>
        <w:t>قایلین به استحسان برای اثبات حجّیّت آن به ادله‌ای از کتاب و سنّت و اجماع تمسک کرده‌اند</w:t>
      </w:r>
      <w:r>
        <w:rPr>
          <w:rFonts w:eastAsia="IRNazanin" w:cs="IRNazanin"/>
          <w:color w:val="111111"/>
          <w:sz w:val="28"/>
          <w:szCs w:val="28"/>
          <w:rtl w:val="true"/>
          <w:lang w:bidi="fa-IR"/>
        </w:rPr>
        <w:t>.</w:t>
      </w:r>
      <w:r>
        <w:rPr>
          <w:rStyle w:val="FootnoteAnchor"/>
          <w:rtl w:val="true"/>
        </w:rPr>
        <w:footnoteReference w:id="54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حجّیّت آن به تعدادی از آیات استدلال کرده‌اند، </w:t>
      </w:r>
    </w:p>
    <w:p>
      <w:pPr>
        <w:pStyle w:val="BookText"/>
        <w:rPr/>
      </w:pPr>
      <w:r>
        <w:rPr>
          <w:rFonts w:ascii="IRNazanin" w:hAnsi="IRNazanin" w:eastAsia="IRNazanin"/>
          <w:color w:val="111111"/>
          <w:sz w:val="28"/>
          <w:sz w:val="28"/>
          <w:szCs w:val="28"/>
          <w:rtl w:val="true"/>
          <w:lang w:bidi="fa-IR"/>
        </w:rPr>
        <w:t>که مهمترین آنها استدلال به دو آیه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فَبَشّرْ عِبادِ الّذینَ یَسْتَمِعُوَن الْقَوْلَ فَیَتَّبِعوُنَ أحْسَنَهُ</w:t>
      </w:r>
      <w:r>
        <w:rPr>
          <w:rFonts w:eastAsia="Amiri" w:cs="Amiri" w:ascii="Amiri" w:hAnsi="Amiri"/>
          <w:color w:val="111111"/>
          <w:sz w:val="28"/>
          <w:szCs w:val="28"/>
          <w:rtl w:val="true"/>
          <w:lang w:bidi="ar-SA"/>
        </w:rPr>
        <w:t>»</w:t>
      </w:r>
      <w:r>
        <w:rPr>
          <w:rStyle w:val="FootnoteAnchor"/>
          <w:rtl w:val="true"/>
        </w:rPr>
        <w:footnoteReference w:id="5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مرا بشارت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سخنان را می‌شنوند و از نیکوترین آنها پیروی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اتَّبِعوُا أحْسَنَ ما أُنْزِلَ اِلَیْکُمْ مِن ربِّکُمْ</w:t>
      </w:r>
      <w:r>
        <w:rPr>
          <w:rFonts w:eastAsia="Amiri" w:cs="Amiri" w:ascii="Amiri" w:hAnsi="Amiri"/>
          <w:color w:val="111111"/>
          <w:sz w:val="28"/>
          <w:szCs w:val="28"/>
          <w:rtl w:val="true"/>
          <w:lang w:bidi="ar-SA"/>
        </w:rPr>
        <w:t>»</w:t>
      </w:r>
      <w:r>
        <w:rPr>
          <w:rStyle w:val="FootnoteAnchor"/>
          <w:rtl w:val="true"/>
        </w:rPr>
        <w:footnoteReference w:id="5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نیکوترین دستوراتی که از طرف پروردگارتان نازل شده است،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تقریب استدلال این است که خداوند در آیه اوّل به خاطر اتّباع نیکوترین گفتار، بندگان را مدح فرموده است و در آیه دوم بندگان را الزام به پیروی از نیکوترین</w:t>
      </w:r>
    </w:p>
    <w:p>
      <w:pPr>
        <w:pStyle w:val="BookText"/>
        <w:rPr/>
      </w:pPr>
      <w:r>
        <w:rPr>
          <w:rFonts w:ascii="IRNazanin" w:hAnsi="IRNazanin" w:eastAsia="IRNazanin"/>
          <w:color w:val="111111"/>
          <w:sz w:val="28"/>
          <w:sz w:val="28"/>
          <w:szCs w:val="28"/>
          <w:rtl w:val="true"/>
          <w:lang w:bidi="fa-IR"/>
        </w:rPr>
        <w:t>دستورات نازله از سوی پروردگار کرده است و مدح و الزام خود نشانه حجّیّت و اعتبار و</w:t>
      </w:r>
    </w:p>
    <w:p>
      <w:pPr>
        <w:pStyle w:val="BookText"/>
        <w:rPr/>
      </w:pPr>
      <w:r>
        <w:rPr>
          <w:rFonts w:ascii="IRNazanin" w:hAnsi="IRNazanin" w:eastAsia="IRNazanin"/>
          <w:color w:val="111111"/>
          <w:sz w:val="28"/>
          <w:sz w:val="28"/>
          <w:szCs w:val="28"/>
          <w:rtl w:val="true"/>
          <w:lang w:bidi="fa-IR"/>
        </w:rPr>
        <w:t>اهمّیّت اتّباع احسن است و اتّباع احسن یعنی پیروی از نیکوترین دلیل که همان استحسان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استدلال به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آیات از چند جهت قابل خدشه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در معنای لغوی آن استعمال شده و ربطی به آن معانی اصطلاحی متعددی که برای استحسان ذکر کرده‌اند،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 اصلاً باید گفت هیچ یک از دو آیه مذکور ارتباطی به جعل حجّیّت برای استحسان ندارد و برای بیان این جهت وارد نشده و لذا اگر فرضا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أحسن‌در آیات مذکور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فیتّبعون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بالاستحسان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بگذاریم، معنای درستی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 در مورد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إتبعوا أحسن ما انزل الیکم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مفسران احتمالات مختلفی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نازله از سوی خداوند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دعوت به واجبات و برخی دعوت به مستحبات و بعضی مشتمل بر اجازه مباحات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واجبات و مستحبات می‌باشد و بعضی دیگر گفته‌اند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 آسمانی و أحسن آنها قرآن است،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از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بهترین سخن تعبیر شده است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نَزّل أحسن الحدیث کتابا متشابها مثانی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منظور از </w:t>
      </w:r>
    </w:p>
    <w:p>
      <w:pPr>
        <w:pStyle w:val="BookText"/>
        <w:rPr/>
      </w:pPr>
      <w:r>
        <w:rPr>
          <w:rFonts w:ascii="IRNazanin" w:hAnsi="IRNazanin" w:eastAsia="IRNazanin"/>
          <w:color w:val="111111"/>
          <w:sz w:val="28"/>
          <w:sz w:val="28"/>
          <w:szCs w:val="28"/>
          <w:rtl w:val="true"/>
          <w:lang w:bidi="fa-IR"/>
        </w:rPr>
        <w:t xml:space="preserve">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آیات مذکور و آیات مشابه آنها هیچ گونه ارتباطی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استدلال به روایتی است که ابن مسعود آن را نقل کرده است و آن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رآه المسلمون حسنا فهو عند اللّه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w:t>
      </w:r>
    </w:p>
    <w:p>
      <w:pPr>
        <w:pStyle w:val="BookText"/>
        <w:rPr/>
      </w:pPr>
      <w:r>
        <w:rPr>
          <w:rFonts w:ascii="IRNazanin" w:hAnsi="IRNazanin" w:eastAsia="IRNazanin"/>
          <w:color w:val="111111"/>
          <w:sz w:val="28"/>
          <w:sz w:val="28"/>
          <w:szCs w:val="28"/>
          <w:rtl w:val="true"/>
          <w:lang w:bidi="fa-IR"/>
        </w:rPr>
        <w:t>مسلمانان نیکو شمارند، نزد خداوند نیز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روایت از چند جهت قابل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ابن مسعود، احدی از صحابه آن را از پیامبر صلی‌الله‌علیه‌و‌آله نقل نکرده است و بعضی احتمال داده‌اند که این روایت کلام خود ابن مسعود است نه حدیث مروی از پیامبر صلی‌الله‌علیه‌و‌آلهو با این احتمال از صلاحیت برای دلیلیّت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جا ذکر این نکته لازم است که در کتب معتبر اصولی اهل سنت، روایت فوق به همین صورت مذکور آمده است، چنان که غزالی در کتاب المستصفی من علم الاصول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الثانیة قوله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رآه المسلمون حسنا فهو عند اللّه حسنٌ</w:t>
      </w:r>
      <w:r>
        <w:rPr>
          <w:rStyle w:val="FootnoteAnchor"/>
          <w:rtl w:val="true"/>
        </w:rPr>
        <w:footnoteReference w:id="543"/>
      </w:r>
      <w:r>
        <w:rPr>
          <w:rFonts w:ascii="IRNazanin" w:hAnsi="IRNazanin" w:eastAsia="IRNazanin"/>
          <w:color w:val="111111"/>
          <w:sz w:val="28"/>
          <w:sz w:val="28"/>
          <w:szCs w:val="28"/>
          <w:rtl w:val="true"/>
          <w:lang w:bidi="fa-IR"/>
        </w:rPr>
        <w:t>و نیز شاطبی در کتاب الاعتصام به عنوان دومین دلیل بر استحسان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قوله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رآه المسلمون حسنا فهو عند اللّه حسنٌ</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 در سایر کتب اصولی نیز به همین صورت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تحقیقی نسبةً وسیع که این جانب در تمام صحاح سته و دیگر کتب روایی اهل سنّت به عمل آوردم، معلوم شد که اولاً این حدیث فقط در مسند امام احمد بن حنبل آمده است و ثانیا اصل متن روایت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رأی المسلمون حسنا فهو عند اللّه حسن و مارأواسیّئا فهو عند اللّه سیّ‌ءٌ</w:t>
      </w:r>
      <w:r>
        <w:rPr>
          <w:rStyle w:val="FootnoteAnchor"/>
          <w:rtl w:val="true"/>
        </w:rPr>
        <w:footnoteReference w:id="54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اطلاق لفظ حَسَن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مصطلح، اطلاقی بدون دلیل است، زیرا واژه استحسان، از معانی مستحدثه نزد متأخرین می‌باشد، لذا نسبت این مضمون به ابن مسعود، صحیح نیست و با صرف نظر از این اشکال، همان طور که در مورد اشکال بر آیات گفته شد، استحسان در اصطلاح، به معانی متعدّدی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اطلاق آن بر </w:t>
      </w:r>
    </w:p>
    <w:p>
      <w:pPr>
        <w:pStyle w:val="BookText"/>
        <w:rPr/>
      </w:pPr>
      <w:r>
        <w:rPr>
          <w:rFonts w:ascii="IRNazanin" w:hAnsi="IRNazanin" w:eastAsia="IRNazanin"/>
          <w:color w:val="111111"/>
          <w:sz w:val="28"/>
          <w:sz w:val="28"/>
          <w:szCs w:val="28"/>
          <w:rtl w:val="true"/>
          <w:lang w:bidi="fa-IR"/>
        </w:rPr>
        <w:t>جمیع‌المعانی غیرممکن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آن که روایت مذکور را از سخنان پیامبر صلی‌الله‌علیه‌و‌آله بدانیم، مضمون آن تأکید بر ملازمه عقلیه بین حکم عقل و حکم شرع است، بدین معنی که آنچه عقلا بر حسن آن اتّفاق نظر دارند، نزد خداوند هم حَسَن خواهد بود و این در صورتی تمام است که مراد از</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مسلمون بما هم عقلا باشد، اما اگر خصوصیتی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باشیم و الف و لام آن را برای عموم مجموعی بدانیم در این صورت روایت از ادلّه اجماع خواهد بود، نه دلیل بر استحسان، چنان که غزالی در المستصفی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تمام مسلمین را اراده کند، صحیح است زیرا امت جز از روی دلیل بر حسن چیزی اجماع نمی‌کنند و اجماع حجت است و منظور از خبر هم همین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 اگر آن را برای عموم استغراقی بدانیم، اراده عموم استغراقی از آن غیر ممکن است، زیرا لازمه آن این است که استحسان هر مسلمانی ولو یک فرد عامی، کاشف از حکم واقعی بوده و عند اللّه، حَسَن باشد و این باعث هرج و مرج در احکام و باعث تصویب است که بطلان آن مورد اتّفاق اهل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بر استدلال به این روایت سه اشکال وارد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 وجه این روایت حجت نمی‌باشد، وجه اوّل آن است که این روایت خبر واحد است و ادلّه حکام به وسیله آن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غزالی در ضمن اشکال سومی که ذکر کردیم، بیان شد و در مورد اشکال سوم می‌گوید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سوم آن است که صحابه بر منع از استحسان حکم بدون دلیل و حجت، اتّفاق نظر دارند، زیرا ایشان با داشتن حوادث و وقایع زیاد به ظواهر و اشباه و نظایر تمسک می‌کردند و هیچ یک از ایشان نگفته است من چنین حکمی کردم، به خاطر این که آن را استحسان کرده‌ام و اگر چنین می‌گفت سخت بر او انکار می‌کردند و می‌گفتند تو کیستی که استحسان تو شرع باشد و تو برای ما شارع باشی و هنگامی که پیامبر معاذ را به یمن فرستاد، معاذ نگفت </w:t>
      </w:r>
      <w:bookmarkStart w:id="481" w:name="pg4331_49303"/>
    </w:p>
    <w:p>
      <w:pPr>
        <w:pStyle w:val="BookText"/>
        <w:rPr/>
      </w:pPr>
      <w:bookmarkEnd w:id="481"/>
      <w:r>
        <w:rPr>
          <w:rFonts w:ascii="IRNazanin" w:hAnsi="IRNazanin" w:eastAsia="IRNazanin"/>
          <w:color w:val="111111"/>
          <w:sz w:val="28"/>
          <w:sz w:val="28"/>
          <w:szCs w:val="28"/>
          <w:rtl w:val="true"/>
          <w:lang w:bidi="fa-IR"/>
        </w:rPr>
        <w:t xml:space="preserve">من استحسان می‌کنم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صدور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کتاب و سنّت و اجتهاد را ذکر کرد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ادلّه عتبار و حجّیّت استحسان اجماع است که در تقریب آن چنین ادّعا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اجماع و اتّفاق نظر دارند بر استحسان</w:t>
      </w:r>
    </w:p>
    <w:p>
      <w:pPr>
        <w:pStyle w:val="BookText"/>
        <w:rPr/>
      </w:pPr>
      <w:r>
        <w:rPr>
          <w:rFonts w:ascii="IRNazanin" w:hAnsi="IRNazanin" w:eastAsia="IRNazanin"/>
          <w:color w:val="111111"/>
          <w:sz w:val="28"/>
          <w:sz w:val="28"/>
          <w:szCs w:val="28"/>
          <w:rtl w:val="true"/>
          <w:lang w:bidi="fa-IR"/>
        </w:rPr>
        <w:t>دخول در حمام و نیز شرب آب از دست سقّا بدون تعیین زمان مکث در حمام و مقدار آب مصرفی، با این که دخول در حمام را از انواع اجاره می‌دانند که باید اجرت و مقدار</w:t>
      </w:r>
    </w:p>
    <w:p>
      <w:pPr>
        <w:pStyle w:val="BookText"/>
        <w:rPr/>
      </w:pPr>
      <w:r>
        <w:rPr>
          <w:rFonts w:ascii="IRNazanin" w:hAnsi="IRNazanin" w:eastAsia="IRNazanin"/>
          <w:color w:val="111111"/>
          <w:sz w:val="28"/>
          <w:sz w:val="28"/>
          <w:szCs w:val="28"/>
          <w:rtl w:val="true"/>
          <w:lang w:bidi="fa-IR"/>
        </w:rPr>
        <w:t>آب مصرفی و مدت ماندن در حمام معین و معلوم باشد و نیز در شرب آب از دست سقا مقدار آب مصرفی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از استدلال فوق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چنین اجماعی درست و مسلم باشد، اولاً این اجماع قائم بر خصوص همین احکام است نه بر استحسان آنها تا چه رسد که آن را قائم بر هر استحسانی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ظاهرا این اجماع پایه و اساسی ندارد، بلکه آنچه در مورد این احکام می‌توان گفت عبارت است از قیام سیره متشرّعه بر آنها که این سیره از</w:t>
      </w:r>
    </w:p>
    <w:p>
      <w:pPr>
        <w:pStyle w:val="BookText"/>
        <w:rPr/>
      </w:pPr>
      <w:r>
        <w:rPr>
          <w:rFonts w:ascii="IRNazanin" w:hAnsi="IRNazanin" w:eastAsia="IRNazanin"/>
          <w:color w:val="111111"/>
          <w:sz w:val="28"/>
          <w:sz w:val="28"/>
          <w:szCs w:val="28"/>
          <w:rtl w:val="true"/>
          <w:lang w:bidi="fa-IR"/>
        </w:rPr>
        <w:t>زمان پیامبر صلی‌الله‌علیه‌و‌آله تا کنون استمرار داشته است و سیره متشرّعه غیر از اجماع اصطلاحی است</w:t>
      </w:r>
      <w:r>
        <w:rPr>
          <w:rFonts w:eastAsia="IRNazanin" w:cs="IRNazanin"/>
          <w:color w:val="111111"/>
          <w:sz w:val="28"/>
          <w:szCs w:val="28"/>
          <w:rtl w:val="true"/>
          <w:lang w:bidi="fa-IR"/>
        </w:rPr>
        <w:t>.</w:t>
      </w:r>
    </w:p>
    <w:p>
      <w:pPr>
        <w:pStyle w:val="Heading4"/>
        <w:numPr>
          <w:ilvl w:val="3"/>
          <w:numId w:val="1"/>
        </w:numPr>
        <w:rPr/>
      </w:pPr>
      <w:bookmarkStart w:id="482" w:name="__RefHeading___Toc1014941_1479056682"/>
      <w:bookmarkStart w:id="483" w:name="_Toc175"/>
      <w:bookmarkEnd w:id="482"/>
      <w:r>
        <w:rPr>
          <w:rtl w:val="true"/>
        </w:rPr>
        <w:t>اعتبار استحسان از نظر دانشمندان</w:t>
      </w:r>
      <w:bookmarkEnd w:id="483"/>
    </w:p>
    <w:p>
      <w:pPr>
        <w:pStyle w:val="BookText"/>
        <w:rPr/>
      </w:pPr>
      <w:r>
        <w:rPr>
          <w:rFonts w:ascii="IRNazanin" w:hAnsi="IRNazanin" w:eastAsia="IRNazanin"/>
          <w:color w:val="111111"/>
          <w:sz w:val="28"/>
          <w:sz w:val="28"/>
          <w:szCs w:val="28"/>
          <w:rtl w:val="true"/>
          <w:lang w:bidi="fa-IR"/>
        </w:rPr>
        <w:t>استحسان به عنوان یک منبع و مبنای فقهی، از سوی تمام فقهای اهل سنّت پذیرفته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 تصفّح و سیر در کتب اصول الفقه می‌توان گفت اهل سنّت در مورد اعتبار و حجّیّت استحسان دو گروه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 برای استحسان اعتبار و اهمّیّت فراوانی قایل شده و آن را در اکثر ابواب فقه جاری می‌دانند، چنان که ابوحنیفه و مالک و احمد بن حنبل سه تن از ائمه و پیشوایان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مذاهب فقهی اهل سنّت آن را معتبر دانسته و به حجّیّت آن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گروه امام مالک قرار دارد و سخن او درباره استحسان معروف است که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الاستحسان تسعة اعشار العلم</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نه جزء از ده جزء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فرج، فقیه مالکی،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الاستحسان اغلب فی الفقه من القیاس</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در فقه، از قیاس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شاطبی در الموافقات درباره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درباره استحسان مبالغه کرده، حتّی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قیاس غرق می‌شود به جدا شدن از سنّت نزدیک است، همانا استحسان ستون و پایه علم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حنفیّه نیز در مورد حجّیّت و اعتبار استحسان به عنوان یک منبع فقهی با مالکیه موافقند، بلکه باید گفت ابوحنیفه، رئیس و مؤسس این فرقه، کاربرد استحسان را در مسائل به حدّ اعلای خود رسانیده است، به طوری که او را امام الاستحسان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مسائل فراوانی بر طبق استحسان فتوی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مروری بر منابع فقهی حنفی به خوبی روشن می‌شود که آنها دو واژه قیاس و استحسان را به فراوانی همراه یکدیگر به</w:t>
      </w:r>
    </w:p>
    <w:p>
      <w:pPr>
        <w:pStyle w:val="BookText"/>
        <w:rPr/>
      </w:pPr>
      <w:r>
        <w:rPr>
          <w:rFonts w:ascii="IRNazanin" w:hAnsi="IRNazanin" w:eastAsia="IRNazanin"/>
          <w:color w:val="111111"/>
          <w:sz w:val="28"/>
          <w:sz w:val="28"/>
          <w:szCs w:val="28"/>
          <w:rtl w:val="true"/>
          <w:lang w:bidi="fa-IR"/>
        </w:rPr>
        <w:t>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 حکم این مسأله فلان است، ولی ما چنین استحسان می‌کنیم و یا می‌گویند در این مسأله قیاس مقتضی حظر است، ولی استحسان مقتضی اباحه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شیبانی شاگرد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ابوحنیفه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در مسائل قیاس با اصحاب خود مناظره می‌کرد ولی آنها با او مخالفت می‌کردند، حتّی زمانی که می‌گفت من استحسان می‌کنم احدی از آنها به او نمی‌پیوست، به خاطر آن که مسائل فراوانی را در باب استحسان ذکر می‌کرد</w:t>
      </w:r>
      <w:r>
        <w:rPr>
          <w:rFonts w:eastAsia="IRNazanin" w:cs="IRNazanin"/>
          <w:color w:val="111111"/>
          <w:sz w:val="28"/>
          <w:szCs w:val="28"/>
          <w:rtl w:val="true"/>
          <w:lang w:bidi="fa-IR"/>
        </w:rPr>
        <w:t>.»</w:t>
      </w:r>
      <w:r>
        <w:rPr>
          <w:rStyle w:val="FootnoteAnchor"/>
          <w:rtl w:val="true"/>
        </w:rPr>
        <w:footnoteReference w:id="55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ابوحنیفه که به درجه اجتهاد رسیدند نیز از استاد خود در پذیرش و اهمّیّت دادن به استحسان متابعت کردند و در مسائل منقول از ابوحنیفه، به استحسان بسیار استناد کردند، تا آن که مسائل مستحسنه خود نوعی از انواع ادلّه به حساب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w:t>
      </w:r>
    </w:p>
    <w:p>
      <w:pPr>
        <w:pStyle w:val="BookText"/>
        <w:rPr/>
      </w:pPr>
      <w:r>
        <w:rPr>
          <w:rFonts w:ascii="IRNazanin" w:hAnsi="IRNazanin" w:eastAsia="IRNazanin"/>
          <w:color w:val="111111"/>
          <w:sz w:val="28"/>
          <w:sz w:val="28"/>
          <w:szCs w:val="28"/>
          <w:rtl w:val="true"/>
          <w:lang w:bidi="fa-IR"/>
        </w:rPr>
        <w:t>فقه حنفی کار به جایی رسید که محمّد بن حسن شیبانی، شاگرد ابوحنیفه، استحسان را اساس و مبنای اجتهاد دانست و شناخت مسائل استحسان را شرطی از شروط اجتهاد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کتاب و سنّت و قول صحابه پیامبر و موارد استحسان فقهای مسلمین، عالم باشد، می‌تواند در مسائل مبتلا به، اجتهاد کند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حنابله نیز به عنوان مبنا و مصدر اجتهاد اهمّیّت زیادی برای استحسان قایل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بن حنبل، مانند دو پیشوای فقهی دیگر استحسان را پذیرفته و آن را به عنوان</w:t>
      </w:r>
    </w:p>
    <w:p>
      <w:pPr>
        <w:pStyle w:val="BookText"/>
        <w:rPr/>
      </w:pPr>
      <w:r>
        <w:rPr>
          <w:rFonts w:ascii="IRNazanin" w:hAnsi="IRNazanin" w:eastAsia="IRNazanin"/>
          <w:color w:val="111111"/>
          <w:sz w:val="28"/>
          <w:sz w:val="28"/>
          <w:szCs w:val="28"/>
          <w:rtl w:val="true"/>
          <w:lang w:bidi="fa-IR"/>
        </w:rPr>
        <w:t>یکی از منابع تشریع، البته در چهار چوبی محدودتر،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بغدادی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استحسان آن است که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استحسان برای هر نمازی یک تیمم لازم است، اما قیاس آن است که تیمم همانند وضو است و تا زمانی که حدثی سر نزند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اراضی سواد جایز است، ولی فروختن آنها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گفتند چگونه کسی که حق فروختن ندارد، می‌تواند بخرد ؟ او پاسخ داد قیاس چنین است، اما آنچه من گفتم یک استحسان است و به همین دلیل از بیع مصحف منع و به عنوان استحسان به خرید آن امر می‌شود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گروه دوم؛ اعتبار استحسان را نفی کرده و آن را از ادلّه فاسده می‌دانند، در رأس این گروه امام شافعی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گفته‌های شافعی در الرساله و الأمّ معلوم می‌شود که پذیرش استحسان و حکم کردن براساس آن، لذت جویی و سخن راندن از سرخواسته‌های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استنباط حکم را به وسیله استحسان، تشریع بدون دلیل می‌داند و با آن که خود قایل به قیاس است، با استحسان سخت مخالف بوده و گفته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استحسان کند، تشریع قانون کرده 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وی همچنین در کتاب معروف خود به نام الأمّ در ابطال استحسان بحث مستقلّی را عنوان کرده و نام آن را کتاب ابطال الاستحسان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از کتاب خود تصریح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 حق ندارد تشریع قانون کند و هر که استحسان کند تشریع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جایز نمی‌باشد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شاطبی فقیه بزرگ مالکی در کتاب الاعتصام درباره اعتبار استحسان نزد اهل سنّت به همین دو گروه اشاره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ابوحنیفه استحسان را در احکام معتبر می‌دانند، به خلاف شافعی که سخت منکر استحسان بوده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استحسان کند، تشریع کرده است و آنچه از استقراء مذهب آن دو به دست می‌آید، آن است که استحسان، به عمل به اقوی الدلیلین باز می‌گردد، ابن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تهانوی در کتاب کشّاف اصطلاحات الفنون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در لغت چیزی را نیکو شمردن است و عبارات اصولیین در تفسیر و در دلیل بودن آن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 و حنابله گفته‌اند استحسان دلیل شرعی است، ولی دیگران آن را انکار کرده‌اند، تا آن جا که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استحسان کند تشریع کرده است، گفته شده که معنای قول شافعی آن است که هر که حکمی را اثبات کند، بدین طریق که آن حکم نزد او نیکو و مستحسن باشد، بدون این که دلیل شرعی بر آن وجود داشته باشد، چنین کسی شارع و قانونگذار آن حکم خواهد بود و قدر و منزلت ابوحنیفه اجلّ از آن است که بدون دلیل شرعی و بدون مراجعه به اصل شرعی در امر دین چیزی بگوید</w:t>
      </w:r>
      <w:r>
        <w:rPr>
          <w:rFonts w:eastAsia="IRNazanin" w:cs="IRNazanin"/>
          <w:color w:val="111111"/>
          <w:sz w:val="28"/>
          <w:szCs w:val="28"/>
          <w:rtl w:val="true"/>
          <w:lang w:bidi="fa-IR"/>
        </w:rPr>
        <w:t>.»</w:t>
      </w:r>
      <w:r>
        <w:rPr>
          <w:rStyle w:val="FootnoteAnchor"/>
          <w:rtl w:val="true"/>
        </w:rPr>
        <w:footnoteReference w:id="55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غزالی که شافعی مذهب است نیز استحسان و استصلاح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ادلّه </w:t>
      </w:r>
      <w:bookmarkStart w:id="484" w:name="pg4331_49311"/>
    </w:p>
    <w:p>
      <w:pPr>
        <w:pStyle w:val="BookText"/>
        <w:rPr/>
      </w:pPr>
      <w:bookmarkEnd w:id="484"/>
      <w:r>
        <w:rPr>
          <w:rFonts w:ascii="IRNazanin" w:hAnsi="IRNazanin" w:eastAsia="IRNazanin"/>
          <w:color w:val="111111"/>
          <w:sz w:val="28"/>
          <w:sz w:val="28"/>
          <w:szCs w:val="28"/>
          <w:rtl w:val="true"/>
          <w:lang w:bidi="fa-IR"/>
        </w:rPr>
        <w:t>موهومه و بی اعتبار و صدور حکم بر طبق آن دو را حکم از روی هوی و هوس و بدون دلیل شرعی می‌داند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قرطبی که خود یکی از اعیان و بزرگان علمای مالکیه است، در تفسیر خود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لایَتَّخِذَ بَعْضُنا بَعْضا اَرْبابا مِنْ دُونِ اللّه‌ِ</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در مورد بطلان استحسانِ غیر مستند به دلیل شرعی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تحلیل یا تحریم چیزی از او پیروی نمی‌کنیم، مگر در آنچه خدای تعالی آن را حلال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می‌کند بر بطلان قول به استحسان صرف و مجرد که مستند به دلیل شرعی نباشد</w:t>
      </w:r>
      <w:r>
        <w:rPr>
          <w:rFonts w:eastAsia="IRNazanin" w:cs="IRNazanin"/>
          <w:color w:val="111111"/>
          <w:sz w:val="28"/>
          <w:szCs w:val="28"/>
          <w:rtl w:val="true"/>
          <w:lang w:bidi="fa-IR"/>
        </w:rPr>
        <w:t>».</w:t>
      </w:r>
      <w:r>
        <w:rPr>
          <w:rStyle w:val="FootnoteAnchor"/>
          <w:rtl w:val="true"/>
        </w:rPr>
        <w:footnoteReference w:id="560"/>
      </w:r>
    </w:p>
    <w:p>
      <w:pPr>
        <w:pStyle w:val="Heading4"/>
        <w:numPr>
          <w:ilvl w:val="3"/>
          <w:numId w:val="1"/>
        </w:numPr>
        <w:rPr/>
      </w:pPr>
      <w:bookmarkStart w:id="485" w:name="__RefHeading___Toc1014943_1479056682"/>
      <w:bookmarkStart w:id="486" w:name="_Toc176"/>
      <w:bookmarkEnd w:id="485"/>
      <w:r>
        <w:rPr>
          <w:rtl w:val="true"/>
        </w:rPr>
        <w:t>استحسان از دیدگاه ظاهریه</w:t>
      </w:r>
      <w:bookmarkEnd w:id="486"/>
    </w:p>
    <w:p>
      <w:pPr>
        <w:pStyle w:val="BookText"/>
        <w:rPr/>
      </w:pPr>
      <w:r>
        <w:rPr>
          <w:rFonts w:ascii="IRNazanin" w:hAnsi="IRNazanin" w:eastAsia="IRNazanin"/>
          <w:color w:val="111111"/>
          <w:sz w:val="28"/>
          <w:sz w:val="28"/>
          <w:szCs w:val="28"/>
          <w:rtl w:val="true"/>
          <w:lang w:bidi="fa-IR"/>
        </w:rPr>
        <w:t xml:space="preserve">مذهب ظاهریّه که پیروان داود ظاهری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مبتنی بر پیروی از ظاهر نصوص و ابطال قیاس به طور مطلق است، بنابراین ظاهریّه استحسان را به طریق اولی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آندلسی مروّج مذهب ظاهری و مدافع سرسخت این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قیاس و استحسان، سخت مخالفت و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صاحب کتاب الإحکام فی أصول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تألیف در اصول فقه مذهب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صاحب کتاب المحلّی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تألیف در فقه مذهب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کتاب‌الإحکام خود در مخالفت با استحسان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حق و إن استقبحه الناس و الباطل باطل و ان استحسنه الناس، فصحّ أن الاستحسان شهوة و اتّباع للهوی و ضلال و باللّه تعالی نعوذ من الخذلان</w:t>
      </w:r>
      <w:r>
        <w:rPr>
          <w:rStyle w:val="FootnoteAnchor"/>
          <w:rtl w:val="true"/>
        </w:rPr>
        <w:footnoteReference w:id="56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حق است، گر چه مردم آن را زشت شمرند و باطل، باطل است، گر چه مردم آن را پسندیده و نکو بدانند، پس ثابت می‌شود که استحسان نوعی لذت </w:t>
      </w:r>
      <w:bookmarkStart w:id="487" w:name="pg4331_49313"/>
    </w:p>
    <w:p>
      <w:pPr>
        <w:pStyle w:val="BookText"/>
        <w:rPr/>
      </w:pPr>
      <w:bookmarkEnd w:id="487"/>
      <w:r>
        <w:rPr>
          <w:rFonts w:ascii="IRNazanin" w:hAnsi="IRNazanin" w:eastAsia="IRNazanin"/>
          <w:color w:val="111111"/>
          <w:sz w:val="28"/>
          <w:sz w:val="28"/>
          <w:szCs w:val="28"/>
          <w:rtl w:val="true"/>
          <w:lang w:bidi="fa-IR"/>
        </w:rPr>
        <w:t>جویی و پیروی از خواسته‌های دل و ضلالت و گمراهی است و از خذلان و خواری به خدای تعالی پناه می‌بریم</w:t>
      </w:r>
      <w:r>
        <w:rPr>
          <w:rFonts w:eastAsia="IRNazanin" w:cs="IRNazanin"/>
          <w:color w:val="111111"/>
          <w:sz w:val="28"/>
          <w:szCs w:val="28"/>
          <w:rtl w:val="true"/>
          <w:lang w:bidi="fa-IR"/>
        </w:rPr>
        <w:t>».</w:t>
      </w:r>
    </w:p>
    <w:p>
      <w:pPr>
        <w:pStyle w:val="Heading4"/>
        <w:numPr>
          <w:ilvl w:val="3"/>
          <w:numId w:val="1"/>
        </w:numPr>
        <w:rPr/>
      </w:pPr>
      <w:bookmarkStart w:id="488" w:name="__RefHeading___Toc1014945_1479056682"/>
      <w:bookmarkStart w:id="489" w:name="_Toc177"/>
      <w:bookmarkEnd w:id="488"/>
      <w:r>
        <w:rPr>
          <w:rtl w:val="true"/>
        </w:rPr>
        <w:t>استحسان از دیدگاه شیعه</w:t>
      </w:r>
      <w:bookmarkEnd w:id="489"/>
    </w:p>
    <w:p>
      <w:pPr>
        <w:pStyle w:val="BookText"/>
        <w:rPr/>
      </w:pPr>
      <w:r>
        <w:rPr>
          <w:rFonts w:ascii="IRNazanin" w:hAnsi="IRNazanin" w:eastAsia="IRNazanin"/>
          <w:color w:val="111111"/>
          <w:sz w:val="28"/>
          <w:sz w:val="28"/>
          <w:szCs w:val="28"/>
          <w:rtl w:val="true"/>
          <w:lang w:bidi="fa-IR"/>
        </w:rPr>
        <w:t>علمای امامیّه نیز استحسان را همانند قیاس بی‌اعتبار و مردود شناخته و برای آن ارزش و اعتباری قایل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منابع اجتهاد آمده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اندیشمندان امامیّه استحسان را به عنوان منبع و پایه شناخت احکام شرعی مورد پذیرش قرار نداده و بر این اعتقادند که استحسان همانند قیاس، اجتهاد از راه رأی می‌باشد و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 در کتاب گرانقدر قوانین الاصول چهار دلیل در رد استحسان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استحسان دارای دلیل شرعی قابل پذیرش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استحسان ظن معتبر به حکم شرعی را افاده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عدم اعتبار استحسان اجماع اقامه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بیانگر نهی از حکم بر طبق استحسان است</w:t>
      </w:r>
      <w:r>
        <w:rPr>
          <w:rFonts w:eastAsia="IRNazanin" w:cs="IRNazanin"/>
          <w:color w:val="111111"/>
          <w:sz w:val="28"/>
          <w:szCs w:val="28"/>
          <w:rtl w:val="true"/>
          <w:lang w:bidi="fa-IR"/>
        </w:rPr>
        <w:t>.</w:t>
      </w:r>
    </w:p>
    <w:p>
      <w:pPr>
        <w:pStyle w:val="Heading4"/>
        <w:numPr>
          <w:ilvl w:val="3"/>
          <w:numId w:val="1"/>
        </w:numPr>
        <w:rPr/>
      </w:pPr>
      <w:bookmarkStart w:id="490" w:name="__RefHeading___Toc1014947_1479056682"/>
      <w:bookmarkStart w:id="491" w:name="_Toc178"/>
      <w:bookmarkEnd w:id="490"/>
      <w:r>
        <w:rPr>
          <w:rtl w:val="true"/>
        </w:rPr>
        <w:t>اشکالات حاصل از کاربرد استحسان</w:t>
      </w:r>
      <w:bookmarkEnd w:id="491"/>
    </w:p>
    <w:p>
      <w:pPr>
        <w:pStyle w:val="BookText"/>
        <w:rPr/>
      </w:pPr>
      <w:r>
        <w:rPr>
          <w:rFonts w:ascii="IRNazanin" w:hAnsi="IRNazanin" w:eastAsia="IRNazanin"/>
          <w:color w:val="111111"/>
          <w:sz w:val="28"/>
          <w:sz w:val="28"/>
          <w:szCs w:val="28"/>
          <w:rtl w:val="true"/>
          <w:lang w:bidi="fa-IR"/>
        </w:rPr>
        <w:t>مبنا قرار دادن استحسان برای استنباط و صدور احکام در مسائل فقهی، مشکلات زیادی را به وجود می‌آورد، که به طور خلاصه به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استحسان همانند قیاس، از ادلّه ظنّی بوده و تنها مفید ظنّ و گمان است و ظن جنبه قطعیت ندارد و نمی‌تواند ما را به واقع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الظَّنَ لایُغْنی مِنَ الْحَقِّ شَیئا</w:t>
      </w:r>
      <w:r>
        <w:rPr>
          <w:rFonts w:eastAsia="IRNazanin" w:cs="IRNazanin"/>
          <w:color w:val="111111"/>
          <w:sz w:val="28"/>
          <w:szCs w:val="28"/>
          <w:rtl w:val="true"/>
          <w:lang w:bidi="fa-IR"/>
        </w:rPr>
        <w:t>»</w:t>
      </w:r>
      <w:r>
        <w:rPr>
          <w:rStyle w:val="FootnoteAnchor"/>
          <w:rtl w:val="true"/>
        </w:rPr>
        <w:footnoteReference w:id="56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دیگری که از کاربرد استحسان در مسائل فقهی به وجود می‌آید، آن است که به نوعی آشفتگی در حکم و فتوا می‌انجامد و موجب هرج و مرج در احکام فقهی </w:t>
      </w:r>
    </w:p>
    <w:p>
      <w:pPr>
        <w:pStyle w:val="BookText"/>
        <w:rPr/>
      </w:pPr>
      <w:r>
        <w:rPr>
          <w:rFonts w:ascii="IRNazanin" w:hAnsi="IRNazanin" w:eastAsia="IRNazanin"/>
          <w:color w:val="111111"/>
          <w:sz w:val="28"/>
          <w:sz w:val="28"/>
          <w:szCs w:val="28"/>
          <w:rtl w:val="true"/>
          <w:lang w:bidi="fa-IR"/>
        </w:rPr>
        <w:t>می‌گردد، زیرا استحسان به معنای اعمال رأی و سلیقه شخصی مجتهد، موجب می‌شود که در مورد یک مسأله، هر فقیهی حکمی جداگانه صادر کند و در نتیجه در مسأله واحد چند گونه نظر و چند نوع حکم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لذّت جویی است و اگر برای کسی استحسان در دین جایز و روا باشد، برای عاقلان از غیر اهل علم هم جایز خواهد بود و نیز در هر بابی از دین تشریع جایز شده و روا بود که هر کس برای خود شریعتی پدید آورد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طبق بعضی از تعاریف، استحسان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یستحسنه المجتهد بعقله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دلیل مورد پسند و مطابق رأی و نظر شخصی مجتهد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ابتناء بر ادلّه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w:t>
      </w:r>
    </w:p>
    <w:p>
      <w:pPr>
        <w:pStyle w:val="BookText"/>
        <w:rPr/>
      </w:pPr>
      <w:r>
        <w:rPr>
          <w:rFonts w:ascii="IRNazanin" w:hAnsi="IRNazanin" w:eastAsia="IRNazanin"/>
          <w:color w:val="111111"/>
          <w:sz w:val="28"/>
          <w:sz w:val="28"/>
          <w:szCs w:val="28"/>
          <w:rtl w:val="true"/>
          <w:lang w:bidi="fa-IR"/>
        </w:rPr>
        <w:t>دلیل منقدح در نفس مجتهد بدانیم که قادر به تعبیر و بیان آن نیست، در این صورت استحسان، صرف رأی بر اساس هوی و هوس و میل شخصی است و موجب تشریع و بدعت در دین خواهد شد و بنابراین بین استحسان مجتهد و استحسان شخص عامی تفاوتی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غزّالی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بدون توجه به ادلّه شرعی، حکم کردن به صرف هوی و هوس است و مانند استحسان شخص عامی خواهد بود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شاطبی در الاعتصام در این مورد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حکم، به صرف استحسان بازگردد، مناظره و استدلال بی‌فایده خواهد بود، زیرا امیال و اهداف مردم در مورد غذاها و نوشیدنیها و لباس و غیره، مختلف و متفاوت است و در این گونه امور نیازی به مناظره و سؤال و جواب ندارند که بعضی از ایشان از بعضی دیگر بپرسد چرا این آب از آب دیگر نزد تو بیشتر مورد تمایل است ؟ در حالی که امور شریعت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نیازی به مناظره و استدلال نداشته باشد</w:t>
      </w:r>
      <w:r>
        <w:rPr>
          <w:rFonts w:eastAsia="IRNazanin" w:cs="IRNazanin"/>
          <w:color w:val="111111"/>
          <w:sz w:val="28"/>
          <w:szCs w:val="28"/>
          <w:rtl w:val="true"/>
          <w:lang w:bidi="fa-IR"/>
        </w:rPr>
        <w:t>».</w:t>
      </w:r>
      <w:r>
        <w:rPr>
          <w:rStyle w:val="FootnoteAnchor"/>
          <w:rtl w:val="true"/>
        </w:rPr>
        <w:footnoteReference w:id="56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مهمّ دیگری که نتیجه و زاییده اشکال دوم و سوم است، عبارت است از </w:t>
      </w:r>
      <w:bookmarkStart w:id="492" w:name="pg4331_49317"/>
    </w:p>
    <w:p>
      <w:pPr>
        <w:pStyle w:val="BookText"/>
        <w:rPr/>
      </w:pPr>
      <w:bookmarkEnd w:id="492"/>
      <w:r>
        <w:rPr>
          <w:rFonts w:ascii="IRNazanin" w:hAnsi="IRNazanin" w:eastAsia="IRNazanin"/>
          <w:color w:val="111111"/>
          <w:sz w:val="28"/>
          <w:sz w:val="28"/>
          <w:szCs w:val="28"/>
          <w:rtl w:val="true"/>
          <w:lang w:bidi="fa-IR"/>
        </w:rPr>
        <w:t>سدّ باب اجتهاد در فقه اهل سنّت، بدین بیان که وقتی بر اساس اعمال سلیقه و ذوق شخصی، هر فقیهی برای خود یک صاحب نظر و یک قانونگذار شد، این موضوع باعث می‌شود که فقه اسلامی به صورت مسائل مشوّش و متناقض و پر هرج و مرج درآید، لذا چاره‌ای جز این ندیدند که باب اجتهاد را سدّ کنند و آن را منحصر و محدود به نظریّات</w:t>
      </w:r>
    </w:p>
    <w:p>
      <w:pPr>
        <w:pStyle w:val="BookText"/>
        <w:rPr/>
      </w:pPr>
      <w:r>
        <w:rPr>
          <w:rFonts w:ascii="IRNazanin" w:hAnsi="IRNazanin" w:eastAsia="IRNazanin"/>
          <w:color w:val="111111"/>
          <w:sz w:val="28"/>
          <w:sz w:val="28"/>
          <w:szCs w:val="28"/>
          <w:rtl w:val="true"/>
          <w:lang w:bidi="fa-IR"/>
        </w:rPr>
        <w:t>چهار تن از ائمه اهل سنّت بدانند و دیگران را از اجتهاد ممنوع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 باب اجتهاد یک فاجعه بزرگ در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 و تا حدودی عکس العمل یک سلسله اجتهادهای افراطی بود و بودند کسانی که بدون صلاحیت علمی، از عنوان اجتهاد سوء استفاده می‌کردند و نیز به جهات سیاسی مانند انحصار مذاهب فقهی در مذاهب چهار گانه اهل سنت، باب اجتهاد مسدود شد و علمای اهل سنّت مجبور شدند طبق آرا و نظریات ائمه چهار گانه، یعنی ابوحنیفه، شافعی، مالک و احمد بن حنبل فتوا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فقه شیعه باب اجتهاد همچنان مفتوح باقی مانده است و این خود از مزایای بزرگ فقه شیعه است که باعث حرکت و پویایی آن شده است</w:t>
      </w:r>
      <w:r>
        <w:rPr>
          <w:rFonts w:eastAsia="IRNazanin" w:cs="IRNazanin"/>
          <w:color w:val="111111"/>
          <w:sz w:val="28"/>
          <w:szCs w:val="28"/>
          <w:rtl w:val="true"/>
          <w:lang w:bidi="fa-IR"/>
        </w:rPr>
        <w:t>.</w:t>
      </w:r>
    </w:p>
    <w:p>
      <w:pPr>
        <w:pStyle w:val="Heading4"/>
        <w:numPr>
          <w:ilvl w:val="3"/>
          <w:numId w:val="1"/>
        </w:numPr>
        <w:rPr/>
      </w:pPr>
      <w:bookmarkStart w:id="493" w:name="__RefHeading___Toc1014949_1479056682"/>
      <w:bookmarkStart w:id="494" w:name="_Toc179"/>
      <w:bookmarkEnd w:id="493"/>
      <w:r>
        <w:rPr>
          <w:rtl w:val="true"/>
        </w:rPr>
        <w:t>خلاصه و نتیجه بحث</w:t>
      </w:r>
      <w:bookmarkEnd w:id="494"/>
    </w:p>
    <w:p>
      <w:pPr>
        <w:pStyle w:val="BookText"/>
        <w:rPr/>
      </w:pPr>
      <w:r>
        <w:rPr>
          <w:rFonts w:ascii="IRNazanin" w:hAnsi="IRNazanin" w:eastAsia="IRNazanin"/>
          <w:color w:val="111111"/>
          <w:sz w:val="28"/>
          <w:sz w:val="28"/>
          <w:szCs w:val="28"/>
          <w:rtl w:val="true"/>
          <w:lang w:bidi="fa-IR"/>
        </w:rPr>
        <w:t>همان طور که در آغاز بحث گفته شد استحسان مانند قیاس از ادلّه ظنّیّه و از مظاهر اجتهاد به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حاصل از قیاس و استحسان از ظنون خاصه نیست که دلیل قطعی بر حجّیّت آنها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ادله‌ای که برای حجّیّت و اعتبار استحسان اقامه</w:t>
      </w:r>
    </w:p>
    <w:p>
      <w:pPr>
        <w:pStyle w:val="BookText"/>
        <w:rPr/>
      </w:pPr>
      <w:r>
        <w:rPr>
          <w:rFonts w:ascii="IRNazanin" w:hAnsi="IRNazanin" w:eastAsia="IRNazanin"/>
          <w:color w:val="111111"/>
          <w:sz w:val="28"/>
          <w:sz w:val="28"/>
          <w:szCs w:val="28"/>
          <w:rtl w:val="true"/>
          <w:lang w:bidi="fa-IR"/>
        </w:rPr>
        <w:t>کرده‌اند، تمام و غیر قابل خدشه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از مجموعه تعاریف استحسان بر می‌آید اگر استحسان را اخذ و انتخاب اقوی الدلیلین بدانیم، اشکالی ندارد و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باب تعارض ادلّه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بازگشت آن به کتاب و سنّت خواهد بود، پس نمی‌توان آن را اصل و دلیلی مستقلّ و در مقابل کتاب و سنّت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صرف اشتها و میل نفسانی مجتهد در استقباح و استحسان اشیا بدانیم، سخنی نادرست و مردود خواهد بود، چنان که شوکانی، از علمای زیدیّه، در ارشاد الفحول از قول ابن سمعانی می‌گوید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سمعانی گفته است اگر استحسان عبارت باشد از قول به آنچه انسان </w:t>
      </w:r>
    </w:p>
    <w:p>
      <w:pPr>
        <w:pStyle w:val="BookText"/>
        <w:rPr/>
      </w:pPr>
      <w:r>
        <w:rPr>
          <w:rFonts w:ascii="IRNazanin" w:hAnsi="IRNazanin" w:eastAsia="IRNazanin"/>
          <w:color w:val="111111"/>
          <w:sz w:val="28"/>
          <w:sz w:val="28"/>
          <w:szCs w:val="28"/>
          <w:rtl w:val="true"/>
          <w:lang w:bidi="fa-IR"/>
        </w:rPr>
        <w:t>بدون دلیل آن را نیکو می‌شمارد و بدان مایل است، چنین قولی باطل است و احدی قایل بدان نمی‌باشد، سپس گفته است که اختلاف لفظی است، زیرا در تفسیر استحسان علما قایل به قولی نمی‌شوند که باعث تشنیع و سرزنش آنان شود و اگر آن را چنین تفسیر کنیم و بگوییم استحسان عبارت است از عدول از دلیلی به دلیلی قویتر از آن، احدی منکر این قول نیست، لکن این گونه تفسیر و نامگذاری، اسمی را به ما نمی‌شناساند که نزدیک به استحسان باشد و ان را به ما معرفی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درست و واضحی از آن به دست نمی‌دهد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وی 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قفّال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استحسان چیزی باشد که اصول و ادلّه به مفهوم و معانی خود بر آن دلالت کرده‌اند، سخن نیکویی است، چون دارای حجت و دلیل است و گفته است ما منکر آن نیستیم و به آن قایل می‌باشیم و اگر استحسان عبارت باشد از استقباح و استحسان اشیاء که در وهم و خیال واقع می‌شود، بدون آن که حجت و دلیلی بر آن دلالت کند، این سخن ممنوع است و قایل شدن به آن جایز نمی‌باشد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شوکانی پس از نقل اقوال و مناقشه در ادلّه استحسان، در پایان مبحث استحسان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فعرفت بمجموع ما ذکرنا أنّ ذکر الاستحسان فی بحث مستقلّ لافائدة فیه أصلا لأنه إن کان راجعا الی الأدلّة المتقدمة فهو تکرار و ان کان خارجا عنها فلیس من الشرع فی شی‌ءٍ بل هو من التقول علی هذه الشریعة بما لم یکن فیها تارةً و بما یضادّها أخری</w:t>
      </w:r>
      <w:r>
        <w:rPr>
          <w:rStyle w:val="FootnoteAnchor"/>
          <w:rtl w:val="true"/>
        </w:rPr>
        <w:footnoteReference w:id="56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مجموع آنچه ذکر کردیم، دانستی که ذکر کردن استحسان در بحثی جدا و مستقلّ اصلاً فایده‌ای ندارد، زیرا اگر استحسان به ادلّه قبلی بازگشت کند، </w:t>
      </w:r>
      <w:bookmarkStart w:id="495" w:name="pg4331_49321"/>
    </w:p>
    <w:p>
      <w:pPr>
        <w:pStyle w:val="BookText"/>
        <w:rPr/>
      </w:pPr>
      <w:bookmarkEnd w:id="495"/>
      <w:r>
        <w:rPr>
          <w:rFonts w:ascii="IRNazanin" w:hAnsi="IRNazanin" w:eastAsia="IRNazanin"/>
          <w:color w:val="111111"/>
          <w:sz w:val="28"/>
          <w:sz w:val="28"/>
          <w:szCs w:val="28"/>
          <w:rtl w:val="true"/>
          <w:lang w:bidi="fa-IR"/>
        </w:rPr>
        <w:t xml:space="preserve">تکرار خواهد بود و اگر خارج از آنها باشد، به هیچ وجه از ادلّه شرعی نخواهد بود، بلکه عبارت خواهد بود از نسبت دادن و بستن قولی بر این دین،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اصلاً در شریعت چنان حکمی نباشد و گاهی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حکم صادره به وسیله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احکام شریعت متضاد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بار دیگر به طور خلاصه و کلّی می‌گوییم اگر استحسان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اقوی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حجت است و بازگشت آن به کتاب و سنّت خواهد بود و دلیل مستقلی در عرض کتاب و سنّت نخواهد بود، چنان که به نظر این جانب مالک که آن قدر به استحسان اهمّیّت داده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اعشار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شاید نظر به همین نوع استحسان داشته که موارد آن در فقه زیاد است، ولی اگر طبق تعاریف دیگر استحسان را مصلحت سنجی و مطابقت با ذوق و عقل و سلیقه شخصی مجتهد و یا دلیل منقدح در نفس او بدانیم، دلیلی بر حجّیّت آن نخواهد بود</w:t>
      </w:r>
      <w:r>
        <w:rPr>
          <w:rFonts w:eastAsia="IRNazanin" w:cs="IRNazanin"/>
          <w:color w:val="111111"/>
          <w:sz w:val="28"/>
          <w:szCs w:val="28"/>
          <w:rtl w:val="true"/>
          <w:lang w:bidi="fa-IR"/>
        </w:rPr>
        <w:t>.</w:t>
      </w:r>
    </w:p>
    <w:p>
      <w:pPr>
        <w:pStyle w:val="Heading3"/>
        <w:numPr>
          <w:ilvl w:val="2"/>
          <w:numId w:val="1"/>
        </w:numPr>
        <w:rPr/>
      </w:pPr>
      <w:bookmarkStart w:id="496" w:name="__RefHeading___Toc1014951_1479056682"/>
      <w:bookmarkStart w:id="497" w:name="_Toc180"/>
      <w:bookmarkEnd w:id="496"/>
      <w:r>
        <w:rPr>
          <w:rtl w:val="true"/>
        </w:rPr>
        <w:t>مصالح مرسله</w:t>
      </w:r>
      <w:bookmarkEnd w:id="497"/>
    </w:p>
    <w:p>
      <w:pPr>
        <w:pStyle w:val="Heading4"/>
        <w:numPr>
          <w:ilvl w:val="3"/>
          <w:numId w:val="1"/>
        </w:numPr>
        <w:rPr/>
      </w:pPr>
      <w:bookmarkStart w:id="498" w:name="__RefHeading___Toc1014953_1479056682"/>
      <w:bookmarkStart w:id="499" w:name="_Toc181"/>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تا کنون با دو منبع از منابع ظنّی فقه اهل سنّت، یعنی قیاس و استحسان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بحث درباره منبع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امّا قبل از ورود به</w:t>
      </w:r>
    </w:p>
    <w:p>
      <w:pPr>
        <w:pStyle w:val="BookText"/>
        <w:rPr/>
      </w:pPr>
      <w:r>
        <w:rPr>
          <w:rFonts w:ascii="IRNazanin" w:hAnsi="IRNazanin" w:eastAsia="IRNazanin"/>
          <w:color w:val="111111"/>
          <w:sz w:val="28"/>
          <w:sz w:val="28"/>
          <w:szCs w:val="28"/>
          <w:rtl w:val="true"/>
          <w:lang w:bidi="fa-IR"/>
        </w:rPr>
        <w:t>اصل بحث و تعریف مصالح مرسله و اقوال علما درباره حجّیّت یا عدم حجّیّت آن به عنوان زیر بنای بحث، به بیان دو مطلب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احکام از مصالح و 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تغییر مصلحت</w:t>
      </w:r>
      <w:r>
        <w:rPr>
          <w:rFonts w:eastAsia="IRNazanin" w:cs="IRNazanin"/>
          <w:color w:val="111111"/>
          <w:sz w:val="28"/>
          <w:szCs w:val="28"/>
          <w:rtl w:val="true"/>
          <w:lang w:bidi="fa-IR"/>
        </w:rPr>
        <w:t>.</w:t>
      </w:r>
    </w:p>
    <w:p>
      <w:pPr>
        <w:pStyle w:val="Heading4"/>
        <w:numPr>
          <w:ilvl w:val="3"/>
          <w:numId w:val="1"/>
        </w:numPr>
        <w:rPr/>
      </w:pPr>
      <w:bookmarkStart w:id="500" w:name="__RefHeading___Toc1014955_1479056682"/>
      <w:bookmarkStart w:id="501" w:name="_Toc182"/>
      <w:bookmarkEnd w:id="500"/>
      <w:r>
        <w:rPr>
          <w:rtl w:val="true"/>
        </w:rPr>
        <w:t xml:space="preserve">الف </w:t>
      </w:r>
      <w:r>
        <w:rPr>
          <w:rtl w:val="true"/>
        </w:rPr>
        <w:t xml:space="preserve">- </w:t>
      </w:r>
      <w:r>
        <w:rPr>
          <w:rtl w:val="true"/>
        </w:rPr>
        <w:t>تبعیّت احکام از مصالح و مفاسد</w:t>
      </w:r>
      <w:bookmarkEnd w:id="501"/>
    </w:p>
    <w:p>
      <w:pPr>
        <w:pStyle w:val="Heading5"/>
        <w:numPr>
          <w:ilvl w:val="4"/>
          <w:numId w:val="1"/>
        </w:numPr>
        <w:rPr/>
      </w:pPr>
      <w:bookmarkStart w:id="502" w:name="__RefHeading___Toc1014957_1479056682"/>
      <w:bookmarkStart w:id="503" w:name="_Toc183"/>
      <w:bookmarkEnd w:id="502"/>
      <w:r>
        <w:rPr>
          <w:rtl w:val="true"/>
        </w:rPr>
        <w:t>اشاره</w:t>
      </w:r>
      <w:bookmarkEnd w:id="50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اصولیّین و علمای کلام از امامیّه و معتزله معتقدند که جعل احکام شرع بر اساس مصالح و مفاسد است و مقصد شارع از تشریع احکام، تحقّق یافتن مصالح مردم و دفع مفاسد از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عدلیهّ و معتزله می‌گویند هیچ حکمی بدون مصلحت یا مفسده </w:t>
      </w:r>
    </w:p>
    <w:p>
      <w:pPr>
        <w:pStyle w:val="BookText"/>
        <w:rPr/>
      </w:pPr>
      <w:r>
        <w:rPr>
          <w:rFonts w:ascii="IRNazanin" w:hAnsi="IRNazanin" w:eastAsia="IRNazanin"/>
          <w:color w:val="111111"/>
          <w:sz w:val="28"/>
          <w:sz w:val="28"/>
          <w:szCs w:val="28"/>
          <w:rtl w:val="true"/>
          <w:lang w:bidi="fa-IR"/>
        </w:rPr>
        <w:t>نیست و به طور کلّی احکام شرع، تابع مصالح و مفاسد است و این مصالح و مفاسد در واقع همان ملاکات و علل احکام بوده و احکام دایر مدار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و نتیجه بحث آن شد که راهی برای انکار تبعیت احکام از مصالح و مفاسد در متعلقات احکام نیست و ثابت شد که با قطع نظر از امر و نهی شارع، در ذات افعال مصالح و مفاسدی نهفته است و همین مصالح و مفاسد علل و مناطات احکام می‌باشند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 نیز در جای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حکمی معقول نیست که بدون مصلحت باشد، نهایت امر این است که مصلحت حکم گاهی پوشیده و پنهان است و عقل بر آن اطلاع نمی‌یابد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وی در مبحث تعبد به امارات، اشکال و محذور تفویت مصلحت و القا در مفسده را مطرح کرده است و آن را متوقف بر تبعیت احکام از مصالح و مفاسد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مخفی نیست که محذور تفویت مصلحت و القاء در مفسده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تعبد به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اموری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عبارت است از التزام به این که احکام تابع مصالح و مفاسدی است که در متعلقات احکام وجود دارد و مصالح احکام در عالم تشریع جاری مجرای علل تکوینی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مصالح احکام است که احکام را به دنبال خود دارد و این مصالح در عالم تشریع لازم الإستیفاء می‌باشد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بنابراین هیچ یک از احکام خمسه تکلیفیّه گزافی نیست، بلکه تابع مصالح و مفاسدی است که در متعلقات آنها وجود دارد و ما در شرع مقدس اسلام، حکم گزاف و بدون علّت و مصلحت نداریم و همان طور که در کلام مرحوم نائینی بدان اشاره شد، بین احکام و مصالح و مفاسد، رابطه علیّت برقرار است و این ارتباط دو جانبه است، یعنی از</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شارع در مواردی حکم به وجوب فرموده است، ما به طور کشف انّی پی می‌بریم </w:t>
      </w:r>
    </w:p>
    <w:p>
      <w:pPr>
        <w:pStyle w:val="BookText"/>
        <w:rPr/>
      </w:pPr>
      <w:r>
        <w:rPr>
          <w:rFonts w:ascii="IRNazanin" w:hAnsi="IRNazanin" w:eastAsia="IRNazanin"/>
          <w:color w:val="111111"/>
          <w:sz w:val="28"/>
          <w:sz w:val="28"/>
          <w:szCs w:val="28"/>
          <w:rtl w:val="true"/>
          <w:lang w:bidi="fa-IR"/>
        </w:rPr>
        <w:t>که در متعلق حکم، مصلحت ملزمه وجود دارد و در مواردی که شارع حکم به حرمت فرموده، ما به طور انّی، کشف می‌کنیم که متعلق حکم، مفسده ملزمه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اگر به وسیله عقل خود پی ببریم که در چیزی مصلحت ملزمه وجود دارد، به طور لِمّی کشف می‌کنیم که شارع مقدس در آن شی‌ء جعل وجوب فرموده است و همین طور است در مورد مفسده ملزمه و جعل حرمت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تبعیّت احکام از مصالح و مفاسد براساس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نظریه عدلیّه و معتزله است، امّا اشاعره که منکر حسن و قبح اشیاء هستند، در نتیجه منکر تبعیت احکام از مصالح و مفاسدند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شارع مقدس به عملی که در آن مفسده وجود دارد، امر کند، لکن پس از امر شارع آن عملِ دارای مفسده و قبیح، تبدیل به یک عمل دارای مصلحت و حَسَن می‌گردد و به عکس، اگر شارع از عملِ دارای مصلحتی نهی کند، نهی شارع آن را تبدیل به یک عمل قبیح و ذوالمفسده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از نظر اشاعره ملاک حُسن و قبح اشیا، امر و نهی شارع است، نه واقعیت و حقیقت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قوشچی بر تجرید الکلام آمده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اشاعره گفته‌اند عقل درباره حسن و قبح اشیا حکمی ندارد و حسن و قبح به امری حقیقی باز نمی‌گردد، به طوری که قبل از ورود حکم شرع، در فعل حاصل باشد و شرع کاشف از آن امر حقیقی باشد، چنان که معتزله گمان کرده‌اند، بلکه مُثبت و مبیّن آن امر حقیقی شرع است، پس قبل از ورود شرع، برای افعال هیچ حسن و قبحی وجود ندارد و اگر شارع قضیه را معکوس کند، یعنی آنچه را که قبیح دانسته، حَسَن گرداند و آنچه را حَسَن دانسته قبیح کند، ممتنع نخواهد بود و امر دگرگون شده، پس قبیح تبدیل به حَسَن و حَسَن تبدیل به قبیح می‌شود، همان طور که این مطلب در نسخ حرمت و تبدیل آن به </w:t>
      </w:r>
    </w:p>
    <w:p>
      <w:pPr>
        <w:pStyle w:val="BookText"/>
        <w:rPr/>
      </w:pPr>
      <w:r>
        <w:rPr>
          <w:rFonts w:ascii="IRNazanin" w:hAnsi="IRNazanin" w:eastAsia="IRNazanin"/>
          <w:color w:val="111111"/>
          <w:sz w:val="28"/>
          <w:sz w:val="28"/>
          <w:szCs w:val="28"/>
          <w:rtl w:val="true"/>
          <w:lang w:bidi="fa-IR"/>
        </w:rPr>
        <w:t>وجوب و نسخ وجوب به حرمت وجود دارد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در پاسخ به ادّعای اشاعره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قبح اشیا امری عقلی است، یعنی بدون بیان شرع و امر و نهی شارع، عقل آنها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عدل عقلاً حَسَن و ظلم از نظر عقل قبیح است و هر فرد عاقلی،</w:t>
      </w:r>
    </w:p>
    <w:p>
      <w:pPr>
        <w:pStyle w:val="BookText"/>
        <w:rPr/>
      </w:pPr>
      <w:r>
        <w:rPr>
          <w:rFonts w:ascii="IRNazanin" w:hAnsi="IRNazanin" w:eastAsia="IRNazanin"/>
          <w:color w:val="111111"/>
          <w:sz w:val="28"/>
          <w:sz w:val="28"/>
          <w:szCs w:val="28"/>
          <w:rtl w:val="true"/>
          <w:lang w:bidi="fa-IR"/>
        </w:rPr>
        <w:t>خواه متشرع و مسلمان باشد یا غیر مسلمان، حُسن عدل و قبح ظلم را درک می‌کند، چنان که حکیم لاهیجی در کتاب گوهر مراد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فعل اختیاری متصف شود به حسن و قبح، مانند عدل و احسان و ظلم و 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جمیع ذوی العقول از کافه طوایف انام خواه امم متشرع و ارباب ملل و خواه قایلین به نفی شرایع و ملل و مشرکین و ارباب اصنام و بالجمله طبقات کفّار بالتمام، همه متفقند در حُسن عدل و قبح ظلم، به همین معنی که تقریر کرده شد و از هیچ احدی، در هیچ عهدی، منقول نشده که متصف به عقل متعارف باشد و معنی عدل را دانسته و مع ذلک عدل را قبیح داند، یا حَسَن نداند و همچنین ظلم را حَسَن داند یا قبیح نداند و این است معنی عقلی بودن حسن و قبح چنان که مذهب امامیّه و معتزله و جمهور حکماست و جمهور اشاعره بر آنند که شرعی است نه عقلی، به این معنی که اگر شرع وارد نمی‌شد، عقل حکم نمی‌کرد به حُسن و قبح اشیا بلکه در نفس الامر هیچ چیز حَسَن یا قبیح نمی‌بود و حُسن عدل مثلاً و قبح ظلم، به مجرد گفته شارع ثابت شود و اگر شرع نمی‌گفت، عدل حَسَن و ظلم قبیح نمی‌بود، بلکه توانست بود که شارع عدل را قبیح و ظلم را حَسَن گفتی و قضیه حُسن و قبح ظلم و عدل منعکس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در ردّ نظر اشاعره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سخافت این مذهب اظهر از آن است که پوشیده تواند بود، لهذا</w:t>
      </w:r>
    </w:p>
    <w:p>
      <w:pPr>
        <w:pStyle w:val="BookText"/>
        <w:rPr/>
      </w:pPr>
      <w:r>
        <w:rPr>
          <w:rFonts w:ascii="IRNazanin" w:hAnsi="IRNazanin" w:eastAsia="IRNazanin"/>
          <w:color w:val="111111"/>
          <w:sz w:val="28"/>
          <w:sz w:val="28"/>
          <w:szCs w:val="28"/>
          <w:rtl w:val="true"/>
          <w:lang w:bidi="fa-IR"/>
        </w:rPr>
        <w:t>بطلانش را مستغنی از بیان دانسته، اعراض از آن نمودن اولی می‌نماید</w:t>
      </w:r>
      <w:r>
        <w:rPr>
          <w:rFonts w:eastAsia="IRNazanin" w:cs="IRNazanin"/>
          <w:color w:val="111111"/>
          <w:sz w:val="28"/>
          <w:szCs w:val="28"/>
          <w:rtl w:val="true"/>
          <w:lang w:bidi="fa-IR"/>
        </w:rPr>
        <w:t>».</w:t>
      </w:r>
      <w:r>
        <w:rPr>
          <w:rStyle w:val="FootnoteAnchor"/>
          <w:rtl w:val="true"/>
        </w:rPr>
        <w:footnoteReference w:id="57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لاهیجی سپس در توضیح عقلی بودن حسن و قبح و این که خداوند بر اساس </w:t>
      </w:r>
    </w:p>
    <w:p>
      <w:pPr>
        <w:pStyle w:val="BookText"/>
        <w:rPr/>
      </w:pPr>
      <w:r>
        <w:rPr>
          <w:rFonts w:ascii="IRNazanin" w:hAnsi="IRNazanin" w:eastAsia="IRNazanin"/>
          <w:color w:val="111111"/>
          <w:sz w:val="28"/>
          <w:sz w:val="28"/>
          <w:szCs w:val="28"/>
          <w:rtl w:val="true"/>
          <w:lang w:bidi="fa-IR"/>
        </w:rPr>
        <w:t>حسن و قبح امر و نهی صادر می‌کند،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بباید دانست که مراد از عقلی بودن نه آن است که عقل مستقلّ باشد در معرفت حسن و قبح در جمیع افعال، بلکه مراد آن است که افعال مشتمل است بر جهت حسن و جهت قبح که عقل را رسد معرفت آن جهات یا به استقلال، مانند امثله مذکوره و یا به اعانت شرع، مانند عبادات تعبدیّه، چه عقل بعد از ورود شرع به آنها داند که اگر در آنها جهات حُسن نمی‌بود، هرآینه تکلیف به آن از حکیم قبیح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این اصل، اعنی عقلی بودن حسن و قبح، اصلی است عظیم که مبنای اصول کثیره است نزد فرقه محقّه</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خلاصه سخن آن که ؛ احکام شرع تابع حسن و قبح اشیاء و در نتیجه تابع مصالح و مفاسد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مطالعه‌ای در کتاب خدا و سنّت پیامبر گرامی اسلام صلی‌الله‌علیه‌و‌آله این حقیقت را ثابت می‌کند که احکام شرع بیهوده و گزافه نیست و شارع مقدس بدون جهت و به گزاف چیزی را واجب یا حرام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الشرعیّة الطافٌ فی الاحکام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 نسبت به احکام عقلی الطافی از سوی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کفایة الاصول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امر بین اقل و اکثر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قایل شدن به احتیاط و اتیان اکثر،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غرضی که داعی و موجب امر است، هرگز احراز نمی‌شود، مگر با اتیان اکثر، بنابر آنچه مشهور از عدلیه به آن قایل شده‌اند که عبارت است از تبعیت اوامر و نواهی از مصالح و مفاسدی که در مأمور به و منهی عنه وجود دارد و این که واجبات شرعیّه خود الطافی در واجبات عقلیه می‌باشد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در توضیح لطف بودن احکام شرع نسبت به دستورات عقل می‌گوییم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ارشاد و هدایت بشر دو رسول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رسول باطنی که همان عقل و خرد انسان است و دیگری رسول ظاهری که انبیای الهی و پیامبران </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یک طرف با عقل و فطرت خود حسن و قبح و خوبیها و بدیها را درک می‌کند و از طرف دیگر از باب لطف، خداوند در تأیید و ارشاد عقل و فطرت بشر، احکام و دستورات خود را به وسیله پیامبران به بشر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پیامبران و</w:t>
      </w:r>
    </w:p>
    <w:p>
      <w:pPr>
        <w:pStyle w:val="BookText"/>
        <w:rPr/>
      </w:pPr>
      <w:r>
        <w:rPr>
          <w:rFonts w:ascii="IRNazanin" w:hAnsi="IRNazanin" w:eastAsia="IRNazanin"/>
          <w:color w:val="111111"/>
          <w:sz w:val="28"/>
          <w:sz w:val="28"/>
          <w:szCs w:val="28"/>
          <w:rtl w:val="true"/>
          <w:lang w:bidi="fa-IR"/>
        </w:rPr>
        <w:t>کتب آسمانی همواره مؤیّد و مرشد عقل و فطرت بشر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لطف الهی شامل حال بشر نمی‌شد و خداوند ارسال رسل و انزال کتب نمی‌فرمود، بشر با عقل و فطرت خود به تنهایی قادر نبود راه به سر منزل مقصود ببرد، زیرا با آن که خداجویی و خداپرستی در عمق جان و فطرت بشر وجود دارد، اما تحت تأثیر محیط فاسد و تربیت غلط از یک طرف و غلبه هوی و هوس و امیال نفسانی بر عقل و فطرت از طرف دیگر، عقل و فطرت بشر دچار تیرگی و ابهام می‌شد و به جای خداپرستی به شرک و بت‌پرستی می‌گرایید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و الحاد و شرک و بت پرستی، نتیجه آلایش فطرت بشر و دگرگون شدن آن به وسیله عوامل گمراه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خداجویی را امری فطری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وجهک للدّین حنیفا فطرتَ اللّه الّتی فطر الناس علیها</w:t>
      </w:r>
      <w:r>
        <w:rPr>
          <w:rFonts w:eastAsia="IRNazanin" w:cs="IRNazanin"/>
          <w:color w:val="111111"/>
          <w:sz w:val="28"/>
          <w:szCs w:val="28"/>
          <w:rtl w:val="true"/>
          <w:lang w:bidi="fa-IR"/>
        </w:rPr>
        <w:t>...»</w:t>
      </w:r>
      <w:r>
        <w:rPr>
          <w:rStyle w:val="FootnoteAnchor"/>
          <w:rtl w:val="true"/>
        </w:rPr>
        <w:footnoteReference w:id="5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خود را</w:t>
      </w:r>
    </w:p>
    <w:p>
      <w:pPr>
        <w:pStyle w:val="BookText"/>
        <w:rPr/>
      </w:pPr>
      <w:r>
        <w:rPr>
          <w:rFonts w:ascii="IRNazanin" w:hAnsi="IRNazanin" w:eastAsia="IRNazanin"/>
          <w:color w:val="111111"/>
          <w:sz w:val="28"/>
          <w:sz w:val="28"/>
          <w:szCs w:val="28"/>
          <w:rtl w:val="true"/>
          <w:lang w:bidi="fa-IR"/>
        </w:rPr>
        <w:t xml:space="preserve">متوجه آیین خالص پروردگار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فطرتی است که خداوند انسانها را بر آن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دستورات اسلام در جهت زدودن اوهام و خرافات از عقل و فکر بشر و بیدار کردن وجدان و فطرت او و پاک کردن آن از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قوانین اسلام، هماهنگی آن با فطرت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یک طرف فطرت انسانی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نباید خیانت کرد، از طرف دیگر دین نیز خیانت در امانت را حرام و ردّ ودیعه را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دانسته است و همچنین فطرت و عقل بشر می‌گوید ظلم و کذب قبیح است و صدق و راستی خوب و حَسَن است و در دستورات شرع نیز ظلم و کذب ممنوع و حرام و از آن نهی شده و درستی و امانتداری واجب و به آن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خود الطافی الهی است نسبت به همان احکام و دستورات عقل، یعنی طبق قاعده لطف تمام احکام و دستورات شرع در جهت تأیید و ارشاد عقل است</w:t>
      </w:r>
      <w:r>
        <w:rPr>
          <w:rFonts w:eastAsia="IRNazanin" w:cs="IRNazanin"/>
          <w:color w:val="111111"/>
          <w:sz w:val="28"/>
          <w:szCs w:val="28"/>
          <w:rtl w:val="true"/>
          <w:lang w:bidi="fa-IR"/>
        </w:rPr>
        <w:t xml:space="preserve">. </w:t>
      </w:r>
      <w:bookmarkStart w:id="504" w:name="pg4331_49334"/>
    </w:p>
    <w:p>
      <w:pPr>
        <w:pStyle w:val="BookText"/>
        <w:rPr/>
      </w:pPr>
      <w:bookmarkEnd w:id="504"/>
      <w:r>
        <w:rPr>
          <w:rFonts w:ascii="IRNazanin" w:hAnsi="IRNazanin" w:eastAsia="IRNazanin"/>
          <w:color w:val="111111"/>
          <w:sz w:val="28"/>
          <w:sz w:val="28"/>
          <w:szCs w:val="28"/>
          <w:rtl w:val="true"/>
          <w:lang w:bidi="fa-IR"/>
        </w:rPr>
        <w:t>از آنچه گذشت به این نتیجه می‌رسیم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تابعیّت احکام از مصالح و مفاسد، یکی از اصول مهم و معتبر اسلامی و امری ضروری و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آنچه در اسلام واجب شده وجوب آن بر اساس وجود مصلحت ملزمه است و آنچه تحریم شده، حرمت آن بر اساس وجود مفسده ملزمه می‌باشد، یعنی این گونه نیست که احکام الهی جز تعبّد، علّت و ملاک دیگری نداشته باشد</w:t>
      </w:r>
      <w:r>
        <w:rPr>
          <w:rFonts w:eastAsia="IRNazanin" w:cs="IRNazanin"/>
          <w:color w:val="111111"/>
          <w:sz w:val="28"/>
          <w:szCs w:val="28"/>
          <w:rtl w:val="true"/>
          <w:lang w:bidi="fa-IR"/>
        </w:rPr>
        <w:t>.</w:t>
      </w:r>
    </w:p>
    <w:p>
      <w:pPr>
        <w:pStyle w:val="Heading5"/>
        <w:numPr>
          <w:ilvl w:val="4"/>
          <w:numId w:val="1"/>
        </w:numPr>
        <w:rPr/>
      </w:pPr>
      <w:bookmarkStart w:id="505" w:name="__RefHeading___Toc1014959_1479056682"/>
      <w:bookmarkStart w:id="506" w:name="_Toc184"/>
      <w:bookmarkEnd w:id="505"/>
      <w:r>
        <w:rPr>
          <w:rtl w:val="true"/>
        </w:rPr>
        <w:t>مصالح و مفاسد احکام در احادیث</w:t>
      </w:r>
      <w:bookmarkEnd w:id="506"/>
    </w:p>
    <w:p>
      <w:pPr>
        <w:pStyle w:val="BookText"/>
        <w:rPr/>
      </w:pPr>
      <w:r>
        <w:rPr>
          <w:rFonts w:ascii="IRNazanin" w:hAnsi="IRNazanin" w:eastAsia="IRNazanin"/>
          <w:color w:val="111111"/>
          <w:sz w:val="28"/>
          <w:sz w:val="28"/>
          <w:szCs w:val="28"/>
          <w:rtl w:val="true"/>
          <w:lang w:bidi="fa-IR"/>
        </w:rPr>
        <w:t>روایات فراوانی مسأله تابعیت احکام از مصالح و مفاسد را تأیید می‌کند و در احادیث ما، موارد گوناگونی وجود دارد که ائمه هدی علیهم‌السلام به مصالح و مفاسد احکام الهی اشاره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در کتاب علل الشرایع روایات زیادی را در زمینه علل احکام آورده است و فقهای بزرگواری مانند علامه حلّی در کتابهای مختلف الشیعة و منتهی‌المطلب و شیخ طوسی در المبسوط و صاحب جواهر در جواهر الکلام در مباحث فقهی خود به مناسبت به علل نهفته در موضوعات احکام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ذکر چند مورد از روایات مذکور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بن موسی الرّضا علیه‌السلام درباره کسی که گمان می‌کند که خداوند چیزی را به خاطر مصلحت یا مفسده واقعی، حلال یا حرام نفرموده، بلکه فقط خواسته است بدان وسیله مردم را به تعبّد وادارد،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جاءنی کتابک تذکر أنّ بعض أهل القبلة یزعم أنّ اللّه تبارک و تعالی لم یحِلَّ شیئا و لم یحرّمه</w:t>
      </w:r>
    </w:p>
    <w:p>
      <w:pPr>
        <w:pStyle w:val="BookText"/>
        <w:rPr/>
      </w:pPr>
      <w:r>
        <w:rPr>
          <w:rFonts w:ascii="IRNazanin" w:hAnsi="IRNazanin" w:eastAsia="IRNazanin"/>
          <w:color w:val="111111"/>
          <w:sz w:val="28"/>
          <w:sz w:val="28"/>
          <w:szCs w:val="28"/>
          <w:rtl w:val="true"/>
          <w:lang w:bidi="fa-IR"/>
        </w:rPr>
        <w:t>لعلّةٍ اکثر من التعبّد لعباده بذلک، قد ضلّ من قال ذلک ضلالاً بعیدا و خسِر خُسرانا مبینا</w:t>
      </w:r>
      <w:r>
        <w:rPr>
          <w:rStyle w:val="FootnoteAnchor"/>
          <w:rtl w:val="true"/>
        </w:rPr>
        <w:footnoteReference w:id="5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تو به من رسید که در آن ذکر می‌کنی که بعضی از مسلمانان گمان می‌کنند خدای تبارک و تعالی چیزی را به خاطر علّتی بیش از تعبّد بندگانش، حلال و حرام نکرده است، کسی که چنان بگوید گمراه گشته به گمراهی بسیار دور و به صورت آشکاری دچار زیان شده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آن حضرت در مقام استدلال بر بطلان توهم مذکور چنین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 لو کان کذلک لکان جائزا أن یتعبدهم بتحلیل ما حرّم و تحریم ما احلّ حتّی یستعبدهم بترک</w:t>
      </w:r>
    </w:p>
    <w:p>
      <w:pPr>
        <w:pStyle w:val="BookText"/>
        <w:rPr/>
      </w:pPr>
      <w:r>
        <w:rPr>
          <w:rFonts w:ascii="IRNazanin" w:hAnsi="IRNazanin" w:eastAsia="IRNazanin"/>
          <w:color w:val="111111"/>
          <w:sz w:val="28"/>
          <w:sz w:val="28"/>
          <w:szCs w:val="28"/>
          <w:rtl w:val="true"/>
          <w:lang w:bidi="fa-IR"/>
        </w:rPr>
        <w:t xml:space="preserve">الصلاة و الصیام و اعمال البرّ کلّها،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زیرا اگر چنین بوده باشد، جایز بود که خداوند بندگان خود را به تحلیل محرمات و تحریم محلّلات به تعبّد وادار کند و حتّی تعبّدا به ایشان دستور دهد که نماز و روزه و تمام کارهای خیر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آن حضرت در مورد مصالح و مفاسد و علل احکام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وجدنا کل ما احلّ اللّه تبارک و تعالی ففیه صلاح العباد و بقاء هم و لهم الیه الحاجة الّتی لایستغنون عنها و وجدنا المحرّم من الاشیاء لاحاجة للعباد الیه و وجدناه مفسدا داعیا إلی الفناء و الهلاک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یافتیم که هر چه را خداوند حلال فرموده مصلحت بندگان و بقای ایشان به آن بستگی دارد و بندگان سخت به آن نیازمندند و هر چه را که حرام فرموده مردم به آن نیازی ندارند و فساد و هلاکت آنان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حضرت رضا علیه‌السلام درباره علّت اباحه و حرمت اشیا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تبارک و تعالی لم یُبِحْ أکلاً و لاشربا اِلاّ لما فیه المنفعة و الصلاح و لم یحرّم الاّ ما فیه الضرر و التلف و الفساد</w:t>
      </w:r>
      <w:r>
        <w:rPr>
          <w:rStyle w:val="FootnoteAnchor"/>
          <w:rtl w:val="true"/>
        </w:rPr>
        <w:footnoteReference w:id="5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خدای تبارک و تعالی هیچ خوردنی و آشامیدنی را مباح نفرموده مگر به خاطر منفعت و مصلحتی که در آن هست و حرام نفرموده مگر چیزی را که در آن زیان و تلف و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آن حضرت درباره علّت حرمت زنا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الزنا لما فیه من الفساد من قتل الأنفس و ذهاب الأنساب و ترک التربیة للأطفال و فساد</w:t>
      </w:r>
    </w:p>
    <w:p>
      <w:pPr>
        <w:pStyle w:val="BookText"/>
        <w:rPr/>
      </w:pPr>
      <w:r>
        <w:rPr>
          <w:rFonts w:ascii="IRNazanin" w:hAnsi="IRNazanin" w:eastAsia="IRNazanin"/>
          <w:color w:val="111111"/>
          <w:sz w:val="28"/>
          <w:sz w:val="28"/>
          <w:szCs w:val="28"/>
          <w:rtl w:val="true"/>
          <w:lang w:bidi="fa-IR"/>
        </w:rPr>
        <w:t>المواریث و ما أشبه ذلک من وجوه الفساد</w:t>
      </w:r>
      <w:r>
        <w:rPr>
          <w:rStyle w:val="FootnoteAnchor"/>
          <w:rtl w:val="true"/>
        </w:rPr>
        <w:footnoteReference w:id="5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 زنا مفاسدی از قبیل قتل نفس و از بین رفتن نسب اشخاصّ و ترک تربیت فرزندان و تباه شدن مواریث و فسادهایی مانند آنها، مترتب می‌شود، خداوند آن را حرام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علّت تشریع زکات، امام صادق علیه‌السلام فرموده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وضعت الزکاة اختبارا للاغنیاء و معونة للفقراء و لو أنّ الناس أدّوا زکاة اموالهم ما بقی </w:t>
      </w:r>
      <w:bookmarkStart w:id="507" w:name="pg4331_49338"/>
    </w:p>
    <w:p>
      <w:pPr>
        <w:pStyle w:val="BookText"/>
        <w:rPr/>
      </w:pPr>
      <w:bookmarkEnd w:id="507"/>
      <w:r>
        <w:rPr>
          <w:rFonts w:ascii="IRNazanin" w:hAnsi="IRNazanin" w:eastAsia="IRNazanin"/>
          <w:color w:val="111111"/>
          <w:sz w:val="28"/>
          <w:sz w:val="28"/>
          <w:szCs w:val="28"/>
          <w:rtl w:val="true"/>
          <w:lang w:bidi="fa-IR"/>
        </w:rPr>
        <w:t>مسلمٌ فقیرا محتاجا و لأستغنی بما فرض اللّه و انّ الناس ما افتقروا و لااحتاجوا و لاجاعوا و لاعَرَوا الاّ بذنوب الاغنیاء</w:t>
      </w:r>
      <w:r>
        <w:rPr>
          <w:rStyle w:val="FootnoteAnchor"/>
          <w:rtl w:val="true"/>
        </w:rPr>
        <w:footnoteReference w:id="5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زکات به خاطر آزمایش ثروتمندان و کمک به فقیران تشریع شده است و اگر مردم زکات اموال خود را بدهند هیچ مسلمانی نیازمند و محتاج باقی نمی‌ماند و با همین فریضه الهی بی‌نیاز می‌شود و همانا مردم فقیر و محتاج و گرسنه و برهنه نمی‌مانند مگر به خاطر گناه ثروتمندان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علّت تحریم ربا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العلّة فی تحریم الربا بالنسیئة لعلّة ذهاب المعروف و تلف الاموال و رغبة الناس فی الربح و ترکهم القرض و صنایع المعروف و لما فی ذلک من الفساد و الظلم و فناء الأموال</w:t>
      </w:r>
      <w:r>
        <w:rPr>
          <w:rStyle w:val="FootnoteAnchor"/>
          <w:rtl w:val="true"/>
        </w:rPr>
        <w:footnoteReference w:id="5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تحریم ربا آن است که باعث از بین رفتن معروف و تلف اموال و گرایش مردم به سودجویی و قرض ندادن و ترک کارهای خوب و نیز باعث فساد و ستم و نابودی اموال می‌شود</w:t>
      </w:r>
      <w:r>
        <w:rPr>
          <w:rFonts w:eastAsia="IRNazanin" w:cs="IRNazanin"/>
          <w:color w:val="111111"/>
          <w:sz w:val="28"/>
          <w:szCs w:val="28"/>
          <w:rtl w:val="true"/>
          <w:lang w:bidi="fa-IR"/>
        </w:rPr>
        <w:t>».</w:t>
      </w:r>
    </w:p>
    <w:p>
      <w:pPr>
        <w:pStyle w:val="Heading4"/>
        <w:numPr>
          <w:ilvl w:val="3"/>
          <w:numId w:val="1"/>
        </w:numPr>
        <w:rPr/>
      </w:pPr>
      <w:bookmarkStart w:id="508" w:name="__RefHeading___Toc1014961_1479056682"/>
      <w:bookmarkStart w:id="509" w:name="_Toc185"/>
      <w:bookmarkEnd w:id="508"/>
      <w:r>
        <w:rPr>
          <w:rtl w:val="true"/>
        </w:rPr>
        <w:t xml:space="preserve">ب </w:t>
      </w:r>
      <w:r>
        <w:rPr>
          <w:rtl w:val="true"/>
        </w:rPr>
        <w:t xml:space="preserve">- </w:t>
      </w:r>
      <w:r>
        <w:rPr>
          <w:rtl w:val="true"/>
        </w:rPr>
        <w:t>تغییر حکم بر اساس تغییر مصلحت</w:t>
      </w:r>
      <w:bookmarkEnd w:id="509"/>
    </w:p>
    <w:p>
      <w:pPr>
        <w:pStyle w:val="BookText"/>
        <w:rPr/>
      </w:pPr>
      <w:r>
        <w:rPr>
          <w:rFonts w:ascii="IRNazanin" w:hAnsi="IRNazanin" w:eastAsia="IRNazanin"/>
          <w:color w:val="111111"/>
          <w:sz w:val="28"/>
          <w:sz w:val="28"/>
          <w:szCs w:val="28"/>
          <w:rtl w:val="true"/>
          <w:lang w:bidi="fa-IR"/>
        </w:rPr>
        <w:t>چنان که گفته شد اصل تابعیت احکام از مصالح و مفاسد یکی از اصول معتبر اسلامی است که زیربنای بسیاری از تغییرات احکام نیز می‌باشد، زیرا مصالح و مفاسدی که زیربنا و علل احکام شرعیه است، این گونه نیست که تمام آنها دائمی و ثابت باشند بلکه</w:t>
      </w:r>
    </w:p>
    <w:p>
      <w:pPr>
        <w:pStyle w:val="BookText"/>
        <w:rPr/>
      </w:pPr>
      <w:r>
        <w:rPr>
          <w:rFonts w:ascii="IRNazanin" w:hAnsi="IRNazanin" w:eastAsia="IRNazanin"/>
          <w:color w:val="111111"/>
          <w:sz w:val="28"/>
          <w:sz w:val="28"/>
          <w:szCs w:val="28"/>
          <w:rtl w:val="true"/>
          <w:lang w:bidi="fa-IR"/>
        </w:rPr>
        <w:t>بسیاری از مصالح و مفاسد احکام ناشی از شرایط زمانی و مکانی است و ممکن است برخی از مصالح در زمانی مصلحت به حساب آید و در زمانی دیگر مصلحت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شرح تجرید می‌گوید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 وابسته به مصالح است و مصالح با تغییر اوقات تغییر می‌یابد و به اختلاف مکلفین اختلاف پیدا می‌کند، بنابراین ممکن است حکمی معیّن در مورد قومی در زمانی مصلحت باشد و به آن امر شود و همان حکم در مورد قومی دیگر، در زمانی دیگر، مفسده باشد و از آن نهی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جای این سؤال است که چه احکامی ثابت و چه احکامی متغیّرند؟</w:t>
      </w:r>
    </w:p>
    <w:p>
      <w:pPr>
        <w:pStyle w:val="BookText"/>
        <w:rPr/>
      </w:pPr>
      <w:r>
        <w:rPr>
          <w:rFonts w:ascii="IRNazanin" w:hAnsi="IRNazanin" w:eastAsia="IRNazanin"/>
          <w:color w:val="111111"/>
          <w:sz w:val="28"/>
          <w:sz w:val="28"/>
          <w:szCs w:val="28"/>
          <w:rtl w:val="true"/>
          <w:lang w:bidi="fa-IR"/>
        </w:rPr>
        <w:t>با توجه به تبعیّت احکام از مصالح و مفاسد و با توجه به آن که برخی از مصالح و مفاسد همیشگی و دائمی و برخی متغیر و موقت است، لذا می‌توان احکام را نیز به دو دسته ثابت و متغیر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احکام عبادی مصالح به نحو مطلق، همیشگی و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نماز، روزه،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دائمی است، به خاطر آن که از مصالح دائمی برخوردار است و احکام منکراتی مانند زنا، ربا، سرقت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 و مکان خاصی نیست، زیرا مفاسد آنها دائمی است و هرگز تغییر نمی‌کند، لذا امکان ندارد در شرایط و زمانی خاصّ ، یا برای فردی خاص، زنا جایز و حلال باشد و یا ربا و سرقت نیز محکوم به حلیّت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مصالح و مفاسد احکام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و 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است، حکم آنها نیز دائمی می‌باشد؛ امّا برخی از مصالح و مفاسد برخاسته از اوضاع زمانی و مکانی است و چنان که در کلام علاّمه حلّی دیدیم، ممکن است برخی از مصالح در زمانی مصلحت به حساب آید و در زمانی دیگر مصلحت نباشد و یا تبدیل به مفسده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چیزی بر اساس مصلحت در زمان گذشته واجب و مطلوب معرفی شده، همان چیز ممکن است در زمان دیگر بر اساس فقدان آن مصلحت، وجوب خود را از دست بدهد و یا بر اساس مفسده لاحق، حرام و مبغوض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چیزی بر اساس مفسده پیشین در زمان سابق حرام اعلام شده است، همان چیز ممکن است در زمان دیگر بر اساس از بین رفتن مفسده، حرمت سابق را نداشته باشد و یا این که بر اساس مصلحت لاحق، در زمان لاحق، واجب و مطلوب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حضرت رضا علیه‌السلام در ادامه سخنانی که به آنها اشاره کردیم می‌فرماید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رأیناه تبارک و تعالی قد احلّ بعض ما حرّم فی وقت الحاجة لما فیه من الصلاح فی ذلک الوقت، نظیر ما احلّ من المیتة و الدم و لحم الخنزیر اذا ضطرّ الیه المضطرّ لما فی ذلک الوقت من الصلاح و العصمة و دفع الموت</w:t>
      </w:r>
      <w:r>
        <w:rPr>
          <w:rStyle w:val="FootnoteAnchor"/>
          <w:rtl w:val="true"/>
        </w:rPr>
        <w:footnoteReference w:id="5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می‌بینیم که خدای تبارک و تعالی بعضی از محرمات را در وقت نیاز مردم بر اساس مصلحت زمان، حلال گردانیده است، نظیر تحلیل مردار و خون و گوشت خوک در صورتی که کسی </w:t>
      </w:r>
      <w:bookmarkStart w:id="510" w:name="pg4331_49342"/>
    </w:p>
    <w:p>
      <w:pPr>
        <w:pStyle w:val="BookText"/>
        <w:rPr/>
      </w:pPr>
      <w:bookmarkEnd w:id="510"/>
      <w:r>
        <w:rPr>
          <w:rFonts w:ascii="IRNazanin" w:hAnsi="IRNazanin" w:eastAsia="IRNazanin"/>
          <w:color w:val="111111"/>
          <w:sz w:val="28"/>
          <w:sz w:val="28"/>
          <w:szCs w:val="28"/>
          <w:rtl w:val="true"/>
          <w:lang w:bidi="fa-IR"/>
        </w:rPr>
        <w:t>به آنها نیازمند و مضطرّ شود، زیرا در آن موقع صلاح و حفظ و نجات از مرگ در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علیه‌السلام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بین الحلال و الحرام الا شی‌ء یسیر یحوّله من شی‌ءٍ الی شی‌ء فیصیر حلالاً و حراما</w:t>
      </w:r>
      <w:r>
        <w:rPr>
          <w:rStyle w:val="FootnoteAnchor"/>
          <w:rtl w:val="true"/>
        </w:rPr>
        <w:footnoteReference w:id="5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حلال و حرام فاصله‌ای جز فاصله اندک نیست که باعث می‌شود چیزی به چیز دیگر تبدیل شود و در نتیجه حلال و حرام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حلال تبدیل به حرام و حرام تبدیل به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تبیین و توضیح کلام امام صادق علیه‌السلام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حالات و اوقات و زمانها موجب تغییر حکم می‌شود، به خاطر آن که حکمت حکم تبدّل می‌یابد، مانند حرمت مردار در حال اختیار و حلیت آن در حال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حکم بر مبنای تغییر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مسلّمی است که در فقه فریقین مطرح است و بحث مبسوط درباره آن، مجال دیگری می‌طلبد و معمولاً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زمان و مکان در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بحث کرد</w:t>
      </w:r>
      <w:r>
        <w:rPr>
          <w:rFonts w:eastAsia="IRNazanin" w:cs="IRNazanin"/>
          <w:color w:val="111111"/>
          <w:sz w:val="28"/>
          <w:szCs w:val="28"/>
          <w:rtl w:val="true"/>
          <w:lang w:bidi="fa-IR"/>
        </w:rPr>
        <w:t>.</w:t>
      </w:r>
    </w:p>
    <w:p>
      <w:pPr>
        <w:pStyle w:val="Heading4"/>
        <w:numPr>
          <w:ilvl w:val="3"/>
          <w:numId w:val="1"/>
        </w:numPr>
        <w:rPr/>
      </w:pPr>
      <w:bookmarkStart w:id="511" w:name="__RefHeading___Toc1014963_1479056682"/>
      <w:bookmarkStart w:id="512" w:name="_Toc186"/>
      <w:bookmarkEnd w:id="511"/>
      <w:r>
        <w:rPr>
          <w:rtl w:val="true"/>
        </w:rPr>
        <w:t>مصالح مرسله</w:t>
      </w:r>
      <w:bookmarkEnd w:id="512"/>
    </w:p>
    <w:p>
      <w:pPr>
        <w:pStyle w:val="BookText"/>
        <w:rPr/>
      </w:pPr>
      <w:r>
        <w:rPr>
          <w:rFonts w:ascii="IRNazanin" w:hAnsi="IRNazanin" w:eastAsia="IRNazanin"/>
          <w:color w:val="111111"/>
          <w:sz w:val="28"/>
          <w:sz w:val="28"/>
          <w:szCs w:val="28"/>
          <w:rtl w:val="true"/>
          <w:lang w:bidi="fa-IR"/>
        </w:rPr>
        <w:t>در مبحث قبل گفتیم بنابر نظریّه معروف عدلیّه و معتزله احکام شرع بر اساس مصالح و مفاسد جعل می‌شود و مقصد شارع از تشریع احکام، تحقّق یافتن مصالح مردم و دفع مفاسد از ایشان است و شارع به هنگام تشریع احکام، چیزی را که جنبه مصلحت و منفعت آن غلبه دارد، مباح دانسته و هر آنچه جنبه مضرت و مفسده آن غالب بوده تحریم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مبانی و منابع احکام از نظر عدّه‌ای از علمای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غزّالی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کتاب المستصفی من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الاصول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الرابع من الاصول الموهومة الاستصلاح</w:t>
      </w:r>
      <w:r>
        <w:rPr>
          <w:rStyle w:val="FootnoteAnchor"/>
          <w:rtl w:val="true"/>
        </w:rPr>
        <w:footnoteReference w:id="586"/>
      </w:r>
      <w:bookmarkStart w:id="513" w:name="pg4331_49344"/>
    </w:p>
    <w:p>
      <w:pPr>
        <w:pStyle w:val="BookText"/>
        <w:rPr/>
      </w:pPr>
      <w:bookmarkEnd w:id="513"/>
      <w:r>
        <w:rPr>
          <w:rFonts w:ascii="IRNazanin" w:hAnsi="IRNazanin" w:eastAsia="IRNazanin"/>
          <w:color w:val="111111"/>
          <w:sz w:val="28"/>
          <w:sz w:val="28"/>
          <w:szCs w:val="28"/>
          <w:rtl w:val="true"/>
          <w:lang w:bidi="fa-IR"/>
        </w:rPr>
        <w:t xml:space="preserve">غزالی ادلّه اصلی احکام را چهار دلیل می‌داند و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xml:space="preserve">و بعد از تبیین این چهار دلیل اصلی، از چهار دلیل دیگر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موهومه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قبل از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سالفه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صحابی، استحسان و استصلاح</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موهومه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لحاظ باشد که این ادلّه مفید ظنّ به حکم شرعی می‌باشند و چنان که قبلاً گفتیم، قیاس و استحسان و مصالح مرسله و سدّ ذرایع همه از ادلّه ظنیّه می‌باشند و از منابع تبعی و درجه دوم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قبل از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شود تا معنی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آید</w:t>
      </w:r>
      <w:r>
        <w:rPr>
          <w:rFonts w:eastAsia="IRNazanin" w:cs="IRNazanin"/>
          <w:color w:val="111111"/>
          <w:sz w:val="28"/>
          <w:szCs w:val="28"/>
          <w:rtl w:val="true"/>
          <w:lang w:bidi="fa-IR"/>
        </w:rPr>
        <w:t>.</w:t>
      </w:r>
    </w:p>
    <w:p>
      <w:pPr>
        <w:pStyle w:val="Heading4"/>
        <w:numPr>
          <w:ilvl w:val="3"/>
          <w:numId w:val="1"/>
        </w:numPr>
        <w:rPr/>
      </w:pPr>
      <w:bookmarkStart w:id="514" w:name="__RefHeading___Toc1014965_1479056682"/>
      <w:bookmarkStart w:id="515" w:name="_Toc187"/>
      <w:bookmarkEnd w:id="514"/>
      <w:r>
        <w:rPr>
          <w:rtl w:val="true"/>
        </w:rPr>
        <w:t>تعریف مصلحت و اقسام آن</w:t>
      </w:r>
      <w:bookmarkEnd w:id="515"/>
    </w:p>
    <w:p>
      <w:pPr>
        <w:pStyle w:val="BookText"/>
        <w:rPr/>
      </w:pPr>
      <w:r>
        <w:rPr>
          <w:rFonts w:ascii="IRNazanin" w:hAnsi="IRNazanin" w:eastAsia="IRNazanin"/>
          <w:color w:val="111111"/>
          <w:sz w:val="28"/>
          <w:sz w:val="28"/>
          <w:szCs w:val="28"/>
          <w:rtl w:val="true"/>
          <w:lang w:bidi="fa-IR"/>
        </w:rPr>
        <w:t>محقّق حلّی در کتاب معارج الاصول در تعریف مصلحت و اقسام آن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عبارت است از چیزی که انسان را در مقاصدش مساعدت می‌کند خواه این مقاصد در امور دنیوی یا آخرتی یا هر دو باشد و حاصل و نتیجه مصلحت عبارت است از تحصیل منفعت یا دفع مضرت و چون که امور شرعی مبتنی بر مصالح می‌باشد واجب است که در رعایت آنها دقت نظر به عمل آید و مصالح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معتبر شرعی، مصالح الغا شده و مصالح مرسله</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وی سپس برای هر یک از این سه قسم مصلحت مثالهایی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کتاب المستصفی در تعریف مصلحت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در اصل عبارت است از جلب منفعت یا دفع مضرت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وی سپس می‌گوید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ما از مصلحت، جلب منفعت و دفع مضرت دنیوی نیست، بلکه </w:t>
      </w:r>
      <w:bookmarkStart w:id="516" w:name="pg4331_49346"/>
    </w:p>
    <w:p>
      <w:pPr>
        <w:pStyle w:val="BookText"/>
        <w:rPr/>
      </w:pPr>
      <w:bookmarkEnd w:id="516"/>
      <w:r>
        <w:rPr>
          <w:rFonts w:ascii="IRNazanin" w:hAnsi="IRNazanin" w:eastAsia="IRNazanin"/>
          <w:color w:val="111111"/>
          <w:sz w:val="28"/>
          <w:sz w:val="28"/>
          <w:szCs w:val="28"/>
          <w:rtl w:val="true"/>
          <w:lang w:bidi="fa-IR"/>
        </w:rPr>
        <w:t>مقصود از مصلحت، محافظت بر مقاصد شرع است و مقاصد شرع پنج چیز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دین مردم، حفظ نفس ایشان، حفظ عقل مردم، حفظ نسل ایشان و حفظ مال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چیزی که متضمن این اصول پنج گانه باشد، مصلحت خواهد بود و هر چه مایه از دست رفتن آنها شود، مفسده است و دفع آن مصلحت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در ارشاد الفحول درباره مصلحت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 گفته است منظور از مصلحت محافظت بر مقصود شرع است که این مقصود با دفع مفاسد از مردم حاصل می‌شود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حنابله، مصلحت را چنین تعریف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عبارت است از سببی که انسان را به مقصود شرع می‌رساند، خواه این سبب از امور عبادی باشد، یا از امور عادی</w:t>
      </w:r>
      <w:r>
        <w:rPr>
          <w:rFonts w:eastAsia="IRNazanin" w:cs="IRNazanin"/>
          <w:color w:val="111111"/>
          <w:sz w:val="28"/>
          <w:szCs w:val="28"/>
          <w:rtl w:val="true"/>
          <w:lang w:bidi="fa-IR"/>
        </w:rPr>
        <w:t>.</w:t>
      </w:r>
      <w:r>
        <w:rPr>
          <w:rStyle w:val="FootnoteAnchor"/>
          <w:rtl w:val="true"/>
        </w:rPr>
        <w:footnoteReference w:id="592"/>
      </w:r>
    </w:p>
    <w:p>
      <w:pPr>
        <w:pStyle w:val="Heading4"/>
        <w:numPr>
          <w:ilvl w:val="3"/>
          <w:numId w:val="1"/>
        </w:numPr>
        <w:rPr/>
      </w:pPr>
      <w:bookmarkStart w:id="517" w:name="__RefHeading___Toc1014967_1479056682"/>
      <w:bookmarkStart w:id="518" w:name="_Toc188"/>
      <w:bookmarkEnd w:id="517"/>
      <w:r>
        <w:rPr>
          <w:rtl w:val="true"/>
        </w:rPr>
        <w:t>تعریف ارسال</w:t>
      </w:r>
      <w:bookmarkEnd w:id="518"/>
    </w:p>
    <w:p>
      <w:pPr>
        <w:pStyle w:val="BookText"/>
        <w:rPr/>
      </w:pPr>
      <w:r>
        <w:rPr>
          <w:rFonts w:ascii="IRNazanin" w:hAnsi="IRNazanin" w:eastAsia="IRNazanin"/>
          <w:color w:val="111111"/>
          <w:sz w:val="28"/>
          <w:sz w:val="28"/>
          <w:szCs w:val="28"/>
          <w:rtl w:val="true"/>
          <w:lang w:bidi="fa-IR"/>
        </w:rPr>
        <w:t xml:space="preserve">در تبیین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ارسال مصلحت آن است که عقل در ادراک مصلحت احکام حوادث واقعه، مستقلّ و آزاد است و متکّی بر هیچ نصّ شرعی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ارسال آن است که در استخراج احکام حوادث واقعه، متکی بر نصّ خاصی نباشیم، بلکه حکم این حوادث در ضمن نصوص عامّ بیان شده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اختلاف در معنی ارسال، سبب شده است که علما در تعریف مصالح مرسله نیز تعاریف مختلفی را بیان کنند</w:t>
      </w:r>
      <w:r>
        <w:rPr>
          <w:rFonts w:eastAsia="IRNazanin" w:cs="IRNazanin"/>
          <w:color w:val="111111"/>
          <w:sz w:val="28"/>
          <w:szCs w:val="28"/>
          <w:rtl w:val="true"/>
          <w:lang w:bidi="fa-IR"/>
        </w:rPr>
        <w:t xml:space="preserve">. </w:t>
      </w:r>
      <w:bookmarkStart w:id="519" w:name="pg4331_49348"/>
    </w:p>
    <w:p>
      <w:pPr>
        <w:pStyle w:val="Heading4"/>
        <w:numPr>
          <w:ilvl w:val="3"/>
          <w:numId w:val="1"/>
        </w:numPr>
        <w:rPr/>
      </w:pPr>
      <w:bookmarkStart w:id="520" w:name="__RefHeading___Toc1014969_1479056682"/>
      <w:bookmarkStart w:id="521" w:name="_Toc189"/>
      <w:bookmarkEnd w:id="519"/>
      <w:bookmarkEnd w:id="520"/>
      <w:r>
        <w:rPr>
          <w:rtl w:val="true"/>
        </w:rPr>
        <w:t>تعریف مصالح مرسله</w:t>
      </w:r>
      <w:bookmarkEnd w:id="5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برهان در تعریف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مصالح مرسله، عبارت است از دلیلی که مستند به اصل کلّی یا جزیی نباشد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معروف الدوالیبی در کتاب المدخل الی علم اصول الفقه از مصالح مرسله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و در تعریف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استصلاح در حقیقت نوعی اجتهاد به رأی است که مبتنی بر مصلحت می‌باشد و آن در هر مسأله‌ای است که در شریعت در مورد آن نصی وارد نشده باشد و نیز برای آن در شریعت نظایری نباشد که به آن قیاس شود و حکم آن مسأله مبتنی بر قواعد کلّی و عامه‌ای است که دال بر آنند که در شریعت هیچ مسأله‌ای بدون مصلحت نیست و این قواعد عامّه نظیر قول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یأمر بالعدل و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نظیر قول پیامبر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و لاضرار</w:t>
      </w:r>
      <w:r>
        <w:rPr>
          <w:rStyle w:val="FootnoteAnchor"/>
          <w:rtl w:val="true"/>
        </w:rPr>
        <w:footnoteReference w:id="5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تهانوی در کشاف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 نزد اصولیین عبارتند از اوصافی که علیت آنها معروف و معلوم است، یعنی بدون تأیید و گواهی اصول ادلّه بلکه به مجرد وهم و خیال، توهم و خیال علیت آنها در قلب واقع می‌شود و شرع بر اعتبار و بر ابطال آنها گواهی نمی‌دهد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الفقه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مصالح موصوف به ارسال شده به خاطر آن که از جانب شارع دلیلی شرعی بر اعتبار یا الغای آن نرسیده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مصطفی احمد الزرقاء در کتاب المدخل الفقهی العام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المصالح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 مصلحة لم یرد فی الشرع نصّ علی اعتبارها بعینها او بنوعها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مصالح مرسله عبارت است از هر مصلحتی که در شرع درباره عین آن </w:t>
      </w:r>
    </w:p>
    <w:p>
      <w:pPr>
        <w:pStyle w:val="BookText"/>
        <w:rPr/>
      </w:pPr>
      <w:r>
        <w:rPr>
          <w:rFonts w:ascii="IRNazanin" w:hAnsi="IRNazanin" w:eastAsia="IRNazanin"/>
          <w:color w:val="111111"/>
          <w:sz w:val="28"/>
          <w:sz w:val="28"/>
          <w:szCs w:val="28"/>
          <w:rtl w:val="true"/>
          <w:lang w:bidi="fa-IR"/>
        </w:rPr>
        <w:t>مصلحت یا نوع آن، نصّی بر اعتبارش وارد نشده است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توضیح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تعاریف مذکور ؛ تمام مصالح غیر منصوصه که عقل قادر به درک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منصوص شرعی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مصلحت منصوصه بالخصوص و دیگری مصلحت منصوصه به طور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کریم قصاص را مایه حیات می‌داند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حیاة یا اُولی الالباب لعلکم تتقّون</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قصاص حیات و زندگی است ای صاحبان خرد تا شما تقوی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ملاحظه می‌کنیم، قرآن می‌گوید قصاص مایه صیانت و حفظ حیات و امنیت اجتماعی است و این یک مصلحت منصوصه است که بالخصوص نص قرآنی دارد و قرآن برای پرهیز از هرگونه تعدی و تجاوز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حکیمانه را تکمیل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 در مورد وجوب تعلیم و نشر علم و تفقه در دین و امر به انواع معروف و نهی از تمام منکرات، نصوصی عامّ و کلّی در قرآن آمده است و مصلحت این امور به طور عامّ در آیات قرآن و نیز در احادیث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وجود دارد که نه از حکم</w:t>
      </w:r>
    </w:p>
    <w:p>
      <w:pPr>
        <w:pStyle w:val="BookText"/>
        <w:rPr/>
      </w:pPr>
      <w:r>
        <w:rPr>
          <w:rFonts w:ascii="IRNazanin" w:hAnsi="IRNazanin" w:eastAsia="IRNazanin"/>
          <w:color w:val="111111"/>
          <w:sz w:val="28"/>
          <w:sz w:val="28"/>
          <w:szCs w:val="28"/>
          <w:rtl w:val="true"/>
          <w:lang w:bidi="fa-IR"/>
        </w:rPr>
        <w:t xml:space="preserve">و نه از مصالح آنها، در نصوص کتاب و سنت، ذکری به میان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از قبیل مالانصّ فیه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و قایلین به مصالح مرسله می‌گویند عقل در امور غیر منصوص می‌تواند مصلحت یا مفسده آنها را درک کند و فقیه می‌تواند بر طبق آن مصلحت یا مفسده، حکمی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مسائل مستحدثه‌ای مانند مسأله بیمه و حقوق گمرکی، اوراق بهادار و پیوند اعضا که در نصوص اسلامی حکمی درباره آنها وجود ندارد و حتّی احکام مشابهی نیز وجود ندارد که بتوان این موارد را بر آنها قیاس کرد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گونه امور فقه اهل سنّت به فقیه این حق را می‌دهد که مصالح و مفاسد آنها را بسنجد و مرجحات را نیز در نظر بگیرد و سپس بر طبق حدس و گمان خود حکمی را </w:t>
      </w:r>
      <w:bookmarkStart w:id="522" w:name="pg4331_49352"/>
    </w:p>
    <w:p>
      <w:pPr>
        <w:pStyle w:val="BookText"/>
        <w:rPr/>
      </w:pPr>
      <w:bookmarkEnd w:id="522"/>
      <w:r>
        <w:rPr>
          <w:rFonts w:ascii="IRNazanin" w:hAnsi="IRNazanin" w:eastAsia="IRNazanin"/>
          <w:color w:val="111111"/>
          <w:sz w:val="28"/>
          <w:sz w:val="28"/>
          <w:szCs w:val="28"/>
          <w:rtl w:val="true"/>
          <w:lang w:bidi="fa-IR"/>
        </w:rPr>
        <w:t xml:space="preserve">بیان کند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فقه شیعه نیز به مصالح و مفاسد احکام اهمّیّت داده شده است و بلکه مصالح و مفاسد، زیر بنای احکام قلمداد شده‌اند، ولی صدور حکم در موارد غیر منصوص، با توجه به قواعد کلّی مستفاد از کتاب خدا و سنّت پیامبر صلی‌الله‌علیه‌و‌آله و احادیث ائمه اهل بیت علیهم‌السلام می‌باشد که در این مورد بعدا به تفصیل بحث خواهد شد</w:t>
      </w:r>
      <w:r>
        <w:rPr>
          <w:rFonts w:eastAsia="IRNazanin" w:cs="IRNazanin"/>
          <w:color w:val="111111"/>
          <w:sz w:val="28"/>
          <w:szCs w:val="28"/>
          <w:rtl w:val="true"/>
          <w:lang w:bidi="fa-IR"/>
        </w:rPr>
        <w:t>.</w:t>
      </w:r>
    </w:p>
    <w:p>
      <w:pPr>
        <w:pStyle w:val="Heading4"/>
        <w:numPr>
          <w:ilvl w:val="3"/>
          <w:numId w:val="1"/>
        </w:numPr>
        <w:rPr/>
      </w:pPr>
      <w:bookmarkStart w:id="523" w:name="__RefHeading___Toc1014971_1479056682"/>
      <w:bookmarkStart w:id="524" w:name="_Toc190"/>
      <w:bookmarkEnd w:id="523"/>
      <w:r>
        <w:rPr>
          <w:rtl w:val="true"/>
        </w:rPr>
        <w:t>انواع مصالح و مفاسد</w:t>
      </w:r>
      <w:bookmarkEnd w:id="524"/>
    </w:p>
    <w:p>
      <w:pPr>
        <w:pStyle w:val="BookText"/>
        <w:rPr/>
      </w:pPr>
      <w:r>
        <w:rPr>
          <w:rFonts w:ascii="IRNazanin" w:hAnsi="IRNazanin" w:eastAsia="IRNazanin"/>
          <w:color w:val="111111"/>
          <w:sz w:val="28"/>
          <w:sz w:val="28"/>
          <w:szCs w:val="28"/>
          <w:rtl w:val="true"/>
          <w:lang w:bidi="fa-IR"/>
        </w:rPr>
        <w:t>فقهای اهل سنّت مصالح و مفاسد را از دیدگاه شرع به سه بخش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غزالی در کتاب المستصفی مصالح را به سه نوع تقسیم می‌کند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مصالح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مصالح عبارتند از مصالحی که متضمن یکی از مقاصد پنج گانه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غزالی در این مورد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ما از مصلحت محافظت بر مقصود شرع است و مقاصد شرع در مورد مردم پنج چیز است که عبارتند از ؛ حفظ دین مردم، حفظ جان ایشان، حفظ عقل و نسل و مال ایشان، پس هر چیزی که متضمن این اصول پنج گانه باشد، مصلحت خواهد بود و هر چه مایه از دست رفتن آنها شود مفسده است و دفع آن مصلحت می‌باشد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غزالی در ادامه بحث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و رعایت این اصول پنج گانه در رتبه اموری است که از قویترین مراتب مصالح می‌باشند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آنگاه وی به عنوان مثال نمونه‌هایی از احکام شرع را که برای حفظ این نوع از مصالح تشریع شده ذکر می‌کند، که آنها عبارتند از</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تشریع جهاد و حکم شرع به کشتن کافر گمراه کننده برای حفظ دین، تشریع و جعل حدّ بر شارب خمر برای حفظ عقل، تشریع قصاص برای حفظ جانها و نفوس، تشریع و </w:t>
      </w:r>
    </w:p>
    <w:p>
      <w:pPr>
        <w:pStyle w:val="BookText"/>
        <w:rPr/>
      </w:pPr>
      <w:r>
        <w:rPr>
          <w:rFonts w:ascii="IRNazanin" w:hAnsi="IRNazanin" w:eastAsia="IRNazanin"/>
          <w:color w:val="111111"/>
          <w:sz w:val="28"/>
          <w:sz w:val="28"/>
          <w:szCs w:val="28"/>
          <w:rtl w:val="true"/>
          <w:lang w:bidi="fa-IR"/>
        </w:rPr>
        <w:t>جعل حدّ سرقت برای حفظ اموال، تشریع حد زنا برای حفظ نسب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مصالح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مصالحی است که هر چند مانند دسته اوّل ضروری نیستند، اما حفظ نظام معمول زندگی بشر متوقف بر آنهاست و رعایت آنها باعث رفاه و گشایش در امور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مصالحی که در احکام بیع و اجاره و نکاح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تجویز و تشریع اجاره جهت رفع نیاز مردم است و یا مثلاً نصب ولی بر صغیره در امر نکاح به جهت رعایت مصلحت و دفاع از منافع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مصالح تکمیلی و تحسینی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مصالح مربوط به اعمالی می‌شود که با ترک آنها زندگی انسان دچار اختلال و مشقت نمی‌شود، ولی رعایت آنها از مکارم اخلاق و محاسن عادات محسوب می‌گردد، مانند فراگرفتن هر مهارت و هنری که موجب کمال است و مانند رعایت منهج و روش نیکو در آداب و معاشرت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شهید اوّل در کتاب القواعد و الفوائد نیز همین تقسیم مشهور اهل سنّت را درباره مصالح آورده است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ضروریّه، مانند نفقه انسان بر خود، مصالح حاجیّه، مانند نفقه بر همسرش و مصالح تمامیّه، مانند نفقه نزدیکان، زیرا چنین نفقه‌ای باعث کمال و تمامیت اخلاق انسان می‌شود،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اقسام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قسم دوم مقدّم است، چنان که قسم دوم بر قسم سوم مقدّم می‌باشد</w:t>
      </w:r>
      <w:r>
        <w:rPr>
          <w:rFonts w:eastAsia="IRNazanin" w:cs="IRNazanin"/>
          <w:color w:val="111111"/>
          <w:sz w:val="28"/>
          <w:szCs w:val="28"/>
          <w:rtl w:val="true"/>
          <w:lang w:bidi="fa-IR"/>
        </w:rPr>
        <w:t>».</w:t>
      </w:r>
      <w:r>
        <w:rPr>
          <w:rStyle w:val="FootnoteAnchor"/>
          <w:rtl w:val="true"/>
        </w:rPr>
        <w:footnoteReference w:id="60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تقسیم بندی، ثمرات فقهی مهمی مترتب می‌شود و همان طور که در کلام شهید اوّل بدان اشاره شد، در مقام تزاحم بین این سه قسم مصالح،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بعدی مقدّم است، زیرا قسم اوّل از اهم مصالح است که متضمن مقاصد خمسه، یعنی حفظ دین و عقل و جان و مال و نسل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مقام تزاحم،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تکمیلی و تحسینی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bookmarkStart w:id="525" w:name="pg4331_49356"/>
    </w:p>
    <w:p>
      <w:pPr>
        <w:pStyle w:val="BookText"/>
        <w:rPr/>
      </w:pPr>
      <w:bookmarkEnd w:id="525"/>
      <w:r>
        <w:rPr>
          <w:rFonts w:ascii="IRNazanin" w:hAnsi="IRNazanin" w:eastAsia="IRNazanin"/>
          <w:color w:val="111111"/>
          <w:sz w:val="28"/>
          <w:sz w:val="28"/>
          <w:szCs w:val="28"/>
          <w:rtl w:val="true"/>
          <w:lang w:bidi="fa-IR"/>
        </w:rPr>
        <w:t>بنابراین، فی المثل هرگاه یک مصلحت و حکم تحسینی با یک مصلحت و حکم ضروری یا حاجتی تزاحم پیدا کند، حق تقدم با حکم ضروری و سپس با حکم حاجتی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شرع برای تشخیص بیماری و درمان آن، اجازه کشف عورت داده شده است، زیرا ستر عورت از امور تحسینیّه است که در نهایت امر مربوط به آداب و معاشرت و رفتار می‌شود، اما معالجه و درمان از ضروریات است، زیرا حفظ و صیانت نفس و عقل انسان به آن بستگی دارد</w:t>
      </w:r>
      <w:r>
        <w:rPr>
          <w:rFonts w:eastAsia="IRNazanin" w:cs="IRNazanin"/>
          <w:color w:val="111111"/>
          <w:sz w:val="28"/>
          <w:szCs w:val="28"/>
          <w:rtl w:val="true"/>
          <w:lang w:bidi="fa-IR"/>
        </w:rPr>
        <w:t>.</w:t>
      </w:r>
    </w:p>
    <w:p>
      <w:pPr>
        <w:pStyle w:val="Heading4"/>
        <w:numPr>
          <w:ilvl w:val="3"/>
          <w:numId w:val="1"/>
        </w:numPr>
        <w:rPr/>
      </w:pPr>
      <w:bookmarkStart w:id="526" w:name="__RefHeading___Toc1014973_1479056682"/>
      <w:bookmarkStart w:id="527" w:name="_Toc191"/>
      <w:bookmarkEnd w:id="526"/>
      <w:r>
        <w:rPr>
          <w:rtl w:val="true"/>
        </w:rPr>
        <w:t>اقسام مصلحت</w:t>
      </w:r>
      <w:bookmarkEnd w:id="527"/>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دیگری وجود دارد و آن بر این اساس است که به طور کلّی مصالح احکام از نظر دلیل شرعی بر اعتبار یا عدم اعتبار آن بر سه قسم است، چنان که قبلاً در تعریف مصلحت، در کلام محقّق حلّی در معارج به این سه قسم اشاره شد، آن جا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المصالح تنقسم ثلاثة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شرعا و ملغاة و مرسلة</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معتبر شرعی، مصالح الغا شده، و مصالح مرسله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اختصار به توضیح هر یک از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مصلحت معتبر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مصلحتی است که بر اعتبار آن، دلیل شرعی قائم</w:t>
      </w:r>
    </w:p>
    <w:p>
      <w:pPr>
        <w:pStyle w:val="BookText"/>
        <w:rPr/>
      </w:pPr>
      <w:r>
        <w:rPr>
          <w:rFonts w:ascii="IRNazanin" w:hAnsi="IRNazanin" w:eastAsia="IRNazanin"/>
          <w:color w:val="111111"/>
          <w:sz w:val="28"/>
          <w:sz w:val="28"/>
          <w:szCs w:val="28"/>
          <w:rtl w:val="true"/>
          <w:lang w:bidi="fa-IR"/>
        </w:rPr>
        <w:t>شده و شارع آن را معتبر دانسته و احکامی را جعل فرموده است تا این نوع مصالح را برآورده سازد، مانند مصلحت حفظ نفس که شرع مقدس، قصاص را به خاطر حفظ همین مصلحت تشریع فرموده است و یا مانند مصلحت حفظ مال که تحریم اکل مال به باطل به خاطر همین مصلحت است و مانند مصلحت حفظ عقل که تحریم خمر و سایر مسکرات، به خاطر حفظ عقل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از مصلحت، به نظر اهل سنّت حجت است و حاصل آن به قیاس برمی‌گردد، زیرا این مصلحت عبارت است از اقتباس حکم، از آنچه از نص و اجماع تعقل می‌شود، چنان که غزالی در المستصفی در این مورد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مصلحتی که شرع بر اعتبار آن گواهی می‌دهد، حجت است و حاصل آن به قیاس باز می‌گردد، که عبارت است از اقتباس حکم از حکم برداشت شده از نص و اجماع</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مصلحت الغاء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مصلحتی است که بر الغای آن، دلیل شرعی قائم شده است، یعنی شارع اعتبار آن را الغا فرموده و بر این الغا، مصالحی را مترتّب ساخته که</w:t>
      </w:r>
    </w:p>
    <w:p>
      <w:pPr>
        <w:pStyle w:val="BookText"/>
        <w:rPr/>
      </w:pPr>
      <w:r>
        <w:rPr>
          <w:rFonts w:ascii="IRNazanin" w:hAnsi="IRNazanin" w:eastAsia="IRNazanin"/>
          <w:color w:val="111111"/>
          <w:sz w:val="28"/>
          <w:sz w:val="28"/>
          <w:szCs w:val="28"/>
          <w:rtl w:val="true"/>
          <w:lang w:bidi="fa-IR"/>
        </w:rPr>
        <w:t>مصلحت آنها بیش از مصلحت الغا شده است، مانند استسلام 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به نظر می‌رسد که در آن مصلحت باشد که همان مصلحت حفظ نفس از قتل است، لکن شارع، این مصلحت را معتبر نمی‌شمارد، بلکه به خاطر مصلحتی ارجح آن را الغا فرموده است، مصلحت ارجح عبارت است از حفظ عزّت و کرامت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برای حفظ کیان امت اسلامی و حفظ کرامت و عزت امت، امر به قتال و مبارزه در برابر دشمن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از مصلحت الغا شده را می‌توان در مثال زیر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مساوات دختر با پسر در سهام ارث، ابتدا مصلحتی به نظر می‌رسد، ولی شارع این مصلحت را الغا فرموده و میان دختر و پسر در ارث تفاوت نهاده است و بر این تفاوت مصلحت دیگری را بنا نهاده که از مصلحت مساوات ارث دختر و پسر، قویتر و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مصلحت قویتر همان الزام مرد به وظایف و مسؤولیتهایی است که زن به آنها ملزم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وجوب نفقه زن بر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مصلحت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مصلحتی است که در شرع دلیلی بر اعتبار یا الغای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نوع از مصالح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زیرا از لحاظ دلیل اعتبار یا الغا مطلق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مصلحت محلّ اختلاف است که آیا می‌تواند مستند تشریع احکام قرار بگیرد ؟</w:t>
      </w:r>
      <w:r>
        <w:rPr>
          <w:rStyle w:val="FootnoteAnchor"/>
          <w:rtl w:val="true"/>
        </w:rPr>
        <w:footnoteReference w:id="60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مصلحت مرسله مربوط به حوادث و وقایعی است که در مورد آنها نصی یا اجماعی وجود ندارد که مبیّن حکم آنها باشد و نیز برای این حوادث نظیری از حوادث و وقایع منصوصه وجود ندارد تا از طریق قیاس و الحاق به آنها حکم حوادث غیر منصوصه نیز </w:t>
      </w:r>
      <w:bookmarkStart w:id="528" w:name="pg4331_49360"/>
    </w:p>
    <w:p>
      <w:pPr>
        <w:pStyle w:val="BookText"/>
        <w:rPr/>
      </w:pPr>
      <w:bookmarkEnd w:id="528"/>
      <w:r>
        <w:rPr>
          <w:rFonts w:ascii="IRNazanin" w:hAnsi="IRNazanin" w:eastAsia="IRNazanin"/>
          <w:color w:val="111111"/>
          <w:sz w:val="28"/>
          <w:sz w:val="28"/>
          <w:szCs w:val="28"/>
          <w:rtl w:val="true"/>
          <w:lang w:bidi="fa-IR"/>
        </w:rPr>
        <w:t>معلوم شود</w:t>
      </w:r>
      <w:r>
        <w:rPr>
          <w:rFonts w:eastAsia="IRNazanin" w:cs="IRNazanin"/>
          <w:color w:val="111111"/>
          <w:sz w:val="28"/>
          <w:szCs w:val="28"/>
          <w:rtl w:val="true"/>
          <w:lang w:bidi="fa-IR"/>
        </w:rPr>
        <w:t>.</w:t>
      </w:r>
    </w:p>
    <w:p>
      <w:pPr>
        <w:pStyle w:val="Heading4"/>
        <w:numPr>
          <w:ilvl w:val="3"/>
          <w:numId w:val="1"/>
        </w:numPr>
        <w:rPr/>
      </w:pPr>
      <w:bookmarkStart w:id="529" w:name="__RefHeading___Toc1014975_1479056682"/>
      <w:bookmarkStart w:id="530" w:name="_Toc192"/>
      <w:bookmarkEnd w:id="529"/>
      <w:r>
        <w:rPr>
          <w:rtl w:val="true"/>
        </w:rPr>
        <w:t>شرایط عمل به مصالح مرسله</w:t>
      </w:r>
      <w:bookmarkEnd w:id="530"/>
    </w:p>
    <w:p>
      <w:pPr>
        <w:pStyle w:val="BookText"/>
        <w:rPr/>
      </w:pPr>
      <w:r>
        <w:rPr>
          <w:rFonts w:ascii="IRNazanin" w:hAnsi="IRNazanin" w:eastAsia="IRNazanin"/>
          <w:color w:val="111111"/>
          <w:sz w:val="28"/>
          <w:sz w:val="28"/>
          <w:szCs w:val="28"/>
          <w:rtl w:val="true"/>
          <w:lang w:bidi="fa-IR"/>
        </w:rPr>
        <w:t>لازم به ذکر است که پیشوایان و فقهای بزرگ اهل سنّت به طور مطلق و بدون قید و شرط، به مصلحت مرسله عمل نکرده‌اند، بلکه از باب احتیاط آن را مقیّد به شروطی کرده‌اند که به نظر ایشان تا اندازه‌ای آن را اعتبار بخشیده و به اصول ادلّه نزدیک می‌سازد</w:t>
      </w:r>
    </w:p>
    <w:p>
      <w:pPr>
        <w:pStyle w:val="BookText"/>
        <w:rPr/>
      </w:pPr>
      <w:r>
        <w:rPr>
          <w:rFonts w:ascii="IRNazanin" w:hAnsi="IRNazanin" w:eastAsia="IRNazanin"/>
          <w:color w:val="111111"/>
          <w:sz w:val="28"/>
          <w:sz w:val="28"/>
          <w:szCs w:val="28"/>
          <w:rtl w:val="true"/>
          <w:lang w:bidi="fa-IR"/>
        </w:rPr>
        <w:t>و باب تشریع و فتوا به هوی و هوس را می‌بندد، حداقل سه شرط برای آن ذکر کرده‌اند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اوّل آن است که مصلحت باید مصلحتی حقیقی باشد نه وهمی و خیالی، منظور از مصلحت حقیقی آن است که صدور حکم بر اساس مصلحت، موجب جلب نفع یا دفع ضرر شود و جلب نفع و دفع ضرر باید حقیقی و حتمی باشد، امّا مجرّد توهم این که صدور حکم بر اساس مصلحت موجب نفع می‌شود، بدون آن که بین نفع و ضرر در آن مورد موازنه شود،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مصلحت وهمیه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زوج را در طلاق همسرش از او سلب و آن را در تمام حالات به قاضی واگذار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دوم آن است که مصلحت، مصلحتی عامّه و کلّی و فراگیر باشد نه مصلحت شخصی و منحصر به موارد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 هدف از اشتراط این شرط آن است که صدور حکم در واقعه مربوطه، موجب جلب نفع یا دفع ضرر نسبت به عده کثیری از مردم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سوم آن است که صدور حکم بر اساس مصلحت، نباید با احکام منصوصه شرعی در تعارض 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مصلحتی که مقتضی مساوات دختر و پسر در ارث شود، صحیح نیست، زیرا چنین مصلحتی به خاطر معارضه‌اش با نصّ قرآنی، از مصالح الغا شده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حلّی در معارج الاصول درباره شروط عمل به مصلحت می‌گوید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علما در عمل به مصالح مرسله سه شرط را معتبر دانسته‌اند که عبارتند از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مصلحت باید ضروری و کلّی و قطعی باشد، اما آن مصلحتی که کلّی نیست، مانند مصلحتی که در فروع جزئی مثل مسائل اجاره </w:t>
      </w:r>
    </w:p>
    <w:p>
      <w:pPr>
        <w:pStyle w:val="BookText"/>
        <w:rPr/>
      </w:pPr>
      <w:r>
        <w:rPr>
          <w:rFonts w:ascii="IRNazanin" w:hAnsi="IRNazanin" w:eastAsia="IRNazanin"/>
          <w:color w:val="111111"/>
          <w:sz w:val="28"/>
          <w:sz w:val="28"/>
          <w:szCs w:val="28"/>
          <w:rtl w:val="true"/>
          <w:lang w:bidi="fa-IR"/>
        </w:rPr>
        <w:t>و جزئیّات مساقات و رعایت کفاءت در ازدواج وجود دارد، در این گونه مسائل جزئی اعتماد بر مصالح مرسله جایز نیست مگر آن که دلیل شرعی بر اعتبار آن دلالت کند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غزالی در المستصفی نیز به همین سه شرط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انقدح اعتبارها باعتبار ثلاثة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ضروریّة، قطعیة، کلیّة</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شد که اعتبار مصلحت به اعتبار سه وصف است ؛ یعنی باید ضروری و قطعی و کلّی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عبدالوهاب خلاّف، پس از بیان شرایط سه گانه برای کاربرد مصالح مرسله، در پایان بحث، تأکید می‌کند که با فراهم بودن این سه شرط، جلو بازیچه قراردادن احکام و</w:t>
      </w:r>
    </w:p>
    <w:p>
      <w:pPr>
        <w:pStyle w:val="BookText"/>
        <w:rPr/>
      </w:pPr>
      <w:r>
        <w:rPr>
          <w:rFonts w:ascii="IRNazanin" w:hAnsi="IRNazanin" w:eastAsia="IRNazanin"/>
          <w:color w:val="111111"/>
          <w:sz w:val="28"/>
          <w:sz w:val="28"/>
          <w:szCs w:val="28"/>
          <w:rtl w:val="true"/>
          <w:lang w:bidi="fa-IR"/>
        </w:rPr>
        <w:t>پیروی از هوای نفس در صدور احکام بر مبنای مصلحت، گرفته می‌شود و از این جهت جای ترس و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از بازیچه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و پیروی از هوی به نام مصلحت مطلقه خایف باشد خوف و ترس او بدین گونه بر طرف می‌شود که هیچ گونه تشریع و صدور حکمی بر مصلحت مطلقه بنا نمی‌شود، مگر زمانی که شروط سه گانه‌ای که بیان کردیم در آن به طور کامل و وافر فراهم باشد و این شروط عبارتند از این که مصلحت باید مصلحتی عامّ و حقیقی و غیر مخالف با نصّ شرعی باشد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وی در پایان این بحث به دو گونه برخورد و عملکرد متقابل درباره مصالح مرسله اشاره می‌کند که یکی افراطی و دیگری تفریطی است و در این زمینه کلام ابن قیّم را نقل</w:t>
      </w:r>
    </w:p>
    <w:p>
      <w:pPr>
        <w:pStyle w:val="BookText"/>
        <w:rPr/>
      </w:pPr>
      <w:r>
        <w:rPr>
          <w:rFonts w:ascii="IRNazanin" w:hAnsi="IRNazanin" w:eastAsia="IRNazanin"/>
          <w:color w:val="111111"/>
          <w:sz w:val="28"/>
          <w:sz w:val="28"/>
          <w:szCs w:val="28"/>
          <w:rtl w:val="true"/>
          <w:lang w:bidi="fa-IR"/>
        </w:rPr>
        <w:t>می‌کند که می‌گوید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مسلمانان در رعایت مصالح مرسله تفریط کرده‌اند و در نتیجه دین را قاصر و ناتوان از قیام و پرداختن به مصالح مردم و آن را نیازمند به قوانین دیگر می‌دانند و راههای صحیح از راههای حق و عدل را بر خود بسته‌اند</w:t>
      </w:r>
      <w:r>
        <w:rPr>
          <w:rFonts w:eastAsia="IRNazanin" w:cs="IRNazanin"/>
          <w:color w:val="111111"/>
          <w:sz w:val="28"/>
          <w:szCs w:val="28"/>
          <w:rtl w:val="true"/>
          <w:lang w:bidi="fa-IR"/>
        </w:rPr>
        <w:t xml:space="preserve">. </w:t>
      </w:r>
      <w:bookmarkStart w:id="531" w:name="pg4331_49364"/>
    </w:p>
    <w:p>
      <w:pPr>
        <w:pStyle w:val="BookText"/>
        <w:rPr/>
      </w:pPr>
      <w:bookmarkEnd w:id="531"/>
      <w:r>
        <w:rPr>
          <w:rFonts w:ascii="IRNazanin" w:hAnsi="IRNazanin" w:eastAsia="IRNazanin"/>
          <w:color w:val="111111"/>
          <w:sz w:val="28"/>
          <w:sz w:val="28"/>
          <w:szCs w:val="28"/>
          <w:rtl w:val="true"/>
          <w:lang w:bidi="fa-IR"/>
        </w:rPr>
        <w:t>و گروهی دیگر از ایشان، راه افراط پیموده و در نتیجه احکامی منافی با شرع الهی را تجویز کرده‌اند و باعث احداث و ایجاد شرّی گسترده و فسادی دامنه‌دار شده‌اند</w:t>
      </w:r>
      <w:r>
        <w:rPr>
          <w:rFonts w:eastAsia="IRNazanin" w:cs="IRNazanin"/>
          <w:color w:val="111111"/>
          <w:sz w:val="28"/>
          <w:szCs w:val="28"/>
          <w:rtl w:val="true"/>
          <w:lang w:bidi="fa-IR"/>
        </w:rPr>
        <w:t>».</w:t>
      </w:r>
      <w:r>
        <w:rPr>
          <w:rStyle w:val="FootnoteAnchor"/>
          <w:rtl w:val="true"/>
        </w:rPr>
        <w:footnoteReference w:id="611"/>
      </w:r>
    </w:p>
    <w:p>
      <w:pPr>
        <w:pStyle w:val="Heading4"/>
        <w:numPr>
          <w:ilvl w:val="3"/>
          <w:numId w:val="1"/>
        </w:numPr>
        <w:rPr/>
      </w:pPr>
      <w:bookmarkStart w:id="532" w:name="__RefHeading___Toc1014977_1479056682"/>
      <w:bookmarkStart w:id="533" w:name="_Toc193"/>
      <w:bookmarkEnd w:id="532"/>
      <w:r>
        <w:rPr>
          <w:rtl w:val="true"/>
        </w:rPr>
        <w:t>پیشینه تاریخی عمل به مصالح مرسله</w:t>
      </w:r>
      <w:bookmarkEnd w:id="533"/>
    </w:p>
    <w:p>
      <w:pPr>
        <w:pStyle w:val="BookText"/>
        <w:rPr/>
      </w:pPr>
      <w:r>
        <w:rPr>
          <w:rFonts w:ascii="IRNazanin" w:hAnsi="IRNazanin" w:eastAsia="IRNazanin"/>
          <w:color w:val="111111"/>
          <w:sz w:val="28"/>
          <w:sz w:val="28"/>
          <w:szCs w:val="28"/>
          <w:rtl w:val="true"/>
          <w:lang w:bidi="fa-IR"/>
        </w:rPr>
        <w:t>صحابه بزرگوار پیامبر اکرم صلی‌الله‌علیه‌و‌آله از همان روزهای بعد از ارتحال حضرت، با حوادث و وقایع بی‌شماری روبرو شدند که به ظاهر نصّی در مورد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اغلب این مسائل از طریق مصلحت چاره اندیشی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و رخدادهای جدید، مسائل و حوادثی بودند مانند تدوین دیوانها، چگونگی توزیع بیت المال، برخورد با سرزمینهای فتح شده و مردم آن که با فتح آنها ملل غیر مسلمان تحت لوای اسلام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مسائل و رخدادهای جدیدی بود که روز به روز بر وسعت آنها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مسائل راه حلّی را می‌طلبید و در بعضی موارد، صحابه درباره آنها دچار اختلاف نظر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فتواهای خود، داوریها و اجتهادات و استنباطهای صحابه را درباره حوادث و وقایع جدید استقرا کردند و از این طریق معلوم شد که صحابه در بیشتر استنباطهای خود پس از کتاب و سنت، مصالح را ملاک صدور حکم قرار داده‌اند و به علّت اختلاف در تعیین میزان مصلحت، در مواردی نیز با هم اختلاف نظر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ذکر دو مورد از آنها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این موارد، اختلاف صحابه درباره حکم اراضی سرزمینهای فتح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پس از فتح سرزمینهای شام و عراق و ایران، صحابه درباره این سرزمینها اختلاف نظر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نظر اکثریّت صحابه آن بود که سرزمینهای مفتوحه، پس از کنار گذاشتن خمس آنها، باید میان سربازان فاتح تقسیم 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برای اثبات نظر خود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فَانَّ ِللّهِ خُمُسَهُ وَ لِلرَّسُولِ وَ لِذِی الْقُربی وَالیَتامی وَ الْمَساکینِ</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و به فعل پیامبر صلی‌الله‌علیه‌و‌آله تمسک می‌کردند که به </w:t>
      </w:r>
    </w:p>
    <w:p>
      <w:pPr>
        <w:pStyle w:val="BookText"/>
        <w:rPr/>
      </w:pPr>
      <w:r>
        <w:rPr>
          <w:rFonts w:ascii="IRNazanin" w:hAnsi="IRNazanin" w:eastAsia="IRNazanin"/>
          <w:color w:val="111111"/>
          <w:sz w:val="28"/>
          <w:sz w:val="28"/>
          <w:szCs w:val="28"/>
          <w:rtl w:val="true"/>
          <w:lang w:bidi="fa-IR"/>
        </w:rPr>
        <w:t>هنگام فتح خیبر، این سرزمین را پس از کنار گذاشتن آنچه قرآن مشخص کرده بود، میان فاتحان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با نظر آنان مخالفت ورزید و سرانجام به وی پیشنهاد مشورت</w:t>
      </w:r>
    </w:p>
    <w:p>
      <w:pPr>
        <w:pStyle w:val="BookText"/>
        <w:rPr/>
      </w:pPr>
      <w:r>
        <w:rPr>
          <w:rFonts w:ascii="IRNazanin" w:hAnsi="IRNazanin" w:eastAsia="IRNazanin"/>
          <w:color w:val="111111"/>
          <w:sz w:val="28"/>
          <w:sz w:val="28"/>
          <w:szCs w:val="28"/>
          <w:rtl w:val="true"/>
          <w:lang w:bidi="fa-IR"/>
        </w:rPr>
        <w:t>شد و او با نخستین مهاجران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صحابه مورد مشورت عمر، اختلاف نظر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زبیر بن عوام، بلال بن رباح، عبدالرّحمن بن عوف، ابوعبیده و عمار بن یاسر با عمر مخالفت کردند و گفتند نخست باید خمس این اراضی را کنار گذاشت و سپس آنها را میان فاتحان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عمر به این گروه گفت آیا فکر نمی‌کنید که این مرزها مردانی می‌خواهد که از آنها حفاظت کنند و پیوسته در آن جا باشند ؟ آیا فکر نمی‌کنید که این شهرهای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شام، بصره، کوفه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w:t>
      </w:r>
    </w:p>
    <w:p>
      <w:pPr>
        <w:pStyle w:val="BookText"/>
        <w:rPr/>
      </w:pPr>
      <w:r>
        <w:rPr>
          <w:rFonts w:ascii="IRNazanin" w:hAnsi="IRNazanin" w:eastAsia="IRNazanin"/>
          <w:color w:val="111111"/>
          <w:sz w:val="28"/>
          <w:sz w:val="28"/>
          <w:szCs w:val="28"/>
          <w:rtl w:val="true"/>
          <w:lang w:bidi="fa-IR"/>
        </w:rPr>
        <w:t>سپاهیان پر شود و پیوسته برای آنان خوراک و آذوقه فراهم شود ؟ اگر این سرزمینها و باغها تقسیم شوند از کجا باید مالی به اینان داده شود ؟ آنان همه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رأی توست، خوب گفتی و نیکو نظری دادی، اگر این مرزها و این شهرها از سربازان پر نشود و آنچه مایه قوّتشان باشد به آنها نرسد کافران به شهرهای خویش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موافقت اکثر حاضران، رأی و نظر عمر تصویب شد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قاضی ابو یوسف در کتاب الخراج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خداوند عمر را به بیانی که درباره این حکم در کتاب الهی آمده آگاه ساخت و او بر آن شد که این اراضی را میان فاتحان تقسیم نکند، توفیقی بزرگ از ناحیه خداوند برای او بود و خیر همه مسلمانان را نیز در خود داشت</w:t>
      </w:r>
      <w:r>
        <w:rPr>
          <w:rFonts w:eastAsia="IRNazanin" w:cs="IRNazanin"/>
          <w:color w:val="111111"/>
          <w:sz w:val="28"/>
          <w:szCs w:val="28"/>
          <w:rtl w:val="true"/>
          <w:lang w:bidi="fa-IR"/>
        </w:rPr>
        <w:t>».</w:t>
      </w:r>
      <w:r>
        <w:rPr>
          <w:rStyle w:val="FootnoteAnchor"/>
          <w:rtl w:val="true"/>
        </w:rPr>
        <w:footnoteReference w:id="61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ملاحظه می‌شود، اختلاف در این مسأله ناشی از صرف اجتهاد به رأی نبود، بلکه هر یک از طرفهای اختلاف به نصّ قرآنی استناد می‌کردند، چنان که عمر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أَفاءَ اللّه‌ُ عَلی رَسُولِهِ مِنْ اَهْل الْقُری فَلِلّهِ وَ لِلرَّسُولِ َو لِذِی الْقُربی </w:t>
      </w:r>
      <w:r>
        <w:rPr>
          <w:rFonts w:eastAsia="IRNazanin" w:cs="IRNazanin"/>
          <w:color w:val="111111"/>
          <w:sz w:val="28"/>
          <w:szCs w:val="28"/>
          <w:rtl w:val="true"/>
          <w:lang w:bidi="fa-IR"/>
        </w:rPr>
        <w:t>...»</w:t>
      </w:r>
      <w:r>
        <w:rPr>
          <w:rStyle w:val="FootnoteAnchor"/>
          <w:rtl w:val="true"/>
        </w:rPr>
        <w:footnoteReference w:id="615"/>
      </w:r>
      <w:r>
        <w:rPr>
          <w:rFonts w:ascii="Amiri" w:hAnsi="Amiri" w:eastAsia="Amiri" w:cs="Amiri"/>
          <w:color w:val="111111"/>
          <w:sz w:val="28"/>
          <w:sz w:val="28"/>
          <w:szCs w:val="28"/>
          <w:rtl w:val="true"/>
          <w:lang w:bidi="ar-SA"/>
        </w:rPr>
        <w:t xml:space="preserve">استناد می‌کرد و مخالفان عمر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فَاَنَّ ِللّه خُمُسَهُ وَ لِلرّسُولِ وَ لِذِی الْقُربی</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توسّل می‌جستند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بنابراین، اختلاف در این زمینه ناشی از تفاوت دیدگاه درباره مصلحتی است که از حکم نصّ اراده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دیگر، اختلاف صحابه درباره چگونگی تقسیم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 این نظر بود که باید اموال را به طور مساوی میان مردم تقسیم</w:t>
      </w:r>
    </w:p>
    <w:p>
      <w:pPr>
        <w:pStyle w:val="BookText"/>
        <w:rPr/>
      </w:pPr>
      <w:r>
        <w:rPr>
          <w:rFonts w:ascii="IRNazanin" w:hAnsi="IRNazanin" w:eastAsia="IRNazanin"/>
          <w:color w:val="111111"/>
          <w:sz w:val="28"/>
          <w:sz w:val="28"/>
          <w:szCs w:val="28"/>
          <w:rtl w:val="true"/>
          <w:lang w:bidi="fa-IR"/>
        </w:rPr>
        <w:t>کرد و هیچ کس بر دیگری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بن خطّاب برتری دادن و تفاوت نهادن در تقسیم اموال را صلاح می‌دانست و می‌گفت ما آن کسی را که از سرزمین و خانه و کاشانه و اموال خود را دست کشیده و به سوی پیامبر هجرت کرده، با آن کسی که به ناچار به اسلام درآمده است، همانند نمی‌دانیم و کسی را که با رسول خدا جنگیده با آن</w:t>
      </w:r>
    </w:p>
    <w:p>
      <w:pPr>
        <w:pStyle w:val="BookText"/>
        <w:rPr/>
      </w:pPr>
      <w:r>
        <w:rPr>
          <w:rFonts w:ascii="IRNazanin" w:hAnsi="IRNazanin" w:eastAsia="IRNazanin"/>
          <w:color w:val="111111"/>
          <w:sz w:val="28"/>
          <w:sz w:val="28"/>
          <w:szCs w:val="28"/>
          <w:rtl w:val="true"/>
          <w:lang w:bidi="fa-IR"/>
        </w:rPr>
        <w:t>کسی که در کنار او با دشمن ستیز کرده است، نیز برابر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اختلاف نظر، برخاسته از تفاوت نظر در این باره بود که آیا مصلحت برتر در تفاوت نهادن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عمر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برابر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نظر ابوبکر</w:t>
      </w:r>
    </w:p>
    <w:p>
      <w:pPr>
        <w:pStyle w:val="BookText"/>
        <w:rPr/>
      </w:pP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چند مثال برای 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شاطبی در کتاب الاعتصام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مسأله مصالح مرسله را با مثالهایی بسط و گسترش دهیم تا وجه آن روشن شود و به ده مثال اکتفا می‌کنیم</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 ما در این جا به ذکر چند مثال بسنده می‌کنیم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مسأله جمع آوری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پیامبر در مورد جمع آوری قرآن اتّفاق نظر داشتند، در حالی که نصّی در مورد جمع آوری و کتابت آن نرسیده بود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در مورد جمع آوری قرآن به وسیله زید بن ثابت و به دستور ابوبکر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ساکنان یمامه، ابوبکر به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نزد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من خبر آورده که در یمامه از قاریان قرآن عده زیادی کشته شده‌اند و من بیم آن دارم که در جاهای دیگر نیز قاریان را بکشند و بدین ترتیب بخش کثیری از قرآن از دست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من آن است که فرمان دهی قرآن را گرد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عمر گفتم چگونه کاری را انجام دهیم که رسول خدا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کار خیر و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این کار به من مراجعه می‌کرد تا آن که خداوند سینه‌ام را برای چنین کاری گشود و من هم با عمر در این کار هم رأی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من گفت تو مردی جوان و خردمندی و تو را متهم نمی‌دانیم و تو خود وحی الهی را برای رسول خدا می‌نوشتی، پس قرآن را جستجو و جمع آوری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انتقال و جابجایی کوهی از کوهها را به من تکلیف می‌کردند از جمع آوری قرآن سنگینتر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ابوبکر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کاری را انجام می‌دهید که رسول خدا نکرده است ؟</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 اللّه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کار خیر و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پیوسته در باره این کار به من مراجعه می‌کرد، تا آن که خداوند سینه مرا گشود برای همان چیزی که سینه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پس تمام قرآن را از نوشته‌ها و چوبهای درخت خرما و سنگهای سفید نازک و از سینه مردان، تتبّع و جمع آوری کردم</w:t>
      </w:r>
      <w:r>
        <w:rPr>
          <w:rFonts w:eastAsia="IRNazanin" w:cs="IRNazanin"/>
          <w:color w:val="111111"/>
          <w:sz w:val="28"/>
          <w:szCs w:val="28"/>
          <w:rtl w:val="true"/>
          <w:lang w:bidi="fa-IR"/>
        </w:rPr>
        <w:t>.</w:t>
      </w:r>
      <w:r>
        <w:rPr>
          <w:rStyle w:val="FootnoteAnchor"/>
          <w:rtl w:val="true"/>
        </w:rPr>
        <w:footnoteReference w:id="62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شاطبی سپس به جمع آوری قرآن در زمان عثمان و توحید نسخه‌ها و سوزاندن </w:t>
      </w:r>
    </w:p>
    <w:p>
      <w:pPr>
        <w:pStyle w:val="BookText"/>
        <w:rPr/>
      </w:pPr>
      <w:r>
        <w:rPr>
          <w:rFonts w:ascii="IRNazanin" w:hAnsi="IRNazanin" w:eastAsia="IRNazanin"/>
          <w:color w:val="111111"/>
          <w:sz w:val="28"/>
          <w:sz w:val="28"/>
          <w:szCs w:val="28"/>
          <w:rtl w:val="true"/>
          <w:lang w:bidi="fa-IR"/>
        </w:rPr>
        <w:t>نسخه‌های اضافی اشاره کرده، در پایان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عمل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از پیامبر نرسیده بود، ولی آنها جمع آوری قرآن را مصلحت دیدند، مصلحتی که قطعا متناسب با تصرفات و دستورات شرع است، زیرا بازگشت این عمل به حفاظت و نگهداری دین است و معلوم است که ما نسبت به حفظ شریعت، امر و دستور داریم</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صحابه وخلفای راشدین حکم به تضمین صنعت گران کرده‌اند و این حکم بر اساس مصلحت حفظ اموال مردم است، چنان که از حضرت علی علیه‌السلام در این زمینه</w:t>
      </w:r>
    </w:p>
    <w:p>
      <w:pPr>
        <w:pStyle w:val="BookText"/>
        <w:rPr/>
      </w:pPr>
      <w:r>
        <w:rPr>
          <w:rFonts w:ascii="IRNazanin" w:hAnsi="IRNazanin" w:eastAsia="IRNazanin"/>
          <w:color w:val="111111"/>
          <w:sz w:val="28"/>
          <w:sz w:val="28"/>
          <w:szCs w:val="28"/>
          <w:rtl w:val="true"/>
          <w:lang w:bidi="fa-IR"/>
        </w:rPr>
        <w:t>منقول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لایصلح الناس الاّ ذاک</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این حکم مردم را اصلاح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انسان پارچه را به خیاط بدهد که برای او لباس بدوزد و آن</w:t>
      </w:r>
    </w:p>
    <w:p>
      <w:pPr>
        <w:pStyle w:val="BookText"/>
        <w:rPr/>
      </w:pPr>
      <w:r>
        <w:rPr>
          <w:rFonts w:ascii="IRNazanin" w:hAnsi="IRNazanin" w:eastAsia="IRNazanin"/>
          <w:color w:val="111111"/>
          <w:sz w:val="28"/>
          <w:sz w:val="28"/>
          <w:szCs w:val="28"/>
          <w:rtl w:val="true"/>
          <w:lang w:bidi="fa-IR"/>
        </w:rPr>
        <w:t>پارچه نزد خیاط تلف شود در این جا از باب عمل به مصلحت، حکم به ضمان خیاط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مصلحت این است که مردم در امور زندگی خود به صنعتگران و ارباب حرف نیازمند می‌باشند، مثلاً لباس خود را به خیاط و اتومبیل را به تعمیرکار و پارچه را به رنگرز می‌دهند و از طرف دیگر صاحبان این حرفه‌ها برای جلب درآمد و منافع بیشتر، ممکن است بیش از استعداد و توانایی خود اموال مردم را بپذیرند و از عهده خدمات لازم و دقّت در عمل و یا حفظ کافی آن بر نیایند و اموال مردم به خطر افتد، درصورت تلف شدن اموال مردم، صاحبان حرف ضامن می‌باشند، هر چند که تعدّی و تفریطی هم نکرده باشند و حکم به ضمان ایشان به خاطر مصلحت حفظ اموال مردم و پیشگیری از تضییع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قتل جماعت در برابر شخص واحد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عدّه‌ای فردی را بکشند، در مورد قتل آن جماعت به عنوان قصاص، دلیل خاصّی در مورد اعتبار یا الغای آن نرسیده، ولی از باب مصلحت حفظ دما، حکم به قتل جماعت در برابر واحد کرده‌اند، چه این که اگر جماعتی در قتل فردی شرکت کنند و قصاص نشوند، منجّر به اهدار دما می‌شود</w:t>
      </w:r>
      <w:r>
        <w:rPr>
          <w:rFonts w:eastAsia="IRNazanin" w:cs="IRNazanin"/>
          <w:color w:val="111111"/>
          <w:sz w:val="28"/>
          <w:szCs w:val="28"/>
          <w:rtl w:val="true"/>
          <w:lang w:bidi="fa-IR"/>
        </w:rPr>
        <w:t xml:space="preserve">. </w:t>
      </w:r>
      <w:bookmarkStart w:id="534" w:name="pg4331_49374"/>
    </w:p>
    <w:p>
      <w:pPr>
        <w:pStyle w:val="BookText"/>
        <w:rPr/>
      </w:pPr>
      <w:bookmarkEnd w:id="534"/>
      <w:r>
        <w:rPr>
          <w:rFonts w:ascii="IRNazanin" w:hAnsi="IRNazanin" w:eastAsia="IRNazanin"/>
          <w:color w:val="111111"/>
          <w:sz w:val="28"/>
          <w:sz w:val="28"/>
          <w:szCs w:val="28"/>
          <w:rtl w:val="true"/>
          <w:lang w:bidi="fa-IR"/>
        </w:rPr>
        <w:t>شاطبی در الاعتصام در این مورد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عدّه‌ای در مقابل شخص واحد جایز است و مستند آن مصلحت مرسله می‌باشد، زیرا در مورد عین این مسأله نصّی وجود ندارد، ولی این حکم از عمر بن خطاب نقل شده و مذهب مالک و شافعی هم همین است و وجه مصلحت آن است که مقتول بی‌گناه بوده و به عمد کشته شده و اهدار خون او موجب از هم پاشیدن اصل قانون قصاص می‌شود</w:t>
      </w:r>
      <w:r>
        <w:rPr>
          <w:rFonts w:eastAsia="IRNazanin" w:cs="IRNazanin"/>
          <w:color w:val="111111"/>
          <w:sz w:val="28"/>
          <w:szCs w:val="28"/>
          <w:rtl w:val="true"/>
          <w:lang w:bidi="fa-IR"/>
        </w:rPr>
        <w:t>».</w:t>
      </w:r>
      <w:r>
        <w:rPr>
          <w:rStyle w:val="FootnoteAnchor"/>
          <w:rtl w:val="true"/>
        </w:rPr>
        <w:footnoteReference w:id="624"/>
      </w:r>
    </w:p>
    <w:p>
      <w:pPr>
        <w:pStyle w:val="Heading4"/>
        <w:numPr>
          <w:ilvl w:val="3"/>
          <w:numId w:val="1"/>
        </w:numPr>
        <w:rPr/>
      </w:pPr>
      <w:bookmarkStart w:id="535" w:name="__RefHeading___Toc1014979_1479056682"/>
      <w:bookmarkStart w:id="536" w:name="_Toc194"/>
      <w:bookmarkEnd w:id="535"/>
      <w:r>
        <w:rPr>
          <w:rtl w:val="true"/>
        </w:rPr>
        <w:t>اختلاف فقها در حجّیّت مصالح مرسله</w:t>
      </w:r>
      <w:bookmarkEnd w:id="536"/>
    </w:p>
    <w:p>
      <w:pPr>
        <w:pStyle w:val="BookText"/>
        <w:rPr/>
      </w:pPr>
      <w:r>
        <w:rPr>
          <w:rFonts w:ascii="IRNazanin" w:hAnsi="IRNazanin" w:eastAsia="IRNazanin"/>
          <w:color w:val="111111"/>
          <w:sz w:val="28"/>
          <w:sz w:val="28"/>
          <w:szCs w:val="28"/>
          <w:rtl w:val="true"/>
          <w:lang w:bidi="fa-IR"/>
        </w:rPr>
        <w:t>فقها و دانشمندان مذاهب مختلف فقهی، در حجّیّت و اعتبار مصالح مرسله اختلاف نظر دارند، چنان که شاطبی در الاعتصام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انّ‌القول بالمصالح المرسلة لیس متفقا علیه بل قداختلف فیه اهل‌الاصول علی اربعه‌اقوال</w:t>
      </w:r>
      <w:r>
        <w:rPr>
          <w:rStyle w:val="FootnoteAnchor"/>
          <w:rtl w:val="true"/>
        </w:rPr>
        <w:footnoteReference w:id="6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قایل شدن به مصالح مرسله مورد اتفاق علما نیست، بلکه علمای اصول درباره آن بر چهار قول با هم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در کتاب ارشاد الفحول نیز بعد از تعریف مصالح مرسله، اختلاف اقوال را مطرح می‌کند 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درباره مصالح مرسله اختلاف نظر داشته، و بر اقوال مختلفی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تمسک به آن است مطلقا، جمهور علما قایل به این قول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تمسک است مطلقا، این قول از مالک حکایت شده، جوینی‌در البرهان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مصالح مرسله افراط کرده است، حتّی آن را در مورد استحلال قتل و اخذ مال به خاطر مصالحی بر اساس ظنّ غالب، مطرح می‌کند، هر چند که برای آن مستندی نباشد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مصالح مرسله ملاکهایی باشند برای اصلی کلّی یا اصلی جزئی از اصول شرع، در این صورت ابتنای احکام بر آنها جایز است و گرنه جایز </w:t>
      </w:r>
    </w:p>
    <w:p>
      <w:pPr>
        <w:pStyle w:val="BookText"/>
        <w:rPr/>
      </w:pPr>
      <w:r>
        <w:rPr>
          <w:rFonts w:ascii="IRNazanin" w:hAnsi="IRNazanin" w:eastAsia="IRNazanin"/>
          <w:color w:val="111111"/>
          <w:sz w:val="28"/>
          <w:sz w:val="28"/>
          <w:szCs w:val="28"/>
          <w:rtl w:val="true"/>
          <w:lang w:bidi="fa-IR"/>
        </w:rPr>
        <w:t>نمی‌باشد، ابن برهان در کتاب الوجیز این قول را از شافعی حکایت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حق و مختار همین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الحرمین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و اکثر اصحاب ابو حنیفه قایل به ابتنای احکام بر مصالح مرسله شده‌اند، به شرط آن که بین آن مصالح با مصالح معتبره و مؤیّد به اصول شرعی، ملائمت و مناسبتی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مصلحت مرسله، مصلحتی ضروری و قطعی و کلّی باشد، معتبر خواهد بود و اگر فاقد یکی از این اوصاف سه گانه باشد، معتبر نخواهد بود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مصلحت از ضروریات پنج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مقاصد خمسه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مصلحت تمام مسلمانان را فراگیرد، نه آن که فقط شامل بعضی از مردم شود و یا اختصاص به بعضی از حالات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تمام حالات موجود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و بیضاوی همین قول را اختیار کرده‌اند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شوکانی سپس چنین ادامه می‌دهد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برای مصلحت واجد شرایط و اوصاف سه گانه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تترّس کفّار به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زده است و آن این است که کفار گروهی از مسلمانان را سپر قرار دهند، به طوری که اگر تیراندازی کنیم مسلمانی بی‌گناه را می‌کشیم و اگر تیراندازی نکنیم، کفار را بر مسمانان مسلط می‌سازیم و در نتیجه آنان مسلمانان و سپس اسیران مسلمانی را که سپر قرار داده‌اند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حفظ کردن مسلمانان، با کشتن تعدادی مسلمان که سپر قرار گرفته‌اند به مقصود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 زیرا قطعا می‌دانیم که شرع در پی تقلیل قتل و حتّی الامکان در پی ریشه کن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مورد ما قادر بر جلوگیری کامل از قتل مسلمین نیستیم ولی بر تقلیل آن قادریم و این خود التفات و توجه به مصلحتی است که نه با یک دلیل بلکه با ادله بی‌شمار، معلوم و ضروری است که مقصود شرع می‌باشد ولی برای تحصیل این مقصود، به این طریق که قتل افراد بی‌گناه است، در شرع، اصل و آثار </w:t>
      </w:r>
    </w:p>
    <w:p>
      <w:pPr>
        <w:pStyle w:val="BookText"/>
        <w:rPr/>
      </w:pPr>
      <w:r>
        <w:rPr>
          <w:rFonts w:ascii="IRNazanin" w:hAnsi="IRNazanin" w:eastAsia="IRNazanin"/>
          <w:color w:val="111111"/>
          <w:sz w:val="28"/>
          <w:sz w:val="28"/>
          <w:szCs w:val="28"/>
          <w:rtl w:val="true"/>
          <w:lang w:bidi="fa-IR"/>
        </w:rPr>
        <w:t>مشهودی نداریم، پس اعتبار این مصلحت با همین اوصاف سه گانه، یعنی ضروری و کلّی و قطعی بودن آن آشکار می‌شود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التفات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 جانب قول چهارم در کلام صاحب ارشاد الفحول، در واقع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معتبر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مصلحت مرسله، زیرا چنان که قبلاً در تقسیم مصالح به سه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شرعی، الغا شده،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نظر غزالی معین شد که منظورش از مصالح ضروریّه، مقاصد پنج گانه شرع است، یعنی مصالحی که مربوط به حفظ دین، جان، عقل، نسل و مال و کلام او را نقل کردیم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و رعایت این اصول پنج گانه در رتبه اموری است که از قویترین مراتب مصالح می‌باشند</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و نیز از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غزالی، همین معنی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غزالی را از مخالفان حجّیّت مصالح مرسله دانست، چنان که خود در المستصفی بر این معنی تصریح</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نظر فقهای اهل سنّت را درباره مصالح مرسله به سه دسته خلاصه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انس و احمد بن حنبل و پیروان ایشان، در مواردی که نصّ یا اجماعی نباشد مصالح مرسله را به عنوان منبع و پایه استنباط حکم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الاعتصام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قایل به اعتبار مصالح مرسله شده است و احکام را به طور مطلق مبتنی بر آن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شافعی و پیروانش مصالح مرسله را به عنوان منبع استنباط حکم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العامة به نقل از مصادر التشریع آمده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و پیروانش قایل شده‌اند که حکم به وسیله استصلاح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نمی‌شود و هر که استصلاح کند مانند کسی که استحسان کند، تشریع نموده و استصلاح و استحسان پیروی از هوای نفس است</w:t>
      </w:r>
      <w:r>
        <w:rPr>
          <w:rFonts w:eastAsia="IRNazanin" w:cs="IRNazanin"/>
          <w:color w:val="111111"/>
          <w:sz w:val="28"/>
          <w:szCs w:val="28"/>
          <w:rtl w:val="true"/>
          <w:lang w:bidi="fa-IR"/>
        </w:rPr>
        <w:t>».</w:t>
      </w:r>
      <w:r>
        <w:rPr>
          <w:rStyle w:val="FootnoteAnchor"/>
          <w:rtl w:val="true"/>
        </w:rPr>
        <w:footnoteReference w:id="629"/>
      </w:r>
      <w:bookmarkStart w:id="537" w:name="pg4331_49381"/>
    </w:p>
    <w:p>
      <w:pPr>
        <w:pStyle w:val="BookText"/>
        <w:rPr/>
      </w:pPr>
      <w:bookmarkEnd w:id="53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شاطبی، امام غزالی درباره مصالح مرسله قایل به تفصیل است، چنان که در کتاب الاعتصام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قایل به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تحسین و تزیین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سوم از اقسام سه گانه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دارای اعتبار نیست، مگر آن که اصلی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ادله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تأیید کند و اگر در مرتبه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 از اقسام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باشد،وی مایل به قبول آن است</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ولی به نظر نگارنده، چنان که قبلاً نیز اشاره کردم، غزالی را باید از مخالفان حجّیّت مصالح مرسله دانست، زیرا وی که از مصالح مرسله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کاربرد آن را در استنباط احکام تشریع و نادرست می‌داند 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شد که استصلاح به طور مستقلّ و رأسا اصل و دلیل پنجمی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بلکه هر که استصلاح کند، تشریع نموده، همچنان که هر که استحسان کند، تشریع کرده است</w:t>
      </w:r>
      <w:r>
        <w:rPr>
          <w:rFonts w:eastAsia="IRNazanin" w:cs="IRNazanin"/>
          <w:color w:val="111111"/>
          <w:sz w:val="28"/>
          <w:szCs w:val="28"/>
          <w:rtl w:val="true"/>
          <w:lang w:bidi="fa-IR"/>
        </w:rPr>
        <w:t>».</w:t>
      </w:r>
      <w:r>
        <w:rPr>
          <w:rStyle w:val="FootnoteAnchor"/>
          <w:rtl w:val="true"/>
        </w:rPr>
        <w:footnoteReference w:id="631"/>
      </w:r>
    </w:p>
    <w:p>
      <w:pPr>
        <w:pStyle w:val="Heading4"/>
        <w:numPr>
          <w:ilvl w:val="3"/>
          <w:numId w:val="1"/>
        </w:numPr>
        <w:rPr/>
      </w:pPr>
      <w:bookmarkStart w:id="538" w:name="__RefHeading___Toc1014981_1479056682"/>
      <w:bookmarkStart w:id="539" w:name="_Toc195"/>
      <w:bookmarkEnd w:id="538"/>
      <w:r>
        <w:rPr>
          <w:rtl w:val="true"/>
        </w:rPr>
        <w:t>فرق بین مصالح مرسله و استحسان</w:t>
      </w:r>
      <w:bookmarkEnd w:id="539"/>
    </w:p>
    <w:p>
      <w:pPr>
        <w:pStyle w:val="BookText"/>
        <w:rPr/>
      </w:pPr>
      <w:r>
        <w:rPr>
          <w:rFonts w:ascii="IRNazanin" w:hAnsi="IRNazanin" w:eastAsia="IRNazanin"/>
          <w:color w:val="111111"/>
          <w:sz w:val="28"/>
          <w:sz w:val="28"/>
          <w:szCs w:val="28"/>
          <w:rtl w:val="true"/>
          <w:lang w:bidi="fa-IR"/>
        </w:rPr>
        <w:t>در امثله‌ای که فقها برای استحسان و مصالح مرسله ذکر می‌کنند، گاهی دیده می‌شود که یک مثال را در هر دو باب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مسأله تضمین صاحبان حرف، که آن را از امثله هر دو باب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سرّ آن این باشد که استحسان و مصالح مرسله دارای یک وجه اشتراک و یک وجه افتراق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اشتراک آن دو این است که در هر دو باب از عنصر مصلحت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استحسان گاهی از مصلحت استفاده می‌شود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افتراق و فرق اساسی مصالح مرسله با استحسان در این است که استحسان در غالب صور خود، به صورت استثناء از قواعد و نصوص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استحسان در حوادث و وقایعی به کار می‌رود که حکم آن وقایع با دلیل شرعی ثابت شده اما مجتهد به خاطر دست یافتن به دلیلی قویتر از دلیل اوّل عدول می‌کند و بر طبق دلیل </w:t>
      </w:r>
      <w:bookmarkStart w:id="540" w:name="pg4331_49383"/>
    </w:p>
    <w:p>
      <w:pPr>
        <w:pStyle w:val="BookText"/>
        <w:rPr/>
      </w:pPr>
      <w:bookmarkEnd w:id="540"/>
      <w:r>
        <w:rPr>
          <w:rFonts w:ascii="IRNazanin" w:hAnsi="IRNazanin" w:eastAsia="IRNazanin"/>
          <w:color w:val="111111"/>
          <w:sz w:val="28"/>
          <w:sz w:val="28"/>
          <w:szCs w:val="28"/>
          <w:rtl w:val="true"/>
          <w:lang w:bidi="fa-IR"/>
        </w:rPr>
        <w:t>اقوا حکم صادر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این معنی در یکی از تعاریف استحسان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استحسان در غالب موارد و صور خود، در باب تعارض دلیلین به کار می‌رود، اما در مصالح مرسله استثنایی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عمل به مصالح مرسله در مواردی است که نص و دلیلی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 سابقی مطرح نیست تا با حکم جدید تعارض کند، بلکه یک حکم است و آن هم همان حکمی است که به اقتضای مصلحت صادر شده است</w:t>
      </w:r>
      <w:r>
        <w:rPr>
          <w:rFonts w:eastAsia="IRNazanin" w:cs="IRNazanin"/>
          <w:color w:val="111111"/>
          <w:sz w:val="28"/>
          <w:szCs w:val="28"/>
          <w:rtl w:val="true"/>
          <w:lang w:bidi="fa-IR"/>
        </w:rPr>
        <w:t>.</w:t>
      </w:r>
    </w:p>
    <w:p>
      <w:pPr>
        <w:pStyle w:val="Heading4"/>
        <w:numPr>
          <w:ilvl w:val="3"/>
          <w:numId w:val="1"/>
        </w:numPr>
        <w:rPr/>
      </w:pPr>
      <w:bookmarkStart w:id="541" w:name="__RefHeading___Toc1014983_1479056682"/>
      <w:bookmarkStart w:id="542" w:name="_Toc196"/>
      <w:bookmarkEnd w:id="541"/>
      <w:r>
        <w:rPr>
          <w:rtl w:val="true"/>
        </w:rPr>
        <w:t>اشکالات حاصل از کاربرد مصالح مرسله</w:t>
      </w:r>
      <w:bookmarkEnd w:id="542"/>
    </w:p>
    <w:p>
      <w:pPr>
        <w:pStyle w:val="BookText"/>
        <w:rPr/>
      </w:pPr>
      <w:r>
        <w:rPr>
          <w:rFonts w:ascii="IRNazanin" w:hAnsi="IRNazanin" w:eastAsia="IRNazanin"/>
          <w:color w:val="111111"/>
          <w:sz w:val="28"/>
          <w:sz w:val="28"/>
          <w:szCs w:val="28"/>
          <w:rtl w:val="true"/>
          <w:lang w:bidi="fa-IR"/>
        </w:rPr>
        <w:t xml:space="preserve">اگر قرار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مبنای تشریعی احکام بپذیریم، مفاسد و اشکالات زیادی به بار می‌آید که مهمترین آنها عبارتند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ترجیح بلامرجّح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مرسله مصلحتی است که دلیلی شرعی بر اعتبار یا الغای آن نباشد، کاربرد و اعمال آن خود یک نوع ترجیح بلامرجح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مفهوم الفقه الاسلامی به نقل از احکام الأحکام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مصلحت مرسله عبارت است از مصلحتی که دلیلی بر اعمال و الغای آن وجود ندارد و هر یک از اعمال و الغای آن از نظر عدم دلیل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آن را به کار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توجه و اعتبار آن، نسبت به عدم توجه چیست؟ و چرا جانب الغا را بر جانب اعمال ترجیح ندهیم؟</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هتک حرمت به قداست احکام بر اثر دخالت عقل در تشریع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مصالح</w:t>
      </w:r>
    </w:p>
    <w:p>
      <w:pPr>
        <w:pStyle w:val="BookText"/>
        <w:rPr/>
      </w:pPr>
      <w:r>
        <w:rPr>
          <w:rFonts w:ascii="IRNazanin" w:hAnsi="IRNazanin" w:eastAsia="IRNazanin"/>
          <w:color w:val="111111"/>
          <w:sz w:val="28"/>
          <w:sz w:val="28"/>
          <w:szCs w:val="28"/>
          <w:rtl w:val="true"/>
          <w:lang w:bidi="fa-IR"/>
        </w:rPr>
        <w:t>مرسله به عنوان یک مبنای مستقلّ در استنباط احکام باعث دخالت دادن عقل و فکر ناقص بشر در تشریع احکام و باعث هتک حرمت و قداست احکام الهی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مفهوم الفقه الاسلامی در این باره می‌گوید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کاربرد مصلحت باعث از بین رفتن قداست احکام الهی و منجر به دوری از عدالت می‌شود، زیرا حاکمان هوی پرست از طریق آن به خواسته‌های خود </w:t>
      </w:r>
    </w:p>
    <w:p>
      <w:pPr>
        <w:pStyle w:val="BookText"/>
        <w:rPr/>
      </w:pPr>
      <w:r>
        <w:rPr>
          <w:rFonts w:ascii="IRNazanin" w:hAnsi="IRNazanin" w:eastAsia="IRNazanin"/>
          <w:color w:val="111111"/>
          <w:sz w:val="28"/>
          <w:sz w:val="28"/>
          <w:szCs w:val="28"/>
          <w:rtl w:val="true"/>
          <w:lang w:bidi="fa-IR"/>
        </w:rPr>
        <w:t>می‌رسند و احکام و قوانین دلخواه و خوشایند خود را تأسیس می‌کنند و در همه اینها استناد به اقتضاء مصلحت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گاهی هوای نفس بر انسان غلبه می‌کند، در نتیجه مفسده را مصلحت و زیان را نفع می‌پندارد و در بعضی از امور وجه صواب بر عقل مشتبه می‌شود و انسان به هر اندازه از درجات کمال هم که رسیده باشد، گاهی خواسته‌ها و نیازهای خاصّ او بر وی حکم فرما می‌شود و عقل بشر هر اندازه هم که کامل و پخته باشد، بعضی از جوانب شرّ و فساد بر او پوشیده است، در نتیجه به جانب شرّ حکم می‌کند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به هر حال فکر قاصر بشر نمی‌تواند ملاکها و معیارها و مصالح و مفاسد تمام احکام را درک کند و آگاهی انسان از مصالح و مفاسد بسیار اندک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احکام چندان بر انسان روشن نیست و حتّی پس از تشریع احکام به وسیله شارع مقدس، فکر ناقص بشر در بسیاری از موارد، از درک کامل و همه جانبه ملاک تشریع، عاجز و ناتوان است، تا چه رسد به این که بخواهد با دستیابی به ملاکها، احکامی را تشریع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معدودی هم که علل برخی از احکام روشن شده‌اند، با راهنمایی شارع مقدس بوده است که از علل برخی احکام پرده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تضاد و هرج و مرج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مفهوم الفقه الاسلامی در این زمینه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مصلحت وحدت شریعت و عمومیت آن را در معرض از هم گسیختگی قرار می‌دهد، زیرا کاربرد آن موجب می‌شود که برای مسأله واحدی در نتیجه اندیشه‌ها و تمایلات مختلف، احکام مختلف و متباینی پدید آید</w:t>
      </w:r>
      <w:r>
        <w:rPr>
          <w:rFonts w:eastAsia="IRNazanin" w:cs="IRNazanin"/>
          <w:color w:val="111111"/>
          <w:sz w:val="28"/>
          <w:szCs w:val="28"/>
          <w:rtl w:val="true"/>
          <w:lang w:bidi="fa-IR"/>
        </w:rPr>
        <w:t>».</w:t>
      </w:r>
      <w:r>
        <w:rPr>
          <w:rStyle w:val="FootnoteAnchor"/>
          <w:rtl w:val="true"/>
        </w:rPr>
        <w:footnoteReference w:id="63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استفاده از مصالح مرسله در استنباط احکام اسلامی سبب می‌شود که هرج و مرج عظیمی در فقه اسلامی پدید آید، زیرا همان گونه که اشاره کردیم، فقه اهل سنّت با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تشریع احکام بر مبنای تصویب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سنّت بدان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فرد فرد مجتهدین حق تشریع و قانون گذاری را می‌دهد و نظریه فرد فرد آنها </w:t>
      </w:r>
      <w:bookmarkStart w:id="543" w:name="pg4331_49387"/>
    </w:p>
    <w:p>
      <w:pPr>
        <w:pStyle w:val="BookText"/>
        <w:rPr/>
      </w:pPr>
      <w:bookmarkEnd w:id="543"/>
      <w:r>
        <w:rPr>
          <w:rFonts w:ascii="IRNazanin" w:hAnsi="IRNazanin" w:eastAsia="IRNazanin"/>
          <w:color w:val="111111"/>
          <w:sz w:val="28"/>
          <w:sz w:val="28"/>
          <w:szCs w:val="28"/>
          <w:rtl w:val="true"/>
          <w:lang w:bidi="fa-IR"/>
        </w:rPr>
        <w:t xml:space="preserve">را به عنوان یک حکم الهی تلقی می‌کند و به این ترتیب اگر در یک کشور اسلامی صدها مجتهد و فقیه را در نظر بگیریم که در یک مسأله دهها نظریّه ابراز کنند، طبق مبنای تصویب، باید تمام این نظریات ضدّ و نقیض و متعارض، به عنوان حکم الهی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شود و این نه تنها مایه تکامل و پویایی و حرکت فقه نیست، که موجب اختلال نظام فقه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فقه شیعه همان گونه که بارها گفته‌ایم، برای پاسخگویی به مسائل مستحدثه و انبوه مسائل و فروعی که در جامعه اسلامی پیدا می‌شود، از اصول و قواعد کلّی برگرفته</w:t>
      </w:r>
    </w:p>
    <w:p>
      <w:pPr>
        <w:pStyle w:val="BookText"/>
        <w:rPr/>
      </w:pPr>
      <w:r>
        <w:rPr>
          <w:rFonts w:ascii="IRNazanin" w:hAnsi="IRNazanin" w:eastAsia="IRNazanin"/>
          <w:color w:val="111111"/>
          <w:sz w:val="28"/>
          <w:sz w:val="28"/>
          <w:szCs w:val="28"/>
          <w:rtl w:val="true"/>
          <w:lang w:bidi="fa-IR"/>
        </w:rPr>
        <w:t xml:space="preserve">از کتاب و سنّت و مکتب اهل بیت استفاده می‌شود و در عین حال که در میان مجتهدین و فقهای شیعه نیز اختلاف نظر در فروع احکام وجود دارد، امّا با پذیرش مبنای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 احکام به واقعی و ظاهری، فقه شیعه توانسته است همچنان زنده و پویا و پرتحرک پاسخگوی تمام نیازها و مسائل جدید جامعه اسلامی باشد</w:t>
      </w:r>
      <w:r>
        <w:rPr>
          <w:rFonts w:eastAsia="IRNazanin" w:cs="IRNazanin"/>
          <w:color w:val="111111"/>
          <w:sz w:val="28"/>
          <w:szCs w:val="28"/>
          <w:rtl w:val="true"/>
          <w:lang w:bidi="fa-IR"/>
        </w:rPr>
        <w:t>.</w:t>
      </w:r>
    </w:p>
    <w:p>
      <w:pPr>
        <w:pStyle w:val="Heading4"/>
        <w:numPr>
          <w:ilvl w:val="3"/>
          <w:numId w:val="1"/>
        </w:numPr>
        <w:rPr/>
      </w:pPr>
      <w:bookmarkStart w:id="544" w:name="__RefHeading___Toc1014985_1479056682"/>
      <w:bookmarkStart w:id="545" w:name="_Toc197"/>
      <w:bookmarkEnd w:id="544"/>
      <w:r>
        <w:rPr>
          <w:rtl w:val="true"/>
        </w:rPr>
        <w:t>جایگاه مصلحت در فقه شیعه</w:t>
      </w:r>
      <w:bookmarkEnd w:id="545"/>
    </w:p>
    <w:p>
      <w:pPr>
        <w:pStyle w:val="BookText"/>
        <w:rPr/>
      </w:pPr>
      <w:r>
        <w:rPr>
          <w:rFonts w:ascii="IRNazanin" w:hAnsi="IRNazanin" w:eastAsia="IRNazanin"/>
          <w:color w:val="111111"/>
          <w:sz w:val="28"/>
          <w:sz w:val="28"/>
          <w:szCs w:val="28"/>
          <w:rtl w:val="true"/>
          <w:lang w:bidi="fa-IR"/>
        </w:rPr>
        <w:t xml:space="preserve">در آغاز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تبعیت احکام از مصالح و مفاسد، بحث مفصلی ارائه شد و در آن جا گفته شد که به نظر عدلیه و معتزله، هیچ حکمی از احکام الهی بدون رعایت مصلحت یا مفسده جعل نمی‌شود و گفتیم که مصالح و مفاسد در واقع همان ملاکات و علل احکام بوده و جعل و تشریع احکام دایر مدار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علی رغم قاصر بودن عقل بشر از درک برخی از مصالحی که در احکام وجود دارد، با اندک تتبّع در احکام فقه اسلامی به خوبی روشن می‌شود که هر حکمی از این احکام برای جلب منفعت انسان یا برای دفع مفسده و یا رفع تنگنایی از او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قبلاً بیان کردیم در احادیث شیعه موارد متعدّدی وجود دارد که ائمه هدی</w:t>
      </w:r>
    </w:p>
    <w:p>
      <w:pPr>
        <w:pStyle w:val="BookText"/>
        <w:rPr/>
      </w:pPr>
      <w:r>
        <w:rPr>
          <w:rFonts w:ascii="IRNazanin" w:hAnsi="IRNazanin" w:eastAsia="IRNazanin"/>
          <w:color w:val="111111"/>
          <w:sz w:val="28"/>
          <w:sz w:val="28"/>
          <w:szCs w:val="28"/>
          <w:rtl w:val="true"/>
          <w:lang w:bidi="fa-IR"/>
        </w:rPr>
        <w:t>به مصالح و مفاسد احکام اشاره فرموده‌اند که چند نمونه از این احادیث نقل و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معاصر، محمدتقی حکیم در کتاب اصول العامه پس از بحثی مستوفی درباره مصالح مرسله و حجّیّت درک عقل از مصلحت یا مفسده می‌گوید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حجّیّت مصلحت به تفاوت ادراک عقل از آن تفاوت می‌یابد، اگر آن ادراک </w:t>
      </w:r>
    </w:p>
    <w:p>
      <w:pPr>
        <w:pStyle w:val="BookText"/>
        <w:rPr/>
      </w:pPr>
      <w:r>
        <w:rPr>
          <w:rFonts w:ascii="IRNazanin" w:hAnsi="IRNazanin" w:eastAsia="IRNazanin"/>
          <w:color w:val="111111"/>
          <w:sz w:val="28"/>
          <w:sz w:val="28"/>
          <w:szCs w:val="28"/>
          <w:rtl w:val="true"/>
          <w:lang w:bidi="fa-IR"/>
        </w:rPr>
        <w:t>کامل باشد حجت است، زیرا ورای قطع هیچ مجالی برای پرسش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از محقّق قمی در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مصالح در شرع و به حکم قطعی عقل معتبر شمرده شده است، از این جهت که عقل مصلحتی خالی از مفسده را در آنها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حفظ دین، جان، مال، عقل و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حفاظت از آنها را اعتبار کرده و به ترک آنچه به تباهی آنها می‌انجامد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عقیده به حجّیّت این گونه مصالح، آنها را دلیلی مستقلّ در برابر عقل قرار نمی‌دهد، بلکه این همان دلیل عقل است</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تفاوت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اهل سنّت با فقه شیعه در آن است که ؛ اهل سنّت می‌گویند در موارد غیر منصوص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می‌تواند مصلحت یا مفسده‌ای را درک کند و فقیه می‌تواند حکمی را بر طبق آن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در اصول فقه اهل سنّت یکی از منابع مورد بحث برای استنباط حکم کلی الهی، مصلحت است و از آن جا که تمسک به مصلحت، هنگام فقدان دلیل شرعی معین انجام می‌گیرد، چنین مصلحتی را که به عنوان دلیل بر حکم شرعی تلقّی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رهای از دلیل خاصّ شرعی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اصول فقه شیعه، گر چه در مقام ثبوت، تابعیت احکام شرعی از مصالح و مفاسدِ نفس الامری، مورد قبول و تأیید است، ولی در مقام اثبات، آنچه به نظر انسان مصلحت می‌آید مادام که مفید علم نباشد، به عنوان مبنای استنباط حکم کلی الهی مورد قبول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فقه شیعه چون که نمی‌خواسته‌اند مصلحت را پایه و مبنای احکام قرار دهند، لزومی در بررسی و بحث پیرامون مراتب مصلحت نمی‌دیدند، به عبارت دیگر نحوه تشخیص مصالح و ضوابط آن در فقه شیعه ارتکازا و به صورت یک اصل موضوعه به عهده عرف و عقلا گذاشته شده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فقه شیعه قواعد کلیّه برگرفته از کتاب خدا و سنّت پیامبر صلی‌الله‌علیه‌و‌آله و احادیث ائمه اهل بیت علیهم‌السلام درمقام استنباط حکم، جوابگوی همه نیازهای زندگی بشر دانسته </w:t>
      </w:r>
    </w:p>
    <w:p>
      <w:pPr>
        <w:pStyle w:val="BookText"/>
        <w:rPr/>
      </w:pPr>
      <w:r>
        <w:rPr>
          <w:rFonts w:ascii="IRNazanin" w:hAnsi="IRNazanin" w:eastAsia="IRNazanin"/>
          <w:color w:val="111111"/>
          <w:sz w:val="28"/>
          <w:sz w:val="28"/>
          <w:szCs w:val="28"/>
          <w:rtl w:val="true"/>
          <w:lang w:bidi="fa-IR"/>
        </w:rPr>
        <w:t>شده که به راستی هم جوابگوست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می‌توان در پرتو این قواعد کلی، بدون اتّکا بر ظنون و استحسانات عقلی، مشکلات جامعه اسلامی را در ارتباط با مسائل مستحدثه به خوبی حل کرد و حکم هر حادثه و واقعه را بر مبنای کتاب و سنّت و عقل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از نظر شیعه تا آن جا که دلیل به کتاب و سنّت و یا حکم قطعی عقل برنگردد، حجّیّت ندارد و نمی‌تواند مبنای استنباط احکام قرار گیرد، زیرا در روایات منقول از ائمه معصومین علیهم‌السلام که به طور متظافر نقل شده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دینَ اللّه‌ِ لایُصابُ بِالْعُقوُلِ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فقهای بزرگوار شیعه از نقش مصلحت در احکام غافل نبوده‌اند، چنان که علامه حلّی در مختلف الشیعه و منتهی المطلب و صاحب جواهر در جواهر الکلام و دیگر فقها در مباحث فقهی خود به مناسبت مقام، به علل نهفته در موضوعات احکام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مواردی که فقها بحث مصلحت را مطرح کرده‌اند،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معنی که در فقه شیعه،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بحث است</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نمونه‌هایی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ولایات شرعیه آمده است، در آثار فقهی بسیاری از فقها شیعه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مورد از آنها که از کتابهای جواهر الکلام و تحریر الوسیله بررسی شده است، ارائه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در باب وصیّت، برای وصیّ شرایطی از قبیل عقل و اسلام را لازم و ضروری می‌دانند، اما در مورد اعتبار عدالت در وصّی، بین فقها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ابتدا سه قول را در این زمینه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عدالت در وصی است، زیرا فاسق امانتدار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عدالت است، زیرا وصی مسلمان است و مسلمان محلّ اعتماد و امانتدار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وصی معتبر است، عدم ظهور فسق است نه ظهور عدالت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جواهر قول دوم را اختیار می‌کند، مشروط بر این که نسبت به قاصر، در آن مفسده‌ای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اقوال در مسأله سه قول است، شاید بهترین آنها قول دوم باشد، به شرط آن که در آن نسبت به قاصر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سفیه یا صغیر 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مفسده‌ای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وصیّت در بعضی افرادش، مثل ولایت بر قاصر و مانند آن، تخصیص داده شده یا مقید است به این که در آن مفسده‌ای نباشد، یا آن که مقیّد است به این که در آن مصلحت باشد و از جهت رعایت مصلحت، بین وصّی عادل و فاسق فرقی نیست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وصّی به اعتبار ولایتی که بر فروش مال صغیر دارد، مال را به خودش بفروشد، در جواز این عمل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صاحب جواهر دایر بر جواز آن است، به شرط آن که وصّی قیمت عادلانه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دلیل آن را وجوب رعایت مصلحت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لوجوب مراعاة المصلحة فی ذلک خصوصا بعد قوله تعالی و لاتقربوا مال الیتیم الاّ بالّتی هی احسن</w:t>
      </w:r>
      <w:r>
        <w:rPr>
          <w:rStyle w:val="FootnoteAnchor"/>
          <w:rtl w:val="true"/>
        </w:rPr>
        <w:footnoteReference w:id="6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که در این مورد رعایت مصلحت واجب است، بویژه با توجه به آن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روشی که نیکوتر است، به مال یتیم نزدیک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خمینی قدس‌سره در تحریر الوسیله درباره ولایت پدر و جدّ پدری بر فرزند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نفوذ تصرّف پدر و جد پدری، مصلحت شرط نیست، بلکه عدم مفسده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شایسته آن است که احتیاطا مصلحت رعایت شود</w:t>
      </w:r>
      <w:r>
        <w:rPr>
          <w:rFonts w:eastAsia="IRNazanin" w:cs="IRNazanin"/>
          <w:color w:val="111111"/>
          <w:sz w:val="28"/>
          <w:szCs w:val="28"/>
          <w:rtl w:val="true"/>
          <w:lang w:bidi="fa-IR"/>
        </w:rPr>
        <w:t>».</w:t>
      </w:r>
      <w:r>
        <w:rPr>
          <w:rStyle w:val="FootnoteAnchor"/>
          <w:rtl w:val="true"/>
        </w:rPr>
        <w:footnoteReference w:id="639"/>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قیّمی که پدر یا جدّ پدری برای پس از وفات خود تعیین می‌کنند،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نفوذ تصرف قیّم، مصلحت شرط است و عدم مفسده کافی نیست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متولّی وقف، پس از بیان وظایف 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علی وجه الاحتیاط و مراعاة الصلاح</w:t>
      </w:r>
      <w:r>
        <w:rPr>
          <w:rStyle w:val="FootnoteAnchor"/>
          <w:rtl w:val="true"/>
        </w:rPr>
        <w:footnoteReference w:id="6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وظایف متولی وقف بر وجه احتیاط و رعایت مصلحت انجام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ولایت پدر و جدّ پدری بر نکاح فرزندان قبل از سن بلوغ و رشد،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و نفوذ تزویج پدر و جد برای فرزند، عدم مفسده شرط است و گرنه این عقد مانند عقد اجنبی، عقد فضولی می‌باشد و صحّت آن متوقّف به اجازه صغیر بعد از بلوغ خواهد بود، بلکه احوط رعایت مصلحت است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بجز در موارد ولایات که در فقه شیعه سخن از مصلحت به میان آمده و تشخیص آن به عهده مکلّفین گذاشته شده است، موارد دیگری نیز یافت می‌شود که در آنها می‌توان، تشخیص مصلحت را به گونه‌ای که بر آن اثر شرعی مترتّب شود، به عهده مکلّف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موارد را می‌توان در جایی که تزاحم دو حکم شرعی در مقام اجرا و امتثال آنها پیش می‌آید،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یکی از مواردی که غیبت جایز</w:t>
      </w:r>
    </w:p>
    <w:p>
      <w:pPr>
        <w:pStyle w:val="BookText"/>
        <w:rPr/>
      </w:pPr>
      <w:r>
        <w:rPr>
          <w:rFonts w:ascii="IRNazanin" w:hAnsi="IRNazanin" w:eastAsia="IRNazanin"/>
          <w:color w:val="111111"/>
          <w:sz w:val="28"/>
          <w:sz w:val="28"/>
          <w:szCs w:val="28"/>
          <w:rtl w:val="true"/>
          <w:lang w:bidi="fa-IR"/>
        </w:rPr>
        <w:t>است، حضرت امام خمینی قدس‌سره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جواز غیبت وجود مصلحتی اقوا و اهم از دفع مفسده غیبت است</w:t>
      </w:r>
      <w:r>
        <w:rPr>
          <w:rFonts w:eastAsia="IRNazanin" w:cs="IRNazanin"/>
          <w:color w:val="111111"/>
          <w:sz w:val="28"/>
          <w:szCs w:val="28"/>
          <w:rtl w:val="true"/>
          <w:lang w:bidi="fa-IR"/>
        </w:rPr>
        <w:t>».</w:t>
      </w:r>
      <w:r>
        <w:rPr>
          <w:rStyle w:val="FootnoteAnchor"/>
          <w:rtl w:val="true"/>
        </w:rPr>
        <w:footnoteReference w:id="643"/>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مورد جواز کذب، یکی از موجبات آن را وجود هرگونه مصلحت و نفعی دانسته‌اند</w:t>
      </w:r>
      <w:r>
        <w:rPr>
          <w:rFonts w:eastAsia="IRNazanin" w:cs="IRNazanin"/>
          <w:color w:val="111111"/>
          <w:sz w:val="28"/>
          <w:szCs w:val="28"/>
          <w:rtl w:val="true"/>
          <w:lang w:bidi="fa-IR"/>
        </w:rPr>
        <w:t>.</w:t>
      </w:r>
      <w:r>
        <w:rPr>
          <w:rStyle w:val="FootnoteAnchor"/>
          <w:rtl w:val="true"/>
        </w:rPr>
        <w:footnoteReference w:id="644"/>
      </w:r>
      <w:bookmarkStart w:id="546" w:name="pg4331_49397"/>
    </w:p>
    <w:p>
      <w:pPr>
        <w:pStyle w:val="Heading4"/>
        <w:numPr>
          <w:ilvl w:val="3"/>
          <w:numId w:val="1"/>
        </w:numPr>
        <w:rPr/>
      </w:pPr>
      <w:bookmarkStart w:id="547" w:name="__RefHeading___Toc1014987_1479056682"/>
      <w:bookmarkStart w:id="548" w:name="_Toc198"/>
      <w:bookmarkEnd w:id="546"/>
      <w:bookmarkEnd w:id="547"/>
      <w:r>
        <w:rPr>
          <w:rtl w:val="true"/>
        </w:rPr>
        <w:t xml:space="preserve">مجمع تشخیص مصلحت نظام در مقایسه با </w:t>
      </w:r>
      <w:r>
        <w:rPr>
          <w:rtl w:val="true"/>
        </w:rPr>
        <w:t>«</w:t>
      </w:r>
      <w:r>
        <w:rPr>
          <w:rtl w:val="true"/>
        </w:rPr>
        <w:t xml:space="preserve">مصالح مرسله </w:t>
      </w:r>
      <w:r>
        <w:rPr>
          <w:rtl w:val="true"/>
        </w:rPr>
        <w:t>»</w:t>
      </w:r>
      <w:bookmarkEnd w:id="548"/>
    </w:p>
    <w:p>
      <w:pPr>
        <w:pStyle w:val="BookText"/>
        <w:rPr/>
      </w:pPr>
      <w:r>
        <w:rPr>
          <w:rFonts w:ascii="IRNazanin" w:hAnsi="IRNazanin" w:eastAsia="IRNazanin"/>
          <w:color w:val="111111"/>
          <w:sz w:val="28"/>
          <w:sz w:val="28"/>
          <w:szCs w:val="28"/>
          <w:rtl w:val="true"/>
          <w:lang w:bidi="fa-IR"/>
        </w:rPr>
        <w:t xml:space="preserve">اکنون پس از اتمام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آن در تشریع احکام در فقه اهل سنّت، این سؤال در ذهن متداعی می‌شود که آیا صدور قوانین و تشریع احکام حکومتی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تشخیص مصلحت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روش استصلاح و به کار بردن مصالح مرسله نیست ؟ چه وجوه مشترکی بین این دو هست ؟ و وجوه افتراق آن دو کدام است ؟</w:t>
      </w:r>
    </w:p>
    <w:p>
      <w:pPr>
        <w:pStyle w:val="BookText"/>
        <w:rPr/>
      </w:pPr>
      <w:r>
        <w:rPr>
          <w:rFonts w:ascii="IRNazanin" w:hAnsi="IRNazanin" w:eastAsia="IRNazanin"/>
          <w:color w:val="111111"/>
          <w:sz w:val="28"/>
          <w:sz w:val="28"/>
          <w:szCs w:val="28"/>
          <w:rtl w:val="true"/>
          <w:lang w:bidi="fa-IR"/>
        </w:rPr>
        <w:t>قبل از بررسی و پاسخ به این پرسشها، ابتدا به طور مختصر باید دید چه عواملی باعث تشکیل چنین نهادی در جمهوری اسلامی ایران شد و فلسفه تشکیل آن به عنوان یک مرجع قانونگذاری چه بوده است ؟</w:t>
      </w:r>
    </w:p>
    <w:p>
      <w:pPr>
        <w:pStyle w:val="BookText"/>
        <w:rPr/>
      </w:pPr>
      <w:r>
        <w:rPr>
          <w:rFonts w:ascii="IRNazanin" w:hAnsi="IRNazanin" w:eastAsia="IRNazanin"/>
          <w:color w:val="111111"/>
          <w:sz w:val="28"/>
          <w:sz w:val="28"/>
          <w:szCs w:val="28"/>
          <w:rtl w:val="true"/>
          <w:lang w:bidi="fa-IR"/>
        </w:rPr>
        <w:t xml:space="preserve">پس از پیروزی انقلاب اسلامی ایران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در کشور ما نظام جمهوری اسلامی استقرار یافت و به دنبال آن، اجرای احکام اجتماعی اسلام از دیدگاه فقه شیعه در سطح وسیعی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 ضروری ترین مسائلی که در برنامه نظام قرار داشت اجرای قوانین اسلامی و برقراری سیستم قضایی اسلامی بود، چنان که در اصل چهارم قانون اساسی جمهوری اسلامی ایران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قوانین و مقررات مدنی، جزایی، مالی، اقتصادی، اداری، فرهنگی، نظامی، سیاسی و غیر اینها باید بر اساس موازین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ضرورت اجرای قوانین و مقرّرات اسلامی، نحوه مصلحت اندیشی و کیفیّت تقدیم و تقدّم مصالح نیز به تدریج مطرح شد و از همه مهمتر نقش عنصر مصلحت در ولایت فقیه و وظیفه اجرای احکام و دستورات اسلام توسط ولیّ فقیه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اصل چهارم قانون اساسی جمهوری اسلامی، کلیّه قوانین مصوبه از سوی مجلس شورای اسلامی باید بر اساس موازین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تصریح می‌کند که مجلس شورای اسلامی نمی‌تواند قوانینی وضع کند که با اصول و احکام مذهب رسمی کشور یا قانون اساسی، مغایرت داشته باشد و تشخیص این امر بر عهده شورای نگهبان قانون اساسی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بر این مطلب اشعار دارد که به منظور حفظ و نظارت بر احکام اسلام و قانون اساسی از نظر عدم مغایرت مصوّبات مجلس با آنها، شورای نگهبان مرکب از شش نفر فقیه عادل و آگاه به مقتضیات زمان و مسائل روز، و شش نفر از </w:t>
      </w:r>
    </w:p>
    <w:p>
      <w:pPr>
        <w:pStyle w:val="BookText"/>
        <w:rPr/>
      </w:pPr>
      <w:r>
        <w:rPr>
          <w:rFonts w:ascii="IRNazanin" w:hAnsi="IRNazanin" w:eastAsia="IRNazanin"/>
          <w:color w:val="111111"/>
          <w:sz w:val="28"/>
          <w:sz w:val="28"/>
          <w:szCs w:val="28"/>
          <w:rtl w:val="true"/>
          <w:lang w:bidi="fa-IR"/>
        </w:rPr>
        <w:t xml:space="preserve">حقوقدانان تشکیل می‌شود و طبق اصل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کلیّه مصوّبات مجلس شورای اسلامی باید به شورای نگهبان فرستاده شود و این شورا موظف است ظرف ده روز از نظر انطباق با موازین اسلامی و قانون اساسی، آنها را مورد بررسی قرار دهد و در صورت مغایرت، باید برای تجدید نظر، آنها را به مجلس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طبق قانون اساسی، ملاک و مناط اعتبار قوانین مصوّبه مجلس شورای اسلامی، تشخیص شورای نگهبان است و نظر شورای مذکور باید معتبر و مطاع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بین مجلس و شورای نگهبان در برخی مسائل اختلاف پیدا شد و برخی از قوانین مصوبه مجلس به علّت مغایرت با موازین اسلامی در شورای نگهبان رد شد که از جمله آنها قانون کار بود که مدّت چند سال معوّق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دامنه اختلافات شورای نگهبان و مجلس شورای اسلامی به تدریج گسترش یافت تا آن که به فرمان امام خمینی قدس‌سره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تشخیص مصلحت نظام تشکیل شد صرفا بر مبنای دستور رهبر انقلاب حضرت امام خمینی قدس‌سره بود و در قانون اساسی جایگاهی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پایدار بودن این نهاد، تصریح به وجود آن در قانون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مسأله بازنگری در قانون اساسی مطرح شد از جمله مسائلی که در دستور کار شورای بازنگری قانون اساسی قرار گرفت، مجمع تشخیص مصلحت نظام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بازنگری قانون اساسی پس از مباحثات فراوان اصل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 قانون اساسی را بدین ترتیب تصویب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تشخیص مصلحت نظام برای تشخیص مصلحت در مواردی که مصوبه مجلس شورای اسلامی را شورای نگهبان خلاف موازین شرع و یا قانون اساسی بداند و مجلس با در نظر گرفتن مصلحت نظام نظر شورای نگهبان را تأمین نکند، و مشاوره در اموری که رهبری به آنان ارجاع می‌دهد و سایر وظایفی که در این قانون ذکر شده است به دستور رهبری تشکیل می‌شود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ثابت و متغیر این مجمع را مقام رهبری تعیین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مربوط به مجمع توسط خود اعضاء تهیه و تصویب و به تأیید مقام رهبری خواهد رسید</w:t>
      </w:r>
      <w:r>
        <w:rPr>
          <w:rFonts w:eastAsia="IRNazanin" w:cs="IRNazanin"/>
          <w:color w:val="111111"/>
          <w:sz w:val="28"/>
          <w:szCs w:val="28"/>
          <w:rtl w:val="true"/>
          <w:lang w:bidi="fa-IR"/>
        </w:rPr>
        <w:t xml:space="preserve">». </w:t>
      </w:r>
      <w:bookmarkStart w:id="549" w:name="pg4331_49401"/>
    </w:p>
    <w:p>
      <w:pPr>
        <w:pStyle w:val="Heading4"/>
        <w:numPr>
          <w:ilvl w:val="3"/>
          <w:numId w:val="1"/>
        </w:numPr>
        <w:rPr/>
      </w:pPr>
      <w:bookmarkStart w:id="550" w:name="__RefHeading___Toc1014989_1479056682"/>
      <w:bookmarkStart w:id="551" w:name="_Toc199"/>
      <w:bookmarkEnd w:id="549"/>
      <w:bookmarkEnd w:id="550"/>
      <w:r>
        <w:rPr>
          <w:rtl w:val="true"/>
        </w:rPr>
        <w:t>اهمّیّت مصلحت در اسلام و مهمترین مصلحت</w:t>
      </w:r>
      <w:bookmarkEnd w:id="551"/>
    </w:p>
    <w:p>
      <w:pPr>
        <w:pStyle w:val="BookText"/>
        <w:rPr/>
      </w:pPr>
      <w:r>
        <w:rPr>
          <w:rFonts w:ascii="IRNazanin" w:hAnsi="IRNazanin" w:eastAsia="IRNazanin"/>
          <w:color w:val="111111"/>
          <w:sz w:val="28"/>
          <w:sz w:val="28"/>
          <w:szCs w:val="28"/>
          <w:rtl w:val="true"/>
          <w:lang w:bidi="fa-IR"/>
        </w:rPr>
        <w:t>در بخش پیشین گفتیم که بنا بر نظر امامیّه و عدّه‌ای از اهل سنّت، مصالح و مفاسد، زیر بنای احکام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احکام فقهی که بر مبنای مصالح و مفاسد جعل و تشریع شده است در روایات اخلاقی اسلام نیز تمام اعمال و رفتار اخلاقی که به آنها امر</w:t>
      </w:r>
    </w:p>
    <w:p>
      <w:pPr>
        <w:pStyle w:val="BookText"/>
        <w:rPr/>
      </w:pPr>
      <w:r>
        <w:rPr>
          <w:rFonts w:ascii="IRNazanin" w:hAnsi="IRNazanin" w:eastAsia="IRNazanin"/>
          <w:color w:val="111111"/>
          <w:sz w:val="28"/>
          <w:sz w:val="28"/>
          <w:szCs w:val="28"/>
          <w:rtl w:val="true"/>
          <w:lang w:bidi="fa-IR"/>
        </w:rPr>
        <w:t>شده به لحاظ آن است که مقتضی صلاح و عامل اصلاح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 که تمام دستورات و احکام شریعت در جهت صلاح مردم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امام علی علیه‌السلامآمده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کمال السعادة السعی فی صلاح الجمهور</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 سعادت انسان این است که در جهت صلاح جامعه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تشریع و وجوب امر به معروف و نهی از منکر نیز تأمین مصلحت و صلاح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علی علیه‌السلام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بالمعروف مصلحةً للعوام</w:t>
      </w:r>
      <w:r>
        <w:rPr>
          <w:rStyle w:val="FootnoteAnchor"/>
          <w:rtl w:val="true"/>
        </w:rPr>
        <w:footnoteReference w:id="6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امر به معروف را به خاطر مصلحت عامّه مردم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 که بر اساس بینش اسلامی و بیان قرآن کریم، تنها صالحان هستند که شایسته رهبری بر کلّ جهان می‌باشند، اما در میان تمام مصالح، مهمترین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تأمین مصلحت اسلام و مسلمین است و در این اصل اساسی باید مصلحت اسلام و مسلمین مراعات شود و این مصلحت بر تمام مصالح فردی مقدّم است، و جای تردید نیست که این اصل یکی از اصول ثابت و غیر متغیر اسلامی است</w:t>
      </w:r>
      <w:r>
        <w:rPr>
          <w:rFonts w:eastAsia="IRNazanin" w:cs="IRNazanin"/>
          <w:color w:val="111111"/>
          <w:sz w:val="28"/>
          <w:szCs w:val="28"/>
          <w:rtl w:val="true"/>
          <w:lang w:bidi="fa-IR"/>
        </w:rPr>
        <w:t>.</w:t>
      </w:r>
    </w:p>
    <w:p>
      <w:pPr>
        <w:pStyle w:val="Heading4"/>
        <w:numPr>
          <w:ilvl w:val="3"/>
          <w:numId w:val="1"/>
        </w:numPr>
        <w:rPr/>
      </w:pPr>
      <w:bookmarkStart w:id="552" w:name="__RefHeading___Toc1014991_1479056682"/>
      <w:bookmarkStart w:id="553" w:name="_Toc200"/>
      <w:bookmarkEnd w:id="552"/>
      <w:r>
        <w:rPr>
          <w:rtl w:val="true"/>
        </w:rPr>
        <w:t>ولایت فقیه و مصلحت</w:t>
      </w:r>
      <w:bookmarkEnd w:id="553"/>
    </w:p>
    <w:p>
      <w:pPr>
        <w:pStyle w:val="BookText"/>
        <w:rPr/>
      </w:pPr>
      <w:r>
        <w:rPr>
          <w:rFonts w:ascii="IRNazanin" w:hAnsi="IRNazanin" w:eastAsia="IRNazanin"/>
          <w:color w:val="111111"/>
          <w:sz w:val="28"/>
          <w:sz w:val="28"/>
          <w:szCs w:val="28"/>
          <w:rtl w:val="true"/>
          <w:lang w:bidi="fa-IR"/>
        </w:rPr>
        <w:t>مسأله ولایت فقیه در عصر غیبت مورد اتّفاق تمام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دایره و محدوده این ولایت از نظر توسعه و ضیق بین فقها اختلاف نظر وجود دارد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ولایت عامّه فقها در زمان غیبت، در مباحث و کلمات اکثر اساطین فقهای شیعه آمده است و در ابوابی مانند قضا، جهاد، امر به معروف، اقامه حدود، در این باره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صاحب جامع المقاصد از جمله کسانی است که قایل به ولایت عامّه برای فقهای شیعه است و در این باره 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اتّفاق نظر دارند بر این که فقیه عادل و امین و جامع شرایط فتوا که از او به مجتهد در احکام شرع تعبیر می‌شود، در زمان غیبت از طرف ائمه هدا علیهم‌السلام در تمام اموری که نیابت در آنها راه دارد، نایب است و بعضی از اصحاب کشتن و اجرای حدود را استثنا کرده‌اند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صاحب جواهر نیز از جمله کسانی است که با شدت و اصرار از ولایت فقیه طرفداری و حمایت می‌کند، تا آن 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اصلی قطعی و مسلم است و اساطین مذهب به آن حکم کرده‌اند</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وی بعد از استدلال به روایت مقبوله عمربن حنظله و مشهوره ابی خدیجه و استظهار ولایت عامه برای فقها از این دو روایت، کلام محقّق ثانی را نقل فرموده است و سپس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مطالب عجیب و غریب، وسوسه بعضی از مردم است در امر ولایت فقیه، بلکه گویا اصلاً طعم فقه را نچشیده و چیزی از لحن کلام ائمه و رموز ایشان را درک نکرده و نیز مراد و منظور سخنان ایشان را تأمل نکرده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و تعبیراتی مانند آنها در کلام ائمه وجود دارد که از آنها روشن می‌شود که مراد ایشان از آن تعبیرات آن است که نظم بسیاری از اموری که به ائمه مراجعه می‌کرده‌اند، در زمان غیبت به شیعیان واگذار شده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که از کتاب مراسم شنیدی، جزم و یقین پیدا کرده که ائمه آن امور را به فقها تفویض کرده‌اند</w:t>
      </w:r>
      <w:r>
        <w:rPr>
          <w:rFonts w:eastAsia="IRNazanin" w:cs="IRNazanin"/>
          <w:color w:val="111111"/>
          <w:sz w:val="28"/>
          <w:szCs w:val="28"/>
          <w:rtl w:val="true"/>
          <w:lang w:bidi="fa-IR"/>
        </w:rPr>
        <w:t>».</w:t>
      </w:r>
      <w:r>
        <w:rPr>
          <w:rStyle w:val="FootnoteAnchor"/>
          <w:rtl w:val="true"/>
        </w:rPr>
        <w:footnoteReference w:id="64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خمینی قدس‌سره آن مجدّد و احیا کننده اسلام ناب و زنده کننده فکر ولایت و حکومت اسلامی، همواره در سخنان و مباحث خود بر ولایت فقیه و تشکیل حکومت اسلامی و قدرت و توان اسلام بر اداره کشور و بلکه کل جهان، تأکید و اصرار ورزیده است و پا به پای استدلال بر مشروعیّت ولایت فقیه، همواره آن را مقیّد به مصلحت یا </w:t>
      </w:r>
    </w:p>
    <w:p>
      <w:pPr>
        <w:pStyle w:val="BookText"/>
        <w:rPr/>
      </w:pPr>
      <w:r>
        <w:rPr>
          <w:rFonts w:ascii="IRNazanin" w:hAnsi="IRNazanin" w:eastAsia="IRNazanin"/>
          <w:color w:val="111111"/>
          <w:sz w:val="28"/>
          <w:sz w:val="28"/>
          <w:szCs w:val="28"/>
          <w:rtl w:val="true"/>
          <w:lang w:bidi="fa-IR"/>
        </w:rPr>
        <w:t>مصالح عامّه و یا صلاح امّت کرده است و بارها بر تقیید ولایت فقیه و حاکم و کارگزاران حکومتی به مصلحت عمومی یا صلاح مسلمین و مصلحت نظام تأکید داشته است، چنان که در یکی از این موارد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و پایه‌گذاری حکومت در اسلام، بر منهج و روش استبداد که در آن نظر و خواسته‌های یک فرد ملاک است، یا بر طریق مشروطه و یا جمهوری که بر پایه حاکمیت نظر گروهی از مردم تأسیس می‌شود، نمی‌باشد، بلکه حکومت اسلامی در تمام شؤون حکومتی خود، از قانون الهی الهام و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کارگزاران حکومتی در اسلام نمی‌توانند مستبدانه به رأی و نظر خود متکی باشند، بلکه تمام شؤون حکومت، حتّی اطاعت از کارگزاران باید بر طبق قانون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حاکم اسلامی می‌تواند در موضوعات طبق مصلحت مسلمین یا مصلحت حوزه حکومتی خود عمل کند و چنین اختیاری، استبداد به رأی نیست، بلکه عمل کردن طبق مصلحت است، نظر حاکم همانند عمل او تابع مصلحت است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امام خمینی، حتّی در مواردی که از ولایت فقیه،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 باز هم آن را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اقتضای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فقیه عادل از تمام اختیارات حکومتی و سیاسی که برای پیامبر صلی‌الله‌علیه‌و‌آله و</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علیهم‌السلامثابت است برخوردار می‌باشد و در این زمینه فرق گذاردن بین فقیه عادل و معصومین امری نامعقول است، زیرا والی هر شخصی که باشد، مجری احکام شریعت و اقامه کننده حدود الهی و گیرنده خراج و مالیاتهاست و در آنها آن گونه که صلاح مسلمین باشد،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صلی‌الله‌علیه‌و‌آله، زناکار را صد تازیانه می‌زند، امام علیه‌السلام و فقیه عادل هم چنین عمل می‌کنند و در گرفتن مالیاتها نیز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صورتی که مصالح اقتضا کند، مردم را به اوامری که اختصاص به والی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می‌دهند </w:t>
      </w:r>
      <w:bookmarkStart w:id="554" w:name="pg4331_49408"/>
    </w:p>
    <w:p>
      <w:pPr>
        <w:pStyle w:val="BookText"/>
        <w:rPr/>
      </w:pPr>
      <w:bookmarkEnd w:id="554"/>
      <w:r>
        <w:rPr>
          <w:rFonts w:ascii="IRNazanin" w:hAnsi="IRNazanin" w:eastAsia="IRNazanin"/>
          <w:color w:val="111111"/>
          <w:sz w:val="28"/>
          <w:sz w:val="28"/>
          <w:szCs w:val="28"/>
          <w:rtl w:val="true"/>
          <w:lang w:bidi="fa-IR"/>
        </w:rPr>
        <w:t>و اطاعت ایشان بر مردم واجب است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بنا بر آنچه گذشت، چنین نتیجه می‌گیریم که در اصل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فقیه‌از نظر صدور احکام حکومتی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 هیچ گونه تردیدی نیست</w:t>
      </w:r>
      <w:r>
        <w:rPr>
          <w:rFonts w:eastAsia="IRNazanin" w:cs="IRNazanin"/>
          <w:color w:val="111111"/>
          <w:sz w:val="28"/>
          <w:szCs w:val="28"/>
          <w:rtl w:val="true"/>
          <w:lang w:bidi="fa-IR"/>
        </w:rPr>
        <w:t>.</w:t>
      </w:r>
    </w:p>
    <w:p>
      <w:pPr>
        <w:pStyle w:val="Heading3"/>
        <w:numPr>
          <w:ilvl w:val="2"/>
          <w:numId w:val="1"/>
        </w:numPr>
        <w:rPr/>
      </w:pPr>
      <w:bookmarkStart w:id="555" w:name="__RefHeading___Toc1014993_1479056682"/>
      <w:bookmarkStart w:id="556" w:name="_Toc201"/>
      <w:bookmarkEnd w:id="555"/>
      <w:r>
        <w:rPr>
          <w:rtl w:val="true"/>
        </w:rPr>
        <w:t>حکم حکومتی</w:t>
      </w:r>
      <w:bookmarkEnd w:id="556"/>
    </w:p>
    <w:p>
      <w:pPr>
        <w:pStyle w:val="Heading4"/>
        <w:numPr>
          <w:ilvl w:val="3"/>
          <w:numId w:val="1"/>
        </w:numPr>
        <w:rPr/>
      </w:pPr>
      <w:bookmarkStart w:id="557" w:name="__RefHeading___Toc1014995_1479056682"/>
      <w:bookmarkStart w:id="558" w:name="_Toc202"/>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 xml:space="preserve">یکی از اقسام مهمّ احکام شریعت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آن به‌حکم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برای این اصطلاح، تعریف مشخّصی ذکر نکرده‌اند و مباحث آن را جداگانه و در باب و فصلی مستقلّ مورد بحث قرار نداده‌اند، بلکه در ابواب</w:t>
      </w:r>
    </w:p>
    <w:p>
      <w:pPr>
        <w:pStyle w:val="BookText"/>
        <w:rPr/>
      </w:pPr>
      <w:r>
        <w:rPr>
          <w:rFonts w:ascii="IRNazanin" w:hAnsi="IRNazanin" w:eastAsia="IRNazanin"/>
          <w:color w:val="111111"/>
          <w:sz w:val="28"/>
          <w:sz w:val="28"/>
          <w:szCs w:val="28"/>
          <w:rtl w:val="true"/>
          <w:lang w:bidi="fa-IR"/>
        </w:rPr>
        <w:t>مختلف فقه خصوصا در کتابهای قضا، امر به معروف و نهی از منکر و کتاب جهاد به تناسب از آن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بحثها و کلمات فقها می‌توان تا حدودی ویژگیهای حکم حکومتی را به دست آورد؛ مثلاً صاحب جواهر در مقام بیان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قضای خود،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فقها از فتوا آن است که فتوا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به حکم کلّی شرعی از جانب خدای تعالی، مثل قول به نجاست ملاقی با بول یا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کاسه به خاطر ملاقات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فتوا نیست، گر چه بسا که توسعه اطلاق فتوا شامل آن بشود، و اما حکم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 حکم به اجرای حکم شرعی یا حکم وضعی یا موضوع آن دو در موردی خاص، از طرف حاکم نه از سوی خداوند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صاحب جواهر پس از طرح این بحث که آیا احکام حکومتی به موارد اختلاف و نزاع منحصر است و یا این که در غیر موارد مرافعات نیز حکم حاکم نافذ و معتبر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این است که لازم نیست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نزاع و اختلاف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559" w:name="pg4331_49410"/>
    </w:p>
    <w:p>
      <w:pPr>
        <w:pStyle w:val="BookText"/>
        <w:rPr/>
      </w:pPr>
      <w:bookmarkEnd w:id="559"/>
      <w:r>
        <w:rPr>
          <w:rFonts w:ascii="IRNazanin" w:hAnsi="IRNazanin" w:eastAsia="IRNazanin"/>
          <w:color w:val="111111"/>
          <w:sz w:val="28"/>
          <w:sz w:val="28"/>
          <w:szCs w:val="28"/>
          <w:rtl w:val="true"/>
          <w:lang w:bidi="fa-IR"/>
        </w:rPr>
        <w:t>حکم به رؤیت هلال را مثال می‌آورد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علاّمه طباطبایی درباره احکام حکومتی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حکومتی تصمیماتی است که ولی امر در سایه قوانین شریعت و رعایت موافقت آنها به حسب مصلحت وقت، اتخاذ می‌کند و طبق آنها مقرراتی وضع کرده، و به اجرا می‌آورد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ایشان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قوانین شریعت و رعایت و موافقت آنها با مصلحت، ولیّ امر می‌تواند یک سلسله تصمیمات مقتضی به حسب مصلحت وقت گرفته، طبق آنها مقرّراتی وضع کرده، به موقع اجرا بیاورد، مقرّرات نامبرده لازم الاجرا و مانند شریعت دارای اعتبار می‌باشد، با این تفاوت که قوانین آسمانی ثابتند و غیر قابل تغییر، و مقررات وضعی، قابل تغییر و در ثبات و بقا تابع مصلحتی هستند که آنها را به وجود آورده است و چون پیوسته زندگی جامعه انسانی در تحول و روی به تکامل است، طبعا این مقرّرات تدریجا تبدّل کرده، جای خود را به بهتر از خود خواهند داد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حضرت امام خمینی قدس‌سره درباره اهمّیّت حکومت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که شعبه‌ای از ولایت مطلقه رسول اللّه صلی‌الله‌علیه‌و‌آله است، یکی از احکام اوّلیّه اسلام و مقدّم بر تمام احکام فرعیّه، حتّی نماز و روزه و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می‌تواند از حجّ که از فرایض مهمّ الهی است، در مواقعی که صلاح کشور اسلامی دانست، موقتا جلوگیری کند</w:t>
      </w:r>
      <w:r>
        <w:rPr>
          <w:rFonts w:eastAsia="IRNazanin" w:cs="IRNazanin"/>
          <w:color w:val="111111"/>
          <w:sz w:val="28"/>
          <w:szCs w:val="28"/>
          <w:rtl w:val="true"/>
          <w:lang w:bidi="fa-IR"/>
        </w:rPr>
        <w:t>.»</w:t>
      </w:r>
      <w:r>
        <w:rPr>
          <w:rStyle w:val="FootnoteAnchor"/>
          <w:rtl w:val="true"/>
        </w:rPr>
        <w:footnoteReference w:id="656"/>
      </w:r>
    </w:p>
    <w:p>
      <w:pPr>
        <w:pStyle w:val="Heading4"/>
        <w:numPr>
          <w:ilvl w:val="3"/>
          <w:numId w:val="1"/>
        </w:numPr>
        <w:rPr/>
      </w:pPr>
      <w:bookmarkStart w:id="560" w:name="__RefHeading___Toc1014997_1479056682"/>
      <w:bookmarkStart w:id="561" w:name="_Toc203"/>
      <w:bookmarkEnd w:id="560"/>
      <w:r>
        <w:rPr>
          <w:rtl w:val="true"/>
        </w:rPr>
        <w:t>تفاوت احکام حکومتی با احکام اوّلی</w:t>
      </w:r>
      <w:bookmarkEnd w:id="561"/>
    </w:p>
    <w:p>
      <w:pPr>
        <w:pStyle w:val="BookText"/>
        <w:rPr/>
      </w:pPr>
      <w:r>
        <w:rPr>
          <w:rFonts w:ascii="IRNazanin" w:hAnsi="IRNazanin" w:eastAsia="IRNazanin"/>
          <w:color w:val="111111"/>
          <w:sz w:val="28"/>
          <w:sz w:val="28"/>
          <w:szCs w:val="28"/>
          <w:rtl w:val="true"/>
          <w:lang w:bidi="fa-IR"/>
        </w:rPr>
        <w:t>احکام حکومتی با احکام اوّلیّه از چند جهت متفاوت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تفاوت آنها مربوط به تشخیص مصلحت است</w:t>
      </w:r>
      <w:r>
        <w:rPr>
          <w:rFonts w:eastAsia="IRNazanin" w:cs="IRNazanin"/>
          <w:color w:val="111111"/>
          <w:sz w:val="28"/>
          <w:szCs w:val="28"/>
          <w:rtl w:val="true"/>
          <w:lang w:bidi="fa-IR"/>
        </w:rPr>
        <w:t xml:space="preserve">: </w:t>
      </w:r>
      <w:bookmarkStart w:id="562" w:name="pg4331_49412"/>
    </w:p>
    <w:p>
      <w:pPr>
        <w:pStyle w:val="BookText"/>
        <w:rPr/>
      </w:pPr>
      <w:bookmarkEnd w:id="562"/>
      <w:r>
        <w:rPr>
          <w:rFonts w:ascii="IRNazanin" w:hAnsi="IRNazanin" w:eastAsia="IRNazanin"/>
          <w:color w:val="111111"/>
          <w:sz w:val="28"/>
          <w:sz w:val="28"/>
          <w:szCs w:val="28"/>
          <w:rtl w:val="true"/>
          <w:lang w:bidi="fa-IR"/>
        </w:rPr>
        <w:t>گرچه از نظر امامیّه تمام احکام شرعی تابع مصالح و مفاسد واقعی و نفس الامری است، ولی مصالح و مفاسد در احکام اوّلیّه و احکام حکومتی یکسان و یکنواخت نیست، زیرا مصالح و مفاسد در احکام اوّلیّه در متعلّق آنهاست که فلسفه احکام نامیده</w:t>
      </w:r>
    </w:p>
    <w:p>
      <w:pPr>
        <w:pStyle w:val="BookText"/>
        <w:rPr/>
      </w:pPr>
      <w:r>
        <w:rPr>
          <w:rFonts w:ascii="IRNazanin" w:hAnsi="IRNazanin" w:eastAsia="IRNazanin"/>
          <w:color w:val="111111"/>
          <w:sz w:val="28"/>
          <w:sz w:val="28"/>
          <w:szCs w:val="28"/>
          <w:rtl w:val="true"/>
          <w:lang w:bidi="fa-IR"/>
        </w:rPr>
        <w:t>می‌شود و علم آن مختص شارع مقدس است و آنچه را که در بعضی موارد عقل بشر درک می‌کند، حکمت احکام است نه علّت و فلسفه واقعی احکام، اما در احکام حکومتی تشخیص مصلحت و مفسده احکام، با حاکم اسلامی است که یا خود، آنها را تشخیص می‌دهد و یا به کمک مشاورین و کارشناسان خبره، مصالح و مفاسد را مشخص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اوّلی، دائمی و غیر قابل تغییر است، ولی احکام حکومتی موقت و قابل تغییر می‌باشد، زیرا احکام حکومتی بر اساس شرایط و مقتضیات زمان صادر می‌شود و واضح است که شرایط و مقتضیات زمان متغیّر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احکام حکومتی بر همه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مراجع و فقهای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احکام اوّلیّه، هر مکلّفی در انتخاب مرجع تقلید خود آزاد است و از آن جا که احکام حکومتی برای اداره جامعه و جلوگیری از هرج و مرج است، بر همگان حتّی فقهای دیگر، اگر چه از لحاظ علمی از حاکم داناتر باشند، لازم الاتباع است و هیچ کس حقّ مخالفت و نقض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تفاوتهای احکام حکومتی با احکام اوّلی، اکنون با توجّه به آن که صدور احکام حکومتی مقیّد به عنصر مصلحت است، باید دو نکته و دو سؤال اساسی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تشخیص مصالحی که عنصر اصلی صدور احکام حکومتی است، چه کسی و یا چه کسانی هستند ؟</w:t>
      </w:r>
    </w:p>
    <w:p>
      <w:pPr>
        <w:pStyle w:val="BookText"/>
        <w:rPr/>
      </w:pPr>
      <w:r>
        <w:rPr>
          <w:rFonts w:ascii="IRNazanin" w:hAnsi="IRNazanin" w:eastAsia="IRNazanin"/>
          <w:color w:val="111111"/>
          <w:sz w:val="28"/>
          <w:sz w:val="28"/>
          <w:szCs w:val="28"/>
          <w:rtl w:val="true"/>
          <w:lang w:bidi="fa-IR"/>
        </w:rPr>
        <w:t>نکته 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و اصول کلّی حاکم بر تشخیص این مصالح کدام است؟</w:t>
      </w:r>
    </w:p>
    <w:p>
      <w:pPr>
        <w:pStyle w:val="Heading4"/>
        <w:numPr>
          <w:ilvl w:val="3"/>
          <w:numId w:val="1"/>
        </w:numPr>
        <w:rPr/>
      </w:pPr>
      <w:bookmarkStart w:id="563" w:name="__RefHeading___Toc1014999_1479056682"/>
      <w:bookmarkStart w:id="564" w:name="_Toc204"/>
      <w:bookmarkEnd w:id="563"/>
      <w:r>
        <w:rPr>
          <w:rtl w:val="true"/>
        </w:rPr>
        <w:t>مرجع تشخیص مصلحت</w:t>
      </w:r>
      <w:bookmarkEnd w:id="56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اشاره شد، مرجع اصلی و نخستین تشخیص دهنده مصالح، در احکام حکومتی،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آن جا که ولیّ فقیه به تنهایی نمی‌تواند همه نوع </w:t>
      </w:r>
      <w:bookmarkStart w:id="565" w:name="pg4331_49416"/>
    </w:p>
    <w:p>
      <w:pPr>
        <w:pStyle w:val="BookText"/>
        <w:rPr/>
      </w:pPr>
      <w:bookmarkEnd w:id="565"/>
      <w:r>
        <w:rPr>
          <w:rFonts w:ascii="IRNazanin" w:hAnsi="IRNazanin" w:eastAsia="IRNazanin"/>
          <w:color w:val="111111"/>
          <w:sz w:val="28"/>
          <w:sz w:val="28"/>
          <w:szCs w:val="28"/>
          <w:rtl w:val="true"/>
          <w:lang w:bidi="fa-IR"/>
        </w:rPr>
        <w:t>مصالح کلّی و جزئی را تشخیص دهد، با واگذاری این صلاحیت به اشخاصی که دارای تخصص و توانایی لازم در هر زمینه‌ای هستند، مشکل تشخیص مصلحت حلّ می‌شود، چنان که حضرت امام خمینی قدس‌سره به مناسبت ولایت در کتاب البیع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ما گفتیم حکومت اختصاص به فقهای عادل دارد، گاهی در اذهان این اشکال پدید می‌آید که فقها توانایی اداره سیاسی، نظامی و امور دیگر را ندارند، ولی این اشکال قابل اعتنا نیست، زیرا ما می‌بینیم که در هر دولتی اداره کشور همواره با مشارکت و تشریع مساعی شمار زیادی از متخصّصین و صاحبان بصیرت انجام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چنانچه رییس حکومت فردی عادل باشد، وزیران و کارگزاران عادل و درستکار را بر می‌گزیند، هم چنان که در زمان حکومت امیر مؤمنان علی علیه‌السلامهمه کارها به دست خود آن حضرت اجرا نمی‌شد، بلکه آن حضرت والیان و 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کارگزاران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امروز هم می‌بینیم که اداره امور سیاسی، نظامی، تدبیر کشور و نگهداری مرزها، هر یک به شخص یا اشخاصی دارای صلاحیت واگذار می‌شود</w:t>
      </w:r>
      <w:r>
        <w:rPr>
          <w:rFonts w:eastAsia="IRNazanin" w:cs="IRNazanin"/>
          <w:color w:val="111111"/>
          <w:sz w:val="28"/>
          <w:szCs w:val="28"/>
          <w:rtl w:val="true"/>
          <w:lang w:bidi="fa-IR"/>
        </w:rPr>
        <w:t>».</w:t>
      </w:r>
      <w:r>
        <w:rPr>
          <w:rStyle w:val="FootnoteAnchor"/>
          <w:rtl w:val="true"/>
        </w:rPr>
        <w:footnoteReference w:id="657"/>
      </w:r>
    </w:p>
    <w:p>
      <w:pPr>
        <w:pStyle w:val="Heading4"/>
        <w:numPr>
          <w:ilvl w:val="3"/>
          <w:numId w:val="1"/>
        </w:numPr>
        <w:rPr/>
      </w:pPr>
      <w:bookmarkStart w:id="566" w:name="__RefHeading___Toc1015001_1479056682"/>
      <w:bookmarkStart w:id="567" w:name="_Toc205"/>
      <w:bookmarkEnd w:id="566"/>
      <w:r>
        <w:rPr>
          <w:rtl w:val="true"/>
        </w:rPr>
        <w:t>ضوابط تشخیص مصالح</w:t>
      </w:r>
      <w:bookmarkEnd w:id="567"/>
    </w:p>
    <w:p>
      <w:pPr>
        <w:pStyle w:val="BookText"/>
        <w:rPr/>
      </w:pPr>
      <w:r>
        <w:rPr>
          <w:rFonts w:ascii="IRNazanin" w:hAnsi="IRNazanin" w:eastAsia="IRNazanin"/>
          <w:color w:val="111111"/>
          <w:sz w:val="28"/>
          <w:sz w:val="28"/>
          <w:szCs w:val="28"/>
          <w:rtl w:val="true"/>
          <w:lang w:bidi="fa-IR"/>
        </w:rPr>
        <w:t>مصالحی که تشخیص آنها در حدود درک معمول انسانی است، مصالحی است که در مرحله اجرا و امتثال احکام و دستورات اسلام، بخصوص احکام حکومتی، مطرح است و بر تشخیص این مصالح ضوابطی حاکم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و مهمترین ضابطه در تشخیص مصالح جامعه این است که باید در آنها عدم مخالفت با شرع، رعایت شود و اساسا جایگاه فقه و فقاهت در منصب حکومت مبتنی بر همین اندیشه است که مصالح اداره کشور و جامعه باید بر اساس احکام و مقررات اسلامی، تنظیم شود، چنان که اصل چهارم قانون اساسی بیان کننده همین مطلب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دومین ضابطه در تشخیص مصالح عبارت است از رعایت قاعده اهمّ و مهمّ، حساسترین و مهمترین مرحله در تشخیص مصالح همین مرحله، یعنی پیدا کردن مصالح مهمتر و ترجیح آنها بر مصالح مهمّ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امام خمینی قدس‌سره در بسیاری از سخنان خود بر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مصالح دیگر تأکید کرده است، چنان که در سخنی خطاب به ائمه جمعه و جماعات و رسانه‌ها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عزیز، ائمه محترم جمعه و جماعات، روزنامه‌ها و رادیو و تلویزیون باید برای مردم این قضیه ساده را روشن کنند که در اسلام مصلحت نظام از مسائلی است که مقدّم بر هر چیز است و همه باید تابع آن باشیم</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ایشان در سخن دیگری خطاب به اعضای شورای نگهبان، ضمن عنایت به ضابطه نخست از ضوابط تشخیص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عدم مخالفت با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ضابطه دوم را گوشزد، و نیز مصداق بارز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مصلحت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مصالح دیگر را بیان کرده،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تذکری پدرانه به اعضای عزیز شورای نگهبان می‌دهم که خودشان قبل از این گیرها مصلحت نظام را در نظر بگیرند، چرا که یکی از مسائل بسیار مهمّ در دنیای پرآشوب کنونی نقش زمان و مکان در اجتهاد و نوع تصمیم گیریهاست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عین این که باید تمام توان خودتان را بگذارید که خلاف شرعی صورت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آن روز را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سعی خودتان را بنمایید که خدای ناکرده اسلام در پیچ و خمهای اقتصادی، نظامی، اجتماعی و سیاسی متّهم به عدم قدرت اداره جهان نگردد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سومین ضابطه‌ای که در تشخیص مصالح احکام حکومتی باید در نظر گرفته شود، عبارت است از رعایت جهات کارشناسانه و تخصصی مصالح در هر زمینه‌ای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سخنان حضرت امام هر جا که مرجعیّت تشخیص مصالح مطرح است، بر رعایت خبرویت و کارشناسی تأکید می‌کند، مثلاً در فرمان تشکیل مجمع تشخیص مصلحت نظام، چنین می‌فرماید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به نظر این جانب پس از طی این مراحل زیر نظر کارشناسان که در تشخیص این امور مرجع هستند، احتیاج به این مرحله نیست، لکن برای </w:t>
      </w:r>
      <w:bookmarkStart w:id="568" w:name="pg4331_49422"/>
    </w:p>
    <w:p>
      <w:pPr>
        <w:pStyle w:val="BookText"/>
        <w:rPr/>
      </w:pPr>
      <w:bookmarkEnd w:id="568"/>
      <w:r>
        <w:rPr>
          <w:rFonts w:ascii="IRNazanin" w:hAnsi="IRNazanin" w:eastAsia="IRNazanin"/>
          <w:color w:val="111111"/>
          <w:sz w:val="28"/>
          <w:sz w:val="28"/>
          <w:szCs w:val="28"/>
          <w:rtl w:val="true"/>
          <w:lang w:bidi="fa-IR"/>
        </w:rPr>
        <w:t xml:space="preserve">غایت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از کارشناسان دیگری هم دعوت به عمل آید و پس از مشورتهای لازم، رأی اکثریّت اعضای حاضر این مجمع مورد عمل قرار گیرد</w:t>
      </w:r>
      <w:r>
        <w:rPr>
          <w:rFonts w:eastAsia="IRNazanin" w:cs="IRNazanin"/>
          <w:color w:val="111111"/>
          <w:sz w:val="28"/>
          <w:szCs w:val="28"/>
          <w:rtl w:val="true"/>
          <w:lang w:bidi="fa-IR"/>
        </w:rPr>
        <w:t>».</w:t>
      </w:r>
      <w:r>
        <w:rPr>
          <w:rStyle w:val="FootnoteAnchor"/>
          <w:rtl w:val="true"/>
        </w:rPr>
        <w:footnoteReference w:id="660"/>
      </w:r>
    </w:p>
    <w:p>
      <w:pPr>
        <w:pStyle w:val="Heading4"/>
        <w:numPr>
          <w:ilvl w:val="3"/>
          <w:numId w:val="1"/>
        </w:numPr>
        <w:rPr/>
      </w:pPr>
      <w:bookmarkStart w:id="569" w:name="__RefHeading___Toc1015003_1479056682"/>
      <w:bookmarkStart w:id="570" w:name="_Toc206"/>
      <w:bookmarkEnd w:id="569"/>
      <w:r>
        <w:rPr>
          <w:rtl w:val="true"/>
        </w:rPr>
        <w:t>دایره نفوذ حکم حکومتی</w:t>
      </w:r>
      <w:bookmarkEnd w:id="570"/>
    </w:p>
    <w:p>
      <w:pPr>
        <w:pStyle w:val="BookText"/>
        <w:rPr/>
      </w:pPr>
      <w:r>
        <w:rPr>
          <w:rFonts w:ascii="IRNazanin" w:hAnsi="IRNazanin" w:eastAsia="IRNazanin"/>
          <w:color w:val="111111"/>
          <w:sz w:val="28"/>
          <w:sz w:val="28"/>
          <w:szCs w:val="28"/>
          <w:rtl w:val="true"/>
          <w:lang w:bidi="fa-IR"/>
        </w:rPr>
        <w:t xml:space="preserve">گرچه در بند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احکام حکومتی با احکام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که پیروی از احکام حکومتی بر همه لازم است، ولی به لحاظ اهمّیّت حکم حکومتی این پرسش را مطرح می‌کنیم که دامنه و دایره نفوذ احکام حکومتی تا چه حدی است ؟ آیا حکم حکومتی در تمام شرایط و برای همه، نافذ و لازم الاتباع است ؟ اگر فقیه یا کارشناسی در مورد خاصی نظرش آن باشد که فلان حکم حکومتی صادره به صلاح جامعه نیست، آیا این فقیه و یا کارشناس می‌تواند با آن حکم حکومتی مخالفت کند و حتّی با دادن حکمی مخالف، آیا می‌تواند آن حکم حکومتی را نقض کند ؟</w:t>
      </w:r>
    </w:p>
    <w:p>
      <w:pPr>
        <w:pStyle w:val="BookText"/>
        <w:rPr/>
      </w:pPr>
      <w:r>
        <w:rPr>
          <w:rFonts w:ascii="IRNazanin" w:hAnsi="IRNazanin" w:eastAsia="IRNazanin"/>
          <w:color w:val="111111"/>
          <w:sz w:val="28"/>
          <w:sz w:val="28"/>
          <w:szCs w:val="28"/>
          <w:rtl w:val="true"/>
          <w:lang w:bidi="fa-IR"/>
        </w:rPr>
        <w:t>امام خمینی قدس‌سره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از فقها توفیق تشکیل حکومت را یافت، بر فقهای دیگر واجب است از او پیروی کنند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مرحوم شهید صدر نیز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مصلحت عموم به چیزی فرمان دهد، بر همگان پیروی از او لازم است، حتّی بر کسانی که عقیده دارند مصلحتِ مقصودِ حاکم اهمّیّت ندارد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ظاهرا تا آن جا که این جانب تفحص کرده‌ام همه فقها و صاحب نظرانی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کرده‌اند، بر عدم جواز نقض حکم حکومتی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اطاعت از حکم حاکم که در روایات آمده است، به عنوان دلیل بر عدم جواز نقض حکم حاکم، کافی است، از جمله این که می‌توان به عباراتی از مقبوله عمر بن حنظله استدلال </w:t>
      </w:r>
    </w:p>
    <w:p>
      <w:pPr>
        <w:pStyle w:val="BookText"/>
        <w:rPr/>
      </w:pPr>
      <w:r>
        <w:rPr>
          <w:rFonts w:ascii="IRNazanin" w:hAnsi="IRNazanin" w:eastAsia="IRNazanin"/>
          <w:color w:val="111111"/>
          <w:sz w:val="28"/>
          <w:sz w:val="28"/>
          <w:szCs w:val="28"/>
          <w:rtl w:val="true"/>
          <w:lang w:bidi="fa-IR"/>
        </w:rPr>
        <w:t>کرد که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حکم بحکمنا فلم یُقبل منه فانما استخف بحکم اللّه و علینا ردّ و الرادّ علینا الراد علی اللّه و هو علی حد الشرک باللّه‌</w:t>
      </w:r>
      <w:r>
        <w:rPr>
          <w:rStyle w:val="FootnoteAnchor"/>
          <w:rtl w:val="true"/>
        </w:rPr>
        <w:footnoteReference w:id="6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که فقیه طبق حکم ما حکم کند و از وی پذیرفته نشود، حکم خداوند سبک شمرده شده و حکم ما رد شده و کسی که حکم ما را رد کند، حکم خداوند را رد کرده است که در حد شرک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قدس‌سره از جمله کسانی است که مقبوله عمر بن حنظله را مختص به باب قضا و حکم قضایی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البیع، مبحث ولایت فقیه همین روایت</w:t>
      </w:r>
    </w:p>
    <w:p>
      <w:pPr>
        <w:pStyle w:val="BookText"/>
        <w:rPr/>
      </w:pPr>
      <w:r>
        <w:rPr>
          <w:rFonts w:ascii="IRNazanin" w:hAnsi="IRNazanin" w:eastAsia="IRNazanin"/>
          <w:color w:val="111111"/>
          <w:sz w:val="28"/>
          <w:sz w:val="28"/>
          <w:szCs w:val="28"/>
          <w:rtl w:val="true"/>
          <w:lang w:bidi="fa-IR"/>
        </w:rPr>
        <w:t>را ذکر کرده است و دلالت آن را بر ولایت فقیه تمام می‌داند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همچنین ایشان در کتاب ولایت فقیه، ضمن اشاره به دو مورد تاریخی از صدور حکم حکومتی به وسیله دو تن از فقهای بزرگ، حکم حکومتی را برای علما و فقها نیز واجب‌الاتباع دانسته و چنین آرده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میرزای شیرازی در حرمت تنباکو، چون حکم حکومتی بوده برای فقیه دیگر هم واجب الاتباع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محمّد تقی شیرازی که حکم جهاد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اسم آن دفاع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علما تبعیّت کردند، برای این است که حکم حکومتی بود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هم دلالت بر وجوب پیروی از حکم حکومتی بر همگان می‌کند و هم دلالت بر عدم جواز نقض آن توسط فقهای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نیز درباره جواز یا عدم جواز نقض حکم قضایی، بحث مبسوطی را مطرح کرده و در پایان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آنچه ذکر کردیم، روشن شد که حکم در دو صورت نقض می‌شود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نقض آن از طریق ظن است و آن زمانی است که طرفین دعوی بر تجدید </w:t>
      </w:r>
    </w:p>
    <w:p>
      <w:pPr>
        <w:pStyle w:val="BookText"/>
        <w:rPr/>
      </w:pPr>
      <w:r>
        <w:rPr>
          <w:rFonts w:ascii="IRNazanin" w:hAnsi="IRNazanin" w:eastAsia="IRNazanin"/>
          <w:color w:val="111111"/>
          <w:sz w:val="28"/>
          <w:sz w:val="28"/>
          <w:szCs w:val="28"/>
          <w:rtl w:val="true"/>
          <w:lang w:bidi="fa-IR"/>
        </w:rPr>
        <w:t>اقامه دعوی و قبول حکم حاکم دوم راضی باشند و دیگری زمانی است که حکم حاکم اوّل مخالف دلیل عملی‌ای باشد که مجالی برای اجتهاد در آن نباشد، یا آن که مخالف دلیل اجتهادی ای باشد که مجالی برای اجتهاد بر خلاف آن نیست، مگر از روی غفلت و مانند آن و به غیر از این دو مورد، حکم در موارد دیگر نقض نمی‌شود، زیرا حکمی که از طریق اجتهاد صحیح صادر شده، حکم ائمه علیهم‌السلام می‌باشد و رد کننده حکم حاکم، رد کننده حکم ائمه خواهد بود که در حد شرک به خدای تعالی است</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حضرت امام خمینی قدس‌سره نیز در تحریر الوسیله در مورد نقض و عدم نقض حکم قضایی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طرفین دعوی به فقیه جامع الشرائط رجوع کنند و وی طبق موازین قضا حکم کند، نمی‌توانند به حاکم دیگری رجوع کنند و حاکم دوم نمی‌تواند در دعوای آن دو نظر کند و حکم اوّل را نقض نماید، حتّی اگر هر دو طرف دعوی بر رجوع به حاکم دوم تراضی کنند، باز هم جایز نمی‌باشد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وی در ادامه بحث چنین فرموده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طرفین ادّعا کند که حاکم اوّل واجد شرایط قضا نبوده است، مثل این که ادّعا کند که حاکم اوّل هنگام قضاوت، مجتهد یا عادل نبوده است، در این صورت دعوای او مسموع است و حاکم دوم می‌تواند در آن نظر کند و چنانچه عدم صلاحیت قاضی اوّل ثابت شود، حکم او را نقض می‌کند، همچنین اگر حکم اولی با ضرورت فقه مخالف باشد به طوری که اگر حاکم اوّل می‌فهمید که غفلت کرده است از حکم خود باز می‌گشت، در این صورت نقض آن جایز است، اما نقض حکم در موردی که نظری و اجتهادی باشد، جایز نیست و ادعای مدعی مسموع نمی‌باشد، هر چند که مدعی خطای حاکم در اجتهادش باشد</w:t>
      </w:r>
      <w:r>
        <w:rPr>
          <w:rFonts w:eastAsia="IRNazanin" w:cs="IRNazanin"/>
          <w:color w:val="111111"/>
          <w:sz w:val="28"/>
          <w:szCs w:val="28"/>
          <w:rtl w:val="true"/>
          <w:lang w:bidi="fa-IR"/>
        </w:rPr>
        <w:t>».</w:t>
      </w:r>
      <w:r>
        <w:rPr>
          <w:rStyle w:val="FootnoteAnchor"/>
          <w:rtl w:val="true"/>
        </w:rPr>
        <w:footnoteReference w:id="668"/>
      </w:r>
      <w:bookmarkStart w:id="571" w:name="pg4331_49432"/>
    </w:p>
    <w:p>
      <w:pPr>
        <w:pStyle w:val="BookText"/>
        <w:rPr/>
      </w:pPr>
      <w:bookmarkEnd w:id="571"/>
      <w:r>
        <w:rPr>
          <w:rFonts w:ascii="IRNazanin" w:hAnsi="IRNazanin" w:eastAsia="IRNazanin"/>
          <w:color w:val="111111"/>
          <w:sz w:val="28"/>
          <w:sz w:val="28"/>
          <w:szCs w:val="28"/>
          <w:rtl w:val="true"/>
          <w:lang w:bidi="fa-IR"/>
        </w:rPr>
        <w:t>از کلام اخیر امام خمینی چنین نتیجه می‌گیریم که تنها در دو مورد می‌توان حکم قاضی را نقض کرد، اوّل در موردی است که ثابت شود حاکم اوّل در حین صدور حکم صلاحیت قضاوت نداشته است و مورد دوم جایی است که حکم صادره مخالف احکام ضروری فقه باشد</w:t>
      </w:r>
      <w:r>
        <w:rPr>
          <w:rFonts w:eastAsia="IRNazanin" w:cs="IRNazanin"/>
          <w:color w:val="111111"/>
          <w:sz w:val="28"/>
          <w:szCs w:val="28"/>
          <w:rtl w:val="true"/>
          <w:lang w:bidi="fa-IR"/>
        </w:rPr>
        <w:t>.</w:t>
      </w:r>
    </w:p>
    <w:p>
      <w:pPr>
        <w:pStyle w:val="Heading4"/>
        <w:numPr>
          <w:ilvl w:val="3"/>
          <w:numId w:val="1"/>
        </w:numPr>
        <w:rPr/>
      </w:pPr>
      <w:bookmarkStart w:id="572" w:name="__RefHeading___Toc1015005_1479056682"/>
      <w:bookmarkStart w:id="573" w:name="_Toc207"/>
      <w:bookmarkEnd w:id="572"/>
      <w:r>
        <w:rPr>
          <w:rtl w:val="true"/>
        </w:rPr>
        <w:t>چند نمونه از احکام حکومتی</w:t>
      </w:r>
      <w:bookmarkEnd w:id="573"/>
    </w:p>
    <w:p>
      <w:pPr>
        <w:pStyle w:val="Heading5"/>
        <w:numPr>
          <w:ilvl w:val="4"/>
          <w:numId w:val="1"/>
        </w:numPr>
        <w:rPr/>
      </w:pPr>
      <w:bookmarkStart w:id="574" w:name="__RefHeading___Toc1015007_1479056682"/>
      <w:bookmarkStart w:id="575" w:name="_Toc208"/>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دایره احکام حکومتی اسلام بسیار وسیع است و تنها اختصاص به باب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بزرگ اسلامی در ابواب مختلف فقه خصوصا در کتابهای قضا، امر به معروف و نهی از منکر و کتاب جهاد به تناسب از آن یاد کرده‌اند و به طور کلّی احکام حکومتی</w:t>
      </w:r>
    </w:p>
    <w:p>
      <w:pPr>
        <w:pStyle w:val="BookText"/>
        <w:rPr/>
      </w:pPr>
      <w:r>
        <w:rPr>
          <w:rFonts w:ascii="IRNazanin" w:hAnsi="IRNazanin" w:eastAsia="IRNazanin"/>
          <w:color w:val="111111"/>
          <w:sz w:val="28"/>
          <w:sz w:val="28"/>
          <w:szCs w:val="28"/>
          <w:rtl w:val="true"/>
          <w:lang w:bidi="fa-IR"/>
        </w:rPr>
        <w:t xml:space="preserve">شامل کلیه مصالح اجتماعی و احکام اقتصادی، سیاسی و از جمله موضوعات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حکم به ثبوت رؤیت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مواردی از احکام حکومتی را به عنوان نمونه در دو بخش، مورد بحث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حکومتی در کلام معصومین علیهم‌السلام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حکومتی در کلام فقها</w:t>
      </w:r>
      <w:r>
        <w:rPr>
          <w:rFonts w:eastAsia="IRNazanin" w:cs="IRNazanin"/>
          <w:color w:val="111111"/>
          <w:sz w:val="28"/>
          <w:szCs w:val="28"/>
          <w:rtl w:val="true"/>
          <w:lang w:bidi="fa-IR"/>
        </w:rPr>
        <w:t>.</w:t>
      </w:r>
    </w:p>
    <w:p>
      <w:pPr>
        <w:pStyle w:val="Heading5"/>
        <w:numPr>
          <w:ilvl w:val="4"/>
          <w:numId w:val="1"/>
        </w:numPr>
        <w:rPr/>
      </w:pPr>
      <w:bookmarkStart w:id="576" w:name="__RefHeading___Toc1015009_1479056682"/>
      <w:bookmarkStart w:id="577" w:name="_Toc209"/>
      <w:bookmarkEnd w:id="576"/>
      <w:r>
        <w:rPr>
          <w:rtl w:val="true"/>
        </w:rPr>
        <w:t xml:space="preserve">الف </w:t>
      </w:r>
      <w:r>
        <w:rPr>
          <w:rtl w:val="true"/>
        </w:rPr>
        <w:t xml:space="preserve">- </w:t>
      </w:r>
      <w:r>
        <w:rPr>
          <w:rtl w:val="true"/>
        </w:rPr>
        <w:t>نمونه احکام حکومتی در کلام معصومین علیهم‌السلام</w:t>
      </w:r>
      <w:bookmarkEnd w:id="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 وجوب زکات بر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زکات، میان فقها این بحث مطرح شده است که آیا وجوب زکات منحصر به همان نه مورد معروف است یا شامل چیزهای دیگر هم می‌شود ؟ و سرّ این که ائمه هدی علیهم‌السلام این نه مورد را نام برده‌اند، فراوانی و رواج آنها در میان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نظر اوّل را بپذیریم، وجوب زکات از سوی ائمه علیهم‌السلام در غیر آن نه مورد را باید از باب حکم حکومتی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وسائل الشیعه و کافی از</w:t>
      </w:r>
    </w:p>
    <w:p>
      <w:pPr>
        <w:pStyle w:val="BookText"/>
        <w:rPr/>
      </w:pPr>
      <w:r>
        <w:rPr>
          <w:rFonts w:ascii="IRNazanin" w:hAnsi="IRNazanin" w:eastAsia="IRNazanin"/>
          <w:color w:val="111111"/>
          <w:sz w:val="28"/>
          <w:sz w:val="28"/>
          <w:szCs w:val="28"/>
          <w:rtl w:val="true"/>
          <w:lang w:bidi="fa-IR"/>
        </w:rPr>
        <w:t>محمّد بن مسلم و زراره روایت شده است که امیر مؤمنان علی علیه‌السلام بر اسب‌ها زکات وضع فرموده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امیر المؤمنین صلوات اللّه علیه علی الخیل العتاق الراعیة فی کل فرس فی کل عامّ دینارین </w:t>
      </w:r>
    </w:p>
    <w:p>
      <w:pPr>
        <w:pStyle w:val="BookText"/>
        <w:rPr/>
      </w:pPr>
      <w:r>
        <w:rPr>
          <w:rFonts w:ascii="IRNazanin" w:hAnsi="IRNazanin" w:eastAsia="IRNazanin"/>
          <w:color w:val="111111"/>
          <w:sz w:val="28"/>
          <w:sz w:val="28"/>
          <w:szCs w:val="28"/>
          <w:rtl w:val="true"/>
          <w:lang w:bidi="fa-IR"/>
        </w:rPr>
        <w:t>و جعل علی البرازین دینارا</w:t>
      </w:r>
      <w:r>
        <w:rPr>
          <w:rStyle w:val="FootnoteAnchor"/>
          <w:rtl w:val="true"/>
        </w:rPr>
        <w:footnoteReference w:id="6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علیه‌السلام بر اسب بیابان چر در هر سال، دو دینار زکات قرار داد و بر برازین یک دینار زکات واجب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دستورامام به علی‌بن‌یقطین دایر بر تبعیت از اهل سنّت در مسأله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در بحار الانوار نقل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بن جعفر علیهماالسلام در جواب نامه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دستور دادند که همانند اهل سنّت وضو بگیرد و هیچ گونه مخالفتی در وضو با آنها نداشته باشد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ممکن است گفته شود این دستور امام از باب تقیّه بوده است، می‌گوییم دستورات تقیّه‌ای خود نوعی از احکام حکومتی است، زیرا دستور امام بر اساس مصلحت و برای محدوده زمانی خاصّی صادر شده بود، چرا که بر اثر سعایت مخالفان نزد هارون‌الرّشید، علی بن یقطین متهم به تشیّع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هارون او را مورد آزمایش قرار داد و از ورای پرده وضوی او را به روش اهل سنّت مشاهده کرد، سوء ظنّ او نسبت به علی بن یقطین برطرف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من زعم أنّک رافضیّ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امام مجددا دستور دادند که مانند شیعیان وضو بگیرد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من الآن کما أمر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تخریب ساختمانهای 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آمده است که پیامبر اکرم صلی‌الله‌علیه‌و‌آله و حضرت علی علیه‌السلام دستور به تخریب محلهایی دادند که به طور غیر مجاز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در روایتی از اصبغ نقل شده که علی علیه‌السلام با مشاهده خانه‌های بنی البکاء که جزء بازار محسوب می‌شد، دستور تخلیه و تخریب آنها را صادر فرمود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از این گونه روایتها استفاده می‌شود که حاکم اسلامی به خاطر رعایت نقشه شهر ومصالح مردم می‌تواند دستور تخریب بعضی از خانه‌ها و یا مغازه‌ها را صادر کند و یا آن که در مواردی از همان ابتدا اجازه ساختمان ندهد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به مصادره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دعائم الاسلام درباره اشعث بن قیس که در زمان </w:t>
      </w:r>
      <w:bookmarkStart w:id="578" w:name="pg4331_49440"/>
    </w:p>
    <w:p>
      <w:pPr>
        <w:pStyle w:val="BookText"/>
        <w:rPr/>
      </w:pPr>
      <w:bookmarkEnd w:id="578"/>
      <w:r>
        <w:rPr>
          <w:rFonts w:ascii="IRNazanin" w:hAnsi="IRNazanin" w:eastAsia="IRNazanin"/>
          <w:color w:val="111111"/>
          <w:sz w:val="28"/>
          <w:sz w:val="28"/>
          <w:szCs w:val="28"/>
          <w:rtl w:val="true"/>
          <w:lang w:bidi="fa-IR"/>
        </w:rPr>
        <w:t>خلافت عثمان والی آذربایجان بود، آمده است که وی مبلغ صد هزار درهم به خود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حضرت علی علیه‌السلام او را احضار فرمود و چون اشعث از تحویل دادن اموال ممانعت کرد،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لَئن انت لم تُحضرها بیت مال المسلمین، لأضربنّک بسیفی هذا أصاب منک ما اصاب،</w:t>
      </w:r>
    </w:p>
    <w:p>
      <w:pPr>
        <w:pStyle w:val="BookText"/>
        <w:rPr/>
      </w:pPr>
      <w:r>
        <w:rPr>
          <w:rFonts w:ascii="IRNazanin" w:hAnsi="IRNazanin" w:eastAsia="IRNazanin"/>
          <w:color w:val="111111"/>
          <w:sz w:val="28"/>
          <w:sz w:val="28"/>
          <w:szCs w:val="28"/>
          <w:rtl w:val="true"/>
          <w:lang w:bidi="fa-IR"/>
        </w:rPr>
        <w:t xml:space="preserve">فأحضرها و أخدها منه و صیّرها فی بیت مال المسلمین </w:t>
      </w:r>
      <w:r>
        <w:rPr>
          <w:rFonts w:eastAsia="IRNazanin" w:cs="IRNazanin"/>
          <w:color w:val="111111"/>
          <w:sz w:val="28"/>
          <w:szCs w:val="28"/>
          <w:rtl w:val="true"/>
          <w:lang w:bidi="fa-IR"/>
        </w:rPr>
        <w:t>...</w:t>
      </w:r>
      <w:r>
        <w:rPr>
          <w:rStyle w:val="FootnoteAnchor"/>
          <w:rtl w:val="true"/>
        </w:rPr>
        <w:footnoteReference w:id="6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آن اموال را به بیت المال مسلمین تحویل ندهی، با همین شمشیر تو را به سزای عملت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اموال را آورد و آن حضرت آنها را تحویل گرفت و در بیت المال قرار داد</w:t>
      </w:r>
      <w:r>
        <w:rPr>
          <w:rFonts w:eastAsia="IRNazanin" w:cs="IRNazanin"/>
          <w:color w:val="111111"/>
          <w:sz w:val="28"/>
          <w:szCs w:val="28"/>
          <w:rtl w:val="true"/>
          <w:lang w:bidi="fa-IR"/>
        </w:rPr>
        <w:t>».</w:t>
      </w:r>
    </w:p>
    <w:p>
      <w:pPr>
        <w:pStyle w:val="Heading5"/>
        <w:numPr>
          <w:ilvl w:val="4"/>
          <w:numId w:val="1"/>
        </w:numPr>
        <w:rPr/>
      </w:pPr>
      <w:bookmarkStart w:id="579" w:name="__RefHeading___Toc1015011_1479056682"/>
      <w:bookmarkStart w:id="580" w:name="_Toc210"/>
      <w:bookmarkEnd w:id="579"/>
      <w:r>
        <w:rPr>
          <w:rtl w:val="true"/>
        </w:rPr>
        <w:t xml:space="preserve">ب </w:t>
      </w:r>
      <w:r>
        <w:rPr>
          <w:rtl w:val="true"/>
        </w:rPr>
        <w:t xml:space="preserve">- </w:t>
      </w:r>
      <w:r>
        <w:rPr>
          <w:rtl w:val="true"/>
        </w:rPr>
        <w:t>نمونه احکام حکومتی در کلام فقها</w:t>
      </w:r>
      <w:bookmarkEnd w:id="580"/>
    </w:p>
    <w:p>
      <w:pPr>
        <w:pStyle w:val="BookText"/>
        <w:rPr/>
      </w:pPr>
      <w:r>
        <w:rPr>
          <w:rFonts w:ascii="IRNazanin" w:hAnsi="IRNazanin" w:eastAsia="IRNazanin"/>
          <w:color w:val="111111"/>
          <w:sz w:val="28"/>
          <w:sz w:val="28"/>
          <w:szCs w:val="28"/>
          <w:rtl w:val="true"/>
          <w:lang w:bidi="fa-IR"/>
        </w:rPr>
        <w:t>با مراجعه به کتب و آثار فقهای بزرگ اسلام، به موارد زیادی از احکام حکومتی برخورد می‌کنیم که در بخشهای مختلف قضایی، سیاسی و اقتصادی و موضوعات مختلف، صادر شده است و در غالب موارد اثرات مهمّ و سرنوشت سازی برای جامعه اسلامی در 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حکم میرزای شیرازی به تحریم تنباکو و حکم به جهاد به وسیله میرزا محمّد تقی شیرازی که هر دو حکم، اثرات مهم و سرنوشت سازی در جامعه اسلامی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ذکر چند نمونه از این احکام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به ثبوت رؤیت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 حکم حاکم را در رؤیت هلال، حجت می‌دانند و لازم است که تمام افراد از این حکم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رؤیت هلال به حکم حاکم که مستند به علم خود او باشد،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اطلاق ادلّه دال بر نفوذ حکم حاکم و این که ردّ حکم حاکم ردّ حکم ائمه معصومین علیهم‌السلام است، این مورد را شامل می‌شود، بدون آن که بین موضوعات منازعات و غیر آن فرقی باشد</w:t>
      </w:r>
      <w:r>
        <w:rPr>
          <w:rFonts w:eastAsia="IRNazanin" w:cs="IRNazanin"/>
          <w:color w:val="111111"/>
          <w:sz w:val="28"/>
          <w:szCs w:val="28"/>
          <w:rtl w:val="true"/>
          <w:lang w:bidi="fa-IR"/>
        </w:rPr>
        <w:t>».</w:t>
      </w:r>
      <w:r>
        <w:rPr>
          <w:rStyle w:val="FootnoteAnchor"/>
          <w:rtl w:val="true"/>
        </w:rPr>
        <w:footnoteReference w:id="67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وسوسه‌ای که از بعضی متأخّرین در این باره شده است، بدون آن که بین</w:t>
      </w:r>
    </w:p>
    <w:p>
      <w:pPr>
        <w:pStyle w:val="BookText"/>
        <w:rPr/>
      </w:pPr>
      <w:r>
        <w:rPr>
          <w:rFonts w:ascii="IRNazanin" w:hAnsi="IRNazanin" w:eastAsia="IRNazanin"/>
          <w:color w:val="111111"/>
          <w:sz w:val="28"/>
          <w:sz w:val="28"/>
          <w:szCs w:val="28"/>
          <w:rtl w:val="true"/>
          <w:lang w:bidi="fa-IR"/>
        </w:rPr>
        <w:t xml:space="preserve">حکم مستند به علم حاکم یا مستند به بیّنه یا غیر آن دو فرقی بگذارد، شایسته اعتنا نمی‌باشد، زیرا دانستی که با حکم حاکم، هلال ثابت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صدور حکم حاکم به رؤیت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یا افطار بر تمام افراد واجب می‌شود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حضرت امام خمینی قدس‌سره نیز یکی از راههای ثبوت رؤیت هلال را حکم حاکم می‌داند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 ماه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حکم حاکم ثابت می‌شود به شرط آن که خطای آن حکم و یا خطای مستند آن ثابت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حکم حاکم اختصاص به مقلّدین او ندارد، بلکه آن حکم حجّت است، حتّی نسبت به حاکم دیگر، در صورتی که خطای آن و یا خطای مستند آن ثابت نشده باشد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به فروش اموال محتکر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احکام حکومتی، اجبار محتکر بر فروش اموال احتکار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مطلب، مورد اتّفاق فقهاست که حاکم حق دارد محتکر را مجبور به فروش اموال احتکار شده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در مکاسب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گفته شده، خلافی در اجبار محتکر بر فروش نیست حتّی بنا بر قول به کراهت آن، بلکه از کتاب المهذب البارع بر آن نقل اجماع شده است و از کتاب تنقیح و حدائق عدم خلاف در آن نقل شده است</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شیخ مفید در مقنعه گفته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می‌تواند محتکر را بر بیرون آوردن جنس و فرآورده احتکار شده و فروش آن اجبار کند، در صورتی که مردم به آن نیاز آشکار داشته باشند و </w:t>
      </w:r>
    </w:p>
    <w:p>
      <w:pPr>
        <w:pStyle w:val="BookText"/>
        <w:rPr/>
      </w:pPr>
      <w:r>
        <w:rPr>
          <w:rFonts w:ascii="IRNazanin" w:hAnsi="IRNazanin" w:eastAsia="IRNazanin"/>
          <w:color w:val="111111"/>
          <w:sz w:val="28"/>
          <w:sz w:val="28"/>
          <w:szCs w:val="28"/>
          <w:rtl w:val="true"/>
          <w:lang w:bidi="fa-IR"/>
        </w:rPr>
        <w:t>می‌تواند آن را طبق مصلحتی که به نظرش می‌رسد، نرخ گذاری کند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به پرداخت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آیا پرداخت زکات به فقیه واجب است یا نه ؟ بین فقها اختلاف است، امّا آنچه مورد اتّفاق است، افضلیت و استحباب پرداخت زکات به فقیه است و چنانچه خود فقیه زکات را مطالبه کند، عده‌ای از فقها مانند صاحب جواهر و شیخ انصاری پرداخت آن را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قدس‌سره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و بلکه احتیاط این است که در عصر غیبت، زکات به فقیه داده شود، بخصوص اگر خود فقیه آن را طلب کند، زیرا وی به موارد مصرف آن آشناتر است، اگر چه اقوی عدم وجوب آن است، مگر آن که به خاطر مصلحت اسلام و مسلمین، فقیه حکم به پرداخت زکات به خودش کند که در این صورت پیروی از دستور او واجب است، اگر چه فرد پرداخت کننده مقلد او نباشد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بر آزادی یا نگهداری اسیران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اکثر فقها آن است که در زمان غیبت، اختیار اسیران جنگی به دست حاکم اسلامی است، می‌تواند منّت گذارد و آنان را آزاد کند، یا آن که آنها را به بندگی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ابن برّاج در کتاب المهذب اسیران جنگی را به دو دسته تقسیم می‌کند که حکم آنها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اسیرانی هستند که بعد از پایان جنگ به اسارت گرفته می‌شوند و دسته دوم آنها که در حین جنگ و قبل از پایان جنگ اسیر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دسته اوّل می‌گوید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نماینده او مخیر است، اگر خواست می‌تواند آنها را به قتل برساند و یا می‌تواند آنها را آزاد کند و از آنان فدیه بگیرد و اگر خواست بر آنها منّت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فدیه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آنان را به بندگی می‌گیرد و در همه اینها، آنچه براساس تدبیر و نفع مسلمین است بنا به مصلحت، انجام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شیخ طوسی نیز در نهایه اسیران جنگی را به دو دسته تقسیم می‌کند و درباره دسته دوم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قسم دیگر آن اسیری است که پس از پایان جنگ به اسارت گرفته می‌شود،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بر وی منت نهد و رهایش سازد، و اگر خواهد وی را به بندگی گیرد، و اگر خواهد در مقابل آزادی او فدیه بگیرد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اجراء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قریب به اتّفاق فقها اجرای حدود را در زمان غیبت، از وظایف حاکم اسلامی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در این باره در مقنعه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اقامة الحدود فهو الی سلطان الاسلام المنصوب من قبل اللّه تعالی و هم ائمة الهدی من آل محمد علیهم‌السلام و من نصبوه لذلک من الأمراء و الحکام و قد فوّضوا النظر فیه الی فقهاء شیعتهم مع الامکان</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حدود به حاکمان اسلامی که از جانب خداوند منصوب گشته‌اند، واگذار شده و آنها ائمه هدی از خاندان پیامبر و نیز امرا و حکّامی هستند که از سوی آنان برای اجرای حدود منصوب گشته‌اند و اجرای آن را، در صورت امکان، به فقهای شیعیان خود واگذار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ابن برّاج نیز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 جز برای ائمه علیهم‌السلام یا منصوب و یا مأمور از جانب ایشان، جایز نمی‌باشد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به هر حال از بررسی اقوال فقهای دیگر نیز معلوم می‌شود که اجرای حدود در زمان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مورد قبول اکثر متقدمین از فقها بوده است و مسلم است که اجرای حدود، حکم حکومتی است، زیرا تا وقتی فقیه دارای اقتدار و حکومت و مبسوط الید نباشد، اجرای حدود ممکن نیست و با تشکیل حکومت، اجرا و اقامه حدود بر عهده حاکم اسلامی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نمونه مختصری از احکام حکومتی ائمه هدی و فقهای اسلامی در موارد مختلف بود که به طور مسلّم با مرور در کتب حدیثی فقهی، می‌توان صدها نمونه از احکام حکومتی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و بررسی دقیق روایات وسیره ائمه معصومین علیهم‌السلام و تاریخ زندگی آنها، این واقعیت را بر ما ظاهر و آشکار می‌سازد که ساختار دین اسلام و بخصوص مذهب شیعه به گونه‌ای تأسیس و پایه گذاری شده است که بدون تشکیل حکومت و دولت، احکام و دستورات آن معطّل می‌ماند و دچار رکود می‌شود، زیرا بسیاری از احکام و قوانین آن با حکومت و دولت عجین شده است و تا حکومت اسلامی نباشد، اجرای این دستورات حیات بخش و انسان ساز، که به تعبیر روایات اجرای یک حدّ از حدود الهی از بارش چهل شبانه روز باران پاک کننده تر و مفید تر است، ممکن نخواهد شد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اقامة حدٍّ خیر من مطر اربعین صباحا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ثقل و نقطه اساسی بحث 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تشخیص مصلحت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احکام صادره به وسیله این مجمع بر محور مصلحت است و در حقیقت حلقه پیوند و اتصال بین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تشخیص مصلحت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ضوابط حاکم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بین مصلحتی که ما در فقه شیعه و بخصوص در احکام حکومتی مطرح می‌کنیم و مصلحتی که در فقه اهل سنت،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می‌کنند، تفاوتی وجود دارد، یا نه ؟</w:t>
      </w:r>
    </w:p>
    <w:p>
      <w:pPr>
        <w:pStyle w:val="BookText"/>
        <w:rPr/>
      </w:pPr>
      <w:r>
        <w:rPr>
          <w:rFonts w:ascii="IRNazanin" w:hAnsi="IRNazanin" w:eastAsia="IRNazanin"/>
          <w:color w:val="111111"/>
          <w:sz w:val="28"/>
          <w:sz w:val="28"/>
          <w:szCs w:val="28"/>
          <w:rtl w:val="true"/>
          <w:lang w:bidi="fa-IR"/>
        </w:rPr>
        <w:t xml:space="preserve">اولاً ؛ اگر شرایطی را که علمای اهل سنّت برای اعتبار مصالح مرسله گفته‌اند، رعایت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شرایطی که از قول استاد عبدالوهّاب خلاف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مصالح مرسله اعتبار پیدا می‌کند و آن اشکالاتی که از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استنباط</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پدید می‌آید تا حدودی برطرف می‌شود و حتّی به نظر این جانب، محتوای کاری که درمجمع تشخیص مصلحت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می‌گیرد همان قانون و روش استصلاح و </w:t>
      </w:r>
    </w:p>
    <w:p>
      <w:pPr>
        <w:pStyle w:val="BookText"/>
        <w:rPr/>
      </w:pPr>
      <w:r>
        <w:rPr>
          <w:rFonts w:ascii="IRNazanin" w:hAnsi="IRNazanin" w:eastAsia="IRNazanin"/>
          <w:color w:val="111111"/>
          <w:sz w:val="28"/>
          <w:sz w:val="28"/>
          <w:szCs w:val="28"/>
          <w:rtl w:val="true"/>
          <w:lang w:bidi="fa-IR"/>
        </w:rPr>
        <w:t>مصالح مرسله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کار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 می‌توان گفت بین این دو، تفاوتهایی وجود دارد که به طور اختصار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اساسی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اهل سنّت، با کاربرد آن در فقه شیعه آن است که فقها و علمای اهل سنّت با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ظن و تخمین حکم می‌کنند، اما غالب فقهای شیعه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حکم می‌کنند و می‌گویند قطع حجّت است و اگر مجتهد خطا کند دارای یک اجر و ثواب خواهد بود و اگر مصاب شود دو ثواب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للمصیب اجران و للمخطی‌ء اجر و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روشنتر ؛ اهل سنّت معتقدند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می‌تواند مصالح و مفاسد را درک کند و فقیه حکم را بر طرق مصالح و مفاسد وضع می‌کند و چنان که قبلاً هم اشاره کردیم در فقه اهل سنّت یکی از منابع استنباط حکم کلی الهی، مصلحت است و چون مصلحت هنگام فقدان دلیل شرعی، مبنای حکم قرار می‌گیرد،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و آن را دلیل بر حکم شرع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فقه شیعه، در مقام</w:t>
      </w:r>
    </w:p>
    <w:p>
      <w:pPr>
        <w:pStyle w:val="BookText"/>
        <w:rPr/>
      </w:pPr>
      <w:r>
        <w:rPr>
          <w:rFonts w:ascii="IRNazanin" w:hAnsi="IRNazanin" w:eastAsia="IRNazanin"/>
          <w:color w:val="111111"/>
          <w:sz w:val="28"/>
          <w:sz w:val="28"/>
          <w:szCs w:val="28"/>
          <w:rtl w:val="true"/>
          <w:lang w:bidi="fa-IR"/>
        </w:rPr>
        <w:t>ثبوت، تابعیت احکام از مصالح و مفاسد واقعی و نفس الامری مورد قبول و تأیید است، و در مقام اثبات مادام که مصلحت مفید علم و قطع نباشد، نمی‌تواند به عنوان مبنای استنباط حکم کلی الهی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فقه شیعه، قیاس، استحسان و</w:t>
      </w:r>
    </w:p>
    <w:p>
      <w:pPr>
        <w:pStyle w:val="BookText"/>
        <w:rPr/>
      </w:pPr>
      <w:r>
        <w:rPr>
          <w:rFonts w:ascii="IRNazanin" w:hAnsi="IRNazanin" w:eastAsia="IRNazanin"/>
          <w:color w:val="111111"/>
          <w:sz w:val="28"/>
          <w:sz w:val="28"/>
          <w:szCs w:val="28"/>
          <w:rtl w:val="true"/>
          <w:lang w:bidi="fa-IR"/>
        </w:rPr>
        <w:t>مصالح مرسله رد شده به خاطر آن است که این مبانی بر اساس ظنّ و تخمین و استحسانات عقلی است، البته این که در اخبار ما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دین اللّه لایصاب بالعقول مراد عقل قیاسی است نه مطلق عقل، زیرا اگر بگوییم عقل مجتهد حجت نیست، این همان اخباری‌گری است که از نظر اصولیّین مردود است و ما قبلاً در مقدمات مذکور در این مسأله، درباره نقش عقل در استنباط احکام به عنوان یکی از ادلّه اصلی احکام، کاملاً</w:t>
      </w:r>
    </w:p>
    <w:p>
      <w:pPr>
        <w:pStyle w:val="BookText"/>
        <w:rPr/>
      </w:pPr>
      <w:r>
        <w:rPr>
          <w:rFonts w:ascii="IRNazanin" w:hAnsi="IRNazanin" w:eastAsia="IRNazanin"/>
          <w:color w:val="111111"/>
          <w:sz w:val="28"/>
          <w:sz w:val="28"/>
          <w:szCs w:val="28"/>
          <w:rtl w:val="true"/>
          <w:lang w:bidi="fa-IR"/>
        </w:rPr>
        <w:t xml:space="preserve">بحث کردیم که عقل در فقه شیعه یکی از ادلّه اربعه احکام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فقه اهل سنّت به جای‌عقل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واژه قیاس استفاده می‌شود و قیاس</w:t>
      </w:r>
    </w:p>
    <w:p>
      <w:pPr>
        <w:pStyle w:val="BookText"/>
        <w:rPr/>
      </w:pPr>
      <w:r>
        <w:rPr>
          <w:rFonts w:ascii="IRNazanin" w:hAnsi="IRNazanin" w:eastAsia="IRNazanin"/>
          <w:color w:val="111111"/>
          <w:sz w:val="28"/>
          <w:sz w:val="28"/>
          <w:szCs w:val="28"/>
          <w:rtl w:val="true"/>
          <w:lang w:bidi="fa-IR"/>
        </w:rPr>
        <w:t>یکی از ادلّه اصلی آنهاست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فقهای شیعه از نقش مصلحت در احکام غافل نبوده و آن را در ابواب و موضوعات مختلف فقهی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قبلاً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مصلحت در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کاملاً بیان کردیم و نمونه‌هایی از آن را از کلام فقیهان بزرگی </w:t>
      </w:r>
    </w:p>
    <w:p>
      <w:pPr>
        <w:pStyle w:val="BookText"/>
        <w:rPr/>
      </w:pPr>
      <w:r>
        <w:rPr>
          <w:rFonts w:ascii="IRNazanin" w:hAnsi="IRNazanin" w:eastAsia="IRNazanin"/>
          <w:color w:val="111111"/>
          <w:sz w:val="28"/>
          <w:sz w:val="28"/>
          <w:szCs w:val="28"/>
          <w:rtl w:val="true"/>
          <w:lang w:bidi="fa-IR"/>
        </w:rPr>
        <w:t>چون صاحب جواهر و امام خمینی قدس‌سره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مطلب مهمّی که نباید از آن غافل شد این است که با همه اهمّیّت و گستردگی‌ای که مسأله ولایت فقیه دارد و با تمام اهمیتی که حکم ولی فقیه در اجرای احکام شرعی و در وضع قوانین و مقرّرات برای اداره کشور و پیشگیری از هرج و مرج دارد، در عین حال، در فقه شیعه حکم حاکم از منابع تشریع محسوب نمی‌شود و با حکم حاکم، حکمی بر احکام الهی افزوده نمی‌شود و هیچ حکمی هم از آن کاسته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فقه اهل سنّت بنا بر نظریّه تصویب، رأی و نظر فقیه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تشریع به حساب می‌آید و به تعداد هر حکمی که از سوی هر فقیهی صادر می‌شود، حکمی به احکام الهی افزوده می‌شود و این همان اشکال هرج و مرج است که قبلاً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شیعه، دستورها و احکام حکومتی حاکم و ولی فقیه مانند احکام شریعت دارای اعتبار و لازم الإجراست ولی تشریع نیست و همان گونه که قبلاً گفته شد احکام حکومتی در ثبات و بقا تابع مصلحتی است که آنها را به وجود آورده است و ممکن است با تغییر و تحول و رشد جامعه اسلامی، آن مقررات تبدیل و تغییر یابد و جای خود را به</w:t>
      </w:r>
    </w:p>
    <w:p>
      <w:pPr>
        <w:pStyle w:val="BookText"/>
        <w:rPr/>
      </w:pPr>
      <w:r>
        <w:rPr>
          <w:rFonts w:ascii="IRNazanin" w:hAnsi="IRNazanin" w:eastAsia="IRNazanin"/>
          <w:color w:val="111111"/>
          <w:sz w:val="28"/>
          <w:sz w:val="28"/>
          <w:szCs w:val="28"/>
          <w:rtl w:val="true"/>
          <w:lang w:bidi="fa-IR"/>
        </w:rPr>
        <w:t>احکام حکومتی 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اصل ولایت و حکومت از احکام اوّلیّه اسلام است که قابل تغییر و نسخ نیست و با آن که مسأله ولایت و حکومت در اسلام از اصول ثابت و غیر قابل تغییر است، ولی منطقه صدور احکام حکومتی و بستر اجرای آنها در محدوده احکام ثانوی است که بر اساس مقتضیات زمان و مصالح نظام، حاکم اسلامی آنها را در هر عصر و زمانی، متناسب با اوضاع و شرایط آن زمان،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 احکام حکومتی اسلام مربوط به اجرا و نتفیذ احکام اوّلی و احکام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حکم حاکم همیشه بر اساس مصالح اجتماعی است و تا وقتی این مصالح وجود دارد، حکم هم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مصلحت تمام شد، حکم هم از بین می‌رود و اگر حکم حاکم تشریع بود، هرگز برطرف نمی‌شد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دیگری که به نظر می‌رسد، این است که در فقه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مرسله‌اساس و مبنای صدور و تشریع حکم به وسیله فرد فرد فقهاست و همین امر خود موجب پیدا شدن هرج و مرج در فقه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ممکن است در مسأله واحدی، </w:t>
      </w:r>
      <w:bookmarkStart w:id="581" w:name="pg4331_49462"/>
    </w:p>
    <w:p>
      <w:pPr>
        <w:pStyle w:val="BookText"/>
        <w:rPr/>
      </w:pPr>
      <w:bookmarkEnd w:id="581"/>
      <w:r>
        <w:rPr>
          <w:rFonts w:ascii="IRNazanin" w:hAnsi="IRNazanin" w:eastAsia="IRNazanin"/>
          <w:color w:val="111111"/>
          <w:sz w:val="28"/>
          <w:sz w:val="28"/>
          <w:szCs w:val="28"/>
          <w:rtl w:val="true"/>
          <w:lang w:bidi="fa-IR"/>
        </w:rPr>
        <w:t>صدها مجتهد نظریه‌ها و احکام متفاوتی ابراز کنند که موجب هرج و مرج و اختلاف در نظام فقه اسلامی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کاری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تشخیص مصلحت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یک عمل کارشناسی گروهی است و چنان که قبلاً گفته شد، وظیفه اصلی این مجمع، تشخیص مصلحت نظام است، یعنی آنها برای جلوگیری از اختلال در نظام حکومتی و پیشگیری از هرج و مرج در مواردی که بین مجلس شورای اسلامی و شورای نگهبان اختلاف پدید آید، پس از بررسی و مطالعه دقیق و شور و مشورت کارشناسان با یکدیگر، به نظر مشترکی می‌رسند و به اتّفاق آرای آن را تصویب می‌کنند و این درست در جهت پیشگیری از هرج و مرج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گفتار، بار دیگر یادآور می‌شویم که در فقه شیعه نیز میان مجتهدین و فقها در فروع احکام اختلاف نظر وجود دارد، امّا در عین حال، حکم حاکم و اجتهاد مجتهدین به هیچ وجه از منابع تشریع محسوب نمی‌شود و چنان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مقدّمه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شدیم، تمایز اصلی اجتهاد، در دو مکتب فقهی شیعه و اهل سنت، به این است که اجتهاد از نظر اهل سنّت، از منابع و مصادر تشریع است و در ردیف کتاب و سنّت قرار دارد، ولی در فقه شیعه، اجتهاد از مصادر تشریع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تقسیم احکام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ظاهری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طرق به دست آوردن احکام شریعت از منابع تشریع است و بر همین اساس است که فقه شیعه توانسته همچنان بالنده و پویا، پرتحرّک، و پایدار بماند و پاسخگوی تمام نیازها و مسائل جدید، در جامعه اسلامی باشد</w:t>
      </w:r>
      <w:r>
        <w:rPr>
          <w:rFonts w:eastAsia="IRNazanin" w:cs="IRNazanin"/>
          <w:color w:val="111111"/>
          <w:sz w:val="28"/>
          <w:szCs w:val="28"/>
          <w:rtl w:val="true"/>
          <w:lang w:bidi="fa-IR"/>
        </w:rPr>
        <w:t>.</w:t>
      </w:r>
    </w:p>
    <w:p>
      <w:pPr>
        <w:pStyle w:val="Heading3"/>
        <w:numPr>
          <w:ilvl w:val="2"/>
          <w:numId w:val="1"/>
        </w:numPr>
        <w:rPr/>
      </w:pPr>
      <w:bookmarkStart w:id="582" w:name="__RefHeading___Toc1015013_1479056682"/>
      <w:bookmarkStart w:id="583" w:name="_Toc211"/>
      <w:bookmarkEnd w:id="582"/>
      <w:r>
        <w:rPr>
          <w:rtl w:val="true"/>
        </w:rPr>
        <w:t>سدّ ذرایع</w:t>
      </w:r>
      <w:bookmarkEnd w:id="583"/>
    </w:p>
    <w:p>
      <w:pPr>
        <w:pStyle w:val="Heading4"/>
        <w:numPr>
          <w:ilvl w:val="3"/>
          <w:numId w:val="1"/>
        </w:numPr>
        <w:rPr/>
      </w:pPr>
      <w:bookmarkStart w:id="584" w:name="__RefHeading___Toc1015015_1479056682"/>
      <w:bookmarkStart w:id="585" w:name="_Toc212"/>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 xml:space="preserve">یکی دیگر از منابع احکام در فقه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منابع تبعی و ظنی و مختلفٌ فیه به شمار می‌آید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 در لغت به معنی منع و جلوگیری و ذرایع جمع ذریعه، به معنی وسیله است و منظور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کارهای مباح و حلالی که وسیله انجام عملی حرام قرار می‌گیرد، حرام و ممنوع شود، مانند اجاره دادن منزل به کسی که در آن عمل </w:t>
      </w:r>
      <w:bookmarkStart w:id="586" w:name="pg4331_49465"/>
    </w:p>
    <w:p>
      <w:pPr>
        <w:pStyle w:val="BookText"/>
        <w:rPr/>
      </w:pPr>
      <w:bookmarkEnd w:id="586"/>
      <w:r>
        <w:rPr>
          <w:rFonts w:ascii="IRNazanin" w:hAnsi="IRNazanin" w:eastAsia="IRNazanin"/>
          <w:color w:val="111111"/>
          <w:sz w:val="28"/>
          <w:sz w:val="28"/>
          <w:szCs w:val="28"/>
          <w:rtl w:val="true"/>
          <w:lang w:bidi="fa-IR"/>
        </w:rPr>
        <w:t>نامشروع انجام می‌دهد، مثل اجاره دادن منزل برای شراب فروشی یا قمار خانه و مانند فروش انگور به کسی که با آن شراب درست می‌کند</w:t>
      </w:r>
      <w:r>
        <w:rPr>
          <w:rFonts w:eastAsia="IRNazanin" w:cs="IRNazanin"/>
          <w:color w:val="111111"/>
          <w:sz w:val="28"/>
          <w:szCs w:val="28"/>
          <w:rtl w:val="true"/>
          <w:lang w:bidi="fa-IR"/>
        </w:rPr>
        <w:t>.</w:t>
      </w:r>
    </w:p>
    <w:p>
      <w:pPr>
        <w:pStyle w:val="Heading4"/>
        <w:numPr>
          <w:ilvl w:val="3"/>
          <w:numId w:val="1"/>
        </w:numPr>
        <w:rPr/>
      </w:pPr>
      <w:bookmarkStart w:id="587" w:name="__RefHeading___Toc1015017_1479056682"/>
      <w:bookmarkStart w:id="588" w:name="_Toc213"/>
      <w:bookmarkEnd w:id="587"/>
      <w:r>
        <w:rPr>
          <w:rtl w:val="true"/>
        </w:rPr>
        <w:t>تعریف ذریعه</w:t>
      </w:r>
      <w:bookmarkEnd w:id="588"/>
    </w:p>
    <w:p>
      <w:pPr>
        <w:pStyle w:val="BookText"/>
        <w:rPr/>
      </w:pPr>
      <w:r>
        <w:rPr>
          <w:rFonts w:ascii="IRNazanin" w:hAnsi="IRNazanin" w:eastAsia="IRNazanin"/>
          <w:color w:val="111111"/>
          <w:sz w:val="28"/>
          <w:sz w:val="28"/>
          <w:szCs w:val="28"/>
          <w:rtl w:val="true"/>
          <w:lang w:bidi="fa-IR"/>
        </w:rPr>
        <w:t xml:space="preserve">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اشکال مختلفی تعریف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شوکانی در ارشاد الفحول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الذریعة هی المسألة التی ظاهرها الاباحة و یتوصل بها الی فعل المحظور</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 عبارت است از مسأله‌ای که ظاهرش اباحه است و دستاویزی برای انجام عمل ممنوع و حرام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شاطبی، ذریعه عبارت است از وسیله قراردادن چیزی که دارای مصلحت است برای رسیدن به چیزی که دارای مفسده می‌باشد، چنان که در الموافقات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حقیقتها التوسل بما هو مصلحة الی مفسدة</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ذریعه عبارت است از دستاویز به مصلحت برای رسیدن به مفسده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قیّم در تعریف ذریعه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ما کان وسیلة و طریقا الی الشی‌ء</w:t>
      </w:r>
      <w:r>
        <w:rPr>
          <w:rStyle w:val="FootnoteAnchor"/>
          <w:rtl w:val="true"/>
        </w:rPr>
        <w:footnoteReference w:id="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 عبارت است از وسیله و طریقه‌ای برای رسیدن به یک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مشهود است این تعریف مأخوذ از همان معنای لغوی است و محقّق اندیشمند محمّد تقی حکیم در اصول العامّة از میان تعاریف، همین تعریف را سالمترین</w:t>
      </w:r>
    </w:p>
    <w:p>
      <w:pPr>
        <w:pStyle w:val="BookText"/>
        <w:rPr/>
      </w:pPr>
      <w:r>
        <w:rPr>
          <w:rFonts w:ascii="IRNazanin" w:hAnsi="IRNazanin" w:eastAsia="IRNazanin"/>
          <w:color w:val="111111"/>
          <w:sz w:val="28"/>
          <w:sz w:val="28"/>
          <w:szCs w:val="28"/>
          <w:rtl w:val="true"/>
          <w:lang w:bidi="fa-IR"/>
        </w:rPr>
        <w:t>و بی اشکالترین تعریف می‌داند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قرطبی در تعریف آن می‌گوید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الذریعة عبارة عن امر غیر ممنوع لنفسه یخاف من ارتکابه الوقوع فی ممنوع</w:t>
      </w:r>
      <w:r>
        <w:rPr>
          <w:rStyle w:val="FootnoteAnchor"/>
          <w:rtl w:val="true"/>
        </w:rPr>
        <w:footnoteReference w:id="688"/>
      </w:r>
      <w:bookmarkStart w:id="589" w:name="pg4331_49469"/>
    </w:p>
    <w:p>
      <w:pPr>
        <w:pStyle w:val="BookText"/>
        <w:rPr/>
      </w:pPr>
      <w:bookmarkEnd w:id="5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 عبارت است از چیزی که فی نفسه غیر ممنوع است، ولی ازتکاب آن بیم وقوع و قرار گرفتن در امر ممنوع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آنچه از تعابیر و تعاریف مذکور نتیجه گیری می‌شود این است که به حسب اصطلاح،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وسیله و هر عملی که موجب ارتکاب و رسیدن به حرام می‌شود باید از آن ممانعت و جلوگیری شود تا حرام تحقق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ذرایع به این معناست که هر وسیله و عملی که موجب رسیدن به واجب می‌شود، باید انجام شود تا واجب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اصولی علمای امامیّه،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می‌شود، یعنی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دانشمندان سنی که در سدّ و فتح ذرایع اختلاف نظر دارند، میان علمای شیعه نیز اختلاف نظر وجود دارد</w:t>
      </w:r>
      <w:r>
        <w:rPr>
          <w:rFonts w:eastAsia="IRNazanin" w:cs="IRNazanin"/>
          <w:color w:val="111111"/>
          <w:sz w:val="28"/>
          <w:szCs w:val="28"/>
          <w:rtl w:val="true"/>
          <w:lang w:bidi="fa-IR"/>
        </w:rPr>
        <w:t>.</w:t>
      </w:r>
    </w:p>
    <w:p>
      <w:pPr>
        <w:pStyle w:val="Heading4"/>
        <w:numPr>
          <w:ilvl w:val="3"/>
          <w:numId w:val="1"/>
        </w:numPr>
        <w:rPr/>
      </w:pPr>
      <w:bookmarkStart w:id="590" w:name="__RefHeading___Toc1015019_1479056682"/>
      <w:bookmarkStart w:id="591" w:name="_Toc214"/>
      <w:bookmarkEnd w:id="590"/>
      <w:r>
        <w:rPr>
          <w:rtl w:val="true"/>
        </w:rPr>
        <w:t>اقسام ذرایع و حکم آنها</w:t>
      </w:r>
      <w:bookmarkEnd w:id="591"/>
    </w:p>
    <w:p>
      <w:pPr>
        <w:pStyle w:val="BookText"/>
        <w:rPr/>
      </w:pPr>
      <w:r>
        <w:rPr>
          <w:rFonts w:ascii="IRNazanin" w:hAnsi="IRNazanin" w:eastAsia="IRNazanin"/>
          <w:color w:val="111111"/>
          <w:sz w:val="28"/>
          <w:sz w:val="28"/>
          <w:szCs w:val="28"/>
          <w:rtl w:val="true"/>
          <w:lang w:bidi="fa-IR"/>
        </w:rPr>
        <w:t xml:space="preserve">در این جا ابتدا به دو گونه تقسیم بندی در مورد ذرایع می‌پردازیم و سپس به بیان حکم آنها از نظر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تقسیم در مورد ذرایع، یکی تقسیمی سه گانه است که از سوی قرافی فقیه مالکی مطرح شده و دیگری تقسیمی چهار گانه است که از سوی ابن قیّم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قرافی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در کتاب ارشاد الفحول از قول قرافی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مالک، قایل به سدّ ذرایع نیست، بلکه تمام علما قایل به آن می‌باشند و مالکیّه در مورد سدّ ذرایع خصوصیّتی ندارند، مگر از حیث این که زیاد قایل به آن شده‌اند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وی سپس از دیدگاه قرافی به تقسیم سه گانه ذرایع می‌پردازد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به اتّفاق نظر علما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علما بر سدّ و منع آن اتّفاق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کندن چاه در گذرگاه مسلمانان و ریختن سمّ در غذای آنان و دشنام به بتها نزد کسی </w:t>
      </w:r>
    </w:p>
    <w:p>
      <w:pPr>
        <w:pStyle w:val="BookText"/>
        <w:rPr/>
      </w:pPr>
      <w:r>
        <w:rPr>
          <w:rFonts w:ascii="IRNazanin" w:hAnsi="IRNazanin" w:eastAsia="IRNazanin"/>
          <w:color w:val="111111"/>
          <w:sz w:val="28"/>
          <w:sz w:val="28"/>
          <w:szCs w:val="28"/>
          <w:rtl w:val="true"/>
          <w:lang w:bidi="fa-IR"/>
        </w:rPr>
        <w:t xml:space="preserve">که از ظاهر حالش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شنیدن دشنام به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دشنام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به اتّفاق نظر علما، غیر معتبر و ملغاست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عنوان سدّ ذریعه مبنای حکم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کاشتن درخت انگور که از بیم تبدیل شدن به شراب از آن منع نمی‌شود، گرچه ممکن است وسیله تحقّق یافتن حرام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لزوم سدّ و عدم سدّ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اختلاف است، مانند بیعهای مهلت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بیوع 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آنها را ذریعه دانسته و در این مورد قایل به سدّ ذرایع هستیم، اما</w:t>
      </w:r>
    </w:p>
    <w:p>
      <w:pPr>
        <w:pStyle w:val="BookText"/>
        <w:rPr/>
      </w:pPr>
      <w:r>
        <w:rPr>
          <w:rFonts w:ascii="IRNazanin" w:hAnsi="IRNazanin" w:eastAsia="IRNazanin"/>
          <w:color w:val="111111"/>
          <w:sz w:val="28"/>
          <w:sz w:val="28"/>
          <w:szCs w:val="28"/>
          <w:rtl w:val="true"/>
          <w:lang w:bidi="fa-IR"/>
        </w:rPr>
        <w:t>دیگران در این مسأله با ما مخالفند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ابن 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در کتاب اعلام الموقّعین ذریعه را به اعتبار نتایجی که به دنبال می‌آورد به چهار قسم تقسیم کرده است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وسیله و ذریعه‌ای که وضع آن بر این اساس است که منتهی به مفسده می‌شود، مانند نوشیدن شراب که مفسده آن مستی و تباهی عقل است و مانند قذف، که به مفسده تهمت به دیگران می‌انجامد، و مانند زنا، که به آمیخته شدن نسب ها و تباهی پیوند خانواده منتهی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برای امری مباح وضع شده، امّا خواهی نخواهی آن را وسیله رسیدن به حرام قرار می‌دهند، مانند عقد نکاحی که به قصد تحلیل انجام شود و یا بیعی که به قصد</w:t>
      </w:r>
    </w:p>
    <w:p>
      <w:pPr>
        <w:pStyle w:val="BookText"/>
        <w:rPr/>
      </w:pPr>
      <w:r>
        <w:rPr>
          <w:rFonts w:ascii="IRNazanin" w:hAnsi="IRNazanin" w:eastAsia="IRNazanin"/>
          <w:color w:val="111111"/>
          <w:sz w:val="28"/>
          <w:sz w:val="28"/>
          <w:szCs w:val="28"/>
          <w:rtl w:val="true"/>
          <w:lang w:bidi="fa-IR"/>
        </w:rPr>
        <w:t>ربا صورت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برای امر مباح وضع شده ولی منجر به مفسده می‌شود، امّا مفسده آن از مصلحتش بیشتر است و غالبا به مفسده می‌انجامد، مانند زینت کردن زن شوی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عده وفات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برای امر مباح وضع شده، ولی منجرّ به مفسده می‌شود، امّا مصلحت آن از مفسده‌اش بیشتر است، مانند نگاه کردن به زنی که مخطوبه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خواستگاری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نظر کردن به زنی که می‌خواهد درباره او گواهی دهد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ابن قیّم درباره این چهار قسم آن است که ؛ قسم اوّل و چهارم محلّ نزاع و بحث </w:t>
      </w:r>
      <w:bookmarkStart w:id="592" w:name="pg4331_49475"/>
    </w:p>
    <w:p>
      <w:pPr>
        <w:pStyle w:val="BookText"/>
        <w:rPr/>
      </w:pPr>
      <w:bookmarkEnd w:id="592"/>
      <w:r>
        <w:rPr>
          <w:rFonts w:ascii="IRNazanin" w:hAnsi="IRNazanin" w:eastAsia="IRNazanin"/>
          <w:color w:val="111111"/>
          <w:sz w:val="28"/>
          <w:sz w:val="28"/>
          <w:szCs w:val="28"/>
          <w:rtl w:val="true"/>
          <w:lang w:bidi="fa-IR"/>
        </w:rPr>
        <w:t xml:space="preserve">نیست، زیرا شارع قسم اوّل را منع و قسم دوم را مباح دانسته است و دو قسم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و اختلاف است که آیا شرعا مباح می‌باشند یا ممنوع و حرام هستند</w:t>
      </w:r>
      <w:r>
        <w:rPr>
          <w:rFonts w:eastAsia="IRNazanin" w:cs="IRNazanin"/>
          <w:color w:val="111111"/>
          <w:sz w:val="28"/>
          <w:szCs w:val="28"/>
          <w:rtl w:val="true"/>
          <w:lang w:bidi="fa-IR"/>
        </w:rPr>
        <w:t>.</w:t>
      </w:r>
    </w:p>
    <w:p>
      <w:pPr>
        <w:pStyle w:val="Heading4"/>
        <w:numPr>
          <w:ilvl w:val="3"/>
          <w:numId w:val="1"/>
        </w:numPr>
        <w:rPr/>
      </w:pPr>
      <w:bookmarkStart w:id="593" w:name="__RefHeading___Toc1015021_1479056682"/>
      <w:bookmarkStart w:id="594" w:name="_Toc215"/>
      <w:bookmarkEnd w:id="593"/>
      <w:r>
        <w:rPr>
          <w:rtl w:val="true"/>
        </w:rPr>
        <w:t>حکم ذرایع</w:t>
      </w:r>
      <w:bookmarkEnd w:id="594"/>
    </w:p>
    <w:p>
      <w:pPr>
        <w:pStyle w:val="Heading5"/>
        <w:numPr>
          <w:ilvl w:val="4"/>
          <w:numId w:val="1"/>
        </w:numPr>
        <w:rPr/>
      </w:pPr>
      <w:bookmarkStart w:id="595" w:name="__RefHeading___Toc1015023_1479056682"/>
      <w:bookmarkStart w:id="596" w:name="_Toc216"/>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همان گونه که بین علمای شیعه درباره وجوب مقدمه واجب و حرمت مقدمه حرام، اختلاف نظر و بحثهای فراوانی وجود دارد، در مورد حکم شرعی ذریعه نیز بین علمای سنّی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از اقسام چهار گانه‌ای که برای ذریعه گفته‌اند درباره حکم دو قسم آنها تقریبا اختلاف نظری وجود ندارد ؛ یکی آن ذریعه و وسیله‌ای است که به طور قطع منجر به مفسده می‌شود که به اجماع و اتّفاق نظر تمام علما باید جلو آن را گرفت و قاعده سدّ</w:t>
      </w:r>
    </w:p>
    <w:p>
      <w:pPr>
        <w:pStyle w:val="BookText"/>
        <w:rPr/>
      </w:pPr>
      <w:r>
        <w:rPr>
          <w:rFonts w:ascii="IRNazanin" w:hAnsi="IRNazanin" w:eastAsia="IRNazanin"/>
          <w:color w:val="111111"/>
          <w:sz w:val="28"/>
          <w:sz w:val="28"/>
          <w:szCs w:val="28"/>
          <w:rtl w:val="true"/>
          <w:lang w:bidi="fa-IR"/>
        </w:rPr>
        <w:t>ذریعه را در مورد آن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آن ذریعه‌ای است که به ندرت منجر به مفسده می‌شود و در عدم سدّ و عدم منع آن همه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در دو</w:t>
      </w:r>
    </w:p>
    <w:p>
      <w:pPr>
        <w:pStyle w:val="BookText"/>
        <w:rPr/>
      </w:pPr>
      <w:r>
        <w:rPr>
          <w:rFonts w:ascii="IRNazanin" w:hAnsi="IRNazanin" w:eastAsia="IRNazanin"/>
          <w:color w:val="111111"/>
          <w:sz w:val="28"/>
          <w:sz w:val="28"/>
          <w:szCs w:val="28"/>
          <w:rtl w:val="true"/>
          <w:lang w:bidi="fa-IR"/>
        </w:rPr>
        <w:t>قسم دیگر است که به طور کلّی دو نظریه و دو دیدگاه در مورد آنها وجود دارد</w:t>
      </w:r>
      <w:r>
        <w:rPr>
          <w:rFonts w:eastAsia="IRNazanin" w:cs="IRNazanin"/>
          <w:color w:val="111111"/>
          <w:sz w:val="28"/>
          <w:szCs w:val="28"/>
          <w:rtl w:val="true"/>
          <w:lang w:bidi="fa-IR"/>
        </w:rPr>
        <w:t>:</w:t>
      </w:r>
    </w:p>
    <w:p>
      <w:pPr>
        <w:pStyle w:val="Heading5"/>
        <w:numPr>
          <w:ilvl w:val="4"/>
          <w:numId w:val="1"/>
        </w:numPr>
        <w:rPr/>
      </w:pPr>
      <w:bookmarkStart w:id="597" w:name="__RefHeading___Toc1015025_1479056682"/>
      <w:bookmarkStart w:id="598" w:name="_Toc217"/>
      <w:bookmarkEnd w:id="597"/>
      <w:r>
        <w:rPr/>
        <w:t>1</w:t>
      </w:r>
      <w:r>
        <w:rPr>
          <w:rtl w:val="true"/>
        </w:rPr>
        <w:t xml:space="preserve"> - </w:t>
      </w:r>
      <w:r>
        <w:rPr>
          <w:rtl w:val="true"/>
        </w:rPr>
        <w:t>دیدگاه اوّل</w:t>
      </w:r>
      <w:bookmarkEnd w:id="598"/>
    </w:p>
    <w:p>
      <w:pPr>
        <w:pStyle w:val="BookText"/>
        <w:rPr/>
      </w:pPr>
      <w:r>
        <w:rPr>
          <w:rFonts w:ascii="IRNazanin" w:hAnsi="IRNazanin" w:eastAsia="IRNazanin"/>
          <w:color w:val="111111"/>
          <w:sz w:val="28"/>
          <w:sz w:val="28"/>
          <w:szCs w:val="28"/>
          <w:rtl w:val="true"/>
          <w:lang w:bidi="fa-IR"/>
        </w:rPr>
        <w:t>عدّه‌ای از ائمه و بزرگان اهل سنّت سدّ ذرایع را در مورد این دو قسم حجّت و آن را منبعی از منابع تشریع و یکی از طرق استنباط احکام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مالک و طرفدارانش آن را در اکثر ابواب فقه جاری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شاطبی در الموافقات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قاعدة الذرایع الّتی حکّمها مالک فی اکثر ابواب الفقه</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قواعد، قاعده ذرایع است که مالک آن را در اکثر ابواب فقه حاکم نموده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مالک و پیروانش در ابواب مختلف فقه، احکام و فروع زیادی را بر قاعده سدّ ذرایع مبتنی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و طرفدارانش نیز سد ذرایع را حجت </w:t>
      </w:r>
    </w:p>
    <w:p>
      <w:pPr>
        <w:pStyle w:val="BookText"/>
        <w:rPr/>
      </w:pP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معاصر محمّد تقی حکیم در اصول العامه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اصولیین شیعه و سنی که ما آنها را می‌شناسیم به استثناء برخی از محقّقان متأخّر آنها، هم به فتح ذرایع و هم به سدّ ذرایع قائلند هرچند که در حدود و مقدار معتبر و قابل اخذ آن و مقدار متروک و نا معتبر آن با یکدیگر به اتّفاق نظر نرسیده‌اند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وی سپس به نقل از المدخل للفقه الاسلامی نوشته استاد محمّد 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واقعیت آن است که تمام فقها به اصل و قاعده ذرایع استناد می‌کنند، با آن که در مقدار استناد به آن و در طریقه وصول به حکم، با هم اختلاف و تباین دارند، زیرا مشاهده می‌شود که اکثر فقها در احکام فقهی،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غایت را می‌دهند</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به شرط آن که وسیله آن غایت، مشخص و متعین باشد، اما هرگاه برای غایت، وسیله و ذریعه‌ای مشخص و متعین نباشد، قول مشهور از مالک آن است که قاعده ذرایع اصل و مبنایی برای احکام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احمد هم در این باره هم افق و نزدیک به نظر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و ابن قیّم هم در این باره از آن دو تبعیّت کرده‌اند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قرافی، فقیه مالکی، در این زمینه می‌گوید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از وسایل به ذرایع تعبیر شود، این اصطلاح اصحاب ماست و واژه ذرایع در مذهب ما مشهور است و به همین دلیل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آن از بین بردن وسایل فساد، به خاطر جلوگیری از فساد است، به همین جهت هرگاه عملی بدون مفسده، وسیله‌ای شود برای مفسده، مالک در بسیاری از صورتها از آن منع می‌کند، البته بر خلاف آنچه عدّه زیادی از </w:t>
      </w:r>
    </w:p>
    <w:p>
      <w:pPr>
        <w:pStyle w:val="BookText"/>
        <w:rPr/>
      </w:pPr>
      <w:r>
        <w:rPr>
          <w:rFonts w:ascii="IRNazanin" w:hAnsi="IRNazanin" w:eastAsia="IRNazanin"/>
          <w:color w:val="111111"/>
          <w:sz w:val="28"/>
          <w:sz w:val="28"/>
          <w:szCs w:val="28"/>
          <w:rtl w:val="true"/>
          <w:lang w:bidi="fa-IR"/>
        </w:rPr>
        <w:t>مالکیه گمان می‌کنند، سدّ ذرایع از مختصات مذهب مالک نیست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ابن قیّم در کتاب اعلام الموقّعین تعداد نود و نه وجه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عدد اسماء حُسنای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بر حرمت و منع ذرایع ذکر می‌کند و پس از بیان وجوه نود و نه</w:t>
      </w:r>
    </w:p>
    <w:p>
      <w:pPr>
        <w:pStyle w:val="BookText"/>
        <w:rPr/>
      </w:pPr>
      <w:r>
        <w:rPr>
          <w:rFonts w:ascii="IRNazanin" w:hAnsi="IRNazanin" w:eastAsia="IRNazanin"/>
          <w:color w:val="111111"/>
          <w:sz w:val="28"/>
          <w:sz w:val="28"/>
          <w:szCs w:val="28"/>
          <w:rtl w:val="true"/>
          <w:lang w:bidi="fa-IR"/>
        </w:rPr>
        <w:t>گانه بر منع از ذرایع، نهایت اهمّیّت را به سدّ ذرایع می‌دهد و آن را در یک چهارم تکالیف</w:t>
      </w:r>
    </w:p>
    <w:p>
      <w:pPr>
        <w:pStyle w:val="BookText"/>
        <w:rPr/>
      </w:pPr>
      <w:r>
        <w:rPr>
          <w:rFonts w:ascii="IRNazanin" w:hAnsi="IRNazanin" w:eastAsia="IRNazanin"/>
          <w:color w:val="111111"/>
          <w:sz w:val="28"/>
          <w:sz w:val="28"/>
          <w:szCs w:val="28"/>
          <w:rtl w:val="true"/>
          <w:lang w:bidi="fa-IR"/>
        </w:rPr>
        <w:t xml:space="preserve">جاری می‌داند و در این زمینه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باب سد الذرایع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سدّ ذرایع یک قسمت از چهار قسمت تکلیف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یک چهارم تکالیف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تکلیف به صورت امر و نهی است و امر هم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امری که فی حد نفسه مقصود است و دومی امری که وسیله رسیدن به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هم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آن که در منهی عنه آن، فی نفسه مفسده است و دومی آن که منهی عنه آن، وسیله رسیدن به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ذرایع و وسایلی که منتهی به حرام می‌شوند، یک بخش از چهار بخش دین می‌گردد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از گفتار ابن قیّم برمی‌آید که ذرایع همان حکم غایات را دارند، یعنی ذریعه دارای همان حکمی است که بدان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وجوب بینجامد، حکمش وجوب است و چنانچه به غیر وجوب منتهی شود، حکمش غیر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چنین می‌گوید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جا که جز به اسباب و طرق نمی‌توان به مقاصد رسید، اسباب و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همان مقاصدی هستند که به آنها منتهی می‌شوند و به وسیله همان مقاصد اعتبار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وسایل و اسباب محرمات و معاصی از نظر کراهت و منع دارای حکم همان غایاتی هستند که به آنها منتهی می‌شوند و وسایل و اسباب طاعات و قرب به خداوند، از نظر محبوب بودن و اذن در آنها، بر حسب منتهی شدن به غایات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وسیله‌ای که موجب طاعت و قرب بیشتر به خداوند باشد،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وسیله‌ای </w:t>
      </w:r>
    </w:p>
    <w:p>
      <w:pPr>
        <w:pStyle w:val="BookText"/>
        <w:rPr/>
      </w:pPr>
      <w:r>
        <w:rPr>
          <w:rFonts w:ascii="IRNazanin" w:hAnsi="IRNazanin" w:eastAsia="IRNazanin"/>
          <w:color w:val="111111"/>
          <w:sz w:val="28"/>
          <w:sz w:val="28"/>
          <w:szCs w:val="28"/>
          <w:rtl w:val="true"/>
          <w:lang w:bidi="fa-IR"/>
        </w:rPr>
        <w:t>که انسان را به مقصود می‌رساند، تابع خود مقصود است و هم وسیله و هم مقصد هر دو مقصود انسان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به عنوان غایت مقصود انسان است و وسیله به عنوان وسیله و رساننده به غایت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خدای تعالی چیزی را حرام کند که دارای طرق و وسایلی است که انسان را به آن می‌رسانند، آن وسایل و طرق را نیز تحریم، و از آنها منع می‌کند و منع آنها از باب تحقق یافتن تحریم و تثبیت آن است و از باب منع از نزدیک شدن انسان به قرق گاه آن شی‌ء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خداوند وسایل رساننده به حرام را مباح کند، این خود موجب نقض تحریم و موجب اغواء و گمراهی نفوس نسبت به آن می‌شود و حال آن که علم و حکمت خدای تعالی چنین چیزی را نمی‌پذیرد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قرافی نیز درباره تبعیت ذریعه از حکم مقصد و غایت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همان گونه که سدّ ذرایع واجب است، فتح آن نیز واجب می‌باشد و نیز 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و مستحب و مباح می‌باشد، زیرا ذریعه همان وسیله است و همان گونه که وسیله حرام، حرام است، وسیله واجب نیز واجب است و وسایل همان طرق رساننده به مقاصدند و حکم آنها، حکم همان مقصد و غایتی است که بدان منتهی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حرمت و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رتبه وسایل از نظر حکم از مقاصد پائینتر است و وسیله برترین مقاصد، خود از برترین وسایل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وسیله زشت‌ترین مقاصد، خود زشت ترین وسیله است و وسیله به مقاصد متوسط، از وسایل متوسط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درجه اعتبار مقصد پائینتر بیاید، درجه اعتبار وسیله نیز به همان نسبت سقوط می‌کند، زیرا وسایل از نظر حکم تابع مقاصدند</w:t>
      </w:r>
      <w:r>
        <w:rPr>
          <w:rFonts w:eastAsia="IRNazanin" w:cs="IRNazanin"/>
          <w:color w:val="111111"/>
          <w:sz w:val="28"/>
          <w:szCs w:val="28"/>
          <w:rtl w:val="true"/>
          <w:lang w:bidi="fa-IR"/>
        </w:rPr>
        <w:t>».</w:t>
      </w:r>
      <w:r>
        <w:rPr>
          <w:rStyle w:val="FootnoteAnchor"/>
          <w:rtl w:val="true"/>
        </w:rPr>
        <w:footnoteReference w:id="698"/>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در تفسیر خود،</w:t>
      </w:r>
      <w:r>
        <w:rPr>
          <w:rStyle w:val="FootnoteAnchor"/>
          <w:rtl w:val="true"/>
        </w:rPr>
        <w:footnoteReference w:id="699"/>
      </w: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الَّذینَ آمَنُوا لاتَقُولُوا راعِنا وَ قُولُوا </w:t>
      </w:r>
      <w:bookmarkStart w:id="599" w:name="pg4331_49488"/>
    </w:p>
    <w:p>
      <w:pPr>
        <w:pStyle w:val="BookText"/>
        <w:rPr/>
      </w:pPr>
      <w:bookmarkEnd w:id="599"/>
      <w:r>
        <w:rPr>
          <w:rFonts w:ascii="Amiri" w:hAnsi="Amiri" w:eastAsia="Amiri" w:cs="Amiri"/>
          <w:color w:val="111111"/>
          <w:sz w:val="28"/>
          <w:sz w:val="28"/>
          <w:szCs w:val="28"/>
          <w:rtl w:val="true"/>
          <w:lang w:bidi="ar-SA"/>
        </w:rPr>
        <w:t>انْظُرْنا</w:t>
      </w:r>
      <w:r>
        <w:rPr>
          <w:rFonts w:eastAsia="Amiri" w:cs="Amiri" w:ascii="Amiri" w:hAnsi="Amiri"/>
          <w:color w:val="111111"/>
          <w:sz w:val="28"/>
          <w:szCs w:val="28"/>
          <w:rtl w:val="true"/>
          <w:lang w:bidi="ar-SA"/>
        </w:rPr>
        <w:t>...»</w:t>
      </w:r>
      <w:r>
        <w:rPr>
          <w:rStyle w:val="FootnoteAnchor"/>
          <w:rtl w:val="true"/>
        </w:rPr>
        <w:footnoteReference w:id="7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ایمان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از این آیه دو دلیل استفاده می‌شود و در مورد دلیل دومی که از آیه استفاده می‌شود،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دومی که از آیه به دست می‌آید، تمسک به سد ذرایع و حمایت از آن است و تمسک به سد ذرایع مذهب مالک و یارانش و نیز مذهب احمد بن حنبل است، طبق روایتی که از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و سنّت بر این اصل دلالت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به عنوان ادلّه حجّیّت سدّ ذرایع، همین آیه و چند آیه دیگر و از سنّت چند حدیث را ذکر می‌کند و در پایان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ادلّه ما بر سد ذرایع بودند و مالکیّه کتاب آجال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بیعهای مهلت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مسایل را در باب بیع و غیر آن، بر سد ذرایع بنا کرده‌اند</w:t>
      </w:r>
      <w:r>
        <w:rPr>
          <w:rFonts w:eastAsia="IRNazanin" w:cs="IRNazanin"/>
          <w:color w:val="111111"/>
          <w:sz w:val="28"/>
          <w:szCs w:val="28"/>
          <w:rtl w:val="true"/>
          <w:lang w:bidi="fa-IR"/>
        </w:rPr>
        <w:t>.»</w:t>
      </w:r>
      <w:r>
        <w:rPr>
          <w:rStyle w:val="FootnoteAnchor"/>
          <w:rtl w:val="true"/>
        </w:rPr>
        <w:footnoteReference w:id="701"/>
      </w:r>
    </w:p>
    <w:p>
      <w:pPr>
        <w:pStyle w:val="Heading5"/>
        <w:numPr>
          <w:ilvl w:val="4"/>
          <w:numId w:val="1"/>
        </w:numPr>
        <w:rPr/>
      </w:pPr>
      <w:bookmarkStart w:id="600" w:name="__RefHeading___Toc1015027_1479056682"/>
      <w:bookmarkStart w:id="601" w:name="_Toc218"/>
      <w:bookmarkEnd w:id="600"/>
      <w:r>
        <w:rPr/>
        <w:t>2</w:t>
      </w:r>
      <w:r>
        <w:rPr>
          <w:rtl w:val="true"/>
        </w:rPr>
        <w:t xml:space="preserve"> - </w:t>
      </w:r>
      <w:r>
        <w:rPr>
          <w:rtl w:val="true"/>
        </w:rPr>
        <w:t>دیدگاه دوم</w:t>
      </w:r>
      <w:bookmarkEnd w:id="601"/>
    </w:p>
    <w:p>
      <w:pPr>
        <w:pStyle w:val="BookText"/>
        <w:rPr/>
      </w:pPr>
      <w:r>
        <w:rPr>
          <w:rFonts w:ascii="IRNazanin" w:hAnsi="IRNazanin" w:eastAsia="IRNazanin"/>
          <w:color w:val="111111"/>
          <w:sz w:val="28"/>
          <w:sz w:val="28"/>
          <w:szCs w:val="28"/>
          <w:rtl w:val="true"/>
          <w:lang w:bidi="fa-IR"/>
        </w:rPr>
        <w:t>از دیدگاه حنفیه و شافعیّه، سد ذرایع حجت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شوکانی در ارشاد الفحول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باجی گفته است مالک به منع ذرایع قایل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قایل به سدّ ذرایع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ابوحنیفه و شافعی گفته‌اند منع آن جایز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قایل به سدّ ذرایع نیستند</w:t>
      </w:r>
      <w:r>
        <w:rPr>
          <w:rFonts w:eastAsia="IRNazanin" w:cs="IRNazanin"/>
          <w:color w:val="111111"/>
          <w:sz w:val="28"/>
          <w:szCs w:val="28"/>
          <w:rtl w:val="true"/>
          <w:lang w:bidi="fa-IR"/>
        </w:rPr>
        <w:t>)».</w:t>
      </w:r>
      <w:r>
        <w:rPr>
          <w:rStyle w:val="FootnoteAnchor"/>
          <w:rtl w:val="true"/>
        </w:rPr>
        <w:footnoteReference w:id="70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دیدگاه علمای شیعه چنان که قبلاً اشاره کردیم، بحث سدّ ذرایع و فتح ذرایع در مباحث اصولی علمای شیعه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w:t>
      </w:r>
      <w:bookmarkStart w:id="602" w:name="pg4331_49491"/>
    </w:p>
    <w:p>
      <w:pPr>
        <w:pStyle w:val="BookText"/>
        <w:rPr/>
      </w:pPr>
      <w:bookmarkEnd w:id="60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اصولی شیعه محمّد تقی حکیم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سدّ ذرایع در کتب اصولی شیعه امامیّه در مبحث مقدّمه واجب مطرح شده است و تقریبا اکثر آنها مقدّمه را از نظر حکم، تابع ذی المقدمه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معنی تبعیت و حدود آن از حیث اطلاق و تقیید با هم اختلاف نظر دارند و کلمات ایشان در این باره بسیار مختلف است و چه بسا اقوال ایشان در این مسأله به ده قول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محکمترین و قوی ترین آرا از نظر ادلّه، همان نظریّه بعضی از متأخّرین علمای شیعه باشد، آیاتی مانند مرحوم شیخ محمّد حسین اصفهانی و سید محسن حکیم و سیّد ابوالقاسم خویی که اینان منکر تبعیت مقدمه از حکم ذی المقدمه شده‌اند و معتقدند که مقدّمه حکم مستقلّ خود را دارد که از ادله خاصّه به دست آمده است</w:t>
      </w:r>
      <w:r>
        <w:rPr>
          <w:rFonts w:eastAsia="IRNazanin" w:cs="IRNazanin"/>
          <w:color w:val="111111"/>
          <w:sz w:val="28"/>
          <w:szCs w:val="28"/>
          <w:rtl w:val="true"/>
          <w:lang w:bidi="fa-IR"/>
        </w:rPr>
        <w:t>».</w:t>
      </w:r>
      <w:r>
        <w:rPr>
          <w:rStyle w:val="FootnoteAnchor"/>
          <w:rtl w:val="true"/>
        </w:rPr>
        <w:footnoteReference w:id="703"/>
      </w:r>
    </w:p>
    <w:p>
      <w:pPr>
        <w:pStyle w:val="Heading4"/>
        <w:numPr>
          <w:ilvl w:val="3"/>
          <w:numId w:val="1"/>
        </w:numPr>
        <w:rPr/>
      </w:pPr>
      <w:bookmarkStart w:id="603" w:name="__RefHeading___Toc1015029_1479056682"/>
      <w:bookmarkStart w:id="604" w:name="_Toc219"/>
      <w:bookmarkEnd w:id="603"/>
      <w:r>
        <w:rPr>
          <w:rtl w:val="true"/>
        </w:rPr>
        <w:t>نمونه‌ای از عمل به سدّ ذرایع در میان صحابه</w:t>
      </w:r>
      <w:bookmarkEnd w:id="604"/>
    </w:p>
    <w:p>
      <w:pPr>
        <w:pStyle w:val="BookText"/>
        <w:rPr/>
      </w:pPr>
      <w:r>
        <w:rPr>
          <w:rFonts w:ascii="IRNazanin" w:hAnsi="IRNazanin" w:eastAsia="IRNazanin"/>
          <w:color w:val="111111"/>
          <w:sz w:val="28"/>
          <w:sz w:val="28"/>
          <w:szCs w:val="28"/>
          <w:rtl w:val="true"/>
          <w:lang w:bidi="fa-IR"/>
        </w:rPr>
        <w:t xml:space="preserve">گرچه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صحابه وجود نداشته و بعدها پیدا شده است، امّا صحابه پیامبر صلی‌الله‌علیه‌و‌آله در بعضی از مسایل فقهی که پیش می‌آمد، عملاً از آن استفاده می‌کردند، که به نظر نگارنده شاید همین عمل صحابه زمینه پیدایش این اصطلاح در قرون بعدی در میان فقهای اهل سنّت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جصّاص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روایت کرده است که او با زنی یهودیّه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نامه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به 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زن بر من حرام است ؟ عمر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أخاف أن تواقعوا المومسات منهنّ</w:t>
      </w:r>
      <w:r>
        <w:rPr>
          <w:rStyle w:val="FootnoteAnchor"/>
          <w:rtl w:val="true"/>
        </w:rPr>
        <w:footnoteReference w:id="70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حرام نمی‌باشد، ولی من از آن بیم دارم که شما با زنان آلوده و بدکاره آنان </w:t>
      </w:r>
    </w:p>
    <w:p>
      <w:pPr>
        <w:pStyle w:val="BookText"/>
        <w:rPr/>
      </w:pPr>
      <w:r>
        <w:rPr>
          <w:rFonts w:ascii="IRNazanin" w:hAnsi="IRNazanin" w:eastAsia="IRNazanin"/>
          <w:color w:val="111111"/>
          <w:sz w:val="28"/>
          <w:sz w:val="28"/>
          <w:szCs w:val="28"/>
          <w:rtl w:val="true"/>
          <w:lang w:bidi="fa-IR"/>
        </w:rPr>
        <w:t>هم بستر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نیز در تفسیر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عمر بین طلحة بن عبید اللّه و حذیفة بن یمان و بین دو زن کتابیّه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آنان ازدواج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حذیفه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نطلّق یا امیرالمؤمنین و لاتغضب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ما خود طلاق می‌دهیم، 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جاز طلاقکما لجاز نکاحکما و لکن افرّق بینکما صَغْرةً و قَمْأةً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جایز بود که شما خود طلاق دهید، ازدواج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 امّا من شما را با ذلّت و حقارت از آنان جدا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سپس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عطیّة می‌گوید این روایت سند خوبی ندارد و روایتی که سندش بهتر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تصمیم گرفت آنها را جدا کند، حذیفه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أتزعم أنها حرام فأخلّی سبیلها یا أمیر المؤمنین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آیا گمان می‌کنی آن زن بر من حرام است تا من رهایش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نمی‌پندارم که آن زن حرام است اما از این بیم دارم که شما با زنان آلوده آنان، همبستر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نیز حدیثی مانند آن روایت شده است</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این گونه آثار و روایات، حاکی از آن است که جلوگیری و ممانعت از چنین ازدواجهایی به دلیل مفسده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که این مفسده، همبستر شدن با زنان آلوده باشد، یا تشویق و ترغیب عملی مردان مسلمان به ازدواج با زنان اهل کتاب، و</w:t>
      </w:r>
    </w:p>
    <w:p>
      <w:pPr>
        <w:pStyle w:val="BookText"/>
        <w:rPr/>
      </w:pPr>
      <w:r>
        <w:rPr>
          <w:rFonts w:ascii="IRNazanin" w:hAnsi="IRNazanin" w:eastAsia="IRNazanin"/>
          <w:color w:val="111111"/>
          <w:sz w:val="28"/>
          <w:sz w:val="28"/>
          <w:szCs w:val="28"/>
          <w:rtl w:val="true"/>
          <w:lang w:bidi="fa-IR"/>
        </w:rPr>
        <w:t>یا پیدا شدن زمینه برای نفوذ غیر مسلمانان در میان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گرچه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p>
    <w:p>
      <w:pPr>
        <w:pStyle w:val="BookText"/>
        <w:rPr/>
      </w:pPr>
      <w:r>
        <w:rPr>
          <w:rFonts w:ascii="IRNazanin" w:hAnsi="IRNazanin" w:eastAsia="IRNazanin"/>
          <w:color w:val="111111"/>
          <w:sz w:val="28"/>
          <w:sz w:val="28"/>
          <w:szCs w:val="28"/>
          <w:rtl w:val="true"/>
          <w:lang w:bidi="fa-IR"/>
        </w:rPr>
        <w:t>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صحابه نیامده است، اما نمونه‌ای که ذکر شد، عملاً همان سدّ ذرایع است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مبنای حکم عمر به تفریق و بر هم زدن ازدواج قرار گرفته است</w:t>
      </w:r>
      <w:r>
        <w:rPr>
          <w:rFonts w:eastAsia="IRNazanin" w:cs="IRNazanin"/>
          <w:color w:val="111111"/>
          <w:sz w:val="28"/>
          <w:szCs w:val="28"/>
          <w:rtl w:val="true"/>
          <w:lang w:bidi="fa-IR"/>
        </w:rPr>
        <w:t xml:space="preserve">. </w:t>
      </w:r>
      <w:bookmarkStart w:id="605" w:name="pg4331_49497"/>
    </w:p>
    <w:p>
      <w:pPr>
        <w:pStyle w:val="Heading4"/>
        <w:numPr>
          <w:ilvl w:val="3"/>
          <w:numId w:val="1"/>
        </w:numPr>
        <w:rPr/>
      </w:pPr>
      <w:bookmarkStart w:id="606" w:name="__RefHeading___Toc1015031_1479056682"/>
      <w:bookmarkStart w:id="607" w:name="_Toc220"/>
      <w:bookmarkEnd w:id="605"/>
      <w:bookmarkEnd w:id="606"/>
      <w:r>
        <w:rPr>
          <w:rtl w:val="true"/>
        </w:rPr>
        <w:t>ادلّه حجّیّت سدّ ذرایع</w:t>
      </w:r>
      <w:bookmarkEnd w:id="607"/>
    </w:p>
    <w:p>
      <w:pPr>
        <w:pStyle w:val="BookText"/>
        <w:rPr/>
      </w:pPr>
      <w:r>
        <w:rPr>
          <w:rFonts w:ascii="IRNazanin" w:hAnsi="IRNazanin" w:eastAsia="IRNazanin"/>
          <w:color w:val="111111"/>
          <w:sz w:val="28"/>
          <w:sz w:val="28"/>
          <w:szCs w:val="28"/>
          <w:rtl w:val="true"/>
          <w:lang w:bidi="fa-IR"/>
        </w:rPr>
        <w:t>کسانی که به حجّیّت سدّ ذرایع قایلند و آن را به عنوان مصدر احکام فقهی مطرح می‌کنند به برخی آیات و روایات تمسک کرده‌اند که به اختصار و بدون اظهار نظر در نقض یا ابرام آنها، به ذکر چند مورد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تفسیر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دلّ علی هذا الاصل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کتاب به آیات زیر تمسّک می‌کند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لاتَقُولُوا راعِنا وَ قُولُوا انْظَرْنا وَ اسْمَعُوا وَ لِلْکافِرینَ عَذابٌ اَلیمٌ</w:t>
      </w:r>
      <w:r>
        <w:rPr>
          <w:rFonts w:eastAsia="Amiri" w:cs="Amiri" w:ascii="Amiri" w:hAnsi="Amiri"/>
          <w:color w:val="111111"/>
          <w:sz w:val="28"/>
          <w:szCs w:val="28"/>
          <w:rtl w:val="true"/>
          <w:lang w:bidi="ar-SA"/>
        </w:rPr>
        <w:t>»</w:t>
      </w:r>
      <w:r>
        <w:rPr>
          <w:rStyle w:val="FootnoteAnchor"/>
          <w:rtl w:val="true"/>
        </w:rPr>
        <w:footnoteReference w:id="7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پیامبر تقاضای مهلت برای درک آیات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شما دستور داده می‌شود بشنوید و برای کافران</w:t>
      </w:r>
    </w:p>
    <w:p>
      <w:pPr>
        <w:pStyle w:val="BookText"/>
        <w:rPr/>
      </w:pPr>
      <w:r>
        <w:rPr>
          <w:rFonts w:ascii="IRNazanin" w:hAnsi="IRNazanin" w:eastAsia="IRNazanin"/>
          <w:color w:val="111111"/>
          <w:sz w:val="28"/>
          <w:sz w:val="28"/>
          <w:szCs w:val="28"/>
          <w:rtl w:val="true"/>
          <w:lang w:bidi="fa-IR"/>
        </w:rPr>
        <w:t>عذاب دردناکی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تمسک به آیه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می‌کردند و این کلمه در زبان ایشان معنی سبّ و دشنام داشت و چون خداوند می‌دانست که آن را در مقام سبّ بر زبان جاری می‌کنند، ایشان را از اطلاق آن لفظ منع فرمود، زیرا آن لفظ، ذریعه و وسیله‌ای برای سبّ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تَسبُّوا الَّذینَ یَدْعُونَ مِنْ دُونِ اللّه‌َ فَیَسُبّوُا اللّه‌َ عَدْوا بِغَیرِ عَلْمِ</w:t>
      </w:r>
      <w:r>
        <w:rPr>
          <w:rFonts w:eastAsia="Amiri" w:cs="Amiri" w:ascii="Amiri" w:hAnsi="Amiri"/>
          <w:color w:val="111111"/>
          <w:sz w:val="28"/>
          <w:szCs w:val="28"/>
          <w:rtl w:val="true"/>
          <w:lang w:bidi="ar-SA"/>
        </w:rPr>
        <w:t>»</w:t>
      </w:r>
      <w:r>
        <w:rPr>
          <w:rStyle w:val="FootnoteAnchor"/>
          <w:rtl w:val="true"/>
        </w:rPr>
        <w:footnoteReference w:id="7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که غیر خدا را می‌خوانند دشنام ندهید، تا مبادا آنان هم از روی عداوت و بدون آگاهی خدا را دشنام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تمسّک به این آیه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آیه مؤمنان را از دشنام دادن به بت های بت پرستان منع فرموده، به خاطر آن که مبادا آنان نیز مقابله به مثل کنند و خداوند را مورد سب و دشنام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آیات مورد استدلال آیه زیر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لایَضْرِبنَ بِاَرْجُلهِنَّ لِیَعْلَمَ ما یُخْفینَ مِنْ زینَتِهِنَّ</w:t>
      </w:r>
      <w:r>
        <w:rPr>
          <w:rFonts w:eastAsia="Amiri" w:cs="Amiri" w:ascii="Amiri" w:hAnsi="Amiri"/>
          <w:color w:val="111111"/>
          <w:sz w:val="28"/>
          <w:szCs w:val="28"/>
          <w:rtl w:val="true"/>
          <w:lang w:bidi="ar-SA"/>
        </w:rPr>
        <w:t>...»</w:t>
      </w:r>
      <w:r>
        <w:rPr>
          <w:rStyle w:val="FootnoteAnchor"/>
          <w:rtl w:val="true"/>
        </w:rPr>
        <w:footnoteReference w:id="7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به هنگام راه رفتن نباید </w:t>
      </w:r>
    </w:p>
    <w:p>
      <w:pPr>
        <w:pStyle w:val="BookText"/>
        <w:rPr/>
      </w:pPr>
      <w:r>
        <w:rPr>
          <w:rFonts w:ascii="IRNazanin" w:hAnsi="IRNazanin" w:eastAsia="IRNazanin"/>
          <w:color w:val="111111"/>
          <w:sz w:val="28"/>
          <w:sz w:val="28"/>
          <w:szCs w:val="28"/>
          <w:rtl w:val="true"/>
          <w:lang w:bidi="fa-IR"/>
        </w:rPr>
        <w:t>پای خود را بر زمین بکوبند تا زینت های پنهان آنها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از سنّت، احادیث متعدّدی را به عنوان دلیل بر سدّذرایع ذکر می‌کند،از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صحیح مسلم از پیامبر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الحلال بیّن و الحرام بیّن و بینهما امورٌ متشابهات فمن اتّقی الشبهات استبرأ لدینه و عرضه و من وقع فی الشبهات وقع فی الحرام کالراعی یَرْعی حول الحمی یوشک أن یقع فیه</w:t>
      </w:r>
      <w:r>
        <w:rPr>
          <w:rStyle w:val="FootnoteAnchor"/>
          <w:rtl w:val="true"/>
        </w:rPr>
        <w:footnoteReference w:id="7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روشن است و حرام هم روشن، و میان این دو، امور متشابه و شبهه ناک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شبهه‌ها بپرهیزد، دین و آبروی خود را پاک کرده است و هر که در شبهه‌ها واقع شود، در حرام افتد، همانند چوپانی که گوسفندان خود را اطراف قرق گاه بچراند که نزدیک است در آن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الکبائر شتم الرجل والدیه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هل یشتم الرجل و الدیه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یسبّ أبا الرجل فیسبّ أباه و یسبّ أمّه فیسبّ أمّه</w:t>
      </w:r>
      <w:r>
        <w:rPr>
          <w:rStyle w:val="FootnoteAnchor"/>
          <w:rtl w:val="true"/>
        </w:rPr>
        <w:footnoteReference w:id="7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جمله گناهان کبیره آن است که انسان پدر و مادر خود را دشنام دهد، گفتند ای رسول خدا، مگر انسان به والدین خود دشنام می‌دهد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پدر دیگری دشنام می‌دهد، او هم به پدرش دشنام می‌دهد و به مادر دیگری دشنام می‌دهد، او هم به مادرش دشنام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معلوم است در این حدیث سب و دشنام به والدین غیر، سبب و ذریعه‌ای برای سبّ و دشنام به والدین سبّ کننده قرار داده شده، لذا از باب سدّ ذریعه، از دشنام</w:t>
      </w:r>
    </w:p>
    <w:p>
      <w:pPr>
        <w:pStyle w:val="BookText"/>
        <w:rPr/>
      </w:pPr>
      <w:r>
        <w:rPr>
          <w:rFonts w:ascii="IRNazanin" w:hAnsi="IRNazanin" w:eastAsia="IRNazanin"/>
          <w:color w:val="111111"/>
          <w:sz w:val="28"/>
          <w:sz w:val="28"/>
          <w:szCs w:val="28"/>
          <w:rtl w:val="true"/>
          <w:lang w:bidi="fa-IR"/>
        </w:rPr>
        <w:t>به دیگران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پس از استدلال به آیات و روایات، در پایان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ادله ما بر سدّ ذرایع بود و مالکیّه کتاب آجال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بیعهای مهلت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مسایل دیگر را در باب بیع و غیر آن، بر سدّ ذرایع بنا کرده‌اند، ولی شافعیان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قایل به کتاب آجال نیستند، زیرا بیع آجال از نظر ایشان، عقود مختلف و </w:t>
      </w:r>
      <w:bookmarkStart w:id="608" w:name="pg4331_49503"/>
    </w:p>
    <w:p>
      <w:pPr>
        <w:pStyle w:val="BookText"/>
        <w:rPr/>
      </w:pPr>
      <w:bookmarkEnd w:id="608"/>
      <w:r>
        <w:rPr>
          <w:rFonts w:ascii="Amiri" w:hAnsi="Amiri" w:eastAsia="Amiri" w:cs="Amiri"/>
          <w:color w:val="111111"/>
          <w:sz w:val="28"/>
          <w:sz w:val="28"/>
          <w:szCs w:val="28"/>
          <w:rtl w:val="true"/>
          <w:lang w:bidi="ar-SA"/>
        </w:rPr>
        <w:t>مستقلّی است</w:t>
      </w:r>
      <w:r>
        <w:rPr>
          <w:rFonts w:eastAsia="Amiri" w:cs="Amiri" w:ascii="Amiri" w:hAnsi="Amiri"/>
          <w:color w:val="111111"/>
          <w:sz w:val="28"/>
          <w:szCs w:val="28"/>
          <w:rtl w:val="true"/>
          <w:lang w:bidi="ar-SA"/>
        </w:rPr>
        <w:t>».</w:t>
      </w:r>
      <w:r>
        <w:rPr>
          <w:rStyle w:val="FootnoteAnchor"/>
          <w:rtl w:val="true"/>
        </w:rPr>
        <w:footnoteReference w:id="712"/>
      </w:r>
    </w:p>
    <w:p>
      <w:pPr>
        <w:pStyle w:val="Heading4"/>
        <w:numPr>
          <w:ilvl w:val="3"/>
          <w:numId w:val="1"/>
        </w:numPr>
        <w:rPr/>
      </w:pPr>
      <w:bookmarkStart w:id="609" w:name="__RefHeading___Toc1015033_1479056682"/>
      <w:bookmarkStart w:id="610" w:name="_Toc221"/>
      <w:bookmarkEnd w:id="609"/>
      <w:r>
        <w:rPr>
          <w:rtl w:val="true"/>
        </w:rPr>
        <w:t>خاتمه</w:t>
      </w:r>
      <w:bookmarkEnd w:id="610"/>
    </w:p>
    <w:p>
      <w:pPr>
        <w:pStyle w:val="BookText"/>
        <w:rPr/>
      </w:pPr>
      <w:r>
        <w:rPr>
          <w:rFonts w:ascii="IRNazanin" w:hAnsi="IRNazanin" w:eastAsia="IRNazanin"/>
          <w:color w:val="111111"/>
          <w:sz w:val="28"/>
          <w:sz w:val="28"/>
          <w:szCs w:val="28"/>
          <w:rtl w:val="true"/>
          <w:lang w:bidi="fa-IR"/>
        </w:rPr>
        <w:t xml:space="preserve">در خاتمه مبحث سد ذرایع که با ختم آن این کتاب نیز به پایان می‌رسد، با اظهار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آن دارم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کتب اصولی امامیّه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مربوط به آن دیده نمی‌شود، اما به عقیده نگارنده باتوجه به مسأله تبعیت احکام از مصالح و مفاسد، و با</w:t>
      </w:r>
    </w:p>
    <w:p>
      <w:pPr>
        <w:pStyle w:val="BookText"/>
        <w:rPr/>
      </w:pPr>
      <w:r>
        <w:rPr>
          <w:rFonts w:ascii="IRNazanin" w:hAnsi="IRNazanin" w:eastAsia="IRNazanin"/>
          <w:color w:val="111111"/>
          <w:sz w:val="28"/>
          <w:sz w:val="28"/>
          <w:szCs w:val="28"/>
          <w:rtl w:val="true"/>
          <w:lang w:bidi="fa-IR"/>
        </w:rPr>
        <w:t>توجه به نقش و اهمّیّت عنصر مصلحت، در صدور احکام و بخصوص احکام حکومتی، فلسفه صدور احکام حکومتی در اغلب موارد همان سدّ ذرایع یعنی جلوگیری از اسباب و وسایل اشاعه فحشا و منکرات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ما مشاهده می‌کنیم که در جمهوری اسلامی، ستاد مبارزه با منکرات تشکیل می‌شود و یا آن که مبارزه با تهاجم فرهنگی و مسأله ممنوعیت استفاده از ماهواره مطرح</w:t>
      </w:r>
    </w:p>
    <w:p>
      <w:pPr>
        <w:pStyle w:val="BookText"/>
        <w:rPr/>
      </w:pPr>
      <w:r>
        <w:rPr>
          <w:rFonts w:ascii="IRNazanin" w:hAnsi="IRNazanin" w:eastAsia="IRNazanin"/>
          <w:color w:val="111111"/>
          <w:sz w:val="28"/>
          <w:sz w:val="28"/>
          <w:szCs w:val="28"/>
          <w:rtl w:val="true"/>
          <w:lang w:bidi="fa-IR"/>
        </w:rPr>
        <w:t xml:space="preserve">است و نیز اخیرا مجمع تشخیص مصلحت نظام، بحث درباره استفاده از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دستور کار خود قرار داده است که همه و همه به لحاظ تأمین مصالح مادی و معنوی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اهمّیّت مبارزه و جلوگیری از مفاسد اجتماعی در حکومت اسلامی و همچنین احیای مسأله امر به معروف و نهی از منکر از نظر عملی و محتوایی، همان شیوه و روش سدّ ذرایع است، خواه نام آن را سدّ ذرایع بگذاریم و خواه مبارزه با مفاسد و منکرات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مبارزه با مفاسد و منکرات بر کسی پوشیده نیست، همان گونه که امروزه درباره بهداشت تن و جسم می‌گویند مسأله پیشگیری از بیماری، مهمتر از درمان است، بهداشت روحی و روانی فرد و جامعه نیز از اهمّیّت به سزایی برخوردار است و بلکه ازبهداشت تن بسیار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آیات قرآن و روایات اهل بیت علیهم‌السلام نیز بر اهمّیّت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برتری بهداشت و سلامت جان و روان بر بهداشت تن، گواهی می‌دهد و آن را تأیید می‌کند که با ذکر یک مؤیّد از قرآن و بیان یک مؤید از احادیث، مطلب و بلکه کتاب را به </w:t>
      </w:r>
    </w:p>
    <w:p>
      <w:pPr>
        <w:pStyle w:val="BookText"/>
        <w:rPr/>
      </w:pPr>
      <w:r>
        <w:rPr>
          <w:rFonts w:ascii="IRNazanin" w:hAnsi="IRNazanin" w:eastAsia="IRNazanin"/>
          <w:color w:val="111111"/>
          <w:sz w:val="28"/>
          <w:sz w:val="28"/>
          <w:szCs w:val="28"/>
          <w:rtl w:val="true"/>
          <w:lang w:bidi="fa-IR"/>
        </w:rPr>
        <w:t>پایان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اَوْ فَساد فِی الأَْضِ فَکَأَنَّما قَتَلَ النّاسَ جَمیعا وَ مَنْ أحْیاها فَکَأنَّما أَحْیَا النّاسَ جمَیعا</w:t>
      </w:r>
      <w:r>
        <w:rPr>
          <w:rFonts w:eastAsia="Amiri" w:cs="Amiri" w:ascii="Amiri" w:hAnsi="Amiri"/>
          <w:color w:val="111111"/>
          <w:sz w:val="28"/>
          <w:szCs w:val="28"/>
          <w:rtl w:val="true"/>
          <w:lang w:bidi="ar-SA"/>
        </w:rPr>
        <w:t>...»</w:t>
      </w:r>
      <w:r>
        <w:rPr>
          <w:rStyle w:val="FootnoteAnchor"/>
          <w:rtl w:val="true"/>
        </w:rPr>
        <w:footnoteReference w:id="7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انسانی را بدون ارتکاب قتل یا فساد در روی زمین بکشد، چنان است که گویی همه انسانها را کشته است و هر که یک تن را زنده کند گویی همه مردم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مفهوم ظاهر آیه، مرگ و حیات مادی است، امّا مهمتر از آن مرگ و حیات معنوی است، یعنی گمراه ساختن یک فرد، یا نجات او از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علیه‌السلام از تفسیر این آیه پرسید، امام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حَرْقٍ او غَرْقٍ، ثُمّ سَکَتَ،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تأویلُها الأَْظَمُ أنْ دَعاها فَاستَجابَ لَهُ</w:t>
      </w:r>
      <w:r>
        <w:rPr>
          <w:rFonts w:eastAsia="Amiri" w:cs="Amiri" w:ascii="Amiri" w:hAnsi="Amiri"/>
          <w:color w:val="111111"/>
          <w:sz w:val="28"/>
          <w:szCs w:val="28"/>
          <w:rtl w:val="true"/>
          <w:lang w:bidi="ar-SA"/>
        </w:rPr>
        <w:t>...</w:t>
      </w:r>
      <w:r>
        <w:rPr>
          <w:rStyle w:val="FootnoteAnchor"/>
          <w:rtl w:val="true"/>
        </w:rPr>
        <w:footnoteReference w:id="7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نجات‌دادن از آتش‌سوزی یا غرق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امام سکوت کرد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اعظم و تفسیر برتر آیه این است که دیگری را دعوت به راه حق یا باطل کند و او دعوتش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سخنی از امام علی علیه‌السلام اهمّیّت بهداشت قلب و روح به زیباترین شکل ترسیم</w:t>
      </w:r>
    </w:p>
    <w:p>
      <w:pPr>
        <w:pStyle w:val="BookText"/>
        <w:rPr/>
      </w:pPr>
      <w:r>
        <w:rPr>
          <w:rFonts w:ascii="IRNazanin" w:hAnsi="IRNazanin" w:eastAsia="IRNazanin"/>
          <w:color w:val="111111"/>
          <w:sz w:val="28"/>
          <w:sz w:val="28"/>
          <w:szCs w:val="28"/>
          <w:rtl w:val="true"/>
          <w:lang w:bidi="fa-IR"/>
        </w:rPr>
        <w:t>شده است، 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انّ من البلاء الفاقة، و أشدّ من الفاقة مرض البدن، و أشدّ من مرض البدن مرض القلب، ألا و انّ من النّعم سعة المال، و أفضل من سعة المال صحّة البدن، و افضل من صحّة البدن تقوی</w:t>
      </w:r>
    </w:p>
    <w:p>
      <w:pPr>
        <w:pStyle w:val="BookText"/>
        <w:rPr/>
      </w:pPr>
      <w:r>
        <w:rPr>
          <w:rFonts w:ascii="IRNazanin" w:hAnsi="IRNazanin" w:eastAsia="IRNazanin"/>
          <w:color w:val="111111"/>
          <w:sz w:val="28"/>
          <w:sz w:val="28"/>
          <w:szCs w:val="28"/>
          <w:rtl w:val="true"/>
          <w:lang w:bidi="fa-IR"/>
        </w:rPr>
        <w:t>القلب</w:t>
      </w:r>
      <w:r>
        <w:rPr>
          <w:rStyle w:val="FootnoteAnchor"/>
          <w:rtl w:val="true"/>
        </w:rPr>
        <w:footnoteReference w:id="7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از جمله بلاها فقر و بی چیزی است و سخت تر از فقر و بی چیزی بیماری تن است و سخت تر از بیماری تن بیماری دل است و بدانید که از جمله نعمتها وسعت مال و دارایی است و بهتر از ثروت و وسعت مال، تندرستی است و برتر از تندرستی، سلامت و تقوای قلب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طَهِّرْ قَلْبی مِنَ النِّفاقِ وَ عَمَلی مِنَ الرِّیاءِ وَ لِسانی مِنَ الْکِذْبِ وَ عَیْنی مِنَ الْخیِانَةِ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فَإِنَّکَ تَعْلَمُ خائِنَةَ الأَعْیُنِ وَ ما تُخْفِی الصُّدُورُ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1" w:name="pg4331_49512"/>
      <w:bookmarkStart w:id="612" w:name="pg4331_49512"/>
      <w:bookmarkEnd w:id="612"/>
    </w:p>
    <w:p>
      <w:pPr>
        <w:pStyle w:val="Heading2"/>
        <w:numPr>
          <w:ilvl w:val="1"/>
          <w:numId w:val="1"/>
        </w:numPr>
        <w:rPr/>
      </w:pPr>
      <w:bookmarkStart w:id="613" w:name="pg4331_49512"/>
      <w:bookmarkStart w:id="614" w:name="__RefHeading___Toc1015035_1479056682"/>
      <w:bookmarkStart w:id="615" w:name="_Toc222"/>
      <w:bookmarkEnd w:id="613"/>
      <w:bookmarkEnd w:id="614"/>
      <w:r>
        <w:rPr>
          <w:rtl w:val="true"/>
        </w:rPr>
        <w:t>مصادر و منابع تحقیق</w:t>
      </w:r>
      <w:bookmarkEnd w:id="6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علوم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قم،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العربی، تحقیق علی محمّد البجاوی، مصر،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بکراحمدبن علی‌الرازی الجصّاص، بیروت، دارالکتب العلمیّة،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 علم الفقه و اطواره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آل کاشف الغطا، بیروت، دارالزهراء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الإحکام فی اصول الأحکام،ابن حزم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الفحول الی تحقیق الحق من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الشوکانی بیروت، دارالکتب العلمیّة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اختلاف الفقها فی الاحکام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مصطفی ابراهیم الزلمی، ترجمه حسین صابری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محمّد بن ابی سهل السرخسی، بیروت، دارالمعرفه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العامه للفقه المقارن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الحکیم بیروت، دارالاندلس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الخضری بیروت، دارالحدیث</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رضا المظفر، نجف،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الفقه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مصطفی شلبی، بیروت، دارالنهضة العربیّة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الموقّعین عن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الجوزیّة،بیروت، دار احیاء التراث العربی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اسحق ابراهیم بن موسی الشاطبی بیروت، دارالکتب العلمیّة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بیروت، دارالکتب العلمیة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نجف، مطبعة حیدری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مکارم شیرازی، انتشارات نسل جوان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بیروت، مؤسسة الوفاء</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فی علم الاصول، تقریرات مباحث اصولی شهید صدر، السید محمود الهاشمی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درباره مرجعیت و 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انتشارات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 قم مؤسسه مطبوعاتی اسماعیلیان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المجتهد و نهایة المقتصد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رشد، 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چاپ دهم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الحر العاملی، تحقیق محمّد علی الانصاری،مؤسسه آل البیت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ابوجعفرمحمدبن‌الحسن‌بن‌فروخ‌الصفار،تهران، منشورات‌الاعلمی، تهران، چاپ دوم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آل بحر العلوم،مکتبة الصادق، تهران </w:t>
      </w:r>
      <w:r>
        <w:rPr>
          <w:rFonts w:eastAsia="IRNazanin" w:cs="IRNazanin"/>
          <w:color w:val="111111"/>
          <w:sz w:val="28"/>
          <w:szCs w:val="28"/>
          <w:lang w:bidi="fa-IR"/>
        </w:rPr>
        <w:t>1403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الشیعه لعلوم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صدر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الجامع للاصول فی احادیث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منصور علی ناصف ،بیروت، داراحیاءالتراث العربی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الفقه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یوسف موسی، مصر، دارالمعرفة</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الفقه الاسلامی و نظریاته العامه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عبدالودود السریتی، بیروت، دارالنهضة العربیة</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شعیة الحرانی، قم، مؤسسة النشر الاسلامی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یک مسأله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قم، چاپخانه حکمت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 ش</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الخمینی قدس‌سره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بیروت، دار احیاء التراث العربی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الکاشف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مغنیه، بیروت، دارالعلم للملایین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الحویزی، تعلیق هاشم محلاتی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تهران، دارالکتب الاسلامیة</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الخمینی قدس‌سره، قم، مؤسسة النشر الاسلامی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السبزواری، بیروت، مؤسسة آل البیت، چاپ اوّل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بیروت، دار احیاء التراث العربی، چاپ اوّل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سعید حلّی، بیروت، دارالأضواء چاپ دوم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فی شرح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الثانی الکرکی، بیروت، مؤسسة آل البیت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الجوامع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علمای، تهران، انتشارات جهان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فی شرح 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حسن النجفی، تهران، دارالکتب الاسلامیّة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الناضرة فی احکام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یوسف البحرانی، قم، مؤسسة النشر الاسلامی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 یوسف</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فی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السید محمّد باقر الصدر، قم، مؤسسة النشر الاسلامی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فی التفسیر 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السیوطی ،بیروت، دارالفکر</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نعمان، بیروت، دارالأضواء، چاپ اوّل </w:t>
      </w:r>
      <w:r>
        <w:rPr>
          <w:rFonts w:eastAsia="IRNazanin" w:cs="IRNazanin"/>
          <w:color w:val="111111"/>
          <w:sz w:val="28"/>
          <w:szCs w:val="28"/>
          <w:lang w:bidi="fa-IR"/>
        </w:rPr>
        <w:t>1995</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 مطهری، قم، انتشارات صدرا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الی اصول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دانشگاه تهران</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فی تصانیف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آقا بزرگ التهرانی، بیروت، دارالأضواء</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الشیعة فی احکام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 مکتبة بصیرتی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السید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مهدی بحر العلوم، تهران، مکتبة الصادق</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الخمینی قدس‌سره، قم، مؤسسة النشر الاسلامی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العالمی للتقریب بین المذاهب الاسلامیّة شماره ششم دوره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المحقّق الکرکی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الکرکی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فی شرح 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الثانی، قم، دارالهادی للمطبوعات</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فی احوال العلمای و 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باقر خوانساری، قم، مکتبه اسماعیلیان</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 باقر مجلسی، تهران، دارالکتب الاسلامیة</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فی تفسیر القرآن العظیم و السبع 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الآلوسی، بیروت، دارالفکر</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مدرس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خیام</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قم، مؤسسة النشر الاسلامی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بیروت، دارالفکر</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بیروت، دارالفکر</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بیروت، دارالفکر</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 بیروت، دارالمعرفة</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،بیروت، دار احیاء التراث العربی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قم، انتشارات صدرا</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الحلّی، چاپ نجف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تجرید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قوشجی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الجوهری، بیروت، درالعلم للملایین</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البخاری، بیروت، دار ابن کثیر</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الحجاج النیشابوری، بیروت دار احیاء التراث العربی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مصاحبه‌ها و سخنرانی های امام خمینی قدس‌سره، وزارت فرهنگ و ارشاد اسلامی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ترجمه قاسم بن محمّد بن ابی بکر بیروت، دارالطباعة و النشر</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فی 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تحقیق محمدرضا الانصاری، قم، چاپخانه ستاره</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بیروت دارالفکر</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و دررالکلم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آمدی، تهران، چاپ افست</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الفتاوی الواضحة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الانصاری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الصنهاجی القرافی، بیروت، دارالمعرفة</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علی المذاهب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الجزیری، بیروت، دار احیاء التراث العربی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تقریرات درس میرزا محمّد حسین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علی کاظمی خراسانی، قم، مؤسسة النشر الاسلامی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الحمیری، قم، مؤسسة آل البیت</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و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 قم، مکتبة المفید، تحقیق السید عبد الهادی الحکیم</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یعقوب الکلینی، تهران، دارالکتب الاسلامیّة</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الخمینی قدس‌سره، قم، مؤسسة النشر الاسلامی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قم، مؤسسة النشر الاسلامی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اصطلاحات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التهانوی، بیروت، دارالکتب العلمیّة</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الأسرار، شرح اصول بزدوی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البخاری، چاپ مکتب الصنایع بمعرفة حسن حلمی</w:t>
      </w:r>
    </w:p>
    <w:p>
      <w:pPr>
        <w:pStyle w:val="BookText"/>
        <w:rPr/>
      </w:pPr>
      <w:r>
        <w:rPr>
          <w:rFonts w:ascii="IRNazanin" w:hAnsi="IRNazanin" w:eastAsia="IRNazanin"/>
          <w:color w:val="111111"/>
          <w:sz w:val="28"/>
          <w:sz w:val="28"/>
          <w:szCs w:val="28"/>
          <w:rtl w:val="true"/>
          <w:lang w:bidi="fa-IR"/>
        </w:rPr>
        <w:t xml:space="preserve">الریزوی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السبزواری، چاپ افست، قم، چاپخانه مهر</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قم، مؤسسة النشر الاسلامی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العرفان فی فقه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تهران، مکتبة المرتضویّة</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الالقاب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القمی، تهران، مکتبة الصدر</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بیروت، دارالفکر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تهران، مکتبة اسلامیّة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بیروت، مؤسسة الأعلمی، چاپ اوّل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فقه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سید محمود هاشمی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البرقی، قم مطبعه باقری، تحقیق سید مهدی زنجانی</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الفقهی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احمد الزرقاء، بیروت، دارالفکر</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فی التعریف بالفقه الاسلامی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محمدمصطفی شلبی، بیروت، دارالنهضة العربیّة</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 الطبرسی، بیروت، مؤسسة آل البیت</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المستصفی من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محمّد غزالی، بیروت، داراحیاء التراث العربی، چاپ اوّل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احمد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بیروت، داراحیاء التراث العربی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رضا همدانی</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علی الفیّومی، قم، دارالهجرة</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الحلّی، قم، موسسة آل البیت</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الشیخ حسن بن زیدالدین الشهید الثانی، تهران، مکتبه علمیّه اسلامیة</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المعالم الجدیدة للاصول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صدر، بیروت، دارالتعارف</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المدرستین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مرتضی العسکری، بیروت، مؤسسة البعثة</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 مؤسسة النشر الاسلامی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فی 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الحلّی، چاپ افست، قم، مجمع الذخائر الاسلامیة</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الحموی، بیروت، دارالکتب العلمیّة</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مفردات الفاظ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الاصفهانی، تهران، مکتبة المرتضویّة</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فیض کاشانی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الفقه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عبد الحمید، بیروت، مؤسسة الرسالة</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بیروت، مکتبة الهلال</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قم، مؤسسة النشر الاسلامی</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مرتضی الانصاری</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الشهرستانی، مصر، قاهره، مکتبة الآنجلو المصریّة</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جنّاتی، انتشارات کیهان</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 قم، جامعه مدرسین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البرّاج، قم، مؤسسة النشر الاسلامی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الموافقات فی اصول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الشاطبی، چاپ مصر، مکتبة التجاریّة</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نضد القواعد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الدرایة فی شرح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حسین الاصفهانی، قم، مکتبة الطباطبایی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غریب الحدیث و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 بیروت، داراحیاء التراث العربی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مجرد الفقه و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چاپ دانشگاه تهران، هزاره شیخ طوسی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الرضی، فیض الاسلام</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الکاشانی، قم، مکتبة آیة اللّه المرعشی النجفی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حسین علی‌الاعظمی</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الی تحصیل مسائل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العاملی، بیروت، داراحیاء التراث العربی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قم منشورات الرضی </w:t>
      </w:r>
      <w:bookmarkStart w:id="616" w:name="pg4331_49532"/>
    </w:p>
    <w:p>
      <w:pPr>
        <w:pStyle w:val="Heading2"/>
        <w:numPr>
          <w:ilvl w:val="1"/>
          <w:numId w:val="1"/>
        </w:numPr>
        <w:rPr/>
      </w:pPr>
      <w:bookmarkStart w:id="617" w:name="__RefHeading___Toc1015037_1479056682"/>
      <w:bookmarkStart w:id="618" w:name="_Toc223"/>
      <w:bookmarkEnd w:id="616"/>
      <w:bookmarkEnd w:id="617"/>
      <w:r>
        <w:rPr>
          <w:rtl w:val="true"/>
        </w:rPr>
        <w:t>نمایه</w:t>
      </w:r>
      <w:bookmarkEnd w:id="618"/>
    </w:p>
    <w:p>
      <w:pPr>
        <w:pStyle w:val="Heading3"/>
        <w:numPr>
          <w:ilvl w:val="2"/>
          <w:numId w:val="1"/>
        </w:numPr>
        <w:rPr/>
      </w:pPr>
      <w:bookmarkStart w:id="619" w:name="__RefHeading___Toc1015039_1479056682"/>
      <w:bookmarkStart w:id="620" w:name="_Toc224"/>
      <w:bookmarkEnd w:id="619"/>
      <w:r>
        <w:rPr>
          <w:rtl w:val="true"/>
        </w:rPr>
        <w:t>آیات قرآنی</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 اللّه‌ِ تُرْجَعُ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نُصَرِّفُ الایاتِ لَعَلَّهُمْ یَفْقَهُونَ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ِلهؤُلاءِالقَوْمِ لایَکادُونَ یَفْقَهُونَ حَدیثا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لایَفقَهُونَ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 شی‌ءٍ اِلاّ یُسَبِّحُ بِحَمْدِهِ وَ لکِنْ لاتَفْقَهُونَ تَسْبَیحَهُم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اسرائیل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فَلَوْلانَفَرَ مِنْ کُلِّ فِرقةٍ مِنهُمْ طائفةٌ لِیَتَفَقَّهُوا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لایُؤمِنُونَ حتّی یُحَکِّمُوکَ فیما شَجَرَ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لاتَقتُلُوا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 السّارِقة فَاقْطَعُوا اَیْدیهما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اِلیهِ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 وَ هُدیً وَ رَحْمَةً وَ بُشْری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ِاذا تَدایَنْتُم بِدَیْنٍ اِلی اَجَلٍ مُسَمّیً فَاکْتبُوهُ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اُمُّ الْکِتابِ وَ اُخَرُ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ماآتاکم‌الرسول فخذوه و مانهاکم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اَنْزَلْنا اِلَیْکَ الذِّکرَ لِتُبَیّنَ لِلناسِ ما نُِزّلَإءلَیهم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اِذا هَوی، ماضَلَّ صاحِبُکُم وَ ماغَوی وَ مایَنْطِقُ عَنِ الْهَوی اِنْ هُوَ اِلاّ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الْهَوی،إءنْ هُوَ اِلاّ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اُخْرِجَتْ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 وَ لاتَبَرّجنَ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أَجْمَعُوا أَنْ یَجْعَلُوهُ فی غَیابَتِ 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لَدَیْهِمْ اِذْ أَجْمَعُوا اَمْرَهُمْ وَ هُمَ 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یُشاقِقِ الرَّسُولَ مِنْ بَعْدِ ما تَبَیَّنَ لَهُ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اُمَّةً وَسَطا لِتَکُونُوا شُهَداءَ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سنعیدُها سیرَتَها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إءمساکٌ بِمَعْرُوفٍ اَوْ تَسْریحٌ بِاِحسانٍ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اللّه‌ُ الْبَیْع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خُذِالْعَفُوَ َو أمُرْ بِاْلعُرْفِ وَ أَعرِضْ عَنِ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سَخَّرَ الْبَحْرَ لِتأکُلُوا مِنهُ لَحْما طَرِیّا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یُرضِعْنَ اَوْلاََدهُنَّ حَولَیْنِ کامِلَیْنِ لِمَنْ أرادٔأنْ یُتمّ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لِیُنْفِقْ ذُوسَعَةٍ مِنْ 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إءذا قُمْتُمإءلَی الصّلاة فَاغْسلوُا 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لَقُرآنٌ کَریمٌ، فی کِتابٍ مَکْنُونٍ، لا یَمَسُّهُ اِلاّ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عَوْراتٍ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یَستَأذِنُ فَریقٌ مِنهم النبیَّ یَقوُلُون اِنّ بُیوتَنا عَورَةٌ و ما هِیَ بِعَورَةٍ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لایُبْدینَ زینَتَهُنَّ اِلاّ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ولآمُرَنَّهُم فَلَیُغیِّرُنَّ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أُولُوأَرْحامِ بَعْضُهُمْ أَوْلی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عَلَی البِرّ وَ التَّقوی وَ لا تَعاوَنوُا عَلَی لإءِثمِ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لاترکنوا الی الذین ظلموا فتمسّکم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 الیک الکتاب بالحق لتحکم بین الناس بما أراک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092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ذلک لعبرةلأٔلی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092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للرؤیا تعبرون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092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أولی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092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الّذینَ یَسْتَمِعُوَن الْقَوْلَ فَیَتَّبِعوُنَ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أحْسَنَ ما أُنْزِلَ اِلَیْکُمْ مِن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لایَتَّخِذَ بَعْضُنا بَعْضا اَرْبابا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الظَّنَ لایُغْنی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وجهک للدّین حنیفا 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 xml:space="preserve"> ··· </w:t>
      </w:r>
      <w:r>
        <w:rPr>
          <w:rFonts w:eastAsia="IRNazanin" w:cs="IRNazanin"/>
          <w:color w:val="111111"/>
          <w:sz w:val="28"/>
          <w:szCs w:val="28"/>
          <w:lang w:bidi="fa-IR"/>
        </w:rPr>
        <w:t>713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یأمر بالعدل و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حیاة یا اُولی الالباب 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 فَانَّ ِللّهِ خُمُسَهُ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أَفاءَ اللّه‌ُ عَلی رَسُولِهِ مِنْ اَهْل الْقُری فَلِلّهِ وَ لِلرَّسُولِ َو لِذِی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فَاَنَّ ِللّه خُمُسَهُ وَ لِلرّسُولِ وَ 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لاتَقُولُوا راعِنا وَ قُولُوا انْظُرْنا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الَّذینَ یَدْعُونَ مِنْ دُونِ اللّه‌َ فَیَسُبّوُا اللّه‌َ عَدْوا بِغَیرِ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لایَضْرِبنَ بِاَرْجُلهِنَّ لِیَعْلَمَ ما یُخْفینَ مِنْ زینَتِهِنَّ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لاتَقُولُوا راعِنا وَ قُولُوا انْظَرْنا وَ اسْمَعُوا وَ لِلْکافِرینَ عَذابٌ 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اَوْ فَساد فِی الأَْضِ فَکَأَنَّما قَتَلَ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bookmarkStart w:id="621" w:name="pg4331_49541"/>
    </w:p>
    <w:p>
      <w:pPr>
        <w:pStyle w:val="Heading3"/>
        <w:numPr>
          <w:ilvl w:val="2"/>
          <w:numId w:val="1"/>
        </w:numPr>
        <w:rPr/>
      </w:pPr>
      <w:bookmarkStart w:id="622" w:name="__RefHeading___Toc1015041_1479056682"/>
      <w:bookmarkStart w:id="623" w:name="_Toc225"/>
      <w:bookmarkEnd w:id="621"/>
      <w:bookmarkEnd w:id="622"/>
      <w:r>
        <w:rPr>
          <w:rtl w:val="true"/>
        </w:rPr>
        <w:t>احادیث</w:t>
      </w:r>
      <w:bookmarkEnd w:id="623"/>
    </w:p>
    <w:p>
      <w:pPr>
        <w:pStyle w:val="BookText"/>
        <w:rPr/>
      </w:pPr>
      <w:r>
        <w:rPr>
          <w:rFonts w:ascii="IRNazanin" w:hAnsi="IRNazanin" w:eastAsia="IRNazanin"/>
          <w:color w:val="111111"/>
          <w:sz w:val="28"/>
          <w:sz w:val="28"/>
          <w:szCs w:val="28"/>
          <w:rtl w:val="true"/>
          <w:lang w:bidi="fa-IR"/>
        </w:rPr>
        <w:t>اخوک دینک فاحتط لدینک بما شئت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اِذا اَرادَ اللّه‌ُ بِعبدٍ خیرا فَقَّهَهُ فی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اذا کان یوم القیامة نادی مُنادٍ اَیْنَ الظَّلَمةُ ؟ و اَعوانُ الظَلمة و أشباهُ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اذا کشفتْ عن موضع السجود فلابأس و ان اسفَرَتْ فهو افضل</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اذا ورد علیکم حدیثان مختلفان، فاعرضوهما علی کتاب اللّه فما وافق کتاب اللّه فخذوه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اَصْحابِی کَالنّجومِ بِأیِّهُم اِقْتَدیْتُم اِهْتدیْتُم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اَصْحابی مِثْلُ الْمِلْحِ لایصْلَحُ الَّطعامّ إلاّ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اَقوامٌ حَلَقوُا اللِّحی وَ فَتَلُوا الشَوارِبَ فَمُسِخوا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الزینة الظاهرة الکُحل و الخاتم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الایمان قول و عملٌ، اخوان شریکان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الایمان معرفة بالجنان و اقرارٌ باللسان و عمل بالارکان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الحلال بیّن و الحرام بیّن و بینهما امورٌ متشابهات فمن اتّقی الشبهات استبرأ لدینه و</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اَلْحَمدِللّهِ الّذی وَفَّقَ رَسُولَ رَسُولِه لِما یَرْضاهُ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الصلح جائز بین المسلمین الاّ صلحا احلّ حراما او حرّم حلالاً</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الکمالُ کلّ الکمالِ التفقّهُ فی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اللّهم هؤلاء أهل بیتی و حامّتی، فأذهب عنهم الرجس و طهّرهم تطهیرا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المُصْحَفُ لاتَمَسَّهُ عَلی غیرِ طُهْرٍ و لا جُنُبا و لاتَمَسَّ خَطَّهُ و لاتُعَلِّقْهُ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الناس شرکاء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 الماء و الکلاء</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النساءُ عیٌّ و عَوْرَةٌ فَاستُروا عیَّهُنَّ بِالسّکوتِ و عَوْراتِهِنَّ بِالْبُیوُت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امّا ما أخرجه البحر فهو لأهله، اللّه تعالی اخرجه و اما ما أُخرج بالغوص فهو لهم و هم احق به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انّ اصحاب المقائیس طلبوا العلم بالمقائیس فلم تزدهم المقائیس من الحق الا بعدا و 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انّ اللّه تبارک و تعالی لم یُبِحْ أکلاً و لاشربا اِلاّ لما فیه المنفعة و الصلاح و لم یحرّم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تعالی فرض علیکم الجمعة فمن ترکها فی حیاتی او بعد موتی استخفافا بها او جحودا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اللّه عزّ و جلّ فوّض إلی نبیّه أمْرَ خلقه لینظر کیف طاعتهم ثم تلا هذه الآیة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انّ المَجوسَ جَزُّو لِحاهُم وَ وَفَّروُا شَوارِبَهُم و اِنّا نَجُزُّ الشَّوارِبَ و نُعْفی اللِّحی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انّا وجدنا کل ما احلّ اللّه تبارک و تعالی ففیه صلاح العباد و بقاء هم و لهم الیه الحاجة</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إنَّ أُمَّتی لا تَجْتَمِعُ عَلی ضَلالَةٍ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Amiri" w:hAnsi="Amiri" w:eastAsia="Amiri" w:cs="Amiri"/>
          <w:color w:val="111111"/>
          <w:sz w:val="28"/>
          <w:sz w:val="28"/>
          <w:szCs w:val="28"/>
          <w:rtl w:val="true"/>
          <w:lang w:bidi="ar-SA"/>
        </w:rPr>
        <w:t>انّ دین اللّه لایُصاب بالعقول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اِنَّ دینَ اللّه‌ِ لایُصابُ بِالْعُقوُلِ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ان دین اللّه لایصاب بالعقول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انّ دین اللّه لایصاب بالعقول الناقصة و الآراء الباطلة و المقائیس الفاسدة و لایصاب الاّ</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إنّ عندنا صحیفة من کتب علی طولها سبعون ذراعا فنحن نتّبع ما فیها لانعدوها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انّکِ إلی خیر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إنَّ لِلّهِ تَعالی مَعَ السُّلْطانِ اَوْلِیاءَ یَدْفَعُ بِهِمْ عَنْ أوْلِیائِهِ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إنّما َعلَیْنا أن نُلْقیَ إلیکُم الأُصولَ وَ عَلَیکم أنْ تُفَرِّعوُا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إنّ من الکبائر شتم الرجل والدیه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p>
    <w:p>
      <w:pPr>
        <w:pStyle w:val="BookText"/>
        <w:rPr/>
      </w:pPr>
      <w:r>
        <w:rPr>
          <w:rFonts w:ascii="IRNazanin" w:hAnsi="IRNazanin" w:eastAsia="IRNazanin"/>
          <w:color w:val="111111"/>
          <w:sz w:val="28"/>
          <w:sz w:val="28"/>
          <w:szCs w:val="28"/>
          <w:rtl w:val="true"/>
          <w:lang w:bidi="fa-IR"/>
        </w:rPr>
        <w:t>إنی اوشک أن اُدعی فاجیب و انی تارک فیکم الثقلین کتاب اللّه عز و جلّ و عترتی، کتاب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انی ترکت فیکم ماان تمسکتم به لن تضلّوا بعدی ؛ کتاب‌اللّه حبل ممدود من‌السماء الی‌الارض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ایّاکم و ابوابَ السلطان و حواشیها، فَإنّ أقربکم من أبواب السلطان و حواشیها، أبعدکم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أَحْفوُا الشّواربَ و أعْفُوا اللِّحی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ألا و انّ من البلاء الفاقة، و أشدّ من الفاقة مرض البدن، و أشدّ من مرض البدن مرض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أنَّ أقواما حَلَقُوا اللِّحی و فَتَلوا الشّوارِبَ فَمُسِخوُا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أن أقواما حلقوا اللحی و فتلوا الشوارب فمسخوا و قد أفتی جماعة من فقهائنا بتحریم حلق</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أنه سُئل ابو عبداللّه علیه‌السلام مابالُ القرآن لایزداد علی‌النشر والدرس الاّ غضاضة؟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اللّهُمَّ طَهِّرْ قَلْبی مِنَ النِّفاقِ وَ عَمَلی مِنَ الرِّیاءِ وَ لِسانی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بالعمل تحصل الجنّة لابالأمل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بعثت بالحنفیة السمحة السهلة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تأویلُها الأَْظَمُ أنْ دَعاها فَاستَجابَ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ترد علی أحدهم القضیّة فی حکم من الاحکام فیحکم فیها برأیه، ثم ترد تلک القضیّة بعینها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تفقهوا فی دین اللّه فان الفقه مفتاح البصیرة و تمام العبادة و السبب الی المنازل الرفیعة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تَقبِضُ بِیَدِکَ عَلی لِحیَتِکَ وَ تَجُزَّ ما 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توضّأ من الآن کما أمر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رأیناه تبارک و تعالی قد احلّ بعض ما حرّم فی وقت الحاجة لما فیه من الصلاح فی ذلک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جاءنی کتابک تذکر أنّ بعض أهل القبلة یزعم أنّ اللّه تبارک و تعالی لم یحِلَّ شیئا و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جزوا الشوارب و ارخوا اللحی و خالفوا المجوس</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حرّم الزنا لما فیه من الفساد من قتل الأنفس و ذهاب الأنساب و ترک التربیة للأطفال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حَفُّوا الشَوارِبَ و أَعفُوا اللِّحی و لاتُشَبِّهوُا بِالمَجوُسِ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حَفّوا الشَّوارِبَ و أعفُوا اللِّحی و لاتُشَبِّهوا بِالیَهود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حَلْقُ اللِّحیةِ مِنَ المُثْلة و مَنْ مَثَّلَ فَعَلیهِ لَعْنةُ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ربّ حاملِ فقْهٍ الی مَن هُو اَفقهُ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رُفِعَ عَنْ اُمَّتی تِسعة الخَطَأُ وَ النِسیان وَ ما استُکرِهوا عَلیْه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سألت اللّه أن لاتجتمع امتی علی الضلالة فأعطانیها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صَلاةُ الجُمعةِ فَریضةٌ وَ الاِجتماعُ اِلَیها فَریضةٌ مَعَ الإمامِ فَاِنْ تَرَکَ 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ضلّ علم ابن شبرمة عندالجامعة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 رسول اللّه و خط علیّ بیده، اِنّ الجامعة لم تدع</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طلبة العلم ثلاثة فاعرفهم بأعیانهم و صفاتهم ؛ صنف یطلبه للجهل و المراء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عَلَیْنا إلقاءُ الأُصولِ وَ عَلَیکُم التفریعُ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حکم بحکمنا فلم یُقبل منه فانما استخف بحکم اللّه و علینا ردّ و الرادّ علینا</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فَاِذا دَخَلَ الْوَقْتُ وَجَب الطَهْوُر و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فَإِنَّکَ تَعْلَمُ خائِنَةَ الأَعْیُنِ وَ ما تُخْفِی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فرُبّ حاملِ فِقْهٍ غَیْرِ فَقیهٍ و رُبّ حاملِ فِقْهٍ إلی مَن هُوَ اَفْقَهُ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فما رأی المسلمون حسنا فهو عند اللّه حسن و مارأواسیّئا فهو عند اللّه سیّ‌ءٌ</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فما وافق کتابَ اللّه فخذوه و ما خالف کتابَ اللّه فدعوه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بی من فسّر برأیه کلامی و ما عرفنی من شبّهنی بخلقی و ما علی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قد کنت علی قبلة لو صبرت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قَصّوا سِبالَکُم وَ وَفِّروا عَثانِینَکُم و خالِفوُا أَهلَ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کَفّارةُ عَمَلِ السُّلْطانِ قَضاءُ حَوائِجِ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کُلُّ اَمْرٍ ذیبال لَمْ یُذْکَر فیهِ اِسْمُ اللّه‌ِ فَهُوَ اَبْتَر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کلّ شی‌ءٍ مردود إلی الکتاب و السّنة و کلّ حدیث لایوافق کتاب اللّه فهو زخرف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کلّ شی‌ء من الطیر یتوضأ ممایشرب منه، الاّ أن تری فی منقاره دما فاذا رأیت فی منقاره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لاآذَنْ لَکَ بِالخروج مِنْ عَملِهم فَاتَقِ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بَیْعَ اِلاّ فِیما یُمْلَکُ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تَبِعْ ما لَیْسَ عِنْدَکَ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لاتجتمع امّتی علی الخطاء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لاتجتمع امّتی علی الضلالة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لاتُعِنْهُمْ عَلی بَناءِ مَسْجِدٍ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لا تقیسوا الدین فإنّ امر اللّه لایقاس و سیأتی قوم یقیسون و هم اعداء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لأنّه لو کان کذلک لکان جائزا أن یتعبدهم بتحلیل ما حرّم و تحریم ما احلّ حتّی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لایصلح الاّ بکیل، قال و ما کان من طعام سمّیت فیه کیلاً فانه لایصلح مجازفةً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لایُطَوِّلَنَّ اَحَدُکُم شارِبَهُ وَ لا شَعْرَ اِبطَیهِ و لاعانَتَهُ فَانّ الشیطانَ یَتّخِذُها مَخبَأً یَسْتَتِرُ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لمکان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لَوددتُ أنّ اصحابی ضُرِبتْ رؤوسهم بالسیاط حتّی یتفقّهوا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لَوْ لا أنَّ بنی امیّة وَ جَدوا لَهُم مَن یَکتُبُ و یَجْبِی لَهُمْ الْفَیْ‌ءَ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لیس بین الحلال و الحرام الا شی‌ء یسیر یحوّله من شی‌ءٍ الی شی‌ء فیصیر حلالاً و حراما</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لیس شی‌ء ابعد من عقول الرجال عن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لَیْس فِی القُرآنِ اَجْمَعُ لِمَکارِمِ الاَخْلاقِ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لیس للقاتل میراث</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ما اُحِبُّ أَنّی عَقَدْتُ لَهُمْ عُقْدَةً، أوْ وَکَیْتُ لَهُمْ وِکاءً و إنْ 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ما اقترب عبدٌ من سلطان جائر اِلاّ تباعد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ما رآه المسلمون حسنا فهو عند اللّه حسنٌ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مازاد من اللحیة عن القبضة فهو فی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Amiri" w:hAnsi="Amiri" w:eastAsia="Amiri" w:cs="Amiri"/>
          <w:color w:val="111111"/>
          <w:sz w:val="28"/>
          <w:sz w:val="28"/>
          <w:szCs w:val="28"/>
          <w:rtl w:val="true"/>
          <w:lang w:bidi="ar-SA"/>
        </w:rPr>
        <w:t>ما کان علی هذا لَو هَیَّأَ مِن لِحْیَته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ما من امر یختلف فیه اثنان الاّ وله اصل فی کتاب اللّه ولکن لاتبلغه عقول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ما مِن أمر یختلف فیه اثنان اِلاّ و له اصلٌ فی کتاب اللّه و لکن لاتبلغه عقول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مکتوبٌ علی باب الجنّة الصدقةُ بعشرة و القرضُ بثمانیة عشر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من أسلف فی شی‌ء فلیُسلف فی کیل معلوم و وزن معلوم إلی اجل 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مَنْ أسْلَف فی شی‌ءٍ فَلْیُسلِفْ فی کیلٍ معلومٍ و وزنٍ معلومٍ إلی أجلٍ 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من تکلّم فی القرآن برأیه فأصاب فقد أخطأ</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مِن حَرْقٍ او غَرْقٍ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من حفظ علی امتی اربعین حدیثا بعثه اللّه یوم القیامة فقیها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ردّ متشابه القرآن إلی محکمه، هدی إلی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سَبَق إلی ما لم یَسْبِق إلیه المسلم فهو احق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من سنّ سنّة حسنة فله اجرها و اجر من عمل بها إلی یوم القیامة و من سنّ سنّة سیّئة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مَنْ سنّ سیّئة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مَنْ سَوّدَ اسمَه فی دیوان وُلْد سابع، حشره اللّه یوم القیامة خنزیرا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من قال فی القرآن بغیر علم جاء یوم القیامة مُلجما بلجام من نار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من قال فی القرآن بغیر علم فَلْیتبوّء مقعده من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من کمال السعادة السعی فی صلاح الجمهور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من لم یجمع الصیام قبل الفجر فلاصیام له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من لم یکن عنده من شیعتنا و محبّینا کتاب سلیم بن قیس الهلالی، فلیس عنده من امرنا شی‌ء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من نسی و هو صائم فأکل أو شرب فلیتمّ صومه فانّما أطعمه اللّه و سقاه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من نصب نفسه للقیاس، لم یزل دهره فی التباس و من دان اللّه بالرأی لم یزل</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مهلاً، یا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حکم رسول اللّه، انّ المرأة تعاقل الرجل الی ثلث الدیة، فاذا بلغت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نزل القرآن اربعة ارباع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فینا و ربع فی عدوّنا و ربع قصص و امثالُ و ربع قضایا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نَزَلَتْ هذِهِ‌الآیَهُ‌فِی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فِیَّ،وَفِی‌علیٍّ وَفاطِمةَ وَحَسَنٍ‌وَ حُسَیْن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نَضَّرَ اللّه‌ُ عبدا سَمِعَ مقالَتی فَوَعاها و حَفِظَها و بَلَّغَها من لَمْ یَسْمَعْها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نعم یسبّ أبا الرجل فیسبّ أباه و یسبّ أمّه فیسبّ أمّه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و الأمر بالمعروف مصلحةً للعوام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و العلّة فی تحریم الربا بالنسیئة لعلّة ذهاب المعروف و تلف الاموال و رغبة الناس فی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و اللّه لَئن انت لم تُحضرها بیت مال المسلمین، لأضربنّک بسیفی هذا أصاب منک ما اصاب،</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و انّما وضعت الزکاة اختبارا للاغنیاء و معونة للفقراء و لو أنّ الناس أدّوا زکاة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و أَمّا الْحَوادِثُ الواقعةُ فَاْرجِعُوا فیها إلی رُواةِ حَدیثنا فَانّهُمْ حُجّتی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وضع امیر المؤمنین صلوات اللّه علیه علی الخیل العتاق الراعیة فی کل فرس فی کل عامّ دینارین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وضع رسول اللّه صلی‌الله‌علیه‌و‌آله دیة العین و دیة النفس و حرّم النبیذ و کل مسکر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و لایصوم الاّ من أجمع الصیام قبل 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و ما مِن شی‌ءٍ اِلاّ وفیه کتابٌ أو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هکذا یصنع الحمار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یا اَیّها الناسُ ما أنَا سَدَدتُها وَ لا أنا اَخْرَجْتُکم وَ أَسکَنْتُه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یا أبا محمّد إنّ عندنا الجامعة و ما یدریهم ما الجامعة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 ما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یا بیّاعی مُسوخَ بنی اسرائیل وَ جُندَ بنی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للقرآن بطنا و للبطن بطنٌ و له ظهرٌ و للظّهر ظهرٌ،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معاذ بم تحکم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یداللّه مع الجماعة و لایبالی اللّه بشذوذ من شذّ</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یصلی علی الجنازة اولی الناس بها او یأمر من یحبّ</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یغسل المیت اولی الناس به او من یأمره الولی بذلک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ینطق بعضه ببعض و یشهد بعضه علی بعض</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bookmarkStart w:id="624" w:name="pg4331_49561"/>
    </w:p>
    <w:p>
      <w:pPr>
        <w:pStyle w:val="Heading3"/>
        <w:numPr>
          <w:ilvl w:val="2"/>
          <w:numId w:val="1"/>
        </w:numPr>
        <w:rPr/>
      </w:pPr>
      <w:bookmarkStart w:id="625" w:name="__RefHeading___Toc1015043_1479056682"/>
      <w:bookmarkStart w:id="626" w:name="_Toc226"/>
      <w:bookmarkEnd w:id="624"/>
      <w:bookmarkEnd w:id="625"/>
      <w:r>
        <w:rPr>
          <w:rtl w:val="true"/>
        </w:rPr>
        <w:t>نامها، مکانها، فرق</w:t>
      </w:r>
      <w:bookmarkEnd w:id="626"/>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آخوند خراسانی، ملا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آقا باقر بهبهانی وحید بهبهانی</w:t>
      </w:r>
    </w:p>
    <w:p>
      <w:pPr>
        <w:pStyle w:val="BookText"/>
        <w:rPr/>
      </w:pP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آقا ضیاء عراقی،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آلوسی، سید محمد،</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آل بحرالعلوم، سید محمد،</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آل یقطین،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ابان بن تغلب،</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ابراهیم بن عبدالحمید،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ابن ابی یعفور،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ابن براج،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ابن برهان،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ابن جنید، شیخ ابوعلی،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ابن حزم اندلسی،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ابن رشد،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ابن سمعانی،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ابن شبرمه،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ابن عبدربه،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ابن عطیه،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ابن عمیر،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ابن قدامه،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ابن قیم جوزیه،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ابن وراة،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وراة</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ابواسحاق شاطبی شاطبی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ابوبکر بن عبدالرحمن،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ابوبکر جصاص جصاص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عنبری،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ابوبکر عنبری</w:t>
      </w:r>
    </w:p>
    <w:p>
      <w:pPr>
        <w:pStyle w:val="BookText"/>
        <w:rPr/>
      </w:pPr>
      <w:r>
        <w:rPr>
          <w:rFonts w:ascii="IRNazanin" w:hAnsi="IRNazanin" w:eastAsia="IRNazanin"/>
          <w:color w:val="111111"/>
          <w:sz w:val="28"/>
          <w:sz w:val="28"/>
          <w:szCs w:val="28"/>
          <w:rtl w:val="true"/>
          <w:lang w:bidi="fa-IR"/>
        </w:rPr>
        <w:t>ابوحامد محمد غزالی غزالی، ابوحامد محمد</w:t>
      </w:r>
    </w:p>
    <w:p>
      <w:pPr>
        <w:pStyle w:val="BookText"/>
        <w:rPr/>
      </w:pPr>
      <w:r>
        <w:rPr>
          <w:rFonts w:ascii="IRNazanin" w:hAnsi="IRNazanin" w:eastAsia="IRNazanin"/>
          <w:color w:val="111111"/>
          <w:sz w:val="28"/>
          <w:sz w:val="28"/>
          <w:szCs w:val="28"/>
          <w:rtl w:val="true"/>
          <w:lang w:bidi="fa-IR"/>
        </w:rPr>
        <w:t xml:space="preserve">ابوالحسن کرخی،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کرخی ابوالحسن</w:t>
      </w:r>
    </w:p>
    <w:p>
      <w:pPr>
        <w:pStyle w:val="BookText"/>
        <w:rPr/>
      </w:pP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ابو زهره، محمد محمد ابو زهره</w:t>
      </w:r>
    </w:p>
    <w:p>
      <w:pPr>
        <w:pStyle w:val="BookText"/>
        <w:rPr/>
      </w:pP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ابوصلاح حلبی،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ابوالصلاح</w:t>
      </w:r>
    </w:p>
    <w:p>
      <w:pPr>
        <w:pStyle w:val="BookText"/>
        <w:rPr/>
      </w:pPr>
      <w:r>
        <w:rPr>
          <w:rFonts w:ascii="IRNazanin" w:hAnsi="IRNazanin" w:eastAsia="IRNazanin"/>
          <w:color w:val="111111"/>
          <w:sz w:val="28"/>
          <w:sz w:val="28"/>
          <w:szCs w:val="28"/>
          <w:rtl w:val="true"/>
          <w:lang w:bidi="fa-IR"/>
        </w:rPr>
        <w:t xml:space="preserve">ابوعبیده،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ابو موسی اشعری،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ابویوسف،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ابی‌خدیجه،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ابی‌داود،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ابی‌شیبه،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ابی‌عبداللّه،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احمد بن علی جصاص جصاص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ابی‌نصر،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احمد قرافی صنهاجی قرافی مالکی صنهاجی</w:t>
      </w:r>
    </w:p>
    <w:p>
      <w:pPr>
        <w:pStyle w:val="BookText"/>
        <w:rPr/>
      </w:pP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اخباریون، اخباریها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استرابادی، محمد امین،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اسکافی،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اشعث بن قیس،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اصبغ،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اصبغ بن فرج مالکی،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اصفهانی، محمد حسین بن عبدالرحیم،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اصفهانی، محمد تقی،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اصولی اهل سنت،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اصولی شیعه،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اصولیین،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اعظمی، حسین علی حسین علی اعظمی</w:t>
      </w:r>
    </w:p>
    <w:p>
      <w:pPr>
        <w:pStyle w:val="BookText"/>
        <w:rPr/>
      </w:pPr>
      <w:r>
        <w:rPr>
          <w:rFonts w:ascii="IRNazanin" w:hAnsi="IRNazanin" w:eastAsia="IRNazanin"/>
          <w:color w:val="111111"/>
          <w:sz w:val="28"/>
          <w:sz w:val="28"/>
          <w:szCs w:val="28"/>
          <w:rtl w:val="true"/>
          <w:lang w:bidi="fa-IR"/>
        </w:rPr>
        <w:t>امام 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امام الحرمین،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امام کاظم امام موسی بن جعفر</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اوزاعی،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اهل بیت پیامبر،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اهل ذمه،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باجی،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بجاوی، علی بن‌محمد،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بحرالعلوم، سید مهدی،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بحرانی، شیخ یوسف،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براء بن معرور،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بروجردی، شیخ محمد تقی،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بزدوی،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بزنطی،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بلاغی، شیخ محمد جواد،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بلال بن ریاح،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بنی البکاء،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بنی عباس،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بنی قریظه،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بنی مروان،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بهبهانی، وحید وحید بهبهانی</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پ</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تابعین،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تشیّع،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 xml:space="preserve">تهانوی،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جابر بن یزید جعفی،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جصاص، ابوبکر احمد بن علی رازی،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جنگ احزاب،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جوینی،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حذیفة بن یمان،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حرّ عاملی،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حسن بن شهید ثانی،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p>
    <w:p>
      <w:pPr>
        <w:pStyle w:val="BookText"/>
        <w:rPr/>
      </w:pPr>
      <w:r>
        <w:rPr>
          <w:rFonts w:ascii="IRNazanin" w:hAnsi="IRNazanin" w:eastAsia="IRNazanin"/>
          <w:color w:val="111111"/>
          <w:sz w:val="28"/>
          <w:sz w:val="28"/>
          <w:szCs w:val="28"/>
          <w:rtl w:val="true"/>
          <w:lang w:bidi="fa-IR"/>
        </w:rPr>
        <w:t xml:space="preserve">حسین بن عبدالصمد،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حسین بن عصفور،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حسین علی اعظمی،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حسین یوسف مکی،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حکیم بن خرام،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حکیم، سیّد محسن،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حکیم، سیّد محمد تقی،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حلبی، ابوالصلاح،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حلّی، جعفر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حلّی، حسن بن یوسف بن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حلّی، یحیی بن سعید،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حمیری،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حنابله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خارجة بن زید،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خازن،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خضری، شیخ محمد،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خطابی،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خلاف، عبدالوهاب،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خلیفه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p>
    <w:p>
      <w:pPr>
        <w:pStyle w:val="BookText"/>
        <w:rPr/>
      </w:pP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 سید 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خوانساری، سیّد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دوالیبی،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داود بن علی ظاهری،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ذهبی،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زبیر بن عوام،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زبیری، عبداللّه بن عبدالرحمن،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زلمی، مصطفی ابراهیم،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زیدیه،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سبزواری،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سرخسی،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سریتی، عبدالودود محمد عبدالودود محمد السریتی</w:t>
      </w:r>
    </w:p>
    <w:p>
      <w:pPr>
        <w:pStyle w:val="BookText"/>
        <w:rPr/>
      </w:pP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سلّار،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سلیمان بن قیس،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سلیمان بن یسار،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سماعه،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سنی،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p>
    <w:p>
      <w:pPr>
        <w:pStyle w:val="BookText"/>
        <w:rPr/>
      </w:pPr>
      <w:r>
        <w:rPr>
          <w:rFonts w:ascii="IRNazanin" w:hAnsi="IRNazanin" w:eastAsia="IRNazanin"/>
          <w:color w:val="111111"/>
          <w:sz w:val="28"/>
          <w:sz w:val="28"/>
          <w:szCs w:val="28"/>
          <w:rtl w:val="true"/>
          <w:lang w:bidi="fa-IR"/>
        </w:rPr>
        <w:t xml:space="preserve">سیادت، سیّد رضا،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سیّد رضی شریف الرضی</w:t>
      </w:r>
    </w:p>
    <w:p>
      <w:pPr>
        <w:pStyle w:val="BookText"/>
        <w:rPr/>
      </w:pPr>
      <w:r>
        <w:rPr>
          <w:rFonts w:ascii="IRNazanin" w:hAnsi="IRNazanin" w:eastAsia="IRNazanin"/>
          <w:color w:val="111111"/>
          <w:sz w:val="28"/>
          <w:sz w:val="28"/>
          <w:szCs w:val="28"/>
          <w:rtl w:val="true"/>
          <w:lang w:bidi="fa-IR"/>
        </w:rPr>
        <w:t>سیّد مرتضی شریف المرتضی</w:t>
      </w:r>
    </w:p>
    <w:p>
      <w:pPr>
        <w:pStyle w:val="BookText"/>
        <w:rPr/>
      </w:pPr>
      <w:r>
        <w:rPr>
          <w:rFonts w:ascii="IRNazanin" w:hAnsi="IRNazanin" w:eastAsia="IRNazanin"/>
          <w:color w:val="111111"/>
          <w:sz w:val="28"/>
          <w:sz w:val="28"/>
          <w:szCs w:val="28"/>
          <w:rtl w:val="true"/>
          <w:lang w:bidi="fa-IR"/>
        </w:rPr>
        <w:t xml:space="preserve">سیوطی، جلال‌الدین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شاطبی، ابراهیم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شافعی، محمد بن ادریس،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شافعیه،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شانه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کاظم،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محمودهاشمی شاهرودی، سیّد محمود</w:t>
      </w:r>
    </w:p>
    <w:p>
      <w:pPr>
        <w:pStyle w:val="BookText"/>
        <w:rPr/>
      </w:pPr>
      <w:r>
        <w:rPr>
          <w:rFonts w:ascii="IRNazanin" w:hAnsi="IRNazanin" w:eastAsia="IRNazanin"/>
          <w:color w:val="111111"/>
          <w:sz w:val="28"/>
          <w:sz w:val="28"/>
          <w:szCs w:val="28"/>
          <w:rtl w:val="true"/>
          <w:lang w:bidi="fa-IR"/>
        </w:rPr>
        <w:t xml:space="preserve">شاهرودی، سیّد علی،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شریح،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شریعتی،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شریعتی،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شریعتمداری، جعفر،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شلبی محمد مصطفی،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شمس الائمه،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شمس الدین ذهبی ذهبی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شوکانی، محمد بن علی،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شهاب الدین احمد صنهاجی قرافیقرافی مالکی</w:t>
      </w:r>
    </w:p>
    <w:p>
      <w:pPr>
        <w:pStyle w:val="BookText"/>
        <w:rPr/>
      </w:pPr>
      <w:r>
        <w:rPr>
          <w:rFonts w:ascii="IRNazanin" w:hAnsi="IRNazanin" w:eastAsia="IRNazanin"/>
          <w:color w:val="111111"/>
          <w:sz w:val="28"/>
          <w:sz w:val="28"/>
          <w:szCs w:val="28"/>
          <w:rtl w:val="true"/>
          <w:lang w:bidi="fa-IR"/>
        </w:rPr>
        <w:t xml:space="preserve">شهرستانی، سیّد هبة الدین،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شهرستانی، محمد بن عبد الکریم،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شیبانی، محمد بن حسن،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شیخ انصاری انصاری، شیخ مرتضی</w:t>
      </w:r>
    </w:p>
    <w:p>
      <w:pPr>
        <w:pStyle w:val="BookText"/>
        <w:rPr/>
      </w:pPr>
      <w:r>
        <w:rPr>
          <w:rFonts w:ascii="IRNazanin" w:hAnsi="IRNazanin" w:eastAsia="IRNazanin"/>
          <w:color w:val="111111"/>
          <w:sz w:val="28"/>
          <w:sz w:val="28"/>
          <w:szCs w:val="28"/>
          <w:rtl w:val="true"/>
          <w:lang w:bidi="fa-IR"/>
        </w:rPr>
        <w:t xml:space="preserve">شیخ بهائی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شیخ مفید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شیرازی، شیخ محمد تقی،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صاحب ارشاد الفحول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صاحب تأسیس الشیعه،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شیخ محمد حسن بن باقر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صاحب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شیخ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صاحب الذریعة الی تصانیف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صاحب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صاحب ریاض،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صاحب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جعفر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صاحب فصول،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صاحب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صاحب مختصر،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صاحب وسائل الشیعه،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صدر، سیّد حسن،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تأسیس الشیعه</w:t>
      </w:r>
    </w:p>
    <w:p>
      <w:pPr>
        <w:pStyle w:val="BookText"/>
        <w:rPr/>
      </w:pPr>
      <w:r>
        <w:rPr>
          <w:rFonts w:ascii="IRNazanin" w:hAnsi="IRNazanin" w:eastAsia="IRNazanin"/>
          <w:color w:val="111111"/>
          <w:sz w:val="28"/>
          <w:sz w:val="28"/>
          <w:szCs w:val="28"/>
          <w:rtl w:val="true"/>
          <w:lang w:bidi="fa-IR"/>
        </w:rPr>
        <w:t xml:space="preserve">صدر، سیّد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صفوان جمال،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صنهاجی، شهاب الدین احمد قرافی 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طباطبائی، سیّد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طلحة بن عبیداللّه، </w:t>
      </w:r>
      <w:r>
        <w:rPr>
          <w:rFonts w:eastAsia="IRNazanin" w:cs="IRNazanin"/>
          <w:color w:val="111111"/>
          <w:sz w:val="28"/>
          <w:szCs w:val="28"/>
          <w:lang w:bidi="fa-IR"/>
        </w:rPr>
        <w:t>38</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ابو 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طوفی،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ظاهریه،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عاملی، شیخ حرّ حرّ عاملی</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عبدالرحمن بن مهدی محدث،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عبداللّه بن عبدالرحمن زبیری زبیری</w:t>
      </w:r>
    </w:p>
    <w:p>
      <w:pPr>
        <w:pStyle w:val="BookText"/>
        <w:rPr/>
      </w:pPr>
      <w:r>
        <w:rPr>
          <w:rFonts w:ascii="IRNazanin" w:hAnsi="IRNazanin" w:eastAsia="IRNazanin"/>
          <w:color w:val="111111"/>
          <w:sz w:val="28"/>
          <w:sz w:val="28"/>
          <w:szCs w:val="28"/>
          <w:rtl w:val="true"/>
          <w:lang w:bidi="fa-IR"/>
        </w:rPr>
        <w:t xml:space="preserve">عبدالودود محمد السریتی،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عبدالوهاب خلاف خلاف، عبدالوهاب</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عدلیه،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عروة بن زبیر،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عروه بارقی،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عسکری،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عطا،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علامه حلی حلّی، حسن بن یوسف</w:t>
      </w:r>
    </w:p>
    <w:p>
      <w:pPr>
        <w:pStyle w:val="BookText"/>
        <w:rPr/>
      </w:pPr>
      <w:r>
        <w:rPr>
          <w:rFonts w:ascii="IRNazanin" w:hAnsi="IRNazanin" w:eastAsia="IRNazanin"/>
          <w:color w:val="111111"/>
          <w:sz w:val="28"/>
          <w:sz w:val="28"/>
          <w:szCs w:val="28"/>
          <w:rtl w:val="true"/>
          <w:lang w:bidi="fa-IR"/>
        </w:rPr>
        <w:t>علامه طباطبائی طباطبائی، سیّد محمد حسین</w:t>
      </w:r>
    </w:p>
    <w:p>
      <w:pPr>
        <w:pStyle w:val="BookText"/>
        <w:rPr/>
      </w:pPr>
      <w:r>
        <w:rPr>
          <w:rFonts w:ascii="IRNazanin" w:hAnsi="IRNazanin" w:eastAsia="IRNazanin"/>
          <w:color w:val="111111"/>
          <w:sz w:val="28"/>
          <w:sz w:val="28"/>
          <w:szCs w:val="28"/>
          <w:rtl w:val="true"/>
          <w:lang w:bidi="fa-IR"/>
        </w:rPr>
        <w:t>علامه عسکری عسکری، سیّد مرتضی</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علی بن ابی رافع،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علی بن بابویه قمی،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علی حیدر،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علی محمد بجاوی،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عمر بن حنظله،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عیسی بن ابان،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غزالی، ابوحامد محمد،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غیاث بن ابراهیم،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فاضل تونی، عبداللّه بن محمد،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فیض الاسلام،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فیض کاشانی، ملا محسن،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قاسم بن محمد بن ابوبکر،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قاضی ابن براج،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براج</w:t>
      </w:r>
    </w:p>
    <w:p>
      <w:pPr>
        <w:pStyle w:val="BookText"/>
        <w:rPr/>
      </w:pPr>
      <w:r>
        <w:rPr>
          <w:rFonts w:ascii="IRNazanin" w:hAnsi="IRNazanin" w:eastAsia="IRNazanin"/>
          <w:color w:val="111111"/>
          <w:sz w:val="28"/>
          <w:sz w:val="28"/>
          <w:szCs w:val="28"/>
          <w:rtl w:val="true"/>
          <w:lang w:bidi="fa-IR"/>
        </w:rPr>
        <w:t xml:space="preserve">قاضی ابوبکر عنبری، </w:t>
      </w:r>
      <w:r>
        <w:rPr>
          <w:rFonts w:eastAsia="IRNazanin" w:cs="IRNazanin"/>
          <w:color w:val="111111"/>
          <w:sz w:val="28"/>
          <w:szCs w:val="28"/>
          <w:lang w:bidi="fa-IR"/>
        </w:rPr>
        <w:t>180</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ابو یوسف،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قرافی مالکی صنهاجی،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قفال،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قمی، علی بن بابویه،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قمی، ابوالقاسم بن حسن شفتی گیلانیمیرزای قمی، صاحب قوانین</w:t>
      </w:r>
    </w:p>
    <w:p>
      <w:pPr>
        <w:pStyle w:val="BookText"/>
        <w:rPr/>
      </w:pPr>
      <w:r>
        <w:rPr>
          <w:rFonts w:ascii="IRNazanin" w:hAnsi="IRNazanin" w:eastAsia="IRNazanin"/>
          <w:color w:val="111111"/>
          <w:sz w:val="28"/>
          <w:sz w:val="28"/>
          <w:szCs w:val="28"/>
          <w:rtl w:val="true"/>
          <w:lang w:bidi="fa-IR"/>
        </w:rPr>
        <w:t xml:space="preserve">قوشچی،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کتابیه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کرخی، ابوالحسن،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کرکی، 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کعب بن مالک،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لاهیجی، عبدالرزاق،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مالک بن نویره،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مالکی،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مالکی قرافی، شهاب الدین احمد صنهاجیقرافی 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مالکیه،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مجلسی، محمد تقی،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مجوسی‌ها،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محدث قمی قمی، شیخ عباس</w:t>
      </w:r>
    </w:p>
    <w:p>
      <w:pPr>
        <w:pStyle w:val="BookText"/>
        <w:rPr/>
      </w:pPr>
      <w:r>
        <w:rPr>
          <w:rFonts w:ascii="IRNazanin" w:hAnsi="IRNazanin" w:eastAsia="IRNazanin"/>
          <w:color w:val="111111"/>
          <w:sz w:val="28"/>
          <w:sz w:val="28"/>
          <w:szCs w:val="28"/>
          <w:rtl w:val="true"/>
          <w:lang w:bidi="fa-IR"/>
        </w:rPr>
        <w:t xml:space="preserve">محقق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جعفر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محقق ثانی،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جعفر بن حسن</w:t>
      </w:r>
    </w:p>
    <w:p>
      <w:pPr>
        <w:pStyle w:val="BookText"/>
        <w:rPr/>
      </w:pPr>
      <w:r>
        <w:rPr>
          <w:rFonts w:ascii="IRNazanin" w:hAnsi="IRNazanin" w:eastAsia="IRNazanin"/>
          <w:color w:val="111111"/>
          <w:sz w:val="28"/>
          <w:sz w:val="28"/>
          <w:szCs w:val="28"/>
          <w:rtl w:val="true"/>
          <w:lang w:bidi="fa-IR"/>
        </w:rPr>
        <w:t xml:space="preserve">محقق سبزواری، محمد باقر،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محقق قمی،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میرزای قمی</w:t>
      </w:r>
    </w:p>
    <w:p>
      <w:pPr>
        <w:pStyle w:val="BookText"/>
        <w:rPr/>
      </w:pP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کرکی، شیخ علی</w:t>
      </w:r>
    </w:p>
    <w:p>
      <w:pPr>
        <w:pStyle w:val="BookText"/>
        <w:rPr/>
      </w:pPr>
      <w:r>
        <w:rPr>
          <w:rFonts w:ascii="IRNazanin" w:hAnsi="IRNazanin" w:eastAsia="IRNazanin"/>
          <w:color w:val="111111"/>
          <w:sz w:val="28"/>
          <w:sz w:val="28"/>
          <w:szCs w:val="28"/>
          <w:rtl w:val="true"/>
          <w:lang w:bidi="fa-IR"/>
        </w:rPr>
        <w:t xml:space="preserve">محله بنی قریظه،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پیامبر، رسول خدا</w:t>
      </w:r>
    </w:p>
    <w:p>
      <w:pPr>
        <w:pStyle w:val="BookText"/>
        <w:rPr/>
      </w:pPr>
      <w:r>
        <w:rPr>
          <w:rFonts w:ascii="IRNazanin" w:hAnsi="IRNazanin" w:eastAsia="IRNazanin"/>
          <w:color w:val="111111"/>
          <w:sz w:val="28"/>
          <w:sz w:val="28"/>
          <w:szCs w:val="28"/>
          <w:rtl w:val="true"/>
          <w:lang w:bidi="fa-IR"/>
        </w:rPr>
        <w:t xml:space="preserve">محمد ابوزهر،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محمد بن احمد ذهبی ذهبی، محمد بن احمد</w:t>
      </w:r>
    </w:p>
    <w:p>
      <w:pPr>
        <w:pStyle w:val="BookText"/>
        <w:rPr/>
      </w:pPr>
      <w:r>
        <w:rPr>
          <w:rFonts w:ascii="IRNazanin" w:hAnsi="IRNazanin" w:eastAsia="IRNazanin"/>
          <w:color w:val="111111"/>
          <w:sz w:val="28"/>
          <w:sz w:val="28"/>
          <w:szCs w:val="28"/>
          <w:rtl w:val="true"/>
          <w:lang w:bidi="fa-IR"/>
        </w:rPr>
        <w:t xml:space="preserve">محمد بن ادریس شافعی،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محمد بن ادریس</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محمد سلام،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محمد مصطفی شلبی شلبی، محمد مصطفی</w:t>
      </w:r>
    </w:p>
    <w:p>
      <w:pPr>
        <w:pStyle w:val="BookText"/>
        <w:rPr/>
      </w:pPr>
      <w:r>
        <w:rPr>
          <w:rFonts w:ascii="IRNazanin" w:hAnsi="IRNazanin" w:eastAsia="IRNazanin"/>
          <w:color w:val="111111"/>
          <w:sz w:val="28"/>
          <w:sz w:val="28"/>
          <w:szCs w:val="28"/>
          <w:rtl w:val="true"/>
          <w:lang w:bidi="fa-IR"/>
        </w:rPr>
        <w:t xml:space="preserve">محمد یوسف موسی،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مدرس تبریزی،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حاشیه کفایه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مصطفی ابراهیم لمی لمی، مصطفی ابراهیم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احمد الزرقاء،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مظفر، محمد رضا،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معاذ،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معروف الدوالیبی،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معمر بغدادی،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مغنیه، محمد جواد،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مکی، حسین یوسف حسین یوسف مکی</w:t>
      </w:r>
    </w:p>
    <w:p>
      <w:pPr>
        <w:pStyle w:val="BookText"/>
        <w:rPr/>
      </w:pPr>
      <w:r>
        <w:rPr>
          <w:rFonts w:ascii="IRNazanin" w:hAnsi="IRNazanin" w:eastAsia="IRNazanin"/>
          <w:color w:val="111111"/>
          <w:sz w:val="28"/>
          <w:sz w:val="28"/>
          <w:szCs w:val="28"/>
          <w:rtl w:val="true"/>
          <w:lang w:bidi="fa-IR"/>
        </w:rPr>
        <w:t xml:space="preserve">منصور علی ناصف،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میرزای قمی، ابوالقاسم،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میرزای نائینی نائینی، میرزا حسین</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نائینی، میرزا حسین،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نجاشی، ابوالعباس،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نصاری،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نظام الدین عبدالحمید،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نوبختی، اسماعیل،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واعظ زاده خراسانی،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وحید بهبهانی، آقا باقر،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هاشمی شاهرودی، 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هلال بن ابراهیم بن ابی الفتح مدنی،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یحیی بن سعید حلی،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یحیی بن سعید</w:t>
      </w:r>
    </w:p>
    <w:p>
      <w:pPr>
        <w:pStyle w:val="BookText"/>
        <w:rPr/>
      </w:pPr>
      <w:r>
        <w:rPr>
          <w:rFonts w:ascii="IRNazanin" w:hAnsi="IRNazanin" w:eastAsia="IRNazanin"/>
          <w:color w:val="111111"/>
          <w:sz w:val="28"/>
          <w:sz w:val="28"/>
          <w:szCs w:val="28"/>
          <w:rtl w:val="true"/>
          <w:lang w:bidi="fa-IR"/>
        </w:rPr>
        <w:t xml:space="preserve">یمامه،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یونس بن عبدالرحمن،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bookmarkStart w:id="627" w:name="pg4331_49590"/>
    </w:p>
    <w:p>
      <w:pPr>
        <w:pStyle w:val="Heading3"/>
        <w:numPr>
          <w:ilvl w:val="2"/>
          <w:numId w:val="1"/>
        </w:numPr>
        <w:rPr/>
      </w:pPr>
      <w:bookmarkStart w:id="628" w:name="__RefHeading___Toc1015045_1479056682"/>
      <w:bookmarkStart w:id="629" w:name="_Toc227"/>
      <w:bookmarkEnd w:id="627"/>
      <w:bookmarkEnd w:id="628"/>
      <w:r>
        <w:rPr>
          <w:rtl w:val="true"/>
        </w:rPr>
        <w:t>کتابها</w:t>
      </w:r>
      <w:bookmarkEnd w:id="629"/>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آشنایی با علوم اسلامی،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اثنی عشریه،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احتجاج، طبرسی،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احکام الاحکام،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احکام القرآن، ابن عربی،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احکام القرآن، بجاوی،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احکام القرآن، جصاص،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الإحکام فی اصول الاحکام،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اختلاف الحدیث،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ادوار علم الفقه و اطواره،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ارشاد الفحول الی تحقیق الحق من علم الاصول،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اسباب اختلاف الفقها فی الاحکام الشرعیه،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استفاده فی الطعون علی الاوائل و الرد علی اصحاب الاجتهاد و القیاس،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اصول العامه للفقه المقارن،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اصول علی نهج الحدیث،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اصول الفقه، خضری،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اصول سرخسی،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اصول الفقه، شلبی،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اصول الفقه، مظفر،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اعتصام،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اعتقادیه شیخ بهائی،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اعلام الموقّعین عن رب العالمین،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الام، شافعی،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امالی، سیّد مرتضی،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اموال، ابی عبید،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انتصار،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انوار الاصول،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اوائل، سیوطی،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ایضاح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بحوث فی علم الاصول،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بحثی درباره مرجعیت و روحانیت،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بدائع الافکار،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بدایه‌المجتهد و نهایه‌المقتصد،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بدایة الهدایه،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بررسی مصادر و منابع فقه فریقین،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بلغه‌الفقیه،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تأسیس الشیعة،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تاج الجامع للاصول فی احادیث الرسول،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تاریخ الشام،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تاریخ الفقه الاسلامی و نظریاته العامه،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تبیان،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تجرید الکلام،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تحریر الوسیله،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تحقیق دریک مسأله فقهی،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تذکره‌الحفاظ،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تذکره‌الفقهاء،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اسباب اختلاف الفقهاء،</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تفسیر ابن عباس،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تفسیر ثعلبی،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تفسیر روح المعانی،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تفسیر علی‌بن ابراهیم،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تفسیر کاشف،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تقریرات مکاسب محرمه،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تهذیب الاصول،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تهذیب الوصول الی علم الاصول،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جامع لأحکام القرآن،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الجامع للشرائع،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جامع المقاصد فی شرح القواعد،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الجوامع الفقهیة،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جواهر الکلام فی شرح شرائع‌الاسلام،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حاشیه امام سندی بر سنن نسائی،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حاشیه کفایة الاصول،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حاشیه هدایة المستر شدین،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حدائق الناضره،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حلیة المتقین،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خراج،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خلاف، شیخ طوسی،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دروس فی علم الاصول،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دعائم‌الاسلام،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ده گفتار،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الذریعة الی اصول الشریعة،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الذریعة الی تصانیف الشیعة،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ذکری الشیعة فی احکام الشریعة،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رجال سیّد بحرالعلوم،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الرد علی من ردّ آثار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رسائل، امام‌الخمینی،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رسائل شیخ انصاری،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فرائد الاصول</w:t>
      </w:r>
    </w:p>
    <w:p>
      <w:pPr>
        <w:pStyle w:val="BookText"/>
        <w:rPr/>
      </w:pPr>
      <w:r>
        <w:rPr>
          <w:rFonts w:ascii="IRNazanin" w:hAnsi="IRNazanin" w:eastAsia="IRNazanin"/>
          <w:color w:val="111111"/>
          <w:sz w:val="28"/>
          <w:sz w:val="28"/>
          <w:szCs w:val="28"/>
          <w:rtl w:val="true"/>
          <w:lang w:bidi="fa-IR"/>
        </w:rPr>
        <w:t xml:space="preserve">رسائل، محقق کرکی،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رساله شافعی،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رسالة فی حلق اللحیة،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رساله وجوب نماز جمعه،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روض الجنان،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روضة البهیة فی شرح اللمعة الدمشقیة،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شرح لمعه</w:t>
      </w:r>
    </w:p>
    <w:p>
      <w:pPr>
        <w:pStyle w:val="BookText"/>
        <w:rPr/>
      </w:pP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ریاض،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سرائر، ابن ادریس،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سلیم‌بن قیس،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سنن ابی داود،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سنن بیهقی،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سنن دارمی،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سیره ابن هشام،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سیره نبوی،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شرائع الاسلام،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شرح اصول بزدوی،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الاسرار</w:t>
      </w:r>
    </w:p>
    <w:p>
      <w:pPr>
        <w:pStyle w:val="BookText"/>
        <w:rPr/>
      </w:pPr>
      <w:r>
        <w:rPr>
          <w:rFonts w:ascii="IRNazanin" w:hAnsi="IRNazanin" w:eastAsia="IRNazanin"/>
          <w:color w:val="111111"/>
          <w:sz w:val="28"/>
          <w:sz w:val="28"/>
          <w:szCs w:val="28"/>
          <w:rtl w:val="true"/>
          <w:lang w:bidi="fa-IR"/>
        </w:rPr>
        <w:t xml:space="preserve">شرح تجرید الکلام،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شرح مجلّه،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شرح قواعد جامع المقاصد،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شرح لمعه،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شهاب ثاقب،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عدة الاصول،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عقد الفرید،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عقد طهماسبی،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علم اصول فقه،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غایة المراد،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غررالحکم و دررالکلم،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غنیه، ابن زهره،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غیبه، نعمانی،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فتاوی الواضحه،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فروق،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فصول الغرویة فی اصول الفقهیة،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الفقه علی مذاهب الاربعة،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فوائد الرضویه،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فوائد المدنیه،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فیض الباری فی شرح صحیح البخاری،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قواعد استنباط الاحکام،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قواعد و فوائد،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قوانین الاصول،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کافی، ابوالصلاح حلبی،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کتاب البیع،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کتاب الخلاف،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کتاب النهایة،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کشاف اصطلاحات الفنون،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کشف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بزدوی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کشف اللثام،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کفایة الاحکام،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کنز العرفان فی فقه القرآن،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الکنی و الالقاب،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مبادی الوصول الی علم الاصول،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مبسوط،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فقه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محاسن برقی،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محاضرات فی الفقه الجعفری،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مختصر، شیخ مفید،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مختلف الشیعه،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مدخل الی علم اصول الفقه،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مدخل للفقه الاسلامی،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مدخل الفقهی العام،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مدخل فی التعریف بالفقه الاسلامی،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مراسم، سلار،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مسالک،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مستدرک، حاکم،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المستصفی من علم الاصول،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مستطرفات سرائر،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مسند، امام احمدبن حنبل،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مسند، طیالسی،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مصباح الفقیه،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مصباح المنیر،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معارج الاصول،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الجدیده للاصول،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معالم المدرستین،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معتبر فی شرح المختصر،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مفاتیح الشرایع،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مفردات الفاظ القرآن، راغب،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مفهوم الفقه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مقالات الاصول، عراقی،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مقدمة، ابن خلدون،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المقنع فی الفقه،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المقنعه،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مکاسب، شیخ انصاری،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مکاسب المحرمه، امام خمینی،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ملل و نحل،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منابع اجتهاد،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منتهی المطلب،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من لا یحضره الفقیة،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منظومه بحر العلوم،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الموافقات فی اصول الشریعة،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نضد القواعد الفقهیة،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النقص علی ابن جنید فی اجتهاد الرأی،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النقص علی عیسی بن ابان فی الاجتهاد،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نهایه، ابن اثیر،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نهایة الدرایة فی شرح الکفایه،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النهایه فی غریب الحدیث و الاثر،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النهایة فی مجرد الفقه و الفتاوی،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نهج الوصول الی معرفة الاصول،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وافیه، فاضل تونی،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الوجیز، ابن برهان،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الوجیز فی اصول الفقه،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هدایه بالخیر،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هدایة المسترشدین،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تمام امور به سوی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در چهار آیه از سور دیگر نیز 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کار مهمی که در آن نام خدا ذکر نشود، نافرجام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امر ذی بال لم یُبْدأببسم اللّه فهو 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اسرائیل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آن است که علم فقه مانند معارف دیگر در دسترس و مورد تجزیه و تحلیل عقل است، نه این که به طور مستقیم محصول عقل بشر باشد، زیرا ریشه اصلی پیدایش آن قرآن و سنّت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تفقه در دین اعم از فقه است و شامل غیر فقیه هم می‌شود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بعد از رحلت پیامبر صلی‌الله‌علیه‌و‌آله صحابه تا حدودی از اجماع و قیاس هم استفاده می‌کردند و چنان که در مبحث اجماع و قیاس بعدا خواهیم دید، در زمان صحابه، زمینه های رسمیت یافتن قیاس و اجماع به عنوان دو منبع از منابع احکام فراهم‌گردید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قاسم بن محمّد بن ابی بکر ابن اثیر در نهایه، درباره کلمه 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المثناة ما استکتب من غیر کتاب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منشورات الأعلمی طهران،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منشورات الأعلمی طهران،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صاحب ذریعه در همین کتاب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وحید بهبهانی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الاصل هو الکتاب الذی جمع فیه مصنفه الاحادیث التی رواها عن المعصوم او عن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کتابی است که مصنف آن احادیثی را که خود از معصوم یا از راوی روایت کرده، در آن جمع آوری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چاپ مکتبة الاسلامیة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بجز استصحاب که عدّه زیادی آن را از ادلّه محرزه دانسته‌اند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چاپ موسسه آل البیت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استنباط الاحکام،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الجدیدة،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دارالکتب العلمیه بیروت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دارالکتب العلمیه بیروت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دارالکتب العلمیه بیروت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الإسلام،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الإسلام،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حسین علی الاعظمی</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إلی تصانیف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الجدیده،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فقه اهل بیت، سال اوّل،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الأدب،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الاصول، تصنیف خود عراقی است، ولی بدائع الافکار تقریرات ایشان است که توسّط مرحوم شیخ محمد تقی بروجردی نوشته شده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من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چاپ اوّل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جلدی انتشارات مؤسّسه آل البیت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عدة الاصول،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مطبعة السعادة بمصر چاپ اوّل،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الجدیدة،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اعلام الموقّعین،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ابن ادریس،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بحرالعلوم،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 آلوسی،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علوم اسلامی،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الشّیعه،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وفیات‌الاعیان،،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الطباعة والنشر فی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الجدیدة،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الی اصول الشریعة،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دانشگاه تهران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الی اصول الشریعة،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چاپ نجف مطبعه حیدری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 فصل اول،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الذریعه،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قم، موسسه آل البیت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چاپ بیروت دارالفکر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نضدالقواعد الفقهیّه،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قاعده چهارم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الاصول،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الاولی و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الحلقة الثانیة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الجدیده،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دارالحدیث</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قاعده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مکتبه مفید قم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العامه،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اصول الفقه،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العامّه للفقه المقارن،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الاسلامی،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اصول الفقه،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علم الفقه،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علم الفقه،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علم الفقه،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فی التعریف بالفقه اسلامی،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مصطفی شبلی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ریاضی که بین ارقام این عدد برقرار است، قابل توجه می‌باشد زیرا اولاً دو رقم اوّل و آخر آن یکسان، یعنی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 ثانیا این رقم حاصل ضرب دو رقم وسط می‌باشد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با توجه به یکی بودن رقم اوّل و آخر این عدد، برای حفظ و به خاطر سپردن آن کافی است، که فقط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خاطر بسپاریم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الفحول،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العلمیّه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فی اصول الشّریعة،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التفسیر بالمأثور،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بهترین امتی هستید که به سود انسانها آفریده شدید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مؤسسه اعلمی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درالمنثور، ذیل آیه مورد بحث، این حدیث از ابوسعیدخدری با همین مضمون نقل شده است و در پایان حدیث آمده است که ؛ پیامبر صلی‌الله‌علیه‌و‌آله به امّ سلمّه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انتِ علی مکانکِ و إنّکِ علی خیر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احیاء التراث</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12/102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رسائل شیخ انصاری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 چاپ و انتشارات وزارت فرهنگ و ارشاد اسلامی، چاپ اوّل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الفحول،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العامه،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قم مطبعه ستاره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خضری،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بیروت دارالفکر حدیث شماره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الی اصول الشریعة،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مظفر،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حقیقت شاگرد سیدمرتضی محسوب می‌شود و خود سید شاگرد مفید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شیخ طوسی حدود چهار سال از محضر شیخ مفید و حدود سی سال از سید مرتضی بهره گرفته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 فصل آخر کتاب و چاپ جدید،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 فی احکام الشّریعة،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چاپ افست سنگی منشورات مکتبه بصیرتی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می‌توان آنها را بدین طریق به دلیل عقلی مربوط دانست که دلیل حجّیّت ظواهر بنای عقلاست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دیدگاه عدلیّه و عقل گرایان، انکار حسن و قبح ذاتی، مستلزم انکار عدالت الهی است، نه این که اشاعره معتقد به عدم عدالت الهی باشند و یا این که العیاذ باللّه خدا را ظالم بدانند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مظفّر،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نحوه و کیفیّت حجاب است و الا اصل وجوب حجاب به نصّ قرآن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اصطلاحات الفنون،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دارالکتب العلمیه چاپ اوّل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العامه للفقه المقارن،ص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الاصول،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این بخش با تلخیص و اختصار از جلد اوّل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فی علم 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شهید صدر، از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بحثهای اصولی شهید صدر به وسیله سید محمود هاشمی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حاج‌شیخ‌احمد شریعتی که‌عمر خودرا در راه تبلیغ دین‌ونشر فضایل اهل‌بیت علیهم‌السلام سپری کرد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معاطاة مصدر باب مفاعلة و به معنی دادن و گرفتن طرفینی است، که در فارسی به آن داد و ستد گفته می‌شود و به عبارت دقیقتر، بیع بدون صیغه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را می‌دهد و درعوض چیزی را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انصاری در تعریف آن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المعاطاة علی ما فسرّه جماعة أن یعطی کل من اثنین عوضا عما یأخذه من الآخر مکاسب، ص</w:t>
      </w:r>
      <w:r>
        <w:rPr>
          <w:rFonts w:eastAsia="IRNazanin" w:cs="IRNazanin"/>
          <w:b w:val="false"/>
          <w:bCs w:val="false"/>
          <w:i w:val="false"/>
          <w:iCs w:val="false"/>
          <w:color w:val="333333"/>
          <w:sz w:val="20"/>
          <w:szCs w:val="20"/>
        </w:rPr>
        <w:t>81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الاسلامی،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اصول الفقه،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مؤسسه اعلمی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الکاشف،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مغنیه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الفقه الاسلامی،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العامه للفقه المقارن،ص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الاسلامی،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اصول الفقه،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الجدیدة،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فی التعریف بالفقه الاسلامی،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گفتار،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مادران فرزندان خود را دو سال تمام شیر می‌دهند این برای کسی است که بخواهد دوران شیرخوارگی را تکمیل کند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الاسلامی،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مصطفی شلبی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و نهایة المقتصد،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محمّد البجاوی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اصول الفقه،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منشورات مکتبة المفید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استصناع به معنی عقد قراردادی است که با صاحب حرفه‌ای برقرار می‌شود، مثلاً به کفشگر سفارش دوختن کفش و یا به خیاط سفارش دوختن پیراهن می‌شود، با ذکر خصوصیات و تعیین قیمت آن که مقتضای قیاس، عدم جواز استصناع است، چون از قبیل بیع بر معدوم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اصول الفقه،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الاسلامی،ص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الاسلامی،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غلفه به کسر غین به معنی غلاف و پوسته‌ای است که با ختنه شدن از بین می‌رود در لغت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غِلفة الذکر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پوست ختنه‌گاه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 عبارت است از خارج شدن از مجرای طبیعی به خاطر زیاده یا نقصی که موجب نقص مالیت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باب چهارم از ابواب وضوء، حدیث اول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باب چهارم از ابواب اسئار، حدیث دوم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این کتاب قرآن کریمی است که در کتاب محفوظ جای دارد و جز پاکان نمی‌توانند آن را لمس کنند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کتاب الطهاره،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و نهایة المقتصد،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دارالفکر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مؤسسه اعلمی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نجف اشرف</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لباس مصلی حدیث اوّل</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الطهاره،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چاپ بیروت دارالعلم للملائین،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چاپ بیروت دارالعلم للملائین،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چاپ قم جامعه مدرسین،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دار احیاء چاپ جدید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و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حدائق،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الطهاره باب جزّ اللحیة و الشارب و شعر الأنف</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کتاب نذور و عهود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 یک مسأله فقهی،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الفقه الجعفری،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در یک مسأله فقهی،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باب آداب الحمام و الاستطابة،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شهید، ص</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در یک مسأله فقهی،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آداب الحمام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آداب الحمام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 ابواب آداب الحمام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در یک مسأله فقهی،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 کتاب النذور و العهود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کتاب الطهارة،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باب جز اللحیة و الشارب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الاربعة،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هفتم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غسل المیت و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الجنازة و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الدفن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الجنازة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مؤسسه آل البیت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المحقّق الکرکی، المجموعة الاولی،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الی تصانیف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الی تصانیف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چاپ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النهایة، کتاب الصلاة، باب الجمعة و احکامها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مکاسب،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22/213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الفقهیه،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الفقهیه،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مؤسسه آل البیت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کتاب الزکاة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منابع،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فی شرح القواعد،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متن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چاپ بیروت دارالفکر،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چاپ بیروت مکتبة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الفقه الاسلامی، چاپ مصر، دارالمعرفه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مظفر،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الفقه الاسلامی،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اصول الفقه،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مظفر،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اجتهاد،ص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چاپ قم، معاونت فرهنگی مجمع جهانی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هجدهم</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چاپ مؤسسه آل البیت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مذکور در کلام امام اشاره است 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انزلنا الیک الکتاب بالحق لتحکم بین الناس بما أراک اللّه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سرخسی،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شیخ محمّد خضری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العامه للفقه المقارن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شرح اصول بزدوی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العلمیه بیروت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دار احیاء التراث العربی چاپ پنجم،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بخش موارد استدلال به سیره بیان شد، اموری مانند نسب، موت، نکاح، وقف و غیره از طریق استفاضه و شیاع ثابت می‌شود و سیره مسلمین بر آن جریان دارد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الفقه الاسلامی،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العامه،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الاعتصام،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احیاء التراث، چاپ جدید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فی التعریف بالفقه الاسلامی،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الموافقات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التقریب، شماره ششم، دوره دوم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الاسلامی،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الاسلامی،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اختلاف الفقها فی الاحکام الشرعیه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منابع</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الفقه الاسلامی، دکتر محمّد یوسف موسی،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الفقهی العامّ،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 احمد الزرقاء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دارالکتب العملیّة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اصطلاحات الفنون،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223</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أصول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اجتهاد،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الفحول،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الفحول،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الفحول،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الفحول، ،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علّت به معلول پی ببریم، آن را کشف لِمّی می‌گویند و اگر از معلول به علّت پی ببریم، آن را کشف اِنّی می‌نامند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تجرید الکلام قوشچی،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 چاپ مؤسسه آل البیت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مؤسسه آل البیت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الشعیه،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الفحول،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العامه،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الفحول،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العامه،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اصطلاحات الفنون،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الفقه الاسمی،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الفقهی العامّ،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نهم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الفقهی العامّ،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احمد الزرقاه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اصول الفقه،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اصول الفقه،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اصول الفقه،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80/41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اختلاف الفقها فی الأحکام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80/41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 ابی عبید،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 ابی عبید،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مورد جمع آوری قرآن، ما در روایات شیعه، از سوی پیامبر صلی‌الله‌علیه‌و‌آله دستور صریح داریم که به حضرت علی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القرآن خلف فراشی فی الصحف و القراطیس، فخذوه و اجمعوه و لاتضیّعوه کما ضیعت الیهود التوراة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علی قرآن در پشت بستر من در صحیفه‌ها و کاغذها پراکنده است، آن را برگیرید و جمع آوری کنید و ضایع نکنید، چنان که یهود تورات را ضایع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نیز مسأله جمع آوری قرآن از روی رقعه‌ها و نوشته‌های نزد پیامبر، صلی‌الله‌علیه‌و‌آله در مستدرک حاکم،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طیالسی،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الشام،ج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الاعتصام،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الفحول،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الفحول،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العامه،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شاطبی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الفقه اسلامی،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مفهوم‌الفقه الاسلامی،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مفهوم‌الفقه الاسلامی،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العامه،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نسبةً به تفصیل بیشتری به بحث در ولایات شرعی پرداخته‌اند، مرحوم سیّد محمّد آل بحر العلوم در کتاب بلغة الفقیه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به بعد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قدس سره اسماعیلیان، قم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شماره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به نقل از جامع المقاصد، </w:t>
      </w:r>
      <w:r>
        <w:rPr>
          <w:rFonts w:eastAsia="IRNazanin" w:cs="IRNazanin"/>
          <w:b w:val="false"/>
          <w:bCs w:val="false"/>
          <w:i w:val="false"/>
          <w:iCs w:val="false"/>
          <w:color w:val="333333"/>
          <w:sz w:val="20"/>
          <w:szCs w:val="20"/>
        </w:rPr>
        <w:t>21/396</w:t>
      </w:r>
      <w:r>
        <w:rPr>
          <w:rFonts w:ascii="IRNazanin" w:hAnsi="IRNazanin" w:eastAsia="IRNazanin"/>
          <w:b w:val="false"/>
          <w:b w:val="false"/>
          <w:bCs w:val="false"/>
          <w:i w:val="false"/>
          <w:i w:val="false"/>
          <w:iCs w:val="false"/>
          <w:color w:val="333333"/>
          <w:sz w:val="20"/>
          <w:sz w:val="20"/>
          <w:szCs w:val="20"/>
          <w:rtl w:val="true"/>
        </w:rPr>
        <w:t>؛ بلغة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های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بحثی درباره مرجعیّت و روحانیّت،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مقاله ولایت و زعامت، شرکت سهامی انتشارات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قدس‌سره مطبعه مهر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الواضحة شهید صدر،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عتاق جمع عتیق و به معنی اسب اصیل عربی است و برازین جمع برزَوْن است و به معنی اسب غیر عربی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ص</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 یقام فی الأرض أزکی فیها من مطر اربعین لیلة و ایامها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اقامه یک حد در روی زمین، از بارش چهل شبانه روز باران، پاک کننده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الفحول،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العامه،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الفحول،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العامه،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برای مقدّمه حکم ذی المقدمه را قائلند و هر ذریعه‌ای حکم آنچه را که به آن منتهی می‌شود، خواهد داشت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العامه،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شأن نزول آیه فوق در تفسیر نمونه از ابن عباس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صدر اسلام هنگامی که پیامبر مشغول سخن گفتن بود و آیات و احکام الهی را بیان می‌کرد، گاهی از او می‌خواستند کمی با تأمل سخن بگوید، تا بتوانند مطالب را خوب درک کنند و سؤالات و خواسته های خود را نیز مطرح نمایند، لذا برای این درخواست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مهلت دادن است به کار می‌بردند، ولی یهود همین کلمه را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کودنی و حماقت استعمال می‌کردند در صورت اوّل مفهومش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 مهلت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صورت دوم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تحمیق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یهود دستاویزی پیدا شده بود که با استفاده از همان جمله‌ای که مسلمانان می‌گفتند، پیامبر یا مسلمانان را استهزاء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الفحول،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العامه،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انوار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شماره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116397</Words>
  <Characters>442573</Characters>
  <CharactersWithSpaces>554917</CharactersWithSpaces>
  <Paragraphs>4413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2026-08-18T11:36:49Z</dcterms:created>
  <dc:creator>ghaemiyeh.com</dc:creator>
  <dc:description/>
  <dc:language>en-US</dc:language>
  <cp:lastModifiedBy/>
  <dcterms:modified xsi:type="dcterms:W3CDTF">2026-08-18T15:07:01Z</dcterms:modified>
  <cp:revision>1</cp:revision>
  <dc:subject/>
  <dc:title>بررسی مصادر و منابع فقه فریقین</dc:title>
</cp:coreProperties>
</file>

<file path=docProps/custom.xml><?xml version="1.0" encoding="utf-8"?>
<Properties xmlns="http://schemas.openxmlformats.org/officeDocument/2006/custom-properties" xmlns:vt="http://schemas.openxmlformats.org/officeDocument/2006/docPropsVTypes"/>
</file>