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86.xml" ContentType="application/vnd.openxmlformats-officedocument.wordprocessingml.footer+xml"/>
  <Override PartName="/word/footer492.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5.xml" ContentType="application/vnd.openxmlformats-officedocument.wordprocessingml.footer+xml"/>
  <Override PartName="/word/footer468.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وقف در فقه اسلامی و نقش آن در شکوفایی اقتصاد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877_1479056682">
            <w:r>
              <w:rPr>
                <w:webHidden/>
                <w:rStyle w:val="IndexLink"/>
                <w:rtl w:val="true"/>
              </w:rPr>
              <w:t>مشخصات کتاب</w:t>
            </w:r>
            <w:r>
              <w:rPr>
                <w:rStyle w:val="IndexLink"/>
                <w:rtl w:val="true"/>
              </w:rPr>
              <w:tab/>
            </w:r>
            <w:r>
              <w:rPr>
                <w:rStyle w:val="IndexLink"/>
              </w:rPr>
              <w:t>12</w:t>
            </w:r>
          </w:hyperlink>
        </w:p>
        <w:p>
          <w:pPr>
            <w:pStyle w:val="Contents2"/>
            <w:tabs>
              <w:tab w:val="clear" w:pos="8743"/>
              <w:tab w:val="right" w:pos="9026" w:leader="dot"/>
            </w:tabs>
            <w:rPr/>
          </w:pPr>
          <w:hyperlink w:anchor="__RefHeading___Toc473879_147905668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473881_1479056682">
            <w:r>
              <w:rPr>
                <w:webHidden/>
                <w:rStyle w:val="IndexLink"/>
                <w:rtl w:val="true"/>
              </w:rPr>
              <w:t>فهرست مطالب</w:t>
            </w:r>
            <w:r>
              <w:rPr>
                <w:rStyle w:val="IndexLink"/>
                <w:rtl w:val="true"/>
              </w:rPr>
              <w:tab/>
            </w:r>
            <w:r>
              <w:rPr>
                <w:rStyle w:val="IndexLink"/>
              </w:rPr>
              <w:t>16</w:t>
            </w:r>
          </w:hyperlink>
        </w:p>
        <w:p>
          <w:pPr>
            <w:pStyle w:val="Contents2"/>
            <w:tabs>
              <w:tab w:val="clear" w:pos="8743"/>
              <w:tab w:val="right" w:pos="9026" w:leader="dot"/>
            </w:tabs>
            <w:rPr/>
          </w:pPr>
          <w:hyperlink w:anchor="__RefHeading___Toc473883_1479056682">
            <w:r>
              <w:rPr>
                <w:webHidden/>
                <w:rStyle w:val="IndexLink"/>
                <w:rtl w:val="true"/>
              </w:rPr>
              <w:t>پیشگفتار</w:t>
            </w:r>
            <w:r>
              <w:rPr>
                <w:rStyle w:val="IndexLink"/>
                <w:rtl w:val="true"/>
              </w:rPr>
              <w:tab/>
            </w:r>
            <w:r>
              <w:rPr>
                <w:rStyle w:val="IndexLink"/>
              </w:rPr>
              <w:t>28</w:t>
            </w:r>
          </w:hyperlink>
        </w:p>
        <w:p>
          <w:pPr>
            <w:pStyle w:val="Contents2"/>
            <w:tabs>
              <w:tab w:val="clear" w:pos="8743"/>
              <w:tab w:val="right" w:pos="9026" w:leader="dot"/>
            </w:tabs>
            <w:rPr/>
          </w:pPr>
          <w:hyperlink w:anchor="__RefHeading___Toc473885_1479056682">
            <w:r>
              <w:rPr>
                <w:webHidden/>
                <w:rStyle w:val="IndexLink"/>
                <w:rtl w:val="true"/>
              </w:rPr>
              <w:t xml:space="preserve">بخش </w:t>
            </w:r>
            <w:r>
              <w:rPr>
                <w:rStyle w:val="IndexLink"/>
              </w:rPr>
              <w:t>1</w:t>
            </w:r>
            <w:r>
              <w:rPr>
                <w:rStyle w:val="IndexLink"/>
                <w:rtl w:val="true"/>
              </w:rPr>
              <w:t xml:space="preserve">: </w:t>
            </w:r>
            <w:r>
              <w:rPr>
                <w:rStyle w:val="IndexLink"/>
                <w:rtl w:val="true"/>
              </w:rPr>
              <w:t>کلیات</w:t>
            </w:r>
            <w:r>
              <w:rPr>
                <w:rStyle w:val="IndexLink"/>
                <w:rtl w:val="true"/>
              </w:rPr>
              <w:tab/>
            </w:r>
            <w:r>
              <w:rPr>
                <w:rStyle w:val="IndexLink"/>
              </w:rPr>
              <w:t>32</w:t>
            </w:r>
          </w:hyperlink>
        </w:p>
        <w:p>
          <w:pPr>
            <w:pStyle w:val="Contents3"/>
            <w:tabs>
              <w:tab w:val="clear" w:pos="8459"/>
              <w:tab w:val="right" w:pos="9026" w:leader="dot"/>
            </w:tabs>
            <w:rPr/>
          </w:pPr>
          <w:hyperlink w:anchor="__RefHeading___Toc473887_1479056682">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73889_1479056682">
            <w:r>
              <w:rPr>
                <w:webHidden/>
                <w:rStyle w:val="IndexLink"/>
                <w:rtl w:val="true"/>
              </w:rPr>
              <w:t>فصل اول</w:t>
            </w:r>
            <w:r>
              <w:rPr>
                <w:rStyle w:val="IndexLink"/>
                <w:rtl w:val="true"/>
              </w:rPr>
              <w:t xml:space="preserve">: </w:t>
            </w:r>
            <w:r>
              <w:rPr>
                <w:rStyle w:val="IndexLink"/>
                <w:rtl w:val="true"/>
              </w:rPr>
              <w:t>واژه وقف و صدقه</w:t>
            </w:r>
            <w:r>
              <w:rPr>
                <w:rStyle w:val="IndexLink"/>
                <w:rtl w:val="true"/>
              </w:rPr>
              <w:tab/>
            </w:r>
            <w:r>
              <w:rPr>
                <w:rStyle w:val="IndexLink"/>
              </w:rPr>
              <w:t>34</w:t>
            </w:r>
          </w:hyperlink>
        </w:p>
        <w:p>
          <w:pPr>
            <w:pStyle w:val="Contents4"/>
            <w:tabs>
              <w:tab w:val="clear" w:pos="8176"/>
              <w:tab w:val="right" w:pos="9026" w:leader="dot"/>
            </w:tabs>
            <w:rPr/>
          </w:pPr>
          <w:hyperlink w:anchor="__RefHeading___Toc473891_1479056682">
            <w:r>
              <w:rPr>
                <w:webHidden/>
                <w:rStyle w:val="IndexLink"/>
                <w:rtl w:val="true"/>
              </w:rPr>
              <w:t>مبحث اوّل</w:t>
            </w:r>
            <w:r>
              <w:rPr>
                <w:rStyle w:val="IndexLink"/>
                <w:rtl w:val="true"/>
              </w:rPr>
              <w:t xml:space="preserve">: </w:t>
            </w:r>
            <w:r>
              <w:rPr>
                <w:rStyle w:val="IndexLink"/>
                <w:rtl w:val="true"/>
              </w:rPr>
              <w:t>وقف و صدقه در لغت و اصطلاح</w:t>
            </w:r>
            <w:r>
              <w:rPr>
                <w:rStyle w:val="IndexLink"/>
                <w:rtl w:val="true"/>
              </w:rPr>
              <w:tab/>
            </w:r>
            <w:r>
              <w:rPr>
                <w:rStyle w:val="IndexLink"/>
              </w:rPr>
              <w:t>34</w:t>
            </w:r>
          </w:hyperlink>
        </w:p>
        <w:p>
          <w:pPr>
            <w:pStyle w:val="Contents5"/>
            <w:tabs>
              <w:tab w:val="clear" w:pos="7892"/>
              <w:tab w:val="right" w:pos="9026" w:leader="dot"/>
            </w:tabs>
            <w:rPr/>
          </w:pPr>
          <w:hyperlink w:anchor="__RefHeading___Toc473893_1479056682">
            <w:r>
              <w:rPr>
                <w:webHidden/>
                <w:rStyle w:val="IndexLink"/>
                <w:rtl w:val="true"/>
              </w:rPr>
              <w:t xml:space="preserve">گفتار </w:t>
            </w:r>
            <w:r>
              <w:rPr>
                <w:rStyle w:val="IndexLink"/>
              </w:rPr>
              <w:t>1</w:t>
            </w:r>
            <w:r>
              <w:rPr>
                <w:rStyle w:val="IndexLink"/>
                <w:rtl w:val="true"/>
              </w:rPr>
              <w:t xml:space="preserve">- </w:t>
            </w:r>
            <w:r>
              <w:rPr>
                <w:rStyle w:val="IndexLink"/>
                <w:rtl w:val="true"/>
              </w:rPr>
              <w:t>وقف در لغت</w:t>
            </w:r>
            <w:r>
              <w:rPr>
                <w:rStyle w:val="IndexLink"/>
                <w:rtl w:val="true"/>
              </w:rPr>
              <w:tab/>
            </w:r>
            <w:r>
              <w:rPr>
                <w:rStyle w:val="IndexLink"/>
              </w:rPr>
              <w:t>34</w:t>
            </w:r>
          </w:hyperlink>
        </w:p>
        <w:p>
          <w:pPr>
            <w:pStyle w:val="Contents5"/>
            <w:tabs>
              <w:tab w:val="clear" w:pos="7892"/>
              <w:tab w:val="right" w:pos="9026" w:leader="dot"/>
            </w:tabs>
            <w:rPr/>
          </w:pPr>
          <w:hyperlink w:anchor="__RefHeading___Toc473895_1479056682">
            <w:r>
              <w:rPr>
                <w:webHidden/>
                <w:rStyle w:val="IndexLink"/>
                <w:rtl w:val="true"/>
              </w:rPr>
              <w:t xml:space="preserve">گفتار </w:t>
            </w:r>
            <w:r>
              <w:rPr>
                <w:rStyle w:val="IndexLink"/>
              </w:rPr>
              <w:t>2</w:t>
            </w:r>
            <w:r>
              <w:rPr>
                <w:rStyle w:val="IndexLink"/>
                <w:rtl w:val="true"/>
              </w:rPr>
              <w:t xml:space="preserve">- </w:t>
            </w:r>
            <w:r>
              <w:rPr>
                <w:rStyle w:val="IndexLink"/>
                <w:rtl w:val="true"/>
              </w:rPr>
              <w:t>صدقه در لغت</w:t>
            </w:r>
            <w:r>
              <w:rPr>
                <w:rStyle w:val="IndexLink"/>
                <w:rtl w:val="true"/>
              </w:rPr>
              <w:tab/>
            </w:r>
            <w:r>
              <w:rPr>
                <w:rStyle w:val="IndexLink"/>
              </w:rPr>
              <w:t>35</w:t>
            </w:r>
          </w:hyperlink>
        </w:p>
        <w:p>
          <w:pPr>
            <w:pStyle w:val="Contents5"/>
            <w:tabs>
              <w:tab w:val="clear" w:pos="7892"/>
              <w:tab w:val="right" w:pos="9026" w:leader="dot"/>
            </w:tabs>
            <w:rPr/>
          </w:pPr>
          <w:hyperlink w:anchor="__RefHeading___Toc473897_1479056682">
            <w:r>
              <w:rPr>
                <w:webHidden/>
                <w:rStyle w:val="IndexLink"/>
                <w:rtl w:val="true"/>
              </w:rPr>
              <w:t xml:space="preserve">گفتار </w:t>
            </w:r>
            <w:r>
              <w:rPr>
                <w:rStyle w:val="IndexLink"/>
              </w:rPr>
              <w:t>3</w:t>
            </w:r>
            <w:r>
              <w:rPr>
                <w:rStyle w:val="IndexLink"/>
                <w:rtl w:val="true"/>
              </w:rPr>
              <w:t xml:space="preserve">- </w:t>
            </w:r>
            <w:r>
              <w:rPr>
                <w:rStyle w:val="IndexLink"/>
                <w:rtl w:val="true"/>
              </w:rPr>
              <w:t>وقف در اصطلاح فقها</w:t>
            </w:r>
            <w:r>
              <w:rPr>
                <w:rStyle w:val="IndexLink"/>
                <w:rtl w:val="true"/>
              </w:rPr>
              <w:tab/>
            </w:r>
            <w:r>
              <w:rPr>
                <w:rStyle w:val="IndexLink"/>
              </w:rPr>
              <w:t>37</w:t>
            </w:r>
          </w:hyperlink>
        </w:p>
        <w:p>
          <w:pPr>
            <w:pStyle w:val="Contents5"/>
            <w:tabs>
              <w:tab w:val="clear" w:pos="7892"/>
              <w:tab w:val="right" w:pos="9026" w:leader="dot"/>
            </w:tabs>
            <w:rPr/>
          </w:pPr>
          <w:hyperlink w:anchor="__RefHeading___Toc473899_1479056682">
            <w:r>
              <w:rPr>
                <w:webHidden/>
                <w:rStyle w:val="IndexLink"/>
                <w:rtl w:val="true"/>
              </w:rPr>
              <w:t xml:space="preserve">گفتار </w:t>
            </w:r>
            <w:r>
              <w:rPr>
                <w:rStyle w:val="IndexLink"/>
              </w:rPr>
              <w:t>4</w:t>
            </w:r>
            <w:r>
              <w:rPr>
                <w:rStyle w:val="IndexLink"/>
                <w:rtl w:val="true"/>
              </w:rPr>
              <w:t xml:space="preserve">- </w:t>
            </w:r>
            <w:r>
              <w:rPr>
                <w:rStyle w:val="IndexLink"/>
                <w:rtl w:val="true"/>
              </w:rPr>
              <w:t>توضیح مفرداتِ تعریف</w:t>
            </w:r>
            <w:r>
              <w:rPr>
                <w:rStyle w:val="IndexLink"/>
                <w:rtl w:val="true"/>
              </w:rPr>
              <w:tab/>
            </w:r>
            <w:r>
              <w:rPr>
                <w:rStyle w:val="IndexLink"/>
              </w:rPr>
              <w:t>39</w:t>
            </w:r>
          </w:hyperlink>
        </w:p>
        <w:p>
          <w:pPr>
            <w:pStyle w:val="Contents4"/>
            <w:tabs>
              <w:tab w:val="clear" w:pos="8176"/>
              <w:tab w:val="right" w:pos="9026" w:leader="dot"/>
            </w:tabs>
            <w:rPr/>
          </w:pPr>
          <w:hyperlink w:anchor="__RefHeading___Toc473901_1479056682">
            <w:r>
              <w:rPr>
                <w:webHidden/>
                <w:rStyle w:val="IndexLink"/>
                <w:rtl w:val="true"/>
              </w:rPr>
              <w:t>مبحث دوم</w:t>
            </w:r>
            <w:r>
              <w:rPr>
                <w:rStyle w:val="IndexLink"/>
                <w:rtl w:val="true"/>
              </w:rPr>
              <w:t xml:space="preserve">: </w:t>
            </w:r>
            <w:r>
              <w:rPr>
                <w:rStyle w:val="IndexLink"/>
                <w:rtl w:val="true"/>
              </w:rPr>
              <w:t xml:space="preserve">رابطه واژه </w:t>
            </w:r>
            <w:r>
              <w:rPr>
                <w:rStyle w:val="IndexLink"/>
                <w:rtl w:val="true"/>
              </w:rPr>
              <w:t>«</w:t>
            </w:r>
            <w:r>
              <w:rPr>
                <w:rStyle w:val="IndexLink"/>
                <w:rtl w:val="true"/>
              </w:rPr>
              <w:t>وقف</w:t>
            </w:r>
            <w:r>
              <w:rPr>
                <w:rStyle w:val="IndexLink"/>
                <w:rtl w:val="true"/>
              </w:rPr>
              <w:t xml:space="preserve">» </w:t>
            </w:r>
            <w:r>
              <w:rPr>
                <w:rStyle w:val="IndexLink"/>
                <w:rtl w:val="true"/>
              </w:rPr>
              <w:t xml:space="preserve">و </w:t>
            </w:r>
            <w:r>
              <w:rPr>
                <w:rStyle w:val="IndexLink"/>
                <w:rtl w:val="true"/>
              </w:rPr>
              <w:t>«</w:t>
            </w:r>
            <w:r>
              <w:rPr>
                <w:rStyle w:val="IndexLink"/>
                <w:rtl w:val="true"/>
              </w:rPr>
              <w:t>صدقه</w:t>
            </w:r>
            <w:r>
              <w:rPr>
                <w:rStyle w:val="IndexLink"/>
                <w:rtl w:val="true"/>
              </w:rPr>
              <w:t>»</w:t>
              <w:tab/>
            </w:r>
            <w:r>
              <w:rPr>
                <w:rStyle w:val="IndexLink"/>
              </w:rPr>
              <w:t>41</w:t>
            </w:r>
          </w:hyperlink>
        </w:p>
        <w:p>
          <w:pPr>
            <w:pStyle w:val="Contents3"/>
            <w:tabs>
              <w:tab w:val="clear" w:pos="8459"/>
              <w:tab w:val="right" w:pos="9026" w:leader="dot"/>
            </w:tabs>
            <w:rPr/>
          </w:pPr>
          <w:hyperlink w:anchor="__RefHeading___Toc473903_1479056682">
            <w:r>
              <w:rPr>
                <w:webHidden/>
                <w:rStyle w:val="IndexLink"/>
                <w:rtl w:val="true"/>
              </w:rPr>
              <w:t>فصل دوم</w:t>
            </w:r>
            <w:r>
              <w:rPr>
                <w:rStyle w:val="IndexLink"/>
                <w:rtl w:val="true"/>
              </w:rPr>
              <w:t xml:space="preserve">: </w:t>
            </w:r>
            <w:r>
              <w:rPr>
                <w:rStyle w:val="IndexLink"/>
                <w:rtl w:val="true"/>
              </w:rPr>
              <w:t>مشروعیّت و جایگاه وقف</w:t>
            </w:r>
            <w:r>
              <w:rPr>
                <w:rStyle w:val="IndexLink"/>
                <w:rtl w:val="true"/>
              </w:rPr>
              <w:tab/>
            </w:r>
            <w:r>
              <w:rPr>
                <w:rStyle w:val="IndexLink"/>
              </w:rPr>
              <w:t>44</w:t>
            </w:r>
          </w:hyperlink>
        </w:p>
        <w:p>
          <w:pPr>
            <w:pStyle w:val="Contents4"/>
            <w:tabs>
              <w:tab w:val="clear" w:pos="8176"/>
              <w:tab w:val="right" w:pos="9026" w:leader="dot"/>
            </w:tabs>
            <w:rPr/>
          </w:pPr>
          <w:hyperlink w:anchor="__RefHeading___Toc473905_1479056682">
            <w:r>
              <w:rPr>
                <w:webHidden/>
                <w:rStyle w:val="IndexLink"/>
                <w:rtl w:val="true"/>
              </w:rPr>
              <w:t>مبحث اوّل</w:t>
            </w:r>
            <w:r>
              <w:rPr>
                <w:rStyle w:val="IndexLink"/>
                <w:rtl w:val="true"/>
              </w:rPr>
              <w:t xml:space="preserve">: </w:t>
            </w:r>
            <w:r>
              <w:rPr>
                <w:rStyle w:val="IndexLink"/>
                <w:rtl w:val="true"/>
              </w:rPr>
              <w:t>مشروعیّت وقف</w:t>
            </w:r>
            <w:r>
              <w:rPr>
                <w:rStyle w:val="IndexLink"/>
                <w:rtl w:val="true"/>
              </w:rPr>
              <w:tab/>
            </w:r>
            <w:r>
              <w:rPr>
                <w:rStyle w:val="IndexLink"/>
              </w:rPr>
              <w:t>44</w:t>
            </w:r>
          </w:hyperlink>
        </w:p>
        <w:p>
          <w:pPr>
            <w:pStyle w:val="Contents5"/>
            <w:tabs>
              <w:tab w:val="clear" w:pos="7892"/>
              <w:tab w:val="right" w:pos="9026" w:leader="dot"/>
            </w:tabs>
            <w:rPr/>
          </w:pPr>
          <w:hyperlink w:anchor="__RefHeading___Toc473907_1479056682">
            <w:r>
              <w:rPr>
                <w:webHidden/>
                <w:rStyle w:val="IndexLink"/>
                <w:rtl w:val="true"/>
              </w:rPr>
              <w:t>فقه امامیّه</w:t>
            </w:r>
            <w:r>
              <w:rPr>
                <w:rStyle w:val="IndexLink"/>
                <w:rtl w:val="true"/>
              </w:rPr>
              <w:tab/>
            </w:r>
            <w:r>
              <w:rPr>
                <w:rStyle w:val="IndexLink"/>
              </w:rPr>
              <w:t>44</w:t>
            </w:r>
          </w:hyperlink>
        </w:p>
        <w:p>
          <w:pPr>
            <w:pStyle w:val="Contents5"/>
            <w:tabs>
              <w:tab w:val="clear" w:pos="7892"/>
              <w:tab w:val="right" w:pos="9026" w:leader="dot"/>
            </w:tabs>
            <w:rPr/>
          </w:pPr>
          <w:hyperlink w:anchor="__RefHeading___Toc473909_1479056682">
            <w:r>
              <w:rPr>
                <w:webHidden/>
                <w:rStyle w:val="IndexLink"/>
                <w:rtl w:val="true"/>
              </w:rPr>
              <w:t>فقه اهل سنّت</w:t>
            </w:r>
            <w:r>
              <w:rPr>
                <w:rStyle w:val="IndexLink"/>
                <w:rtl w:val="true"/>
              </w:rPr>
              <w:tab/>
            </w:r>
            <w:r>
              <w:rPr>
                <w:rStyle w:val="IndexLink"/>
              </w:rPr>
              <w:t>45</w:t>
            </w:r>
          </w:hyperlink>
        </w:p>
        <w:p>
          <w:pPr>
            <w:pStyle w:val="Contents5"/>
            <w:tabs>
              <w:tab w:val="clear" w:pos="7892"/>
              <w:tab w:val="right" w:pos="9026" w:leader="dot"/>
            </w:tabs>
            <w:rPr/>
          </w:pPr>
          <w:hyperlink w:anchor="__RefHeading___Toc473911_1479056682">
            <w:r>
              <w:rPr>
                <w:webHidden/>
                <w:rStyle w:val="IndexLink"/>
                <w:rtl w:val="true"/>
              </w:rPr>
              <w:t>منکران مشروعیّت</w:t>
            </w:r>
            <w:r>
              <w:rPr>
                <w:rStyle w:val="IndexLink"/>
                <w:rtl w:val="true"/>
              </w:rPr>
              <w:tab/>
            </w:r>
            <w:r>
              <w:rPr>
                <w:rStyle w:val="IndexLink"/>
              </w:rPr>
              <w:t>48</w:t>
            </w:r>
          </w:hyperlink>
        </w:p>
        <w:p>
          <w:pPr>
            <w:pStyle w:val="Contents4"/>
            <w:tabs>
              <w:tab w:val="clear" w:pos="8176"/>
              <w:tab w:val="right" w:pos="9026" w:leader="dot"/>
            </w:tabs>
            <w:rPr/>
          </w:pPr>
          <w:hyperlink w:anchor="__RefHeading___Toc473913_1479056682">
            <w:r>
              <w:rPr>
                <w:webHidden/>
                <w:rStyle w:val="IndexLink"/>
                <w:rtl w:val="true"/>
              </w:rPr>
              <w:t>مبحث دوم</w:t>
            </w:r>
            <w:r>
              <w:rPr>
                <w:rStyle w:val="IndexLink"/>
                <w:rtl w:val="true"/>
              </w:rPr>
              <w:t xml:space="preserve">: </w:t>
            </w:r>
            <w:r>
              <w:rPr>
                <w:rStyle w:val="IndexLink"/>
                <w:rtl w:val="true"/>
              </w:rPr>
              <w:t>اهمیّت و جایگاه وقف</w:t>
            </w:r>
            <w:r>
              <w:rPr>
                <w:rStyle w:val="IndexLink"/>
                <w:rtl w:val="true"/>
              </w:rPr>
              <w:tab/>
            </w:r>
            <w:r>
              <w:rPr>
                <w:rStyle w:val="IndexLink"/>
              </w:rPr>
              <w:t>49</w:t>
            </w:r>
          </w:hyperlink>
        </w:p>
        <w:p>
          <w:pPr>
            <w:pStyle w:val="Contents5"/>
            <w:tabs>
              <w:tab w:val="clear" w:pos="7892"/>
              <w:tab w:val="right" w:pos="9026" w:leader="dot"/>
            </w:tabs>
            <w:rPr/>
          </w:pPr>
          <w:hyperlink w:anchor="__RefHeading___Toc473915_1479056682">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73917_1479056682">
            <w:r>
              <w:rPr>
                <w:webHidden/>
                <w:rStyle w:val="IndexLink"/>
                <w:rtl w:val="true"/>
              </w:rPr>
              <w:t>تفاسیر و روایات شیعه</w:t>
            </w:r>
            <w:r>
              <w:rPr>
                <w:rStyle w:val="IndexLink"/>
                <w:rtl w:val="true"/>
              </w:rPr>
              <w:tab/>
            </w:r>
            <w:r>
              <w:rPr>
                <w:rStyle w:val="IndexLink"/>
              </w:rPr>
              <w:t>50</w:t>
            </w:r>
          </w:hyperlink>
        </w:p>
        <w:p>
          <w:pPr>
            <w:pStyle w:val="Contents6"/>
            <w:tabs>
              <w:tab w:val="clear" w:pos="7609"/>
              <w:tab w:val="right" w:pos="9026" w:leader="dot"/>
            </w:tabs>
            <w:rPr/>
          </w:pPr>
          <w:hyperlink w:anchor="__RefHeading___Toc473919_1479056682">
            <w:r>
              <w:rPr>
                <w:webHidden/>
                <w:rStyle w:val="IndexLink"/>
                <w:rtl w:val="true"/>
              </w:rPr>
              <w:t xml:space="preserve">الف </w:t>
            </w:r>
            <w:r>
              <w:rPr>
                <w:rStyle w:val="IndexLink"/>
                <w:rtl w:val="true"/>
              </w:rPr>
              <w:t xml:space="preserve">- </w:t>
            </w:r>
            <w:r>
              <w:rPr>
                <w:rStyle w:val="IndexLink"/>
                <w:rtl w:val="true"/>
              </w:rPr>
              <w:t>تفاسیر</w:t>
            </w:r>
            <w:r>
              <w:rPr>
                <w:rStyle w:val="IndexLink"/>
                <w:rtl w:val="true"/>
              </w:rPr>
              <w:tab/>
            </w:r>
            <w:r>
              <w:rPr>
                <w:rStyle w:val="IndexLink"/>
              </w:rPr>
              <w:t>50</w:t>
            </w:r>
          </w:hyperlink>
        </w:p>
        <w:p>
          <w:pPr>
            <w:pStyle w:val="Contents6"/>
            <w:tabs>
              <w:tab w:val="clear" w:pos="7609"/>
              <w:tab w:val="right" w:pos="9026" w:leader="dot"/>
            </w:tabs>
            <w:rPr/>
          </w:pPr>
          <w:hyperlink w:anchor="__RefHeading___Toc473921_1479056682">
            <w:r>
              <w:rPr>
                <w:webHidden/>
                <w:rStyle w:val="IndexLink"/>
                <w:rtl w:val="true"/>
              </w:rPr>
              <w:t xml:space="preserve">ب </w:t>
            </w:r>
            <w:r>
              <w:rPr>
                <w:rStyle w:val="IndexLink"/>
                <w:rtl w:val="true"/>
              </w:rPr>
              <w:t xml:space="preserve">- </w:t>
            </w:r>
            <w:r>
              <w:rPr>
                <w:rStyle w:val="IndexLink"/>
                <w:rtl w:val="true"/>
              </w:rPr>
              <w:t>روایات</w:t>
            </w:r>
            <w:r>
              <w:rPr>
                <w:rStyle w:val="IndexLink"/>
                <w:rtl w:val="true"/>
              </w:rPr>
              <w:tab/>
            </w:r>
            <w:r>
              <w:rPr>
                <w:rStyle w:val="IndexLink"/>
              </w:rPr>
              <w:t>50</w:t>
            </w:r>
          </w:hyperlink>
        </w:p>
        <w:p>
          <w:pPr>
            <w:pStyle w:val="Contents5"/>
            <w:tabs>
              <w:tab w:val="clear" w:pos="7892"/>
              <w:tab w:val="right" w:pos="9026" w:leader="dot"/>
            </w:tabs>
            <w:rPr/>
          </w:pPr>
          <w:hyperlink w:anchor="__RefHeading___Toc473923_1479056682">
            <w:r>
              <w:rPr>
                <w:webHidden/>
                <w:rStyle w:val="IndexLink"/>
                <w:rtl w:val="true"/>
              </w:rPr>
              <w:t>تفاسیر و روایات اهل سنّت</w:t>
            </w:r>
            <w:r>
              <w:rPr>
                <w:rStyle w:val="IndexLink"/>
                <w:rtl w:val="true"/>
              </w:rPr>
              <w:tab/>
            </w:r>
            <w:r>
              <w:rPr>
                <w:rStyle w:val="IndexLink"/>
              </w:rPr>
              <w:t>51</w:t>
            </w:r>
          </w:hyperlink>
        </w:p>
        <w:p>
          <w:pPr>
            <w:pStyle w:val="Contents6"/>
            <w:tabs>
              <w:tab w:val="clear" w:pos="7609"/>
              <w:tab w:val="right" w:pos="9026" w:leader="dot"/>
            </w:tabs>
            <w:rPr/>
          </w:pPr>
          <w:hyperlink w:anchor="__RefHeading___Toc473925_1479056682">
            <w:r>
              <w:rPr>
                <w:webHidden/>
                <w:rStyle w:val="IndexLink"/>
                <w:rtl w:val="true"/>
              </w:rPr>
              <w:t xml:space="preserve">الف </w:t>
            </w:r>
            <w:r>
              <w:rPr>
                <w:rStyle w:val="IndexLink"/>
                <w:rtl w:val="true"/>
              </w:rPr>
              <w:t xml:space="preserve">- </w:t>
            </w:r>
            <w:r>
              <w:rPr>
                <w:rStyle w:val="IndexLink"/>
                <w:rtl w:val="true"/>
              </w:rPr>
              <w:t>تفاسیر</w:t>
            </w:r>
            <w:r>
              <w:rPr>
                <w:rStyle w:val="IndexLink"/>
                <w:rtl w:val="true"/>
              </w:rPr>
              <w:tab/>
            </w:r>
            <w:r>
              <w:rPr>
                <w:rStyle w:val="IndexLink"/>
              </w:rPr>
              <w:t>51</w:t>
            </w:r>
          </w:hyperlink>
        </w:p>
        <w:p>
          <w:pPr>
            <w:pStyle w:val="Contents6"/>
            <w:tabs>
              <w:tab w:val="clear" w:pos="7609"/>
              <w:tab w:val="right" w:pos="9026" w:leader="dot"/>
            </w:tabs>
            <w:rPr/>
          </w:pPr>
          <w:hyperlink w:anchor="__RefHeading___Toc473927_1479056682">
            <w:r>
              <w:rPr>
                <w:webHidden/>
                <w:rStyle w:val="IndexLink"/>
                <w:rtl w:val="true"/>
              </w:rPr>
              <w:t xml:space="preserve">ب </w:t>
            </w:r>
            <w:r>
              <w:rPr>
                <w:rStyle w:val="IndexLink"/>
                <w:rtl w:val="true"/>
              </w:rPr>
              <w:t xml:space="preserve">- </w:t>
            </w:r>
            <w:r>
              <w:rPr>
                <w:rStyle w:val="IndexLink"/>
                <w:rtl w:val="true"/>
              </w:rPr>
              <w:t>روایات</w:t>
            </w:r>
            <w:r>
              <w:rPr>
                <w:rStyle w:val="IndexLink"/>
                <w:rtl w:val="true"/>
              </w:rPr>
              <w:tab/>
            </w:r>
            <w:r>
              <w:rPr>
                <w:rStyle w:val="IndexLink"/>
              </w:rPr>
              <w:t>52</w:t>
            </w:r>
          </w:hyperlink>
        </w:p>
        <w:p>
          <w:pPr>
            <w:pStyle w:val="Contents3"/>
            <w:tabs>
              <w:tab w:val="clear" w:pos="8459"/>
              <w:tab w:val="right" w:pos="9026" w:leader="dot"/>
            </w:tabs>
            <w:rPr/>
          </w:pPr>
          <w:hyperlink w:anchor="__RefHeading___Toc473929_1479056682">
            <w:r>
              <w:rPr>
                <w:webHidden/>
                <w:rStyle w:val="IndexLink"/>
                <w:rtl w:val="true"/>
              </w:rPr>
              <w:t>فصل سوم</w:t>
            </w:r>
            <w:r>
              <w:rPr>
                <w:rStyle w:val="IndexLink"/>
                <w:rtl w:val="true"/>
              </w:rPr>
              <w:t xml:space="preserve">: </w:t>
            </w:r>
            <w:r>
              <w:rPr>
                <w:rStyle w:val="IndexLink"/>
                <w:rtl w:val="true"/>
              </w:rPr>
              <w:t>تاریخچه وقف</w:t>
            </w:r>
            <w:r>
              <w:rPr>
                <w:rStyle w:val="IndexLink"/>
                <w:rtl w:val="true"/>
              </w:rPr>
              <w:tab/>
            </w:r>
            <w:r>
              <w:rPr>
                <w:rStyle w:val="IndexLink"/>
              </w:rPr>
              <w:t>54</w:t>
            </w:r>
          </w:hyperlink>
        </w:p>
        <w:p>
          <w:pPr>
            <w:pStyle w:val="Contents4"/>
            <w:tabs>
              <w:tab w:val="clear" w:pos="8176"/>
              <w:tab w:val="right" w:pos="9026" w:leader="dot"/>
            </w:tabs>
            <w:rPr/>
          </w:pPr>
          <w:hyperlink w:anchor="__RefHeading___Toc473931_1479056682">
            <w:r>
              <w:rPr>
                <w:webHidden/>
                <w:rStyle w:val="IndexLink"/>
                <w:rtl w:val="true"/>
              </w:rPr>
              <w:t>مبحث اوّل</w:t>
            </w:r>
            <w:r>
              <w:rPr>
                <w:rStyle w:val="IndexLink"/>
                <w:rtl w:val="true"/>
              </w:rPr>
              <w:t xml:space="preserve">: </w:t>
            </w:r>
            <w:r>
              <w:rPr>
                <w:rStyle w:val="IndexLink"/>
                <w:rtl w:val="true"/>
              </w:rPr>
              <w:t>وقف در قبل از اسلام</w:t>
            </w:r>
            <w:r>
              <w:rPr>
                <w:rStyle w:val="IndexLink"/>
                <w:rtl w:val="true"/>
              </w:rPr>
              <w:tab/>
            </w:r>
            <w:r>
              <w:rPr>
                <w:rStyle w:val="IndexLink"/>
              </w:rPr>
              <w:t>54</w:t>
            </w:r>
          </w:hyperlink>
        </w:p>
        <w:p>
          <w:pPr>
            <w:pStyle w:val="Contents4"/>
            <w:tabs>
              <w:tab w:val="clear" w:pos="8176"/>
              <w:tab w:val="right" w:pos="9026" w:leader="dot"/>
            </w:tabs>
            <w:rPr/>
          </w:pPr>
          <w:hyperlink w:anchor="__RefHeading___Toc473933_1479056682">
            <w:r>
              <w:rPr>
                <w:webHidden/>
                <w:rStyle w:val="IndexLink"/>
                <w:rtl w:val="true"/>
              </w:rPr>
              <w:t>مبحث دوم</w:t>
            </w:r>
            <w:r>
              <w:rPr>
                <w:rStyle w:val="IndexLink"/>
                <w:rtl w:val="true"/>
              </w:rPr>
              <w:t xml:space="preserve">: </w:t>
            </w:r>
            <w:r>
              <w:rPr>
                <w:rStyle w:val="IndexLink"/>
                <w:rtl w:val="true"/>
              </w:rPr>
              <w:t>وقف در میان ملل غیرمسلمان</w:t>
            </w:r>
            <w:r>
              <w:rPr>
                <w:rStyle w:val="IndexLink"/>
                <w:rtl w:val="true"/>
              </w:rPr>
              <w:tab/>
            </w:r>
            <w:r>
              <w:rPr>
                <w:rStyle w:val="IndexLink"/>
              </w:rPr>
              <w:t>56</w:t>
            </w:r>
          </w:hyperlink>
        </w:p>
        <w:p>
          <w:pPr>
            <w:pStyle w:val="Contents5"/>
            <w:tabs>
              <w:tab w:val="clear" w:pos="7892"/>
              <w:tab w:val="right" w:pos="9026" w:leader="dot"/>
            </w:tabs>
            <w:rPr/>
          </w:pPr>
          <w:hyperlink w:anchor="__RefHeading___Toc473935_1479056682">
            <w:r>
              <w:rPr>
                <w:webHidden/>
                <w:rStyle w:val="IndexLink"/>
              </w:rPr>
              <w:t>1</w:t>
            </w:r>
            <w:r>
              <w:rPr>
                <w:rStyle w:val="IndexLink"/>
                <w:rtl w:val="true"/>
              </w:rPr>
              <w:t xml:space="preserve">- </w:t>
            </w:r>
            <w:r>
              <w:rPr>
                <w:rStyle w:val="IndexLink"/>
                <w:rtl w:val="true"/>
              </w:rPr>
              <w:t>وقف درمیان رومیان</w:t>
            </w:r>
            <w:r>
              <w:rPr>
                <w:rStyle w:val="IndexLink"/>
                <w:rtl w:val="true"/>
              </w:rPr>
              <w:tab/>
            </w:r>
            <w:r>
              <w:rPr>
                <w:rStyle w:val="IndexLink"/>
              </w:rPr>
              <w:t>56</w:t>
            </w:r>
          </w:hyperlink>
        </w:p>
        <w:p>
          <w:pPr>
            <w:pStyle w:val="Contents5"/>
            <w:tabs>
              <w:tab w:val="clear" w:pos="7892"/>
              <w:tab w:val="right" w:pos="9026" w:leader="dot"/>
            </w:tabs>
            <w:rPr/>
          </w:pPr>
          <w:hyperlink w:anchor="__RefHeading___Toc473937_1479056682">
            <w:r>
              <w:rPr>
                <w:webHidden/>
                <w:rStyle w:val="IndexLink"/>
              </w:rPr>
              <w:t>2</w:t>
            </w:r>
            <w:r>
              <w:rPr>
                <w:rStyle w:val="IndexLink"/>
                <w:rtl w:val="true"/>
              </w:rPr>
              <w:t xml:space="preserve">- </w:t>
            </w:r>
            <w:r>
              <w:rPr>
                <w:rStyle w:val="IndexLink"/>
                <w:rtl w:val="true"/>
              </w:rPr>
              <w:t>وقف در میان مصریان قدیم</w:t>
            </w:r>
            <w:r>
              <w:rPr>
                <w:rStyle w:val="IndexLink"/>
                <w:rtl w:val="true"/>
              </w:rPr>
              <w:tab/>
            </w:r>
            <w:r>
              <w:rPr>
                <w:rStyle w:val="IndexLink"/>
              </w:rPr>
              <w:t>56</w:t>
            </w:r>
          </w:hyperlink>
        </w:p>
        <w:p>
          <w:pPr>
            <w:pStyle w:val="Contents5"/>
            <w:tabs>
              <w:tab w:val="clear" w:pos="7892"/>
              <w:tab w:val="right" w:pos="9026" w:leader="dot"/>
            </w:tabs>
            <w:rPr/>
          </w:pPr>
          <w:hyperlink w:anchor="__RefHeading___Toc473939_1479056682">
            <w:r>
              <w:rPr>
                <w:webHidden/>
                <w:rStyle w:val="IndexLink"/>
              </w:rPr>
              <w:t>3</w:t>
            </w:r>
            <w:r>
              <w:rPr>
                <w:rStyle w:val="IndexLink"/>
                <w:rtl w:val="true"/>
              </w:rPr>
              <w:t xml:space="preserve">- </w:t>
            </w:r>
            <w:r>
              <w:rPr>
                <w:rStyle w:val="IndexLink"/>
                <w:rtl w:val="true"/>
              </w:rPr>
              <w:t>وقف درمیان عراقیهای قدیم</w:t>
            </w:r>
            <w:r>
              <w:rPr>
                <w:rStyle w:val="IndexLink"/>
                <w:rtl w:val="true"/>
              </w:rPr>
              <w:tab/>
            </w:r>
            <w:r>
              <w:rPr>
                <w:rStyle w:val="IndexLink"/>
              </w:rPr>
              <w:t>57</w:t>
            </w:r>
          </w:hyperlink>
        </w:p>
        <w:p>
          <w:pPr>
            <w:pStyle w:val="Contents5"/>
            <w:tabs>
              <w:tab w:val="clear" w:pos="7892"/>
              <w:tab w:val="right" w:pos="9026" w:leader="dot"/>
            </w:tabs>
            <w:rPr/>
          </w:pPr>
          <w:hyperlink w:anchor="__RefHeading___Toc473941_1479056682">
            <w:r>
              <w:rPr>
                <w:webHidden/>
                <w:rStyle w:val="IndexLink"/>
              </w:rPr>
              <w:t>4</w:t>
            </w:r>
            <w:r>
              <w:rPr>
                <w:rStyle w:val="IndexLink"/>
                <w:rtl w:val="true"/>
              </w:rPr>
              <w:t xml:space="preserve">- </w:t>
            </w:r>
            <w:r>
              <w:rPr>
                <w:rStyle w:val="IndexLink"/>
                <w:rtl w:val="true"/>
              </w:rPr>
              <w:t>وقف در میان ایرانیان قدیم</w:t>
            </w:r>
            <w:r>
              <w:rPr>
                <w:rStyle w:val="IndexLink"/>
                <w:rtl w:val="true"/>
              </w:rPr>
              <w:tab/>
            </w:r>
            <w:r>
              <w:rPr>
                <w:rStyle w:val="IndexLink"/>
              </w:rPr>
              <w:t>57</w:t>
            </w:r>
          </w:hyperlink>
        </w:p>
        <w:p>
          <w:pPr>
            <w:pStyle w:val="Contents5"/>
            <w:tabs>
              <w:tab w:val="clear" w:pos="7892"/>
              <w:tab w:val="right" w:pos="9026" w:leader="dot"/>
            </w:tabs>
            <w:rPr/>
          </w:pPr>
          <w:hyperlink w:anchor="__RefHeading___Toc473943_1479056682">
            <w:r>
              <w:rPr>
                <w:webHidden/>
                <w:rStyle w:val="IndexLink"/>
              </w:rPr>
              <w:t>5</w:t>
            </w:r>
            <w:r>
              <w:rPr>
                <w:rStyle w:val="IndexLink"/>
                <w:rtl w:val="true"/>
              </w:rPr>
              <w:t xml:space="preserve">- </w:t>
            </w:r>
            <w:r>
              <w:rPr>
                <w:rStyle w:val="IndexLink"/>
                <w:rtl w:val="true"/>
              </w:rPr>
              <w:t>وقف در میان آلمانیها</w:t>
            </w:r>
            <w:r>
              <w:rPr>
                <w:rStyle w:val="IndexLink"/>
                <w:rtl w:val="true"/>
              </w:rPr>
              <w:tab/>
            </w:r>
            <w:r>
              <w:rPr>
                <w:rStyle w:val="IndexLink"/>
              </w:rPr>
              <w:t>57</w:t>
            </w:r>
          </w:hyperlink>
        </w:p>
        <w:p>
          <w:pPr>
            <w:pStyle w:val="Contents5"/>
            <w:tabs>
              <w:tab w:val="clear" w:pos="7892"/>
              <w:tab w:val="right" w:pos="9026" w:leader="dot"/>
            </w:tabs>
            <w:rPr/>
          </w:pPr>
          <w:hyperlink w:anchor="__RefHeading___Toc473945_1479056682">
            <w:r>
              <w:rPr>
                <w:webHidden/>
                <w:rStyle w:val="IndexLink"/>
              </w:rPr>
              <w:t>6</w:t>
            </w:r>
            <w:r>
              <w:rPr>
                <w:rStyle w:val="IndexLink"/>
                <w:rtl w:val="true"/>
              </w:rPr>
              <w:t xml:space="preserve">- </w:t>
            </w:r>
            <w:r>
              <w:rPr>
                <w:rStyle w:val="IndexLink"/>
                <w:rtl w:val="true"/>
              </w:rPr>
              <w:t>وقف در کشور سوئیس</w:t>
            </w:r>
            <w:r>
              <w:rPr>
                <w:rStyle w:val="IndexLink"/>
                <w:rtl w:val="true"/>
              </w:rPr>
              <w:tab/>
            </w:r>
            <w:r>
              <w:rPr>
                <w:rStyle w:val="IndexLink"/>
              </w:rPr>
              <w:t>58</w:t>
            </w:r>
          </w:hyperlink>
        </w:p>
        <w:p>
          <w:pPr>
            <w:pStyle w:val="Contents5"/>
            <w:tabs>
              <w:tab w:val="clear" w:pos="7892"/>
              <w:tab w:val="right" w:pos="9026" w:leader="dot"/>
            </w:tabs>
            <w:rPr/>
          </w:pPr>
          <w:hyperlink w:anchor="__RefHeading___Toc473947_1479056682">
            <w:r>
              <w:rPr>
                <w:webHidden/>
                <w:rStyle w:val="IndexLink"/>
              </w:rPr>
              <w:t>7</w:t>
            </w:r>
            <w:r>
              <w:rPr>
                <w:rStyle w:val="IndexLink"/>
                <w:rtl w:val="true"/>
              </w:rPr>
              <w:t xml:space="preserve">- </w:t>
            </w:r>
            <w:r>
              <w:rPr>
                <w:rStyle w:val="IndexLink"/>
                <w:rtl w:val="true"/>
              </w:rPr>
              <w:t>وقف در کشور فرانسه</w:t>
            </w:r>
            <w:r>
              <w:rPr>
                <w:rStyle w:val="IndexLink"/>
                <w:rtl w:val="true"/>
              </w:rPr>
              <w:tab/>
            </w:r>
            <w:r>
              <w:rPr>
                <w:rStyle w:val="IndexLink"/>
              </w:rPr>
              <w:t>59</w:t>
            </w:r>
          </w:hyperlink>
        </w:p>
        <w:p>
          <w:pPr>
            <w:pStyle w:val="Contents5"/>
            <w:tabs>
              <w:tab w:val="clear" w:pos="7892"/>
              <w:tab w:val="right" w:pos="9026" w:leader="dot"/>
            </w:tabs>
            <w:rPr/>
          </w:pPr>
          <w:hyperlink w:anchor="__RefHeading___Toc473949_1479056682">
            <w:r>
              <w:rPr>
                <w:webHidden/>
                <w:rStyle w:val="IndexLink"/>
              </w:rPr>
              <w:t>8</w:t>
            </w:r>
            <w:r>
              <w:rPr>
                <w:rStyle w:val="IndexLink"/>
                <w:rtl w:val="true"/>
              </w:rPr>
              <w:t xml:space="preserve">- </w:t>
            </w:r>
            <w:r>
              <w:rPr>
                <w:rStyle w:val="IndexLink"/>
                <w:rtl w:val="true"/>
              </w:rPr>
              <w:t>وقف در حقوق قدیم انگلستان و آمریکا</w:t>
            </w:r>
            <w:r>
              <w:rPr>
                <w:rStyle w:val="IndexLink"/>
                <w:rtl w:val="true"/>
              </w:rPr>
              <w:tab/>
            </w:r>
            <w:r>
              <w:rPr>
                <w:rStyle w:val="IndexLink"/>
              </w:rPr>
              <w:t>60</w:t>
            </w:r>
          </w:hyperlink>
        </w:p>
        <w:p>
          <w:pPr>
            <w:pStyle w:val="Contents4"/>
            <w:tabs>
              <w:tab w:val="clear" w:pos="8176"/>
              <w:tab w:val="right" w:pos="9026" w:leader="dot"/>
            </w:tabs>
            <w:rPr/>
          </w:pPr>
          <w:hyperlink w:anchor="__RefHeading___Toc473951_1479056682">
            <w:r>
              <w:rPr>
                <w:webHidden/>
                <w:rStyle w:val="IndexLink"/>
                <w:rtl w:val="true"/>
              </w:rPr>
              <w:t>مبحث سوم</w:t>
            </w:r>
            <w:r>
              <w:rPr>
                <w:rStyle w:val="IndexLink"/>
                <w:rtl w:val="true"/>
              </w:rPr>
              <w:t xml:space="preserve">: </w:t>
            </w:r>
            <w:r>
              <w:rPr>
                <w:rStyle w:val="IndexLink"/>
                <w:rtl w:val="true"/>
              </w:rPr>
              <w:t>وقف در جوامع اسلامی</w:t>
            </w:r>
            <w:r>
              <w:rPr>
                <w:rStyle w:val="IndexLink"/>
                <w:rtl w:val="true"/>
              </w:rPr>
              <w:tab/>
            </w:r>
            <w:r>
              <w:rPr>
                <w:rStyle w:val="IndexLink"/>
              </w:rPr>
              <w:t>61</w:t>
            </w:r>
          </w:hyperlink>
        </w:p>
        <w:p>
          <w:pPr>
            <w:pStyle w:val="Contents5"/>
            <w:tabs>
              <w:tab w:val="clear" w:pos="7892"/>
              <w:tab w:val="right" w:pos="9026" w:leader="dot"/>
            </w:tabs>
            <w:rPr/>
          </w:pPr>
          <w:hyperlink w:anchor="__RefHeading___Toc473953_1479056682">
            <w:r>
              <w:rPr>
                <w:webHidden/>
                <w:rStyle w:val="IndexLink"/>
                <w:rtl w:val="true"/>
              </w:rPr>
              <w:t xml:space="preserve">گفتار </w:t>
            </w:r>
            <w:r>
              <w:rPr>
                <w:rStyle w:val="IndexLink"/>
              </w:rPr>
              <w:t>1</w:t>
            </w:r>
            <w:r>
              <w:rPr>
                <w:rStyle w:val="IndexLink"/>
                <w:rtl w:val="true"/>
              </w:rPr>
              <w:t xml:space="preserve">- </w:t>
            </w:r>
            <w:r>
              <w:rPr>
                <w:rStyle w:val="IndexLink"/>
                <w:rtl w:val="true"/>
              </w:rPr>
              <w:t xml:space="preserve">موقوفات یا </w:t>
            </w:r>
            <w:r>
              <w:rPr>
                <w:rStyle w:val="IndexLink"/>
                <w:rtl w:val="true"/>
              </w:rPr>
              <w:t>«</w:t>
            </w:r>
            <w:r>
              <w:rPr>
                <w:rStyle w:val="IndexLink"/>
                <w:rtl w:val="true"/>
              </w:rPr>
              <w:t>صدقات</w:t>
            </w:r>
            <w:r>
              <w:rPr>
                <w:rStyle w:val="IndexLink"/>
                <w:rtl w:val="true"/>
              </w:rPr>
              <w:t xml:space="preserve">» </w:t>
            </w:r>
            <w:r>
              <w:rPr>
                <w:rStyle w:val="IndexLink"/>
                <w:rtl w:val="true"/>
              </w:rPr>
              <w:t>رسول خدا صلی‌الله‌علیه‌و‌آله</w:t>
            </w:r>
            <w:r>
              <w:rPr>
                <w:rStyle w:val="IndexLink"/>
                <w:rtl w:val="true"/>
              </w:rPr>
              <w:tab/>
            </w:r>
            <w:r>
              <w:rPr>
                <w:rStyle w:val="IndexLink"/>
              </w:rPr>
              <w:t>61</w:t>
            </w:r>
          </w:hyperlink>
        </w:p>
        <w:p>
          <w:pPr>
            <w:pStyle w:val="Contents6"/>
            <w:tabs>
              <w:tab w:val="clear" w:pos="7609"/>
              <w:tab w:val="right" w:pos="9026" w:leader="dot"/>
            </w:tabs>
            <w:rPr/>
          </w:pPr>
          <w:hyperlink w:anchor="__RefHeading___Toc473955_1479056682">
            <w:r>
              <w:rPr>
                <w:webHidden/>
                <w:rStyle w:val="IndexLink"/>
                <w:rtl w:val="true"/>
              </w:rPr>
              <w:t>اشاره</w:t>
            </w:r>
            <w:r>
              <w:rPr>
                <w:rStyle w:val="IndexLink"/>
                <w:rtl w:val="true"/>
              </w:rPr>
              <w:tab/>
            </w:r>
            <w:r>
              <w:rPr>
                <w:rStyle w:val="IndexLink"/>
              </w:rPr>
              <w:t>61</w:t>
            </w:r>
          </w:hyperlink>
        </w:p>
        <w:p>
          <w:pPr>
            <w:pStyle w:val="Contents6"/>
            <w:tabs>
              <w:tab w:val="clear" w:pos="7609"/>
              <w:tab w:val="right" w:pos="9026" w:leader="dot"/>
            </w:tabs>
            <w:rPr/>
          </w:pPr>
          <w:hyperlink w:anchor="__RefHeading___Toc473957_1479056682">
            <w:r>
              <w:rPr>
                <w:webHidden/>
                <w:rStyle w:val="IndexLink"/>
                <w:rtl w:val="true"/>
              </w:rPr>
              <w:t>حوائط هفت‌گانه</w:t>
            </w:r>
            <w:r>
              <w:rPr>
                <w:rStyle w:val="IndexLink"/>
                <w:rtl w:val="true"/>
              </w:rPr>
              <w:tab/>
            </w:r>
            <w:r>
              <w:rPr>
                <w:rStyle w:val="IndexLink"/>
              </w:rPr>
              <w:t>62</w:t>
            </w:r>
          </w:hyperlink>
        </w:p>
        <w:p>
          <w:pPr>
            <w:pStyle w:val="Contents6"/>
            <w:tabs>
              <w:tab w:val="clear" w:pos="7609"/>
              <w:tab w:val="right" w:pos="9026" w:leader="dot"/>
            </w:tabs>
            <w:rPr/>
          </w:pPr>
          <w:hyperlink w:anchor="__RefHeading___Toc473959_1479056682">
            <w:r>
              <w:rPr>
                <w:webHidden/>
                <w:rStyle w:val="IndexLink"/>
                <w:rtl w:val="true"/>
              </w:rPr>
              <w:t>فدک</w:t>
            </w:r>
            <w:r>
              <w:rPr>
                <w:rStyle w:val="IndexLink"/>
                <w:rtl w:val="true"/>
              </w:rPr>
              <w:tab/>
            </w:r>
            <w:r>
              <w:rPr>
                <w:rStyle w:val="IndexLink"/>
              </w:rPr>
              <w:t>63</w:t>
            </w:r>
          </w:hyperlink>
        </w:p>
        <w:p>
          <w:pPr>
            <w:pStyle w:val="Contents6"/>
            <w:tabs>
              <w:tab w:val="clear" w:pos="7609"/>
              <w:tab w:val="right" w:pos="9026" w:leader="dot"/>
            </w:tabs>
            <w:rPr/>
          </w:pPr>
          <w:hyperlink w:anchor="__RefHeading___Toc473961_1479056682">
            <w:r>
              <w:rPr>
                <w:webHidden/>
                <w:rStyle w:val="IndexLink"/>
                <w:rtl w:val="true"/>
              </w:rPr>
              <w:t>بررسی مسأله فدک از نظر امامیّه</w:t>
            </w:r>
            <w:r>
              <w:rPr>
                <w:rStyle w:val="IndexLink"/>
                <w:rtl w:val="true"/>
              </w:rPr>
              <w:tab/>
            </w:r>
            <w:r>
              <w:rPr>
                <w:rStyle w:val="IndexLink"/>
              </w:rPr>
              <w:t>66</w:t>
            </w:r>
          </w:hyperlink>
        </w:p>
        <w:p>
          <w:pPr>
            <w:pStyle w:val="Contents6"/>
            <w:tabs>
              <w:tab w:val="clear" w:pos="7609"/>
              <w:tab w:val="right" w:pos="9026" w:leader="dot"/>
            </w:tabs>
            <w:rPr/>
          </w:pPr>
          <w:hyperlink w:anchor="__RefHeading___Toc473963_1479056682">
            <w:r>
              <w:rPr>
                <w:webHidden/>
                <w:rStyle w:val="IndexLink"/>
                <w:rtl w:val="true"/>
              </w:rPr>
              <w:t xml:space="preserve">ادلّه نِحله </w:t>
            </w:r>
            <w:r>
              <w:rPr>
                <w:rStyle w:val="IndexLink"/>
                <w:rtl w:val="true"/>
              </w:rPr>
              <w:t>(</w:t>
            </w:r>
            <w:r>
              <w:rPr>
                <w:rStyle w:val="IndexLink"/>
                <w:rtl w:val="true"/>
              </w:rPr>
              <w:t>هِبه</w:t>
            </w:r>
            <w:r>
              <w:rPr>
                <w:rStyle w:val="IndexLink"/>
                <w:rtl w:val="true"/>
              </w:rPr>
              <w:t xml:space="preserve">) </w:t>
            </w:r>
            <w:r>
              <w:rPr>
                <w:rStyle w:val="IndexLink"/>
                <w:rtl w:val="true"/>
              </w:rPr>
              <w:t>بودن فدک</w:t>
            </w:r>
            <w:r>
              <w:rPr>
                <w:rStyle w:val="IndexLink"/>
                <w:rtl w:val="true"/>
              </w:rPr>
              <w:tab/>
            </w:r>
            <w:r>
              <w:rPr>
                <w:rStyle w:val="IndexLink"/>
              </w:rPr>
              <w:t>67</w:t>
            </w:r>
          </w:hyperlink>
        </w:p>
        <w:p>
          <w:pPr>
            <w:pStyle w:val="Contents6"/>
            <w:tabs>
              <w:tab w:val="clear" w:pos="7609"/>
              <w:tab w:val="right" w:pos="9026" w:leader="dot"/>
            </w:tabs>
            <w:rPr/>
          </w:pPr>
          <w:hyperlink w:anchor="__RefHeading___Toc473965_1479056682">
            <w:r>
              <w:rPr>
                <w:webHidden/>
                <w:rStyle w:val="IndexLink"/>
                <w:rtl w:val="true"/>
              </w:rPr>
              <w:t>موارد هشت‌گانه صدقات رسول خدا صلی‌الله‌علیه‌و‌آله</w:t>
            </w:r>
            <w:r>
              <w:rPr>
                <w:rStyle w:val="IndexLink"/>
                <w:rtl w:val="true"/>
              </w:rPr>
              <w:tab/>
            </w:r>
            <w:r>
              <w:rPr>
                <w:rStyle w:val="IndexLink"/>
              </w:rPr>
              <w:t>70</w:t>
            </w:r>
          </w:hyperlink>
        </w:p>
        <w:p>
          <w:pPr>
            <w:pStyle w:val="Contents5"/>
            <w:tabs>
              <w:tab w:val="clear" w:pos="7892"/>
              <w:tab w:val="right" w:pos="9026" w:leader="dot"/>
            </w:tabs>
            <w:rPr/>
          </w:pPr>
          <w:hyperlink w:anchor="__RefHeading___Toc473967_1479056682">
            <w:r>
              <w:rPr>
                <w:webHidden/>
                <w:rStyle w:val="IndexLink"/>
                <w:rtl w:val="true"/>
              </w:rPr>
              <w:t xml:space="preserve">گفتار </w:t>
            </w:r>
            <w:r>
              <w:rPr>
                <w:rStyle w:val="IndexLink"/>
              </w:rPr>
              <w:t>2</w:t>
            </w:r>
            <w:r>
              <w:rPr>
                <w:rStyle w:val="IndexLink"/>
                <w:rtl w:val="true"/>
              </w:rPr>
              <w:t xml:space="preserve">- </w:t>
            </w:r>
            <w:r>
              <w:rPr>
                <w:rStyle w:val="IndexLink"/>
                <w:rtl w:val="true"/>
              </w:rPr>
              <w:t>وقف در سیره معصومین علیهم‌السلام</w:t>
            </w:r>
            <w:r>
              <w:rPr>
                <w:rStyle w:val="IndexLink"/>
                <w:rtl w:val="true"/>
              </w:rPr>
              <w:tab/>
            </w:r>
            <w:r>
              <w:rPr>
                <w:rStyle w:val="IndexLink"/>
              </w:rPr>
              <w:t>70</w:t>
            </w:r>
          </w:hyperlink>
        </w:p>
        <w:p>
          <w:pPr>
            <w:pStyle w:val="Contents6"/>
            <w:tabs>
              <w:tab w:val="clear" w:pos="7609"/>
              <w:tab w:val="right" w:pos="9026" w:leader="dot"/>
            </w:tabs>
            <w:rPr/>
          </w:pPr>
          <w:hyperlink w:anchor="__RefHeading___Toc473969_1479056682">
            <w:r>
              <w:rPr>
                <w:webHidden/>
                <w:rStyle w:val="IndexLink"/>
                <w:rtl w:val="true"/>
              </w:rPr>
              <w:t>اشاره</w:t>
            </w:r>
            <w:r>
              <w:rPr>
                <w:rStyle w:val="IndexLink"/>
                <w:rtl w:val="true"/>
              </w:rPr>
              <w:tab/>
            </w:r>
            <w:r>
              <w:rPr>
                <w:rStyle w:val="IndexLink"/>
              </w:rPr>
              <w:t>70</w:t>
            </w:r>
          </w:hyperlink>
        </w:p>
        <w:p>
          <w:pPr>
            <w:pStyle w:val="Contents6"/>
            <w:tabs>
              <w:tab w:val="clear" w:pos="7609"/>
              <w:tab w:val="right" w:pos="9026" w:leader="dot"/>
            </w:tabs>
            <w:rPr/>
          </w:pPr>
          <w:hyperlink w:anchor="__RefHeading___Toc473971_1479056682">
            <w:r>
              <w:rPr>
                <w:webHidden/>
                <w:rStyle w:val="IndexLink"/>
                <w:rtl w:val="true"/>
              </w:rPr>
              <w:t>حضرت علی علیه‌السلام</w:t>
            </w:r>
            <w:r>
              <w:rPr>
                <w:rStyle w:val="IndexLink"/>
                <w:rtl w:val="true"/>
              </w:rPr>
              <w:tab/>
            </w:r>
            <w:r>
              <w:rPr>
                <w:rStyle w:val="IndexLink"/>
              </w:rPr>
              <w:t>71</w:t>
            </w:r>
          </w:hyperlink>
        </w:p>
        <w:p>
          <w:pPr>
            <w:pStyle w:val="Contents6"/>
            <w:tabs>
              <w:tab w:val="clear" w:pos="7609"/>
              <w:tab w:val="right" w:pos="9026" w:leader="dot"/>
            </w:tabs>
            <w:rPr/>
          </w:pPr>
          <w:hyperlink w:anchor="__RefHeading___Toc473973_1479056682">
            <w:r>
              <w:rPr>
                <w:webHidden/>
                <w:rStyle w:val="IndexLink"/>
                <w:rtl w:val="true"/>
              </w:rPr>
              <w:t>حضرت زهراء علیهاالسلام</w:t>
            </w:r>
            <w:r>
              <w:rPr>
                <w:rStyle w:val="IndexLink"/>
                <w:rtl w:val="true"/>
              </w:rPr>
              <w:tab/>
            </w:r>
            <w:r>
              <w:rPr>
                <w:rStyle w:val="IndexLink"/>
              </w:rPr>
              <w:t>73</w:t>
            </w:r>
          </w:hyperlink>
        </w:p>
        <w:p>
          <w:pPr>
            <w:pStyle w:val="Contents6"/>
            <w:tabs>
              <w:tab w:val="clear" w:pos="7609"/>
              <w:tab w:val="right" w:pos="9026" w:leader="dot"/>
            </w:tabs>
            <w:rPr/>
          </w:pPr>
          <w:hyperlink w:anchor="__RefHeading___Toc473975_1479056682">
            <w:r>
              <w:rPr>
                <w:webHidden/>
                <w:rStyle w:val="IndexLink"/>
                <w:rtl w:val="true"/>
              </w:rPr>
              <w:t>اوقاف و صدقات برخی دیگر از امامان علیهم‌السلام</w:t>
            </w:r>
            <w:r>
              <w:rPr>
                <w:rStyle w:val="IndexLink"/>
                <w:rtl w:val="true"/>
              </w:rPr>
              <w:tab/>
            </w:r>
            <w:r>
              <w:rPr>
                <w:rStyle w:val="IndexLink"/>
              </w:rPr>
              <w:t>75</w:t>
            </w:r>
          </w:hyperlink>
        </w:p>
        <w:p>
          <w:pPr>
            <w:pStyle w:val="Contents5"/>
            <w:tabs>
              <w:tab w:val="clear" w:pos="7892"/>
              <w:tab w:val="right" w:pos="9026" w:leader="dot"/>
            </w:tabs>
            <w:rPr/>
          </w:pPr>
          <w:hyperlink w:anchor="__RefHeading___Toc473977_1479056682">
            <w:r>
              <w:rPr>
                <w:webHidden/>
                <w:rStyle w:val="IndexLink"/>
                <w:rtl w:val="true"/>
              </w:rPr>
              <w:t xml:space="preserve">گفتار </w:t>
            </w:r>
            <w:r>
              <w:rPr>
                <w:rStyle w:val="IndexLink"/>
              </w:rPr>
              <w:t>3</w:t>
            </w:r>
            <w:r>
              <w:rPr>
                <w:rStyle w:val="IndexLink"/>
                <w:rtl w:val="true"/>
              </w:rPr>
              <w:t xml:space="preserve">- </w:t>
            </w:r>
            <w:r>
              <w:rPr>
                <w:rStyle w:val="IndexLink"/>
                <w:rtl w:val="true"/>
              </w:rPr>
              <w:t>وقف در سیره صحابه و تابعین</w:t>
            </w:r>
            <w:r>
              <w:rPr>
                <w:rStyle w:val="IndexLink"/>
                <w:rtl w:val="true"/>
              </w:rPr>
              <w:tab/>
            </w:r>
            <w:r>
              <w:rPr>
                <w:rStyle w:val="IndexLink"/>
              </w:rPr>
              <w:t>76</w:t>
            </w:r>
          </w:hyperlink>
        </w:p>
        <w:p>
          <w:pPr>
            <w:pStyle w:val="Contents2"/>
            <w:tabs>
              <w:tab w:val="clear" w:pos="8743"/>
              <w:tab w:val="right" w:pos="9026" w:leader="dot"/>
            </w:tabs>
            <w:rPr/>
          </w:pPr>
          <w:hyperlink w:anchor="__RefHeading___Toc473979_1479056682">
            <w:r>
              <w:rPr>
                <w:webHidden/>
                <w:rStyle w:val="IndexLink"/>
                <w:rtl w:val="true"/>
              </w:rPr>
              <w:t xml:space="preserve">بخش </w:t>
            </w:r>
            <w:r>
              <w:rPr>
                <w:rStyle w:val="IndexLink"/>
              </w:rPr>
              <w:t>2</w:t>
            </w:r>
            <w:r>
              <w:rPr>
                <w:rStyle w:val="IndexLink"/>
                <w:rtl w:val="true"/>
              </w:rPr>
              <w:t xml:space="preserve">: </w:t>
            </w:r>
            <w:r>
              <w:rPr>
                <w:rStyle w:val="IndexLink"/>
                <w:rtl w:val="true"/>
              </w:rPr>
              <w:t>وقف در فقه اسلامی</w:t>
            </w:r>
            <w:r>
              <w:rPr>
                <w:rStyle w:val="IndexLink"/>
                <w:rtl w:val="true"/>
              </w:rPr>
              <w:tab/>
            </w:r>
            <w:r>
              <w:rPr>
                <w:rStyle w:val="IndexLink"/>
              </w:rPr>
              <w:t>80</w:t>
            </w:r>
          </w:hyperlink>
        </w:p>
        <w:p>
          <w:pPr>
            <w:pStyle w:val="Contents3"/>
            <w:tabs>
              <w:tab w:val="clear" w:pos="8459"/>
              <w:tab w:val="right" w:pos="9026" w:leader="dot"/>
            </w:tabs>
            <w:rPr/>
          </w:pPr>
          <w:hyperlink w:anchor="__RefHeading___Toc473981_1479056682">
            <w:r>
              <w:rPr>
                <w:webHidden/>
                <w:rStyle w:val="IndexLink"/>
                <w:rtl w:val="true"/>
              </w:rPr>
              <w:t>اشاره</w:t>
            </w:r>
            <w:r>
              <w:rPr>
                <w:rStyle w:val="IndexLink"/>
                <w:rtl w:val="true"/>
              </w:rPr>
              <w:tab/>
            </w:r>
            <w:r>
              <w:rPr>
                <w:rStyle w:val="IndexLink"/>
              </w:rPr>
              <w:t>80</w:t>
            </w:r>
          </w:hyperlink>
        </w:p>
        <w:p>
          <w:pPr>
            <w:pStyle w:val="Contents3"/>
            <w:tabs>
              <w:tab w:val="clear" w:pos="8459"/>
              <w:tab w:val="right" w:pos="9026" w:leader="dot"/>
            </w:tabs>
            <w:rPr/>
          </w:pPr>
          <w:hyperlink w:anchor="__RefHeading___Toc473983_1479056682">
            <w:r>
              <w:rPr>
                <w:webHidden/>
                <w:rStyle w:val="IndexLink"/>
                <w:rtl w:val="true"/>
              </w:rPr>
              <w:t>فصل اوّل</w:t>
            </w:r>
            <w:r>
              <w:rPr>
                <w:rStyle w:val="IndexLink"/>
                <w:rtl w:val="true"/>
              </w:rPr>
              <w:t xml:space="preserve">: </w:t>
            </w:r>
            <w:r>
              <w:rPr>
                <w:rStyle w:val="IndexLink"/>
                <w:rtl w:val="true"/>
              </w:rPr>
              <w:t>وقف؛ شرایط</w:t>
            </w:r>
            <w:r>
              <w:rPr>
                <w:rStyle w:val="IndexLink"/>
                <w:rtl w:val="true"/>
              </w:rPr>
              <w:tab/>
            </w:r>
            <w:r>
              <w:rPr>
                <w:rStyle w:val="IndexLink"/>
              </w:rPr>
              <w:t>82</w:t>
            </w:r>
          </w:hyperlink>
        </w:p>
        <w:p>
          <w:pPr>
            <w:pStyle w:val="Contents4"/>
            <w:tabs>
              <w:tab w:val="clear" w:pos="8176"/>
              <w:tab w:val="right" w:pos="9026" w:leader="dot"/>
            </w:tabs>
            <w:rPr/>
          </w:pPr>
          <w:hyperlink w:anchor="__RefHeading___Toc473985_1479056682">
            <w:r>
              <w:rPr>
                <w:webHidden/>
                <w:rStyle w:val="IndexLink"/>
                <w:rtl w:val="true"/>
              </w:rPr>
              <w:t>شرط اوّل</w:t>
            </w:r>
            <w:r>
              <w:rPr>
                <w:rStyle w:val="IndexLink"/>
                <w:rtl w:val="true"/>
              </w:rPr>
              <w:t xml:space="preserve">: </w:t>
            </w:r>
            <w:r>
              <w:rPr>
                <w:rStyle w:val="IndexLink"/>
                <w:rtl w:val="true"/>
              </w:rPr>
              <w:t>قصد قُربت</w:t>
            </w:r>
            <w:r>
              <w:rPr>
                <w:rStyle w:val="IndexLink"/>
                <w:rtl w:val="true"/>
              </w:rPr>
              <w:tab/>
            </w:r>
            <w:r>
              <w:rPr>
                <w:rStyle w:val="IndexLink"/>
              </w:rPr>
              <w:t>82</w:t>
            </w:r>
          </w:hyperlink>
        </w:p>
        <w:p>
          <w:pPr>
            <w:pStyle w:val="Contents5"/>
            <w:tabs>
              <w:tab w:val="clear" w:pos="7892"/>
              <w:tab w:val="right" w:pos="9026" w:leader="dot"/>
            </w:tabs>
            <w:rPr/>
          </w:pPr>
          <w:hyperlink w:anchor="__RefHeading___Toc473987_1479056682">
            <w:r>
              <w:rPr>
                <w:webHidden/>
                <w:rStyle w:val="IndexLink"/>
                <w:rtl w:val="true"/>
              </w:rPr>
              <w:t>اشاره</w:t>
            </w:r>
            <w:r>
              <w:rPr>
                <w:rStyle w:val="IndexLink"/>
                <w:rtl w:val="true"/>
              </w:rPr>
              <w:tab/>
            </w:r>
            <w:r>
              <w:rPr>
                <w:rStyle w:val="IndexLink"/>
              </w:rPr>
              <w:t>82</w:t>
            </w:r>
          </w:hyperlink>
        </w:p>
        <w:p>
          <w:pPr>
            <w:pStyle w:val="Contents5"/>
            <w:tabs>
              <w:tab w:val="clear" w:pos="7892"/>
              <w:tab w:val="right" w:pos="9026" w:leader="dot"/>
            </w:tabs>
            <w:rPr/>
          </w:pPr>
          <w:hyperlink w:anchor="__RefHeading___Toc473989_1479056682">
            <w:r>
              <w:rPr>
                <w:webHidden/>
                <w:rStyle w:val="IndexLink"/>
                <w:rtl w:val="true"/>
              </w:rPr>
              <w:t>دیدگاه فقهای امامیّه</w:t>
            </w:r>
            <w:r>
              <w:rPr>
                <w:rStyle w:val="IndexLink"/>
                <w:rtl w:val="true"/>
              </w:rPr>
              <w:tab/>
            </w:r>
            <w:r>
              <w:rPr>
                <w:rStyle w:val="IndexLink"/>
              </w:rPr>
              <w:t>82</w:t>
            </w:r>
          </w:hyperlink>
        </w:p>
        <w:p>
          <w:pPr>
            <w:pStyle w:val="Contents5"/>
            <w:tabs>
              <w:tab w:val="clear" w:pos="7892"/>
              <w:tab w:val="right" w:pos="9026" w:leader="dot"/>
            </w:tabs>
            <w:rPr/>
          </w:pPr>
          <w:hyperlink w:anchor="__RefHeading___Toc473991_1479056682">
            <w:r>
              <w:rPr>
                <w:webHidden/>
                <w:rStyle w:val="IndexLink"/>
                <w:rtl w:val="true"/>
              </w:rPr>
              <w:t>دلایل کسانی که قربت را معتبر نمی‌دانند</w:t>
            </w:r>
            <w:r>
              <w:rPr>
                <w:rStyle w:val="IndexLink"/>
                <w:rtl w:val="true"/>
              </w:rPr>
              <w:tab/>
            </w:r>
            <w:r>
              <w:rPr>
                <w:rStyle w:val="IndexLink"/>
              </w:rPr>
              <w:t>83</w:t>
            </w:r>
          </w:hyperlink>
        </w:p>
        <w:p>
          <w:pPr>
            <w:pStyle w:val="Contents5"/>
            <w:tabs>
              <w:tab w:val="clear" w:pos="7892"/>
              <w:tab w:val="right" w:pos="9026" w:leader="dot"/>
            </w:tabs>
            <w:rPr/>
          </w:pPr>
          <w:hyperlink w:anchor="__RefHeading___Toc473993_1479056682">
            <w:r>
              <w:rPr>
                <w:webHidden/>
                <w:rStyle w:val="IndexLink"/>
                <w:rtl w:val="true"/>
              </w:rPr>
              <w:t>دلایل کسانی که قربت را معتبر می‌دانند</w:t>
            </w:r>
            <w:r>
              <w:rPr>
                <w:rStyle w:val="IndexLink"/>
                <w:rtl w:val="true"/>
              </w:rPr>
              <w:tab/>
            </w:r>
            <w:r>
              <w:rPr>
                <w:rStyle w:val="IndexLink"/>
              </w:rPr>
              <w:t>84</w:t>
            </w:r>
          </w:hyperlink>
        </w:p>
        <w:p>
          <w:pPr>
            <w:pStyle w:val="Contents5"/>
            <w:tabs>
              <w:tab w:val="clear" w:pos="7892"/>
              <w:tab w:val="right" w:pos="9026" w:leader="dot"/>
            </w:tabs>
            <w:rPr/>
          </w:pPr>
          <w:hyperlink w:anchor="__RefHeading___Toc473995_1479056682">
            <w:r>
              <w:rPr>
                <w:webHidden/>
                <w:rStyle w:val="IndexLink"/>
                <w:rtl w:val="true"/>
              </w:rPr>
              <w:t>دیدگاه دیگر مذاهب</w:t>
            </w:r>
            <w:r>
              <w:rPr>
                <w:rStyle w:val="IndexLink"/>
                <w:rtl w:val="true"/>
              </w:rPr>
              <w:tab/>
            </w:r>
            <w:r>
              <w:rPr>
                <w:rStyle w:val="IndexLink"/>
              </w:rPr>
              <w:t>85</w:t>
            </w:r>
          </w:hyperlink>
        </w:p>
        <w:p>
          <w:pPr>
            <w:pStyle w:val="Contents4"/>
            <w:tabs>
              <w:tab w:val="clear" w:pos="8176"/>
              <w:tab w:val="right" w:pos="9026" w:leader="dot"/>
            </w:tabs>
            <w:rPr/>
          </w:pPr>
          <w:hyperlink w:anchor="__RefHeading___Toc473997_1479056682">
            <w:r>
              <w:rPr>
                <w:webHidden/>
                <w:rStyle w:val="IndexLink"/>
                <w:rtl w:val="true"/>
              </w:rPr>
              <w:t>شرط دوم</w:t>
            </w:r>
            <w:r>
              <w:rPr>
                <w:rStyle w:val="IndexLink"/>
                <w:rtl w:val="true"/>
              </w:rPr>
              <w:t xml:space="preserve">: </w:t>
            </w:r>
            <w:r>
              <w:rPr>
                <w:rStyle w:val="IndexLink"/>
                <w:rtl w:val="true"/>
              </w:rPr>
              <w:t>صیغه</w:t>
            </w:r>
            <w:r>
              <w:rPr>
                <w:rStyle w:val="IndexLink"/>
                <w:rtl w:val="true"/>
              </w:rPr>
              <w:tab/>
            </w:r>
            <w:r>
              <w:rPr>
                <w:rStyle w:val="IndexLink"/>
              </w:rPr>
              <w:t>87</w:t>
            </w:r>
          </w:hyperlink>
        </w:p>
        <w:p>
          <w:pPr>
            <w:pStyle w:val="Contents5"/>
            <w:tabs>
              <w:tab w:val="clear" w:pos="7892"/>
              <w:tab w:val="right" w:pos="9026" w:leader="dot"/>
            </w:tabs>
            <w:rPr/>
          </w:pPr>
          <w:hyperlink w:anchor="__RefHeading___Toc473999_1479056682">
            <w:r>
              <w:rPr>
                <w:webHidden/>
                <w:rStyle w:val="IndexLink"/>
                <w:rtl w:val="true"/>
              </w:rPr>
              <w:t>معنای لغوی و اصطلاحی صیغه</w:t>
            </w:r>
            <w:r>
              <w:rPr>
                <w:rStyle w:val="IndexLink"/>
                <w:rtl w:val="true"/>
              </w:rPr>
              <w:tab/>
            </w:r>
            <w:r>
              <w:rPr>
                <w:rStyle w:val="IndexLink"/>
              </w:rPr>
              <w:t>87</w:t>
            </w:r>
          </w:hyperlink>
        </w:p>
        <w:p>
          <w:pPr>
            <w:pStyle w:val="Contents5"/>
            <w:tabs>
              <w:tab w:val="clear" w:pos="7892"/>
              <w:tab w:val="right" w:pos="9026" w:leader="dot"/>
            </w:tabs>
            <w:rPr/>
          </w:pPr>
          <w:hyperlink w:anchor="__RefHeading___Toc474001_1479056682">
            <w:r>
              <w:rPr>
                <w:webHidden/>
                <w:rStyle w:val="IndexLink"/>
              </w:rPr>
              <w:t>1</w:t>
            </w:r>
            <w:r>
              <w:rPr>
                <w:rStyle w:val="IndexLink"/>
                <w:rtl w:val="true"/>
              </w:rPr>
              <w:t xml:space="preserve">- </w:t>
            </w:r>
            <w:r>
              <w:rPr>
                <w:rStyle w:val="IndexLink"/>
                <w:rtl w:val="true"/>
              </w:rPr>
              <w:t>مُعاطات در وقف</w:t>
            </w:r>
            <w:r>
              <w:rPr>
                <w:rStyle w:val="IndexLink"/>
                <w:rtl w:val="true"/>
              </w:rPr>
              <w:tab/>
            </w:r>
            <w:r>
              <w:rPr>
                <w:rStyle w:val="IndexLink"/>
              </w:rPr>
              <w:t>87</w:t>
            </w:r>
          </w:hyperlink>
        </w:p>
        <w:p>
          <w:pPr>
            <w:pStyle w:val="Contents6"/>
            <w:tabs>
              <w:tab w:val="clear" w:pos="7609"/>
              <w:tab w:val="right" w:pos="9026" w:leader="dot"/>
            </w:tabs>
            <w:rPr/>
          </w:pPr>
          <w:hyperlink w:anchor="__RefHeading___Toc474003_1479056682">
            <w:r>
              <w:rPr>
                <w:webHidden/>
                <w:rStyle w:val="IndexLink"/>
                <w:rtl w:val="true"/>
              </w:rPr>
              <w:t>دیدگاه امامیّه</w:t>
            </w:r>
            <w:r>
              <w:rPr>
                <w:rStyle w:val="IndexLink"/>
                <w:rtl w:val="true"/>
              </w:rPr>
              <w:tab/>
            </w:r>
            <w:r>
              <w:rPr>
                <w:rStyle w:val="IndexLink"/>
              </w:rPr>
              <w:t>87</w:t>
            </w:r>
          </w:hyperlink>
        </w:p>
        <w:p>
          <w:pPr>
            <w:pStyle w:val="Contents6"/>
            <w:tabs>
              <w:tab w:val="clear" w:pos="7609"/>
              <w:tab w:val="right" w:pos="9026" w:leader="dot"/>
            </w:tabs>
            <w:rPr/>
          </w:pPr>
          <w:hyperlink w:anchor="__RefHeading___Toc474005_1479056682">
            <w:r>
              <w:rPr>
                <w:webHidden/>
                <w:rStyle w:val="IndexLink"/>
                <w:rtl w:val="true"/>
              </w:rPr>
              <w:t>دیدگاه دیگر مذاهب</w:t>
            </w:r>
            <w:r>
              <w:rPr>
                <w:rStyle w:val="IndexLink"/>
                <w:rtl w:val="true"/>
              </w:rPr>
              <w:tab/>
            </w:r>
            <w:r>
              <w:rPr>
                <w:rStyle w:val="IndexLink"/>
              </w:rPr>
              <w:t>89</w:t>
            </w:r>
          </w:hyperlink>
        </w:p>
        <w:p>
          <w:pPr>
            <w:pStyle w:val="Contents5"/>
            <w:tabs>
              <w:tab w:val="clear" w:pos="7892"/>
              <w:tab w:val="right" w:pos="9026" w:leader="dot"/>
            </w:tabs>
            <w:rPr/>
          </w:pPr>
          <w:hyperlink w:anchor="__RefHeading___Toc474007_1479056682">
            <w:r>
              <w:rPr>
                <w:webHidden/>
                <w:rStyle w:val="IndexLink"/>
              </w:rPr>
              <w:t>2</w:t>
            </w:r>
            <w:r>
              <w:rPr>
                <w:rStyle w:val="IndexLink"/>
                <w:rtl w:val="true"/>
              </w:rPr>
              <w:t xml:space="preserve"> - </w:t>
            </w:r>
            <w:r>
              <w:rPr>
                <w:rStyle w:val="IndexLink"/>
                <w:rtl w:val="true"/>
              </w:rPr>
              <w:t>وقف، عقد است یا ایقاع ؟</w:t>
            </w:r>
            <w:r>
              <w:rPr>
                <w:rStyle w:val="IndexLink"/>
                <w:rtl w:val="true"/>
              </w:rPr>
              <w:tab/>
            </w:r>
            <w:r>
              <w:rPr>
                <w:rStyle w:val="IndexLink"/>
              </w:rPr>
              <w:t>90</w:t>
            </w:r>
          </w:hyperlink>
        </w:p>
        <w:p>
          <w:pPr>
            <w:pStyle w:val="Contents6"/>
            <w:tabs>
              <w:tab w:val="clear" w:pos="7609"/>
              <w:tab w:val="right" w:pos="9026" w:leader="dot"/>
            </w:tabs>
            <w:rPr/>
          </w:pPr>
          <w:hyperlink w:anchor="__RefHeading___Toc474009_1479056682">
            <w:r>
              <w:rPr>
                <w:webHidden/>
                <w:rStyle w:val="IndexLink"/>
                <w:rtl w:val="true"/>
              </w:rPr>
              <w:t>اشاره</w:t>
            </w:r>
            <w:r>
              <w:rPr>
                <w:rStyle w:val="IndexLink"/>
                <w:rtl w:val="true"/>
              </w:rPr>
              <w:tab/>
            </w:r>
            <w:r>
              <w:rPr>
                <w:rStyle w:val="IndexLink"/>
              </w:rPr>
              <w:t>90</w:t>
            </w:r>
          </w:hyperlink>
        </w:p>
        <w:p>
          <w:pPr>
            <w:pStyle w:val="Contents6"/>
            <w:tabs>
              <w:tab w:val="clear" w:pos="7609"/>
              <w:tab w:val="right" w:pos="9026" w:leader="dot"/>
            </w:tabs>
            <w:rPr/>
          </w:pPr>
          <w:hyperlink w:anchor="__RefHeading___Toc474011_1479056682">
            <w:r>
              <w:rPr>
                <w:webHidden/>
                <w:rStyle w:val="IndexLink"/>
                <w:rtl w:val="true"/>
              </w:rPr>
              <w:t>دیدگاه امامیه</w:t>
            </w:r>
            <w:r>
              <w:rPr>
                <w:rStyle w:val="IndexLink"/>
                <w:rtl w:val="true"/>
              </w:rPr>
              <w:tab/>
            </w:r>
            <w:r>
              <w:rPr>
                <w:rStyle w:val="IndexLink"/>
              </w:rPr>
              <w:t>90</w:t>
            </w:r>
          </w:hyperlink>
        </w:p>
        <w:p>
          <w:pPr>
            <w:pStyle w:val="Contents6"/>
            <w:tabs>
              <w:tab w:val="clear" w:pos="7609"/>
              <w:tab w:val="right" w:pos="9026" w:leader="dot"/>
            </w:tabs>
            <w:rPr/>
          </w:pPr>
          <w:hyperlink w:anchor="__RefHeading___Toc474013_1479056682">
            <w:r>
              <w:rPr>
                <w:webHidden/>
                <w:rStyle w:val="IndexLink"/>
                <w:rtl w:val="true"/>
              </w:rPr>
              <w:t>دیدگاه دیگر مذاهب اسلامی</w:t>
            </w:r>
            <w:r>
              <w:rPr>
                <w:rStyle w:val="IndexLink"/>
                <w:rtl w:val="true"/>
              </w:rPr>
              <w:tab/>
            </w:r>
            <w:r>
              <w:rPr>
                <w:rStyle w:val="IndexLink"/>
              </w:rPr>
              <w:t>93</w:t>
            </w:r>
          </w:hyperlink>
        </w:p>
        <w:p>
          <w:pPr>
            <w:pStyle w:val="Contents5"/>
            <w:tabs>
              <w:tab w:val="clear" w:pos="7892"/>
              <w:tab w:val="right" w:pos="9026" w:leader="dot"/>
            </w:tabs>
            <w:rPr/>
          </w:pPr>
          <w:hyperlink w:anchor="__RefHeading___Toc474015_1479056682">
            <w:r>
              <w:rPr>
                <w:webHidden/>
                <w:rStyle w:val="IndexLink"/>
              </w:rPr>
              <w:t>3</w:t>
            </w:r>
            <w:r>
              <w:rPr>
                <w:rStyle w:val="IndexLink"/>
                <w:rtl w:val="true"/>
              </w:rPr>
              <w:t xml:space="preserve"> - </w:t>
            </w:r>
            <w:r>
              <w:rPr>
                <w:rStyle w:val="IndexLink"/>
                <w:rtl w:val="true"/>
              </w:rPr>
              <w:t>آیا وقف از عقود لازم است؟</w:t>
            </w:r>
            <w:r>
              <w:rPr>
                <w:rStyle w:val="IndexLink"/>
                <w:rtl w:val="true"/>
              </w:rPr>
              <w:tab/>
            </w:r>
            <w:r>
              <w:rPr>
                <w:rStyle w:val="IndexLink"/>
              </w:rPr>
              <w:t>94</w:t>
            </w:r>
          </w:hyperlink>
        </w:p>
        <w:p>
          <w:pPr>
            <w:pStyle w:val="Contents6"/>
            <w:tabs>
              <w:tab w:val="clear" w:pos="7609"/>
              <w:tab w:val="right" w:pos="9026" w:leader="dot"/>
            </w:tabs>
            <w:rPr/>
          </w:pPr>
          <w:hyperlink w:anchor="__RefHeading___Toc474017_1479056682">
            <w:r>
              <w:rPr>
                <w:webHidden/>
                <w:rStyle w:val="IndexLink"/>
                <w:rtl w:val="true"/>
              </w:rPr>
              <w:t>اشاره</w:t>
            </w:r>
            <w:r>
              <w:rPr>
                <w:rStyle w:val="IndexLink"/>
                <w:rtl w:val="true"/>
              </w:rPr>
              <w:tab/>
            </w:r>
            <w:r>
              <w:rPr>
                <w:rStyle w:val="IndexLink"/>
              </w:rPr>
              <w:t>94</w:t>
            </w:r>
          </w:hyperlink>
        </w:p>
        <w:p>
          <w:pPr>
            <w:pStyle w:val="Contents6"/>
            <w:tabs>
              <w:tab w:val="clear" w:pos="7609"/>
              <w:tab w:val="right" w:pos="9026" w:leader="dot"/>
            </w:tabs>
            <w:rPr/>
          </w:pPr>
          <w:hyperlink w:anchor="__RefHeading___Toc474019_1479056682">
            <w:r>
              <w:rPr>
                <w:webHidden/>
                <w:rStyle w:val="IndexLink"/>
                <w:rtl w:val="true"/>
              </w:rPr>
              <w:t>دیدگاه امامیّه</w:t>
            </w:r>
            <w:r>
              <w:rPr>
                <w:rStyle w:val="IndexLink"/>
                <w:rtl w:val="true"/>
              </w:rPr>
              <w:tab/>
            </w:r>
            <w:r>
              <w:rPr>
                <w:rStyle w:val="IndexLink"/>
              </w:rPr>
              <w:t>94</w:t>
            </w:r>
          </w:hyperlink>
        </w:p>
        <w:p>
          <w:pPr>
            <w:pStyle w:val="Contents6"/>
            <w:tabs>
              <w:tab w:val="clear" w:pos="7609"/>
              <w:tab w:val="right" w:pos="9026" w:leader="dot"/>
            </w:tabs>
            <w:rPr/>
          </w:pPr>
          <w:hyperlink w:anchor="__RefHeading___Toc474021_1479056682">
            <w:r>
              <w:rPr>
                <w:webHidden/>
                <w:rStyle w:val="IndexLink"/>
                <w:rtl w:val="true"/>
              </w:rPr>
              <w:t>دیدگاه دیگر مذاهب</w:t>
            </w:r>
            <w:r>
              <w:rPr>
                <w:rStyle w:val="IndexLink"/>
                <w:rtl w:val="true"/>
              </w:rPr>
              <w:tab/>
            </w:r>
            <w:r>
              <w:rPr>
                <w:rStyle w:val="IndexLink"/>
              </w:rPr>
              <w:t>96</w:t>
            </w:r>
          </w:hyperlink>
        </w:p>
        <w:p>
          <w:pPr>
            <w:pStyle w:val="Contents6"/>
            <w:tabs>
              <w:tab w:val="clear" w:pos="7609"/>
              <w:tab w:val="right" w:pos="9026" w:leader="dot"/>
            </w:tabs>
            <w:rPr/>
          </w:pPr>
          <w:hyperlink w:anchor="__RefHeading___Toc474023_1479056682">
            <w:r>
              <w:rPr>
                <w:webHidden/>
                <w:rStyle w:val="IndexLink"/>
                <w:rtl w:val="true"/>
              </w:rPr>
              <w:t>قانون مدنی</w:t>
            </w:r>
            <w:r>
              <w:rPr>
                <w:rStyle w:val="IndexLink"/>
                <w:rtl w:val="true"/>
              </w:rPr>
              <w:tab/>
            </w:r>
            <w:r>
              <w:rPr>
                <w:rStyle w:val="IndexLink"/>
              </w:rPr>
              <w:t>100</w:t>
            </w:r>
          </w:hyperlink>
        </w:p>
        <w:p>
          <w:pPr>
            <w:pStyle w:val="Contents5"/>
            <w:tabs>
              <w:tab w:val="clear" w:pos="7892"/>
              <w:tab w:val="right" w:pos="9026" w:leader="dot"/>
            </w:tabs>
            <w:rPr/>
          </w:pPr>
          <w:hyperlink w:anchor="__RefHeading___Toc474025_1479056682">
            <w:r>
              <w:rPr>
                <w:webHidden/>
                <w:rStyle w:val="IndexLink"/>
              </w:rPr>
              <w:t>4</w:t>
            </w:r>
            <w:r>
              <w:rPr>
                <w:rStyle w:val="IndexLink"/>
                <w:rtl w:val="true"/>
              </w:rPr>
              <w:t xml:space="preserve">- </w:t>
            </w:r>
            <w:r>
              <w:rPr>
                <w:rStyle w:val="IndexLink"/>
                <w:rtl w:val="true"/>
              </w:rPr>
              <w:t>الفاظ صیغه وقف</w:t>
            </w:r>
            <w:r>
              <w:rPr>
                <w:rStyle w:val="IndexLink"/>
                <w:rtl w:val="true"/>
              </w:rPr>
              <w:tab/>
            </w:r>
            <w:r>
              <w:rPr>
                <w:rStyle w:val="IndexLink"/>
              </w:rPr>
              <w:t>100</w:t>
            </w:r>
          </w:hyperlink>
        </w:p>
        <w:p>
          <w:pPr>
            <w:pStyle w:val="Contents6"/>
            <w:tabs>
              <w:tab w:val="clear" w:pos="7609"/>
              <w:tab w:val="right" w:pos="9026" w:leader="dot"/>
            </w:tabs>
            <w:rPr/>
          </w:pPr>
          <w:hyperlink w:anchor="__RefHeading___Toc474027_1479056682">
            <w:r>
              <w:rPr>
                <w:webHidden/>
                <w:rStyle w:val="IndexLink"/>
                <w:rtl w:val="true"/>
              </w:rPr>
              <w:t>دیدگاه فقهای امامیّه</w:t>
            </w:r>
            <w:r>
              <w:rPr>
                <w:rStyle w:val="IndexLink"/>
                <w:rtl w:val="true"/>
              </w:rPr>
              <w:tab/>
            </w:r>
            <w:r>
              <w:rPr>
                <w:rStyle w:val="IndexLink"/>
              </w:rPr>
              <w:t>100</w:t>
            </w:r>
          </w:hyperlink>
        </w:p>
        <w:p>
          <w:pPr>
            <w:pStyle w:val="Contents6"/>
            <w:tabs>
              <w:tab w:val="clear" w:pos="7609"/>
              <w:tab w:val="right" w:pos="9026" w:leader="dot"/>
            </w:tabs>
            <w:rPr/>
          </w:pPr>
          <w:hyperlink w:anchor="__RefHeading___Toc474029_1479056682">
            <w:r>
              <w:rPr>
                <w:webHidden/>
                <w:rStyle w:val="IndexLink"/>
                <w:rtl w:val="true"/>
              </w:rPr>
              <w:t>دیدگاه دیگر مذاهب</w:t>
            </w:r>
            <w:r>
              <w:rPr>
                <w:rStyle w:val="IndexLink"/>
                <w:rtl w:val="true"/>
              </w:rPr>
              <w:tab/>
            </w:r>
            <w:r>
              <w:rPr>
                <w:rStyle w:val="IndexLink"/>
              </w:rPr>
              <w:t>102</w:t>
            </w:r>
          </w:hyperlink>
        </w:p>
        <w:p>
          <w:pPr>
            <w:pStyle w:val="Contents4"/>
            <w:tabs>
              <w:tab w:val="clear" w:pos="8176"/>
              <w:tab w:val="right" w:pos="9026" w:leader="dot"/>
            </w:tabs>
            <w:rPr/>
          </w:pPr>
          <w:hyperlink w:anchor="__RefHeading___Toc474031_1479056682">
            <w:r>
              <w:rPr>
                <w:webHidden/>
                <w:rStyle w:val="IndexLink"/>
                <w:rtl w:val="true"/>
              </w:rPr>
              <w:t>شرط سوم</w:t>
            </w:r>
            <w:r>
              <w:rPr>
                <w:rStyle w:val="IndexLink"/>
                <w:rtl w:val="true"/>
              </w:rPr>
              <w:t xml:space="preserve">: </w:t>
            </w:r>
            <w:r>
              <w:rPr>
                <w:rStyle w:val="IndexLink"/>
                <w:rtl w:val="true"/>
              </w:rPr>
              <w:t>تنجیز</w:t>
            </w:r>
            <w:r>
              <w:rPr>
                <w:rStyle w:val="IndexLink"/>
                <w:rtl w:val="true"/>
              </w:rPr>
              <w:tab/>
            </w:r>
            <w:r>
              <w:rPr>
                <w:rStyle w:val="IndexLink"/>
              </w:rPr>
              <w:t>104</w:t>
            </w:r>
          </w:hyperlink>
        </w:p>
        <w:p>
          <w:pPr>
            <w:pStyle w:val="Contents5"/>
            <w:tabs>
              <w:tab w:val="clear" w:pos="7892"/>
              <w:tab w:val="right" w:pos="9026" w:leader="dot"/>
            </w:tabs>
            <w:rPr/>
          </w:pPr>
          <w:hyperlink w:anchor="__RefHeading___Toc474033_1479056682">
            <w:r>
              <w:rPr>
                <w:webHidden/>
                <w:rStyle w:val="IndexLink"/>
                <w:rtl w:val="true"/>
              </w:rPr>
              <w:t>معنای تنجیز</w:t>
            </w:r>
            <w:r>
              <w:rPr>
                <w:rStyle w:val="IndexLink"/>
                <w:rtl w:val="true"/>
              </w:rPr>
              <w:tab/>
            </w:r>
            <w:r>
              <w:rPr>
                <w:rStyle w:val="IndexLink"/>
              </w:rPr>
              <w:t>104</w:t>
            </w:r>
          </w:hyperlink>
        </w:p>
        <w:p>
          <w:pPr>
            <w:pStyle w:val="Contents5"/>
            <w:tabs>
              <w:tab w:val="clear" w:pos="7892"/>
              <w:tab w:val="right" w:pos="9026" w:leader="dot"/>
            </w:tabs>
            <w:rPr/>
          </w:pPr>
          <w:hyperlink w:anchor="__RefHeading___Toc474035_1479056682">
            <w:r>
              <w:rPr>
                <w:webHidden/>
                <w:rStyle w:val="IndexLink"/>
                <w:rtl w:val="true"/>
              </w:rPr>
              <w:t>دیدگاه امامیّه</w:t>
            </w:r>
            <w:r>
              <w:rPr>
                <w:rStyle w:val="IndexLink"/>
                <w:rtl w:val="true"/>
              </w:rPr>
              <w:tab/>
            </w:r>
            <w:r>
              <w:rPr>
                <w:rStyle w:val="IndexLink"/>
              </w:rPr>
              <w:t>104</w:t>
            </w:r>
          </w:hyperlink>
        </w:p>
        <w:p>
          <w:pPr>
            <w:pStyle w:val="Contents5"/>
            <w:tabs>
              <w:tab w:val="clear" w:pos="7892"/>
              <w:tab w:val="right" w:pos="9026" w:leader="dot"/>
            </w:tabs>
            <w:rPr/>
          </w:pPr>
          <w:hyperlink w:anchor="__RefHeading___Toc474037_1479056682">
            <w:r>
              <w:rPr>
                <w:webHidden/>
                <w:rStyle w:val="IndexLink"/>
                <w:rtl w:val="true"/>
              </w:rPr>
              <w:t>دیدگاه فقهای دیگر مذاهب</w:t>
            </w:r>
            <w:r>
              <w:rPr>
                <w:rStyle w:val="IndexLink"/>
                <w:rtl w:val="true"/>
              </w:rPr>
              <w:tab/>
            </w:r>
            <w:r>
              <w:rPr>
                <w:rStyle w:val="IndexLink"/>
              </w:rPr>
              <w:t>105</w:t>
            </w:r>
          </w:hyperlink>
        </w:p>
        <w:p>
          <w:pPr>
            <w:pStyle w:val="Contents4"/>
            <w:tabs>
              <w:tab w:val="clear" w:pos="8176"/>
              <w:tab w:val="right" w:pos="9026" w:leader="dot"/>
            </w:tabs>
            <w:rPr/>
          </w:pPr>
          <w:hyperlink w:anchor="__RefHeading___Toc474039_1479056682">
            <w:r>
              <w:rPr>
                <w:webHidden/>
                <w:rStyle w:val="IndexLink"/>
                <w:rtl w:val="true"/>
              </w:rPr>
              <w:t>شرط چهارم</w:t>
            </w:r>
            <w:r>
              <w:rPr>
                <w:rStyle w:val="IndexLink"/>
                <w:rtl w:val="true"/>
              </w:rPr>
              <w:t xml:space="preserve">: </w:t>
            </w:r>
            <w:r>
              <w:rPr>
                <w:rStyle w:val="IndexLink"/>
                <w:rtl w:val="true"/>
              </w:rPr>
              <w:t xml:space="preserve">تأبید </w:t>
            </w:r>
            <w:r>
              <w:rPr>
                <w:rStyle w:val="IndexLink"/>
                <w:rtl w:val="true"/>
              </w:rPr>
              <w:t>(</w:t>
            </w:r>
            <w:r>
              <w:rPr>
                <w:rStyle w:val="IndexLink"/>
                <w:rtl w:val="true"/>
              </w:rPr>
              <w:t>دوام</w:t>
            </w:r>
            <w:r>
              <w:rPr>
                <w:rStyle w:val="IndexLink"/>
                <w:rtl w:val="true"/>
              </w:rPr>
              <w:t>)</w:t>
              <w:tab/>
            </w:r>
            <w:r>
              <w:rPr>
                <w:rStyle w:val="IndexLink"/>
              </w:rPr>
              <w:t>107</w:t>
            </w:r>
          </w:hyperlink>
        </w:p>
        <w:p>
          <w:pPr>
            <w:pStyle w:val="Contents5"/>
            <w:tabs>
              <w:tab w:val="clear" w:pos="7892"/>
              <w:tab w:val="right" w:pos="9026" w:leader="dot"/>
            </w:tabs>
            <w:rPr/>
          </w:pPr>
          <w:hyperlink w:anchor="__RefHeading___Toc474041_1479056682">
            <w:r>
              <w:rPr>
                <w:webHidden/>
                <w:rStyle w:val="IndexLink"/>
                <w:rtl w:val="true"/>
              </w:rPr>
              <w:t>اشاره</w:t>
            </w:r>
            <w:r>
              <w:rPr>
                <w:rStyle w:val="IndexLink"/>
                <w:rtl w:val="true"/>
              </w:rPr>
              <w:tab/>
            </w:r>
            <w:r>
              <w:rPr>
                <w:rStyle w:val="IndexLink"/>
              </w:rPr>
              <w:t>107</w:t>
            </w:r>
          </w:hyperlink>
        </w:p>
        <w:p>
          <w:pPr>
            <w:pStyle w:val="Contents5"/>
            <w:tabs>
              <w:tab w:val="clear" w:pos="7892"/>
              <w:tab w:val="right" w:pos="9026" w:leader="dot"/>
            </w:tabs>
            <w:rPr/>
          </w:pPr>
          <w:hyperlink w:anchor="__RefHeading___Toc474043_1479056682">
            <w:r>
              <w:rPr>
                <w:webHidden/>
                <w:rStyle w:val="IndexLink"/>
                <w:rtl w:val="true"/>
              </w:rPr>
              <w:t>فقه امامیّه</w:t>
            </w:r>
            <w:r>
              <w:rPr>
                <w:rStyle w:val="IndexLink"/>
                <w:rtl w:val="true"/>
              </w:rPr>
              <w:tab/>
            </w:r>
            <w:r>
              <w:rPr>
                <w:rStyle w:val="IndexLink"/>
              </w:rPr>
              <w:t>107</w:t>
            </w:r>
          </w:hyperlink>
        </w:p>
        <w:p>
          <w:pPr>
            <w:pStyle w:val="Contents5"/>
            <w:tabs>
              <w:tab w:val="clear" w:pos="7892"/>
              <w:tab w:val="right" w:pos="9026" w:leader="dot"/>
            </w:tabs>
            <w:rPr/>
          </w:pPr>
          <w:hyperlink w:anchor="__RefHeading___Toc474045_1479056682">
            <w:r>
              <w:rPr>
                <w:webHidden/>
                <w:rStyle w:val="IndexLink"/>
                <w:rtl w:val="true"/>
              </w:rPr>
              <w:t>دیدگاه دیگر مذاهب</w:t>
            </w:r>
            <w:r>
              <w:rPr>
                <w:rStyle w:val="IndexLink"/>
                <w:rtl w:val="true"/>
              </w:rPr>
              <w:tab/>
            </w:r>
            <w:r>
              <w:rPr>
                <w:rStyle w:val="IndexLink"/>
              </w:rPr>
              <w:t>112</w:t>
            </w:r>
          </w:hyperlink>
        </w:p>
        <w:p>
          <w:pPr>
            <w:pStyle w:val="Contents5"/>
            <w:tabs>
              <w:tab w:val="clear" w:pos="7892"/>
              <w:tab w:val="right" w:pos="9026" w:leader="dot"/>
            </w:tabs>
            <w:rPr/>
          </w:pPr>
          <w:hyperlink w:anchor="__RefHeading___Toc474047_1479056682">
            <w:r>
              <w:rPr>
                <w:webHidden/>
                <w:rStyle w:val="IndexLink"/>
                <w:rtl w:val="true"/>
              </w:rPr>
              <w:t>وقف منقطع</w:t>
            </w:r>
            <w:r>
              <w:rPr>
                <w:rStyle w:val="IndexLink"/>
                <w:rtl w:val="true"/>
              </w:rPr>
              <w:tab/>
            </w:r>
            <w:r>
              <w:rPr>
                <w:rStyle w:val="IndexLink"/>
              </w:rPr>
              <w:t>114</w:t>
            </w:r>
          </w:hyperlink>
        </w:p>
        <w:p>
          <w:pPr>
            <w:pStyle w:val="Contents5"/>
            <w:tabs>
              <w:tab w:val="clear" w:pos="7892"/>
              <w:tab w:val="right" w:pos="9026" w:leader="dot"/>
            </w:tabs>
            <w:rPr/>
          </w:pPr>
          <w:hyperlink w:anchor="__RefHeading___Toc474049_1479056682">
            <w:r>
              <w:rPr>
                <w:webHidden/>
                <w:rStyle w:val="IndexLink"/>
                <w:rtl w:val="true"/>
              </w:rPr>
              <w:t>احکام این اقسام</w:t>
            </w:r>
            <w:r>
              <w:rPr>
                <w:rStyle w:val="IndexLink"/>
                <w:rtl w:val="true"/>
              </w:rPr>
              <w:tab/>
            </w:r>
            <w:r>
              <w:rPr>
                <w:rStyle w:val="IndexLink"/>
              </w:rPr>
              <w:t>114</w:t>
            </w:r>
          </w:hyperlink>
        </w:p>
        <w:p>
          <w:pPr>
            <w:pStyle w:val="Contents6"/>
            <w:tabs>
              <w:tab w:val="clear" w:pos="7609"/>
              <w:tab w:val="right" w:pos="9026" w:leader="dot"/>
            </w:tabs>
            <w:rPr/>
          </w:pPr>
          <w:hyperlink w:anchor="__RefHeading___Toc474051_1479056682">
            <w:r>
              <w:rPr>
                <w:webHidden/>
                <w:rStyle w:val="IndexLink"/>
                <w:rtl w:val="true"/>
              </w:rPr>
              <w:t>دیدگاه امامیّه</w:t>
            </w:r>
            <w:r>
              <w:rPr>
                <w:rStyle w:val="IndexLink"/>
                <w:rtl w:val="true"/>
              </w:rPr>
              <w:tab/>
            </w:r>
            <w:r>
              <w:rPr>
                <w:rStyle w:val="IndexLink"/>
              </w:rPr>
              <w:t>114</w:t>
            </w:r>
          </w:hyperlink>
        </w:p>
        <w:p>
          <w:pPr>
            <w:pStyle w:val="Contents6"/>
            <w:tabs>
              <w:tab w:val="clear" w:pos="7609"/>
              <w:tab w:val="right" w:pos="9026" w:leader="dot"/>
            </w:tabs>
            <w:rPr/>
          </w:pPr>
          <w:hyperlink w:anchor="__RefHeading___Toc474053_1479056682">
            <w:r>
              <w:rPr>
                <w:webHidden/>
                <w:rStyle w:val="IndexLink"/>
                <w:rtl w:val="true"/>
              </w:rPr>
              <w:t>دیدگاه دیگر مذاهب</w:t>
            </w:r>
            <w:r>
              <w:rPr>
                <w:rStyle w:val="IndexLink"/>
                <w:rtl w:val="true"/>
              </w:rPr>
              <w:tab/>
            </w:r>
            <w:r>
              <w:rPr>
                <w:rStyle w:val="IndexLink"/>
              </w:rPr>
              <w:t>115</w:t>
            </w:r>
          </w:hyperlink>
        </w:p>
        <w:p>
          <w:pPr>
            <w:pStyle w:val="Contents5"/>
            <w:tabs>
              <w:tab w:val="clear" w:pos="7892"/>
              <w:tab w:val="right" w:pos="9026" w:leader="dot"/>
            </w:tabs>
            <w:rPr/>
          </w:pPr>
          <w:hyperlink w:anchor="__RefHeading___Toc474055_1479056682">
            <w:r>
              <w:rPr>
                <w:webHidden/>
                <w:rStyle w:val="IndexLink"/>
                <w:rtl w:val="true"/>
              </w:rPr>
              <w:t>وقف منقطع الاوّل</w:t>
            </w:r>
            <w:r>
              <w:rPr>
                <w:rStyle w:val="IndexLink"/>
                <w:rtl w:val="true"/>
              </w:rPr>
              <w:tab/>
            </w:r>
            <w:r>
              <w:rPr>
                <w:rStyle w:val="IndexLink"/>
              </w:rPr>
              <w:t>116</w:t>
            </w:r>
          </w:hyperlink>
        </w:p>
        <w:p>
          <w:pPr>
            <w:pStyle w:val="Contents6"/>
            <w:tabs>
              <w:tab w:val="clear" w:pos="7609"/>
              <w:tab w:val="right" w:pos="9026" w:leader="dot"/>
            </w:tabs>
            <w:rPr/>
          </w:pPr>
          <w:hyperlink w:anchor="__RefHeading___Toc474057_1479056682">
            <w:r>
              <w:rPr>
                <w:webHidden/>
                <w:rStyle w:val="IndexLink"/>
                <w:rtl w:val="true"/>
              </w:rPr>
              <w:t>دیدگاه امامیّه</w:t>
            </w:r>
            <w:r>
              <w:rPr>
                <w:rStyle w:val="IndexLink"/>
                <w:rtl w:val="true"/>
              </w:rPr>
              <w:tab/>
            </w:r>
            <w:r>
              <w:rPr>
                <w:rStyle w:val="IndexLink"/>
              </w:rPr>
              <w:t>116</w:t>
            </w:r>
          </w:hyperlink>
        </w:p>
        <w:p>
          <w:pPr>
            <w:pStyle w:val="Contents6"/>
            <w:tabs>
              <w:tab w:val="clear" w:pos="7609"/>
              <w:tab w:val="right" w:pos="9026" w:leader="dot"/>
            </w:tabs>
            <w:rPr/>
          </w:pPr>
          <w:hyperlink w:anchor="__RefHeading___Toc474059_1479056682">
            <w:r>
              <w:rPr>
                <w:webHidden/>
                <w:rStyle w:val="IndexLink"/>
                <w:rtl w:val="true"/>
              </w:rPr>
              <w:t>دیدگاه فقهای دیگر مذاهب</w:t>
            </w:r>
            <w:r>
              <w:rPr>
                <w:rStyle w:val="IndexLink"/>
                <w:rtl w:val="true"/>
              </w:rPr>
              <w:tab/>
            </w:r>
            <w:r>
              <w:rPr>
                <w:rStyle w:val="IndexLink"/>
              </w:rPr>
              <w:t>118</w:t>
            </w:r>
          </w:hyperlink>
        </w:p>
        <w:p>
          <w:pPr>
            <w:pStyle w:val="Contents5"/>
            <w:tabs>
              <w:tab w:val="clear" w:pos="7892"/>
              <w:tab w:val="right" w:pos="9026" w:leader="dot"/>
            </w:tabs>
            <w:rPr/>
          </w:pPr>
          <w:hyperlink w:anchor="__RefHeading___Toc474061_1479056682">
            <w:r>
              <w:rPr>
                <w:webHidden/>
                <w:rStyle w:val="IndexLink"/>
                <w:rtl w:val="true"/>
              </w:rPr>
              <w:t>منقطع الوسط</w:t>
            </w:r>
            <w:r>
              <w:rPr>
                <w:rStyle w:val="IndexLink"/>
                <w:rtl w:val="true"/>
              </w:rPr>
              <w:tab/>
            </w:r>
            <w:r>
              <w:rPr>
                <w:rStyle w:val="IndexLink"/>
              </w:rPr>
              <w:t>119</w:t>
            </w:r>
          </w:hyperlink>
        </w:p>
        <w:p>
          <w:pPr>
            <w:pStyle w:val="Contents6"/>
            <w:tabs>
              <w:tab w:val="clear" w:pos="7609"/>
              <w:tab w:val="right" w:pos="9026" w:leader="dot"/>
            </w:tabs>
            <w:rPr/>
          </w:pPr>
          <w:hyperlink w:anchor="__RefHeading___Toc474063_1479056682">
            <w:r>
              <w:rPr>
                <w:webHidden/>
                <w:rStyle w:val="IndexLink"/>
                <w:rtl w:val="true"/>
              </w:rPr>
              <w:t>دیدگاه امامیّه</w:t>
            </w:r>
            <w:r>
              <w:rPr>
                <w:rStyle w:val="IndexLink"/>
                <w:rtl w:val="true"/>
              </w:rPr>
              <w:tab/>
            </w:r>
            <w:r>
              <w:rPr>
                <w:rStyle w:val="IndexLink"/>
              </w:rPr>
              <w:t>119</w:t>
            </w:r>
          </w:hyperlink>
        </w:p>
        <w:p>
          <w:pPr>
            <w:pStyle w:val="Contents6"/>
            <w:tabs>
              <w:tab w:val="clear" w:pos="7609"/>
              <w:tab w:val="right" w:pos="9026" w:leader="dot"/>
            </w:tabs>
            <w:rPr/>
          </w:pPr>
          <w:hyperlink w:anchor="__RefHeading___Toc474065_1479056682">
            <w:r>
              <w:rPr>
                <w:webHidden/>
                <w:rStyle w:val="IndexLink"/>
                <w:rtl w:val="true"/>
              </w:rPr>
              <w:t>دیدگاه دیگر مذاهب</w:t>
            </w:r>
            <w:r>
              <w:rPr>
                <w:rStyle w:val="IndexLink"/>
                <w:rtl w:val="true"/>
              </w:rPr>
              <w:tab/>
            </w:r>
            <w:r>
              <w:rPr>
                <w:rStyle w:val="IndexLink"/>
              </w:rPr>
              <w:t>120</w:t>
            </w:r>
          </w:hyperlink>
        </w:p>
        <w:p>
          <w:pPr>
            <w:pStyle w:val="Contents4"/>
            <w:tabs>
              <w:tab w:val="clear" w:pos="8176"/>
              <w:tab w:val="right" w:pos="9026" w:leader="dot"/>
            </w:tabs>
            <w:rPr/>
          </w:pPr>
          <w:hyperlink w:anchor="__RefHeading___Toc474067_1479056682">
            <w:r>
              <w:rPr>
                <w:webHidden/>
                <w:rStyle w:val="IndexLink"/>
                <w:rtl w:val="true"/>
              </w:rPr>
              <w:t>شرط پنجم</w:t>
            </w:r>
            <w:r>
              <w:rPr>
                <w:rStyle w:val="IndexLink"/>
                <w:rtl w:val="true"/>
              </w:rPr>
              <w:t xml:space="preserve">: </w:t>
            </w:r>
            <w:r>
              <w:rPr>
                <w:rStyle w:val="IndexLink"/>
                <w:rtl w:val="true"/>
              </w:rPr>
              <w:t>اخراج از نفس</w:t>
            </w:r>
            <w:r>
              <w:rPr>
                <w:rStyle w:val="IndexLink"/>
                <w:rtl w:val="true"/>
              </w:rPr>
              <w:tab/>
            </w:r>
            <w:r>
              <w:rPr>
                <w:rStyle w:val="IndexLink"/>
              </w:rPr>
              <w:t>121</w:t>
            </w:r>
          </w:hyperlink>
        </w:p>
        <w:p>
          <w:pPr>
            <w:pStyle w:val="Contents5"/>
            <w:tabs>
              <w:tab w:val="clear" w:pos="7892"/>
              <w:tab w:val="right" w:pos="9026" w:leader="dot"/>
            </w:tabs>
            <w:rPr/>
          </w:pPr>
          <w:hyperlink w:anchor="__RefHeading___Toc474069_1479056682">
            <w:r>
              <w:rPr>
                <w:webHidden/>
                <w:rStyle w:val="IndexLink"/>
                <w:rtl w:val="true"/>
              </w:rPr>
              <w:t>اشاره</w:t>
            </w:r>
            <w:r>
              <w:rPr>
                <w:rStyle w:val="IndexLink"/>
                <w:rtl w:val="true"/>
              </w:rPr>
              <w:tab/>
            </w:r>
            <w:r>
              <w:rPr>
                <w:rStyle w:val="IndexLink"/>
              </w:rPr>
              <w:t>121</w:t>
            </w:r>
          </w:hyperlink>
        </w:p>
        <w:p>
          <w:pPr>
            <w:pStyle w:val="Contents5"/>
            <w:tabs>
              <w:tab w:val="clear" w:pos="7892"/>
              <w:tab w:val="right" w:pos="9026" w:leader="dot"/>
            </w:tabs>
            <w:rPr/>
          </w:pPr>
          <w:hyperlink w:anchor="__RefHeading___Toc474071_1479056682">
            <w:r>
              <w:rPr>
                <w:webHidden/>
                <w:rStyle w:val="IndexLink"/>
                <w:rtl w:val="true"/>
              </w:rPr>
              <w:t>دیدگاه امامیّه</w:t>
            </w:r>
            <w:r>
              <w:rPr>
                <w:rStyle w:val="IndexLink"/>
                <w:rtl w:val="true"/>
              </w:rPr>
              <w:tab/>
            </w:r>
            <w:r>
              <w:rPr>
                <w:rStyle w:val="IndexLink"/>
              </w:rPr>
              <w:t>121</w:t>
            </w:r>
          </w:hyperlink>
        </w:p>
        <w:p>
          <w:pPr>
            <w:pStyle w:val="Contents5"/>
            <w:tabs>
              <w:tab w:val="clear" w:pos="7892"/>
              <w:tab w:val="right" w:pos="9026" w:leader="dot"/>
            </w:tabs>
            <w:rPr/>
          </w:pPr>
          <w:hyperlink w:anchor="__RefHeading___Toc474073_1479056682">
            <w:r>
              <w:rPr>
                <w:webHidden/>
                <w:rStyle w:val="IndexLink"/>
                <w:rtl w:val="true"/>
              </w:rPr>
              <w:t>دیدگاه فقهای دیگر مذاهب</w:t>
            </w:r>
            <w:r>
              <w:rPr>
                <w:rStyle w:val="IndexLink"/>
                <w:rtl w:val="true"/>
              </w:rPr>
              <w:tab/>
            </w:r>
            <w:r>
              <w:rPr>
                <w:rStyle w:val="IndexLink"/>
              </w:rPr>
              <w:t>122</w:t>
            </w:r>
          </w:hyperlink>
        </w:p>
        <w:p>
          <w:pPr>
            <w:pStyle w:val="Contents5"/>
            <w:tabs>
              <w:tab w:val="clear" w:pos="7892"/>
              <w:tab w:val="right" w:pos="9026" w:leader="dot"/>
            </w:tabs>
            <w:rPr/>
          </w:pPr>
          <w:hyperlink w:anchor="__RefHeading___Toc474075_1479056682">
            <w:r>
              <w:rPr>
                <w:webHidden/>
                <w:rStyle w:val="IndexLink"/>
                <w:rtl w:val="true"/>
              </w:rPr>
              <w:t>انتفاع واقف از وقف خویش</w:t>
            </w:r>
            <w:r>
              <w:rPr>
                <w:rStyle w:val="IndexLink"/>
                <w:rtl w:val="true"/>
              </w:rPr>
              <w:tab/>
            </w:r>
            <w:r>
              <w:rPr>
                <w:rStyle w:val="IndexLink"/>
              </w:rPr>
              <w:t>124</w:t>
            </w:r>
          </w:hyperlink>
        </w:p>
        <w:p>
          <w:pPr>
            <w:pStyle w:val="Contents5"/>
            <w:tabs>
              <w:tab w:val="clear" w:pos="7892"/>
              <w:tab w:val="right" w:pos="9026" w:leader="dot"/>
            </w:tabs>
            <w:rPr/>
          </w:pPr>
          <w:hyperlink w:anchor="__RefHeading___Toc474077_1479056682">
            <w:r>
              <w:rPr>
                <w:webHidden/>
                <w:rStyle w:val="IndexLink"/>
                <w:rtl w:val="true"/>
              </w:rPr>
              <w:t>دیدگاه امامیّه</w:t>
            </w:r>
            <w:r>
              <w:rPr>
                <w:rStyle w:val="IndexLink"/>
                <w:rtl w:val="true"/>
              </w:rPr>
              <w:tab/>
            </w:r>
            <w:r>
              <w:rPr>
                <w:rStyle w:val="IndexLink"/>
              </w:rPr>
              <w:t>125</w:t>
            </w:r>
          </w:hyperlink>
        </w:p>
        <w:p>
          <w:pPr>
            <w:pStyle w:val="Contents5"/>
            <w:tabs>
              <w:tab w:val="clear" w:pos="7892"/>
              <w:tab w:val="right" w:pos="9026" w:leader="dot"/>
            </w:tabs>
            <w:rPr/>
          </w:pPr>
          <w:hyperlink w:anchor="__RefHeading___Toc474079_1479056682">
            <w:r>
              <w:rPr>
                <w:webHidden/>
                <w:rStyle w:val="IndexLink"/>
                <w:rtl w:val="true"/>
              </w:rPr>
              <w:t>دیدگاه دیگر مذاهب</w:t>
            </w:r>
            <w:r>
              <w:rPr>
                <w:rStyle w:val="IndexLink"/>
                <w:rtl w:val="true"/>
              </w:rPr>
              <w:tab/>
            </w:r>
            <w:r>
              <w:rPr>
                <w:rStyle w:val="IndexLink"/>
              </w:rPr>
              <w:t>127</w:t>
            </w:r>
          </w:hyperlink>
        </w:p>
        <w:p>
          <w:pPr>
            <w:pStyle w:val="Contents4"/>
            <w:tabs>
              <w:tab w:val="clear" w:pos="8176"/>
              <w:tab w:val="right" w:pos="9026" w:leader="dot"/>
            </w:tabs>
            <w:rPr/>
          </w:pPr>
          <w:hyperlink w:anchor="__RefHeading___Toc474081_1479056682">
            <w:r>
              <w:rPr>
                <w:webHidden/>
                <w:rStyle w:val="IndexLink"/>
                <w:rtl w:val="true"/>
              </w:rPr>
              <w:t>شرط ششم</w:t>
            </w:r>
            <w:r>
              <w:rPr>
                <w:rStyle w:val="IndexLink"/>
                <w:rtl w:val="true"/>
              </w:rPr>
              <w:t xml:space="preserve">: </w:t>
            </w:r>
            <w:r>
              <w:rPr>
                <w:rStyle w:val="IndexLink"/>
                <w:rtl w:val="true"/>
              </w:rPr>
              <w:t>قبض</w:t>
            </w:r>
            <w:r>
              <w:rPr>
                <w:rStyle w:val="IndexLink"/>
                <w:rtl w:val="true"/>
              </w:rPr>
              <w:tab/>
            </w:r>
            <w:r>
              <w:rPr>
                <w:rStyle w:val="IndexLink"/>
              </w:rPr>
              <w:t>129</w:t>
            </w:r>
          </w:hyperlink>
        </w:p>
        <w:p>
          <w:pPr>
            <w:pStyle w:val="Contents5"/>
            <w:tabs>
              <w:tab w:val="clear" w:pos="7892"/>
              <w:tab w:val="right" w:pos="9026" w:leader="dot"/>
            </w:tabs>
            <w:rPr/>
          </w:pPr>
          <w:hyperlink w:anchor="__RefHeading___Toc474083_1479056682">
            <w:r>
              <w:rPr>
                <w:webHidden/>
                <w:rStyle w:val="IndexLink"/>
                <w:rtl w:val="true"/>
              </w:rPr>
              <w:t>معنای لغوی و اصطلاحی قبض</w:t>
            </w:r>
            <w:r>
              <w:rPr>
                <w:rStyle w:val="IndexLink"/>
                <w:rtl w:val="true"/>
              </w:rPr>
              <w:tab/>
            </w:r>
            <w:r>
              <w:rPr>
                <w:rStyle w:val="IndexLink"/>
              </w:rPr>
              <w:t>129</w:t>
            </w:r>
          </w:hyperlink>
        </w:p>
        <w:p>
          <w:pPr>
            <w:pStyle w:val="Contents5"/>
            <w:tabs>
              <w:tab w:val="clear" w:pos="7892"/>
              <w:tab w:val="right" w:pos="9026" w:leader="dot"/>
            </w:tabs>
            <w:rPr/>
          </w:pPr>
          <w:hyperlink w:anchor="__RefHeading___Toc474085_1479056682">
            <w:r>
              <w:rPr>
                <w:webHidden/>
                <w:rStyle w:val="IndexLink"/>
                <w:rtl w:val="true"/>
              </w:rPr>
              <w:t>دیدگاه فقهای مذاهب درباره قبض در وقف</w:t>
            </w:r>
            <w:r>
              <w:rPr>
                <w:rStyle w:val="IndexLink"/>
                <w:rtl w:val="true"/>
              </w:rPr>
              <w:tab/>
            </w:r>
            <w:r>
              <w:rPr>
                <w:rStyle w:val="IndexLink"/>
              </w:rPr>
              <w:t>129</w:t>
            </w:r>
          </w:hyperlink>
        </w:p>
        <w:p>
          <w:pPr>
            <w:pStyle w:val="Contents5"/>
            <w:tabs>
              <w:tab w:val="clear" w:pos="7892"/>
              <w:tab w:val="right" w:pos="9026" w:leader="dot"/>
            </w:tabs>
            <w:rPr/>
          </w:pPr>
          <w:hyperlink w:anchor="__RefHeading___Toc474087_1479056682">
            <w:r>
              <w:rPr>
                <w:webHidden/>
                <w:rStyle w:val="IndexLink"/>
                <w:rtl w:val="true"/>
              </w:rPr>
              <w:t>دیدگاه فقهای امامیّه</w:t>
            </w:r>
            <w:r>
              <w:rPr>
                <w:rStyle w:val="IndexLink"/>
                <w:rtl w:val="true"/>
              </w:rPr>
              <w:tab/>
            </w:r>
            <w:r>
              <w:rPr>
                <w:rStyle w:val="IndexLink"/>
              </w:rPr>
              <w:t>129</w:t>
            </w:r>
          </w:hyperlink>
        </w:p>
        <w:p>
          <w:pPr>
            <w:pStyle w:val="Contents5"/>
            <w:tabs>
              <w:tab w:val="clear" w:pos="7892"/>
              <w:tab w:val="right" w:pos="9026" w:leader="dot"/>
            </w:tabs>
            <w:rPr/>
          </w:pPr>
          <w:hyperlink w:anchor="__RefHeading___Toc474089_1479056682">
            <w:r>
              <w:rPr>
                <w:webHidden/>
                <w:rStyle w:val="IndexLink"/>
                <w:rtl w:val="true"/>
              </w:rPr>
              <w:t>دیدگاه دیگر مذاهب</w:t>
            </w:r>
            <w:r>
              <w:rPr>
                <w:rStyle w:val="IndexLink"/>
                <w:rtl w:val="true"/>
              </w:rPr>
              <w:tab/>
            </w:r>
            <w:r>
              <w:rPr>
                <w:rStyle w:val="IndexLink"/>
              </w:rPr>
              <w:t>135</w:t>
            </w:r>
          </w:hyperlink>
        </w:p>
        <w:p>
          <w:pPr>
            <w:pStyle w:val="Contents3"/>
            <w:tabs>
              <w:tab w:val="clear" w:pos="8459"/>
              <w:tab w:val="right" w:pos="9026" w:leader="dot"/>
            </w:tabs>
            <w:rPr/>
          </w:pPr>
          <w:hyperlink w:anchor="__RefHeading___Toc474091_1479056682">
            <w:r>
              <w:rPr>
                <w:webHidden/>
                <w:rStyle w:val="IndexLink"/>
                <w:rtl w:val="true"/>
              </w:rPr>
              <w:t>فصل دوم</w:t>
            </w:r>
            <w:r>
              <w:rPr>
                <w:rStyle w:val="IndexLink"/>
                <w:rtl w:val="true"/>
              </w:rPr>
              <w:t xml:space="preserve">: </w:t>
            </w:r>
            <w:r>
              <w:rPr>
                <w:rStyle w:val="IndexLink"/>
                <w:rtl w:val="true"/>
              </w:rPr>
              <w:t>واقف؛ شرایط</w:t>
            </w:r>
            <w:r>
              <w:rPr>
                <w:rStyle w:val="IndexLink"/>
                <w:rtl w:val="true"/>
              </w:rPr>
              <w:tab/>
            </w:r>
            <w:r>
              <w:rPr>
                <w:rStyle w:val="IndexLink"/>
              </w:rPr>
              <w:t>138</w:t>
            </w:r>
          </w:hyperlink>
        </w:p>
        <w:p>
          <w:pPr>
            <w:pStyle w:val="Contents4"/>
            <w:tabs>
              <w:tab w:val="clear" w:pos="8176"/>
              <w:tab w:val="right" w:pos="9026" w:leader="dot"/>
            </w:tabs>
            <w:rPr/>
          </w:pPr>
          <w:hyperlink w:anchor="__RefHeading___Toc474093_1479056682">
            <w:r>
              <w:rPr>
                <w:webHidden/>
                <w:rStyle w:val="IndexLink"/>
                <w:rtl w:val="true"/>
              </w:rPr>
              <w:t>شرط اوّل تا چهارم</w:t>
            </w:r>
            <w:r>
              <w:rPr>
                <w:rStyle w:val="IndexLink"/>
                <w:rtl w:val="true"/>
              </w:rPr>
              <w:t xml:space="preserve">: </w:t>
            </w:r>
            <w:r>
              <w:rPr>
                <w:rStyle w:val="IndexLink"/>
                <w:rtl w:val="true"/>
              </w:rPr>
              <w:t xml:space="preserve">بلوغ، عقل، رشد </w:t>
            </w:r>
            <w:r>
              <w:rPr>
                <w:rStyle w:val="IndexLink"/>
                <w:rtl w:val="true"/>
              </w:rPr>
              <w:t>(</w:t>
            </w:r>
            <w:r>
              <w:rPr>
                <w:rStyle w:val="IndexLink"/>
                <w:rtl w:val="true"/>
              </w:rPr>
              <w:t>و کمال</w:t>
            </w:r>
            <w:r>
              <w:rPr>
                <w:rStyle w:val="IndexLink"/>
                <w:rtl w:val="true"/>
              </w:rPr>
              <w:t xml:space="preserve">) </w:t>
            </w:r>
            <w:r>
              <w:rPr>
                <w:rStyle w:val="IndexLink"/>
                <w:rtl w:val="true"/>
              </w:rPr>
              <w:t>و عدم حَجْر</w:t>
            </w:r>
            <w:r>
              <w:rPr>
                <w:rStyle w:val="IndexLink"/>
                <w:rtl w:val="true"/>
              </w:rPr>
              <w:tab/>
            </w:r>
            <w:r>
              <w:rPr>
                <w:rStyle w:val="IndexLink"/>
              </w:rPr>
              <w:t>138</w:t>
            </w:r>
          </w:hyperlink>
        </w:p>
        <w:p>
          <w:pPr>
            <w:pStyle w:val="Contents5"/>
            <w:tabs>
              <w:tab w:val="clear" w:pos="7892"/>
              <w:tab w:val="right" w:pos="9026" w:leader="dot"/>
            </w:tabs>
            <w:rPr/>
          </w:pPr>
          <w:hyperlink w:anchor="__RefHeading___Toc474095_1479056682">
            <w:r>
              <w:rPr>
                <w:webHidden/>
                <w:rStyle w:val="IndexLink"/>
                <w:rtl w:val="true"/>
              </w:rPr>
              <w:t>دیدگاه امامیّه</w:t>
            </w:r>
            <w:r>
              <w:rPr>
                <w:rStyle w:val="IndexLink"/>
                <w:rtl w:val="true"/>
              </w:rPr>
              <w:tab/>
            </w:r>
            <w:r>
              <w:rPr>
                <w:rStyle w:val="IndexLink"/>
              </w:rPr>
              <w:t>138</w:t>
            </w:r>
          </w:hyperlink>
        </w:p>
        <w:p>
          <w:pPr>
            <w:pStyle w:val="Contents4"/>
            <w:tabs>
              <w:tab w:val="clear" w:pos="8176"/>
              <w:tab w:val="right" w:pos="9026" w:leader="dot"/>
            </w:tabs>
            <w:rPr/>
          </w:pPr>
          <w:hyperlink w:anchor="__RefHeading___Toc474097_1479056682">
            <w:r>
              <w:rPr>
                <w:webHidden/>
                <w:rStyle w:val="IndexLink"/>
                <w:rtl w:val="true"/>
              </w:rPr>
              <w:t>شرط پنجم</w:t>
            </w:r>
            <w:r>
              <w:rPr>
                <w:rStyle w:val="IndexLink"/>
                <w:rtl w:val="true"/>
              </w:rPr>
              <w:t xml:space="preserve">: </w:t>
            </w:r>
            <w:r>
              <w:rPr>
                <w:rStyle w:val="IndexLink"/>
                <w:rtl w:val="true"/>
              </w:rPr>
              <w:t>اختیار و قصد</w:t>
            </w:r>
            <w:r>
              <w:rPr>
                <w:rStyle w:val="IndexLink"/>
                <w:rtl w:val="true"/>
              </w:rPr>
              <w:tab/>
            </w:r>
            <w:r>
              <w:rPr>
                <w:rStyle w:val="IndexLink"/>
              </w:rPr>
              <w:t>140</w:t>
            </w:r>
          </w:hyperlink>
        </w:p>
        <w:p>
          <w:pPr>
            <w:pStyle w:val="Contents5"/>
            <w:tabs>
              <w:tab w:val="clear" w:pos="7892"/>
              <w:tab w:val="right" w:pos="9026" w:leader="dot"/>
            </w:tabs>
            <w:rPr/>
          </w:pPr>
          <w:hyperlink w:anchor="__RefHeading___Toc474099_1479056682">
            <w:r>
              <w:rPr>
                <w:webHidden/>
                <w:rStyle w:val="IndexLink"/>
                <w:rtl w:val="true"/>
              </w:rPr>
              <w:t>دیدگاه امامیّه</w:t>
            </w:r>
            <w:r>
              <w:rPr>
                <w:rStyle w:val="IndexLink"/>
                <w:rtl w:val="true"/>
              </w:rPr>
              <w:tab/>
            </w:r>
            <w:r>
              <w:rPr>
                <w:rStyle w:val="IndexLink"/>
              </w:rPr>
              <w:t>140</w:t>
            </w:r>
          </w:hyperlink>
        </w:p>
        <w:p>
          <w:pPr>
            <w:pStyle w:val="Contents5"/>
            <w:tabs>
              <w:tab w:val="clear" w:pos="7892"/>
              <w:tab w:val="right" w:pos="9026" w:leader="dot"/>
            </w:tabs>
            <w:rPr/>
          </w:pPr>
          <w:hyperlink w:anchor="__RefHeading___Toc474101_1479056682">
            <w:r>
              <w:rPr>
                <w:webHidden/>
                <w:rStyle w:val="IndexLink"/>
                <w:rtl w:val="true"/>
              </w:rPr>
              <w:t>دیدگاه دیگر مذاهب اسلامی</w:t>
            </w:r>
            <w:r>
              <w:rPr>
                <w:rStyle w:val="IndexLink"/>
                <w:rtl w:val="true"/>
              </w:rPr>
              <w:tab/>
            </w:r>
            <w:r>
              <w:rPr>
                <w:rStyle w:val="IndexLink"/>
              </w:rPr>
              <w:t>141</w:t>
            </w:r>
          </w:hyperlink>
        </w:p>
        <w:p>
          <w:pPr>
            <w:pStyle w:val="Contents4"/>
            <w:tabs>
              <w:tab w:val="clear" w:pos="8176"/>
              <w:tab w:val="right" w:pos="9026" w:leader="dot"/>
            </w:tabs>
            <w:rPr/>
          </w:pPr>
          <w:hyperlink w:anchor="__RefHeading___Toc474103_1479056682">
            <w:r>
              <w:rPr>
                <w:webHidden/>
                <w:rStyle w:val="IndexLink"/>
                <w:rtl w:val="true"/>
              </w:rPr>
              <w:t>شرط ششم</w:t>
            </w:r>
            <w:r>
              <w:rPr>
                <w:rStyle w:val="IndexLink"/>
                <w:rtl w:val="true"/>
              </w:rPr>
              <w:t xml:space="preserve">: </w:t>
            </w:r>
            <w:r>
              <w:rPr>
                <w:rStyle w:val="IndexLink"/>
                <w:rtl w:val="true"/>
              </w:rPr>
              <w:t>مالک بودن</w:t>
            </w:r>
            <w:r>
              <w:rPr>
                <w:rStyle w:val="IndexLink"/>
                <w:rtl w:val="true"/>
              </w:rPr>
              <w:tab/>
            </w:r>
            <w:r>
              <w:rPr>
                <w:rStyle w:val="IndexLink"/>
              </w:rPr>
              <w:t>141</w:t>
            </w:r>
          </w:hyperlink>
        </w:p>
        <w:p>
          <w:pPr>
            <w:pStyle w:val="Contents5"/>
            <w:tabs>
              <w:tab w:val="clear" w:pos="7892"/>
              <w:tab w:val="right" w:pos="9026" w:leader="dot"/>
            </w:tabs>
            <w:rPr/>
          </w:pPr>
          <w:hyperlink w:anchor="__RefHeading___Toc474105_1479056682">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474107_1479056682">
            <w:r>
              <w:rPr>
                <w:webHidden/>
                <w:rStyle w:val="IndexLink"/>
                <w:rtl w:val="true"/>
              </w:rPr>
              <w:t>دیدگاه امامیّه</w:t>
            </w:r>
            <w:r>
              <w:rPr>
                <w:rStyle w:val="IndexLink"/>
                <w:rtl w:val="true"/>
              </w:rPr>
              <w:tab/>
            </w:r>
            <w:r>
              <w:rPr>
                <w:rStyle w:val="IndexLink"/>
              </w:rPr>
              <w:t>141</w:t>
            </w:r>
          </w:hyperlink>
        </w:p>
        <w:p>
          <w:pPr>
            <w:pStyle w:val="Contents5"/>
            <w:tabs>
              <w:tab w:val="clear" w:pos="7892"/>
              <w:tab w:val="right" w:pos="9026" w:leader="dot"/>
            </w:tabs>
            <w:rPr/>
          </w:pPr>
          <w:hyperlink w:anchor="__RefHeading___Toc474109_1479056682">
            <w:r>
              <w:rPr>
                <w:webHidden/>
                <w:rStyle w:val="IndexLink"/>
                <w:rtl w:val="true"/>
              </w:rPr>
              <w:t>دیدگاه دیگر مذاهب</w:t>
            </w:r>
            <w:r>
              <w:rPr>
                <w:rStyle w:val="IndexLink"/>
                <w:rtl w:val="true"/>
              </w:rPr>
              <w:tab/>
            </w:r>
            <w:r>
              <w:rPr>
                <w:rStyle w:val="IndexLink"/>
              </w:rPr>
              <w:t>143</w:t>
            </w:r>
          </w:hyperlink>
        </w:p>
        <w:p>
          <w:pPr>
            <w:pStyle w:val="Contents4"/>
            <w:tabs>
              <w:tab w:val="clear" w:pos="8176"/>
              <w:tab w:val="right" w:pos="9026" w:leader="dot"/>
            </w:tabs>
            <w:rPr/>
          </w:pPr>
          <w:hyperlink w:anchor="__RefHeading___Toc474111_1479056682">
            <w:r>
              <w:rPr>
                <w:webHidden/>
                <w:rStyle w:val="IndexLink"/>
                <w:rtl w:val="true"/>
              </w:rPr>
              <w:t>شرط هفتم</w:t>
            </w:r>
            <w:r>
              <w:rPr>
                <w:rStyle w:val="IndexLink"/>
                <w:rtl w:val="true"/>
              </w:rPr>
              <w:t xml:space="preserve">: </w:t>
            </w:r>
            <w:r>
              <w:rPr>
                <w:rStyle w:val="IndexLink"/>
                <w:rtl w:val="true"/>
              </w:rPr>
              <w:t>اسلام</w:t>
            </w:r>
            <w:r>
              <w:rPr>
                <w:rStyle w:val="IndexLink"/>
                <w:rtl w:val="true"/>
              </w:rPr>
              <w:tab/>
            </w:r>
            <w:r>
              <w:rPr>
                <w:rStyle w:val="IndexLink"/>
              </w:rPr>
              <w:t>144</w:t>
            </w:r>
          </w:hyperlink>
        </w:p>
        <w:p>
          <w:pPr>
            <w:pStyle w:val="Contents5"/>
            <w:tabs>
              <w:tab w:val="clear" w:pos="7892"/>
              <w:tab w:val="right" w:pos="9026" w:leader="dot"/>
            </w:tabs>
            <w:rPr/>
          </w:pPr>
          <w:hyperlink w:anchor="__RefHeading___Toc474113_1479056682">
            <w:r>
              <w:rPr>
                <w:webHidden/>
                <w:rStyle w:val="IndexLink"/>
                <w:rtl w:val="true"/>
              </w:rPr>
              <w:t>اشاره</w:t>
            </w:r>
            <w:r>
              <w:rPr>
                <w:rStyle w:val="IndexLink"/>
                <w:rtl w:val="true"/>
              </w:rPr>
              <w:tab/>
            </w:r>
            <w:r>
              <w:rPr>
                <w:rStyle w:val="IndexLink"/>
              </w:rPr>
              <w:t>144</w:t>
            </w:r>
          </w:hyperlink>
        </w:p>
        <w:p>
          <w:pPr>
            <w:pStyle w:val="Contents5"/>
            <w:tabs>
              <w:tab w:val="clear" w:pos="7892"/>
              <w:tab w:val="right" w:pos="9026" w:leader="dot"/>
            </w:tabs>
            <w:rPr/>
          </w:pPr>
          <w:hyperlink w:anchor="__RefHeading___Toc474115_1479056682">
            <w:r>
              <w:rPr>
                <w:webHidden/>
                <w:rStyle w:val="IndexLink"/>
                <w:rtl w:val="true"/>
              </w:rPr>
              <w:t>دیدگاه فقهای امامیّه</w:t>
            </w:r>
            <w:r>
              <w:rPr>
                <w:rStyle w:val="IndexLink"/>
                <w:rtl w:val="true"/>
              </w:rPr>
              <w:tab/>
            </w:r>
            <w:r>
              <w:rPr>
                <w:rStyle w:val="IndexLink"/>
              </w:rPr>
              <w:t>144</w:t>
            </w:r>
          </w:hyperlink>
        </w:p>
        <w:p>
          <w:pPr>
            <w:pStyle w:val="Contents5"/>
            <w:tabs>
              <w:tab w:val="clear" w:pos="7892"/>
              <w:tab w:val="right" w:pos="9026" w:leader="dot"/>
            </w:tabs>
            <w:rPr/>
          </w:pPr>
          <w:hyperlink w:anchor="__RefHeading___Toc474117_1479056682">
            <w:r>
              <w:rPr>
                <w:webHidden/>
                <w:rStyle w:val="IndexLink"/>
                <w:rtl w:val="true"/>
              </w:rPr>
              <w:t>دیدگاه فقهای اهل سنّت</w:t>
            </w:r>
            <w:r>
              <w:rPr>
                <w:rStyle w:val="IndexLink"/>
                <w:rtl w:val="true"/>
              </w:rPr>
              <w:tab/>
            </w:r>
            <w:r>
              <w:rPr>
                <w:rStyle w:val="IndexLink"/>
              </w:rPr>
              <w:t>145</w:t>
            </w:r>
          </w:hyperlink>
        </w:p>
        <w:p>
          <w:pPr>
            <w:pStyle w:val="Contents3"/>
            <w:tabs>
              <w:tab w:val="clear" w:pos="8459"/>
              <w:tab w:val="right" w:pos="9026" w:leader="dot"/>
            </w:tabs>
            <w:rPr/>
          </w:pPr>
          <w:hyperlink w:anchor="__RefHeading___Toc474119_1479056682">
            <w:r>
              <w:rPr>
                <w:webHidden/>
                <w:rStyle w:val="IndexLink"/>
                <w:rtl w:val="true"/>
              </w:rPr>
              <w:t>فصل سوم</w:t>
            </w:r>
            <w:r>
              <w:rPr>
                <w:rStyle w:val="IndexLink"/>
                <w:rtl w:val="true"/>
              </w:rPr>
              <w:t xml:space="preserve">: </w:t>
            </w:r>
            <w:r>
              <w:rPr>
                <w:rStyle w:val="IndexLink"/>
                <w:rtl w:val="true"/>
              </w:rPr>
              <w:t>مال موقوف؛ شرایط</w:t>
            </w:r>
            <w:r>
              <w:rPr>
                <w:rStyle w:val="IndexLink"/>
                <w:rtl w:val="true"/>
              </w:rPr>
              <w:tab/>
            </w:r>
            <w:r>
              <w:rPr>
                <w:rStyle w:val="IndexLink"/>
              </w:rPr>
              <w:t>146</w:t>
            </w:r>
          </w:hyperlink>
        </w:p>
        <w:p>
          <w:pPr>
            <w:pStyle w:val="Contents4"/>
            <w:tabs>
              <w:tab w:val="clear" w:pos="8176"/>
              <w:tab w:val="right" w:pos="9026" w:leader="dot"/>
            </w:tabs>
            <w:rPr/>
          </w:pPr>
          <w:hyperlink w:anchor="__RefHeading___Toc474121_1479056682">
            <w:r>
              <w:rPr>
                <w:webHidden/>
                <w:rStyle w:val="IndexLink"/>
                <w:rtl w:val="true"/>
              </w:rPr>
              <w:t>شرط اوّل</w:t>
            </w:r>
            <w:r>
              <w:rPr>
                <w:rStyle w:val="IndexLink"/>
                <w:rtl w:val="true"/>
              </w:rPr>
              <w:t xml:space="preserve">: </w:t>
            </w:r>
            <w:r>
              <w:rPr>
                <w:rStyle w:val="IndexLink"/>
                <w:rtl w:val="true"/>
              </w:rPr>
              <w:t>عین قابل انتفاع</w:t>
            </w:r>
            <w:r>
              <w:rPr>
                <w:rStyle w:val="IndexLink"/>
                <w:rtl w:val="true"/>
              </w:rPr>
              <w:tab/>
            </w:r>
            <w:r>
              <w:rPr>
                <w:rStyle w:val="IndexLink"/>
              </w:rPr>
              <w:t>146</w:t>
            </w:r>
          </w:hyperlink>
        </w:p>
        <w:p>
          <w:pPr>
            <w:pStyle w:val="Contents5"/>
            <w:tabs>
              <w:tab w:val="clear" w:pos="7892"/>
              <w:tab w:val="right" w:pos="9026" w:leader="dot"/>
            </w:tabs>
            <w:rPr/>
          </w:pPr>
          <w:hyperlink w:anchor="__RefHeading___Toc474123_1479056682">
            <w:r>
              <w:rPr>
                <w:webHidden/>
                <w:rStyle w:val="IndexLink"/>
                <w:rtl w:val="true"/>
              </w:rPr>
              <w:t>دیدگاه امامیّه</w:t>
            </w:r>
            <w:r>
              <w:rPr>
                <w:rStyle w:val="IndexLink"/>
                <w:rtl w:val="true"/>
              </w:rPr>
              <w:tab/>
            </w:r>
            <w:r>
              <w:rPr>
                <w:rStyle w:val="IndexLink"/>
              </w:rPr>
              <w:t>146</w:t>
            </w:r>
          </w:hyperlink>
        </w:p>
        <w:p>
          <w:pPr>
            <w:pStyle w:val="Contents6"/>
            <w:tabs>
              <w:tab w:val="clear" w:pos="7609"/>
              <w:tab w:val="right" w:pos="9026" w:leader="dot"/>
            </w:tabs>
            <w:rPr/>
          </w:pPr>
          <w:hyperlink w:anchor="__RefHeading___Toc474125_1479056682">
            <w:r>
              <w:rPr>
                <w:webHidden/>
                <w:rStyle w:val="IndexLink"/>
                <w:rtl w:val="true"/>
              </w:rPr>
              <w:t>اشاره</w:t>
            </w:r>
            <w:r>
              <w:rPr>
                <w:rStyle w:val="IndexLink"/>
                <w:rtl w:val="true"/>
              </w:rPr>
              <w:tab/>
            </w:r>
            <w:r>
              <w:rPr>
                <w:rStyle w:val="IndexLink"/>
              </w:rPr>
              <w:t>146</w:t>
            </w:r>
          </w:hyperlink>
        </w:p>
        <w:p>
          <w:pPr>
            <w:pStyle w:val="Contents6"/>
            <w:tabs>
              <w:tab w:val="clear" w:pos="7609"/>
              <w:tab w:val="right" w:pos="9026" w:leader="dot"/>
            </w:tabs>
            <w:rPr/>
          </w:pPr>
          <w:hyperlink w:anchor="__RefHeading___Toc474127_1479056682">
            <w:r>
              <w:rPr>
                <w:webHidden/>
                <w:rStyle w:val="IndexLink"/>
              </w:rPr>
              <w:t>1</w:t>
            </w:r>
            <w:r>
              <w:rPr>
                <w:rStyle w:val="IndexLink"/>
                <w:rtl w:val="true"/>
              </w:rPr>
              <w:t xml:space="preserve">- </w:t>
            </w:r>
            <w:r>
              <w:rPr>
                <w:rStyle w:val="IndexLink"/>
                <w:rtl w:val="true"/>
              </w:rPr>
              <w:t xml:space="preserve">وقف مال غیر معیّن یا کلّی </w:t>
            </w:r>
            <w:r>
              <w:rPr>
                <w:rStyle w:val="IndexLink"/>
                <w:rtl w:val="true"/>
              </w:rPr>
              <w:t>(</w:t>
            </w:r>
            <w:r>
              <w:rPr>
                <w:rStyle w:val="IndexLink"/>
                <w:rtl w:val="true"/>
              </w:rPr>
              <w:t>در ذمّه</w:t>
            </w:r>
            <w:r>
              <w:rPr>
                <w:rStyle w:val="IndexLink"/>
                <w:rtl w:val="true"/>
              </w:rPr>
              <w:t xml:space="preserve">) </w:t>
            </w:r>
            <w:r>
              <w:rPr>
                <w:rStyle w:val="IndexLink"/>
                <w:rtl w:val="true"/>
              </w:rPr>
              <w:t>جایز نیست</w:t>
            </w:r>
            <w:r>
              <w:rPr>
                <w:rStyle w:val="IndexLink"/>
                <w:rtl w:val="true"/>
              </w:rPr>
              <w:tab/>
            </w:r>
            <w:r>
              <w:rPr>
                <w:rStyle w:val="IndexLink"/>
              </w:rPr>
              <w:t>147</w:t>
            </w:r>
          </w:hyperlink>
        </w:p>
        <w:p>
          <w:pPr>
            <w:pStyle w:val="Contents6"/>
            <w:tabs>
              <w:tab w:val="clear" w:pos="7609"/>
              <w:tab w:val="right" w:pos="9026" w:leader="dot"/>
            </w:tabs>
            <w:rPr/>
          </w:pPr>
          <w:hyperlink w:anchor="__RefHeading___Toc474129_1479056682">
            <w:r>
              <w:rPr>
                <w:webHidden/>
                <w:rStyle w:val="IndexLink"/>
              </w:rPr>
              <w:t>2</w:t>
            </w:r>
            <w:r>
              <w:rPr>
                <w:rStyle w:val="IndexLink"/>
                <w:rtl w:val="true"/>
              </w:rPr>
              <w:t xml:space="preserve">- </w:t>
            </w:r>
            <w:r>
              <w:rPr>
                <w:rStyle w:val="IndexLink"/>
                <w:rtl w:val="true"/>
              </w:rPr>
              <w:t>وقف اموال منقول جایز است</w:t>
            </w:r>
            <w:r>
              <w:rPr>
                <w:rStyle w:val="IndexLink"/>
                <w:rtl w:val="true"/>
              </w:rPr>
              <w:tab/>
            </w:r>
            <w:r>
              <w:rPr>
                <w:rStyle w:val="IndexLink"/>
              </w:rPr>
              <w:t>148</w:t>
            </w:r>
          </w:hyperlink>
        </w:p>
        <w:p>
          <w:pPr>
            <w:pStyle w:val="Contents6"/>
            <w:tabs>
              <w:tab w:val="clear" w:pos="7609"/>
              <w:tab w:val="right" w:pos="9026" w:leader="dot"/>
            </w:tabs>
            <w:rPr/>
          </w:pPr>
          <w:hyperlink w:anchor="__RefHeading___Toc474131_1479056682">
            <w:r>
              <w:rPr>
                <w:webHidden/>
                <w:rStyle w:val="IndexLink"/>
              </w:rPr>
              <w:t>3</w:t>
            </w:r>
            <w:r>
              <w:rPr>
                <w:rStyle w:val="IndexLink"/>
                <w:rtl w:val="true"/>
              </w:rPr>
              <w:t xml:space="preserve">- </w:t>
            </w:r>
            <w:r>
              <w:rPr>
                <w:rStyle w:val="IndexLink"/>
                <w:rtl w:val="true"/>
              </w:rPr>
              <w:t xml:space="preserve">وقف درهم و دینار و </w:t>
            </w:r>
            <w:r>
              <w:rPr>
                <w:rStyle w:val="IndexLink"/>
                <w:rtl w:val="true"/>
              </w:rPr>
              <w:t>...</w:t>
              <w:tab/>
            </w:r>
            <w:r>
              <w:rPr>
                <w:rStyle w:val="IndexLink"/>
              </w:rPr>
              <w:t>148</w:t>
            </w:r>
          </w:hyperlink>
        </w:p>
        <w:p>
          <w:pPr>
            <w:pStyle w:val="Contents6"/>
            <w:tabs>
              <w:tab w:val="clear" w:pos="7609"/>
              <w:tab w:val="right" w:pos="9026" w:leader="dot"/>
            </w:tabs>
            <w:rPr/>
          </w:pPr>
          <w:hyperlink w:anchor="__RefHeading___Toc474133_1479056682">
            <w:r>
              <w:rPr>
                <w:webHidden/>
                <w:rStyle w:val="IndexLink"/>
              </w:rPr>
              <w:t>4</w:t>
            </w:r>
            <w:r>
              <w:rPr>
                <w:rStyle w:val="IndexLink"/>
                <w:rtl w:val="true"/>
              </w:rPr>
              <w:t xml:space="preserve">- </w:t>
            </w:r>
            <w:r>
              <w:rPr>
                <w:rStyle w:val="IndexLink"/>
                <w:rtl w:val="true"/>
              </w:rPr>
              <w:t>مال موقوف باید دارای منفعت مقصوده باشد</w:t>
            </w:r>
            <w:r>
              <w:rPr>
                <w:rStyle w:val="IndexLink"/>
                <w:rtl w:val="true"/>
              </w:rPr>
              <w:tab/>
            </w:r>
            <w:r>
              <w:rPr>
                <w:rStyle w:val="IndexLink"/>
              </w:rPr>
              <w:t>149</w:t>
            </w:r>
          </w:hyperlink>
        </w:p>
        <w:p>
          <w:pPr>
            <w:pStyle w:val="Contents6"/>
            <w:tabs>
              <w:tab w:val="clear" w:pos="7609"/>
              <w:tab w:val="right" w:pos="9026" w:leader="dot"/>
            </w:tabs>
            <w:rPr/>
          </w:pPr>
          <w:hyperlink w:anchor="__RefHeading___Toc474135_1479056682">
            <w:r>
              <w:rPr>
                <w:webHidden/>
                <w:rStyle w:val="IndexLink"/>
              </w:rPr>
              <w:t>5</w:t>
            </w:r>
            <w:r>
              <w:rPr>
                <w:rStyle w:val="IndexLink"/>
                <w:rtl w:val="true"/>
              </w:rPr>
              <w:t xml:space="preserve">- </w:t>
            </w:r>
            <w:r>
              <w:rPr>
                <w:rStyle w:val="IndexLink"/>
                <w:rtl w:val="true"/>
              </w:rPr>
              <w:t>حکم نماآتِ اموالِ موقوفه</w:t>
            </w:r>
            <w:r>
              <w:rPr>
                <w:rStyle w:val="IndexLink"/>
                <w:rtl w:val="true"/>
              </w:rPr>
              <w:tab/>
            </w:r>
            <w:r>
              <w:rPr>
                <w:rStyle w:val="IndexLink"/>
              </w:rPr>
              <w:t>150</w:t>
            </w:r>
          </w:hyperlink>
        </w:p>
        <w:p>
          <w:pPr>
            <w:pStyle w:val="Contents6"/>
            <w:tabs>
              <w:tab w:val="clear" w:pos="7609"/>
              <w:tab w:val="right" w:pos="9026" w:leader="dot"/>
            </w:tabs>
            <w:rPr/>
          </w:pPr>
          <w:hyperlink w:anchor="__RefHeading___Toc474137_1479056682">
            <w:r>
              <w:rPr>
                <w:webHidden/>
                <w:rStyle w:val="IndexLink"/>
              </w:rPr>
              <w:t>6</w:t>
            </w:r>
            <w:r>
              <w:rPr>
                <w:rStyle w:val="IndexLink"/>
                <w:rtl w:val="true"/>
              </w:rPr>
              <w:t xml:space="preserve">- </w:t>
            </w:r>
            <w:r>
              <w:rPr>
                <w:rStyle w:val="IndexLink"/>
                <w:rtl w:val="true"/>
              </w:rPr>
              <w:t>وقف منافع و حقوق</w:t>
            </w:r>
            <w:r>
              <w:rPr>
                <w:rStyle w:val="IndexLink"/>
                <w:rtl w:val="true"/>
              </w:rPr>
              <w:tab/>
            </w:r>
            <w:r>
              <w:rPr>
                <w:rStyle w:val="IndexLink"/>
              </w:rPr>
              <w:t>150</w:t>
            </w:r>
          </w:hyperlink>
        </w:p>
        <w:p>
          <w:pPr>
            <w:pStyle w:val="Contents6"/>
            <w:tabs>
              <w:tab w:val="clear" w:pos="7609"/>
              <w:tab w:val="right" w:pos="9026" w:leader="dot"/>
            </w:tabs>
            <w:rPr/>
          </w:pPr>
          <w:hyperlink w:anchor="__RefHeading___Toc474139_1479056682">
            <w:r>
              <w:rPr>
                <w:webHidden/>
                <w:rStyle w:val="IndexLink"/>
              </w:rPr>
              <w:t>7</w:t>
            </w:r>
            <w:r>
              <w:rPr>
                <w:rStyle w:val="IndexLink"/>
                <w:rtl w:val="true"/>
              </w:rPr>
              <w:t xml:space="preserve">- </w:t>
            </w:r>
            <w:r>
              <w:rPr>
                <w:rStyle w:val="IndexLink"/>
                <w:rtl w:val="true"/>
              </w:rPr>
              <w:t>وقف مُشاع</w:t>
            </w:r>
            <w:r>
              <w:rPr>
                <w:rStyle w:val="IndexLink"/>
                <w:rtl w:val="true"/>
              </w:rPr>
              <w:tab/>
            </w:r>
            <w:r>
              <w:rPr>
                <w:rStyle w:val="IndexLink"/>
              </w:rPr>
              <w:t>151</w:t>
            </w:r>
          </w:hyperlink>
        </w:p>
        <w:p>
          <w:pPr>
            <w:pStyle w:val="Contents5"/>
            <w:tabs>
              <w:tab w:val="clear" w:pos="7892"/>
              <w:tab w:val="right" w:pos="9026" w:leader="dot"/>
            </w:tabs>
            <w:rPr/>
          </w:pPr>
          <w:hyperlink w:anchor="__RefHeading___Toc474141_1479056682">
            <w:r>
              <w:rPr>
                <w:webHidden/>
                <w:rStyle w:val="IndexLink"/>
                <w:rtl w:val="true"/>
              </w:rPr>
              <w:t>قسمت مال موقوف بین دو یا چند نفر</w:t>
            </w:r>
            <w:r>
              <w:rPr>
                <w:rStyle w:val="IndexLink"/>
                <w:rtl w:val="true"/>
              </w:rPr>
              <w:tab/>
            </w:r>
            <w:r>
              <w:rPr>
                <w:rStyle w:val="IndexLink"/>
              </w:rPr>
              <w:t>153</w:t>
            </w:r>
          </w:hyperlink>
        </w:p>
        <w:p>
          <w:pPr>
            <w:pStyle w:val="Contents5"/>
            <w:tabs>
              <w:tab w:val="clear" w:pos="7892"/>
              <w:tab w:val="right" w:pos="9026" w:leader="dot"/>
            </w:tabs>
            <w:rPr/>
          </w:pPr>
          <w:hyperlink w:anchor="__RefHeading___Toc474143_1479056682">
            <w:r>
              <w:rPr>
                <w:webHidden/>
                <w:rStyle w:val="IndexLink"/>
                <w:rtl w:val="true"/>
              </w:rPr>
              <w:t>دیدگاه دیگر مذاهب</w:t>
            </w:r>
            <w:r>
              <w:rPr>
                <w:rStyle w:val="IndexLink"/>
                <w:rtl w:val="true"/>
              </w:rPr>
              <w:tab/>
            </w:r>
            <w:r>
              <w:rPr>
                <w:rStyle w:val="IndexLink"/>
              </w:rPr>
              <w:t>154</w:t>
            </w:r>
          </w:hyperlink>
        </w:p>
        <w:p>
          <w:pPr>
            <w:pStyle w:val="Contents5"/>
            <w:tabs>
              <w:tab w:val="clear" w:pos="7892"/>
              <w:tab w:val="right" w:pos="9026" w:leader="dot"/>
            </w:tabs>
            <w:rPr/>
          </w:pPr>
          <w:hyperlink w:anchor="__RefHeading___Toc474145_1479056682">
            <w:r>
              <w:rPr>
                <w:webHidden/>
                <w:rStyle w:val="IndexLink"/>
                <w:rtl w:val="true"/>
              </w:rPr>
              <w:t>فروع مترتّب بر این شرط</w:t>
            </w:r>
            <w:r>
              <w:rPr>
                <w:rStyle w:val="IndexLink"/>
                <w:rtl w:val="true"/>
              </w:rPr>
              <w:tab/>
            </w:r>
            <w:r>
              <w:rPr>
                <w:rStyle w:val="IndexLink"/>
              </w:rPr>
              <w:t>154</w:t>
            </w:r>
          </w:hyperlink>
        </w:p>
        <w:p>
          <w:pPr>
            <w:pStyle w:val="Contents6"/>
            <w:tabs>
              <w:tab w:val="clear" w:pos="7609"/>
              <w:tab w:val="right" w:pos="9026" w:leader="dot"/>
            </w:tabs>
            <w:rPr/>
          </w:pPr>
          <w:hyperlink w:anchor="__RefHeading___Toc474147_1479056682">
            <w:r>
              <w:rPr>
                <w:webHidden/>
                <w:rStyle w:val="IndexLink"/>
              </w:rPr>
              <w:t>1</w:t>
            </w:r>
            <w:r>
              <w:rPr>
                <w:rStyle w:val="IndexLink"/>
                <w:rtl w:val="true"/>
              </w:rPr>
              <w:t xml:space="preserve">- </w:t>
            </w:r>
            <w:r>
              <w:rPr>
                <w:rStyle w:val="IndexLink"/>
                <w:rtl w:val="true"/>
              </w:rPr>
              <w:t>وقف اموال منقول</w:t>
            </w:r>
            <w:r>
              <w:rPr>
                <w:rStyle w:val="IndexLink"/>
                <w:rtl w:val="true"/>
              </w:rPr>
              <w:tab/>
            </w:r>
            <w:r>
              <w:rPr>
                <w:rStyle w:val="IndexLink"/>
              </w:rPr>
              <w:t>154</w:t>
            </w:r>
          </w:hyperlink>
        </w:p>
        <w:p>
          <w:pPr>
            <w:pStyle w:val="Contents6"/>
            <w:tabs>
              <w:tab w:val="clear" w:pos="7609"/>
              <w:tab w:val="right" w:pos="9026" w:leader="dot"/>
            </w:tabs>
            <w:rPr/>
          </w:pPr>
          <w:hyperlink w:anchor="__RefHeading___Toc474149_1479056682">
            <w:r>
              <w:rPr>
                <w:webHidden/>
                <w:rStyle w:val="IndexLink"/>
              </w:rPr>
              <w:t>2</w:t>
            </w:r>
            <w:r>
              <w:rPr>
                <w:rStyle w:val="IndexLink"/>
                <w:rtl w:val="true"/>
              </w:rPr>
              <w:t xml:space="preserve">- </w:t>
            </w:r>
            <w:r>
              <w:rPr>
                <w:rStyle w:val="IndexLink"/>
                <w:rtl w:val="true"/>
              </w:rPr>
              <w:t>وقف درهم و دینار</w:t>
            </w:r>
            <w:r>
              <w:rPr>
                <w:rStyle w:val="IndexLink"/>
                <w:rtl w:val="true"/>
              </w:rPr>
              <w:tab/>
            </w:r>
            <w:r>
              <w:rPr>
                <w:rStyle w:val="IndexLink"/>
              </w:rPr>
              <w:t>155</w:t>
            </w:r>
          </w:hyperlink>
        </w:p>
        <w:p>
          <w:pPr>
            <w:pStyle w:val="Contents6"/>
            <w:tabs>
              <w:tab w:val="clear" w:pos="7609"/>
              <w:tab w:val="right" w:pos="9026" w:leader="dot"/>
            </w:tabs>
            <w:rPr/>
          </w:pPr>
          <w:hyperlink w:anchor="__RefHeading___Toc474151_1479056682">
            <w:r>
              <w:rPr>
                <w:webHidden/>
                <w:rStyle w:val="IndexLink"/>
              </w:rPr>
              <w:t>3</w:t>
            </w:r>
            <w:r>
              <w:rPr>
                <w:rStyle w:val="IndexLink"/>
                <w:rtl w:val="true"/>
              </w:rPr>
              <w:t xml:space="preserve">- </w:t>
            </w:r>
            <w:r>
              <w:rPr>
                <w:rStyle w:val="IndexLink"/>
                <w:rtl w:val="true"/>
              </w:rPr>
              <w:t>وقف اموال کلّی، نامعیّن و غیرقابل اقباض</w:t>
            </w:r>
            <w:r>
              <w:rPr>
                <w:rStyle w:val="IndexLink"/>
                <w:rtl w:val="true"/>
              </w:rPr>
              <w:tab/>
            </w:r>
            <w:r>
              <w:rPr>
                <w:rStyle w:val="IndexLink"/>
              </w:rPr>
              <w:t>156</w:t>
            </w:r>
          </w:hyperlink>
        </w:p>
        <w:p>
          <w:pPr>
            <w:pStyle w:val="Contents6"/>
            <w:tabs>
              <w:tab w:val="clear" w:pos="7609"/>
              <w:tab w:val="right" w:pos="9026" w:leader="dot"/>
            </w:tabs>
            <w:rPr/>
          </w:pPr>
          <w:hyperlink w:anchor="__RefHeading___Toc474153_1479056682">
            <w:r>
              <w:rPr>
                <w:webHidden/>
                <w:rStyle w:val="IndexLink"/>
              </w:rPr>
              <w:t>4</w:t>
            </w:r>
            <w:r>
              <w:rPr>
                <w:rStyle w:val="IndexLink"/>
                <w:rtl w:val="true"/>
              </w:rPr>
              <w:t xml:space="preserve">- </w:t>
            </w:r>
            <w:r>
              <w:rPr>
                <w:rStyle w:val="IndexLink"/>
                <w:rtl w:val="true"/>
              </w:rPr>
              <w:t>وقف منافع و حقوق</w:t>
            </w:r>
            <w:r>
              <w:rPr>
                <w:rStyle w:val="IndexLink"/>
                <w:rtl w:val="true"/>
              </w:rPr>
              <w:tab/>
            </w:r>
            <w:r>
              <w:rPr>
                <w:rStyle w:val="IndexLink"/>
              </w:rPr>
              <w:t>157</w:t>
            </w:r>
          </w:hyperlink>
        </w:p>
        <w:p>
          <w:pPr>
            <w:pStyle w:val="Contents6"/>
            <w:tabs>
              <w:tab w:val="clear" w:pos="7609"/>
              <w:tab w:val="right" w:pos="9026" w:leader="dot"/>
            </w:tabs>
            <w:rPr/>
          </w:pPr>
          <w:hyperlink w:anchor="__RefHeading___Toc474155_1479056682">
            <w:r>
              <w:rPr>
                <w:webHidden/>
                <w:rStyle w:val="IndexLink"/>
              </w:rPr>
              <w:t>5</w:t>
            </w:r>
            <w:r>
              <w:rPr>
                <w:rStyle w:val="IndexLink"/>
                <w:rtl w:val="true"/>
              </w:rPr>
              <w:t xml:space="preserve">- </w:t>
            </w:r>
            <w:r>
              <w:rPr>
                <w:rStyle w:val="IndexLink"/>
                <w:rtl w:val="true"/>
              </w:rPr>
              <w:t>وقف اقطاعات و اراضی خراجیّه</w:t>
            </w:r>
            <w:r>
              <w:rPr>
                <w:rStyle w:val="IndexLink"/>
                <w:rtl w:val="true"/>
              </w:rPr>
              <w:tab/>
            </w:r>
            <w:r>
              <w:rPr>
                <w:rStyle w:val="IndexLink"/>
              </w:rPr>
              <w:t>158</w:t>
            </w:r>
          </w:hyperlink>
        </w:p>
        <w:p>
          <w:pPr>
            <w:pStyle w:val="Contents6"/>
            <w:tabs>
              <w:tab w:val="clear" w:pos="7609"/>
              <w:tab w:val="right" w:pos="9026" w:leader="dot"/>
            </w:tabs>
            <w:rPr/>
          </w:pPr>
          <w:hyperlink w:anchor="__RefHeading___Toc474157_1479056682">
            <w:r>
              <w:rPr>
                <w:webHidden/>
                <w:rStyle w:val="IndexLink"/>
              </w:rPr>
              <w:t>6</w:t>
            </w:r>
            <w:r>
              <w:rPr>
                <w:rStyle w:val="IndexLink"/>
                <w:rtl w:val="true"/>
              </w:rPr>
              <w:t xml:space="preserve">- </w:t>
            </w:r>
            <w:r>
              <w:rPr>
                <w:rStyle w:val="IndexLink"/>
                <w:rtl w:val="true"/>
              </w:rPr>
              <w:t>وقف مُشاع</w:t>
            </w:r>
            <w:r>
              <w:rPr>
                <w:rStyle w:val="IndexLink"/>
                <w:rtl w:val="true"/>
              </w:rPr>
              <w:tab/>
            </w:r>
            <w:r>
              <w:rPr>
                <w:rStyle w:val="IndexLink"/>
              </w:rPr>
              <w:t>159</w:t>
            </w:r>
          </w:hyperlink>
        </w:p>
        <w:p>
          <w:pPr>
            <w:pStyle w:val="Contents6"/>
            <w:tabs>
              <w:tab w:val="clear" w:pos="7609"/>
              <w:tab w:val="right" w:pos="9026" w:leader="dot"/>
            </w:tabs>
            <w:rPr/>
          </w:pPr>
          <w:hyperlink w:anchor="__RefHeading___Toc474159_1479056682">
            <w:r>
              <w:rPr>
                <w:webHidden/>
                <w:rStyle w:val="IndexLink"/>
                <w:rtl w:val="true"/>
              </w:rPr>
              <w:t>اشاره</w:t>
            </w:r>
            <w:r>
              <w:rPr>
                <w:rStyle w:val="IndexLink"/>
                <w:rtl w:val="true"/>
              </w:rPr>
              <w:tab/>
            </w:r>
            <w:r>
              <w:rPr>
                <w:rStyle w:val="IndexLink"/>
              </w:rPr>
              <w:t>159</w:t>
            </w:r>
          </w:hyperlink>
        </w:p>
        <w:p>
          <w:pPr>
            <w:pStyle w:val="Contents6"/>
            <w:tabs>
              <w:tab w:val="clear" w:pos="7609"/>
              <w:tab w:val="right" w:pos="9026" w:leader="dot"/>
            </w:tabs>
            <w:rPr/>
          </w:pPr>
          <w:hyperlink w:anchor="__RefHeading___Toc474161_1479056682">
            <w:r>
              <w:rPr>
                <w:webHidden/>
                <w:rStyle w:val="IndexLink"/>
                <w:rtl w:val="true"/>
              </w:rPr>
              <w:t>قسمت وقف از طِلق</w:t>
            </w:r>
            <w:r>
              <w:rPr>
                <w:rStyle w:val="IndexLink"/>
                <w:rtl w:val="true"/>
              </w:rPr>
              <w:tab/>
            </w:r>
            <w:r>
              <w:rPr>
                <w:rStyle w:val="IndexLink"/>
              </w:rPr>
              <w:t>160</w:t>
            </w:r>
          </w:hyperlink>
        </w:p>
        <w:p>
          <w:pPr>
            <w:pStyle w:val="Contents4"/>
            <w:tabs>
              <w:tab w:val="clear" w:pos="8176"/>
              <w:tab w:val="right" w:pos="9026" w:leader="dot"/>
            </w:tabs>
            <w:rPr/>
          </w:pPr>
          <w:hyperlink w:anchor="__RefHeading___Toc474163_1479056682">
            <w:r>
              <w:rPr>
                <w:webHidden/>
                <w:rStyle w:val="IndexLink"/>
                <w:rtl w:val="true"/>
              </w:rPr>
              <w:t>شرط دوم</w:t>
            </w:r>
            <w:r>
              <w:rPr>
                <w:rStyle w:val="IndexLink"/>
                <w:rtl w:val="true"/>
              </w:rPr>
              <w:t xml:space="preserve">: </w:t>
            </w:r>
            <w:r>
              <w:rPr>
                <w:rStyle w:val="IndexLink"/>
                <w:rtl w:val="true"/>
              </w:rPr>
              <w:t>قابلیّت تملّک</w:t>
            </w:r>
            <w:r>
              <w:rPr>
                <w:rStyle w:val="IndexLink"/>
                <w:rtl w:val="true"/>
              </w:rPr>
              <w:tab/>
            </w:r>
            <w:r>
              <w:rPr>
                <w:rStyle w:val="IndexLink"/>
              </w:rPr>
              <w:t>160</w:t>
            </w:r>
          </w:hyperlink>
        </w:p>
        <w:p>
          <w:pPr>
            <w:pStyle w:val="Contents5"/>
            <w:tabs>
              <w:tab w:val="clear" w:pos="7892"/>
              <w:tab w:val="right" w:pos="9026" w:leader="dot"/>
            </w:tabs>
            <w:rPr/>
          </w:pPr>
          <w:hyperlink w:anchor="__RefHeading___Toc474165_1479056682">
            <w:r>
              <w:rPr>
                <w:webHidden/>
                <w:rStyle w:val="IndexLink"/>
                <w:rtl w:val="true"/>
              </w:rPr>
              <w:t>فقه امامیّه</w:t>
            </w:r>
            <w:r>
              <w:rPr>
                <w:rStyle w:val="IndexLink"/>
                <w:rtl w:val="true"/>
              </w:rPr>
              <w:tab/>
            </w:r>
            <w:r>
              <w:rPr>
                <w:rStyle w:val="IndexLink"/>
              </w:rPr>
              <w:t>160</w:t>
            </w:r>
          </w:hyperlink>
        </w:p>
        <w:p>
          <w:pPr>
            <w:pStyle w:val="Contents5"/>
            <w:tabs>
              <w:tab w:val="clear" w:pos="7892"/>
              <w:tab w:val="right" w:pos="9026" w:leader="dot"/>
            </w:tabs>
            <w:rPr/>
          </w:pPr>
          <w:hyperlink w:anchor="__RefHeading___Toc474167_1479056682">
            <w:r>
              <w:rPr>
                <w:webHidden/>
                <w:rStyle w:val="IndexLink"/>
                <w:rtl w:val="true"/>
              </w:rPr>
              <w:t>دیدگاه دیگر مذاهب</w:t>
            </w:r>
            <w:r>
              <w:rPr>
                <w:rStyle w:val="IndexLink"/>
                <w:rtl w:val="true"/>
              </w:rPr>
              <w:tab/>
            </w:r>
            <w:r>
              <w:rPr>
                <w:rStyle w:val="IndexLink"/>
              </w:rPr>
              <w:t>162</w:t>
            </w:r>
          </w:hyperlink>
        </w:p>
        <w:p>
          <w:pPr>
            <w:pStyle w:val="Contents3"/>
            <w:tabs>
              <w:tab w:val="clear" w:pos="8459"/>
              <w:tab w:val="right" w:pos="9026" w:leader="dot"/>
            </w:tabs>
            <w:rPr/>
          </w:pPr>
          <w:hyperlink w:anchor="__RefHeading___Toc474169_1479056682">
            <w:r>
              <w:rPr>
                <w:webHidden/>
                <w:rStyle w:val="IndexLink"/>
                <w:rtl w:val="true"/>
              </w:rPr>
              <w:t>فصل چهارم</w:t>
            </w:r>
            <w:r>
              <w:rPr>
                <w:rStyle w:val="IndexLink"/>
                <w:rtl w:val="true"/>
              </w:rPr>
              <w:t xml:space="preserve">: </w:t>
            </w:r>
            <w:r>
              <w:rPr>
                <w:rStyle w:val="IndexLink"/>
                <w:rtl w:val="true"/>
              </w:rPr>
              <w:t xml:space="preserve">موقوفٌ عَلَیْه؛ شرایط و </w:t>
            </w:r>
            <w:r>
              <w:rPr>
                <w:rStyle w:val="IndexLink"/>
                <w:rtl w:val="true"/>
              </w:rPr>
              <w:t>...</w:t>
              <w:tab/>
            </w:r>
            <w:r>
              <w:rPr>
                <w:rStyle w:val="IndexLink"/>
              </w:rPr>
              <w:t>164</w:t>
            </w:r>
          </w:hyperlink>
        </w:p>
        <w:p>
          <w:pPr>
            <w:pStyle w:val="Contents4"/>
            <w:tabs>
              <w:tab w:val="clear" w:pos="8176"/>
              <w:tab w:val="right" w:pos="9026" w:leader="dot"/>
            </w:tabs>
            <w:rPr/>
          </w:pPr>
          <w:hyperlink w:anchor="__RefHeading___Toc474171_1479056682">
            <w:r>
              <w:rPr>
                <w:webHidden/>
                <w:rStyle w:val="IndexLink"/>
                <w:rtl w:val="true"/>
              </w:rPr>
              <w:t>مبحث اوّل</w:t>
            </w:r>
            <w:r>
              <w:rPr>
                <w:rStyle w:val="IndexLink"/>
                <w:rtl w:val="true"/>
              </w:rPr>
              <w:t xml:space="preserve">: </w:t>
            </w:r>
            <w:r>
              <w:rPr>
                <w:rStyle w:val="IndexLink"/>
                <w:rtl w:val="true"/>
              </w:rPr>
              <w:t>وقف خاصّ و عامّ</w:t>
            </w:r>
            <w:r>
              <w:rPr>
                <w:rStyle w:val="IndexLink"/>
                <w:rtl w:val="true"/>
              </w:rPr>
              <w:tab/>
            </w:r>
            <w:r>
              <w:rPr>
                <w:rStyle w:val="IndexLink"/>
              </w:rPr>
              <w:t>164</w:t>
            </w:r>
          </w:hyperlink>
        </w:p>
        <w:p>
          <w:pPr>
            <w:pStyle w:val="Contents4"/>
            <w:tabs>
              <w:tab w:val="clear" w:pos="8176"/>
              <w:tab w:val="right" w:pos="9026" w:leader="dot"/>
            </w:tabs>
            <w:rPr/>
          </w:pPr>
          <w:hyperlink w:anchor="__RefHeading___Toc474173_1479056682">
            <w:r>
              <w:rPr>
                <w:webHidden/>
                <w:rStyle w:val="IndexLink"/>
                <w:rtl w:val="true"/>
              </w:rPr>
              <w:t>مبحث دوم</w:t>
            </w:r>
            <w:r>
              <w:rPr>
                <w:rStyle w:val="IndexLink"/>
                <w:rtl w:val="true"/>
              </w:rPr>
              <w:t xml:space="preserve">: </w:t>
            </w:r>
            <w:r>
              <w:rPr>
                <w:rStyle w:val="IndexLink"/>
                <w:rtl w:val="true"/>
              </w:rPr>
              <w:t>شرایط موقوفٌ عَلَیْه</w:t>
            </w:r>
            <w:r>
              <w:rPr>
                <w:rStyle w:val="IndexLink"/>
                <w:rtl w:val="true"/>
              </w:rPr>
              <w:tab/>
            </w:r>
            <w:r>
              <w:rPr>
                <w:rStyle w:val="IndexLink"/>
              </w:rPr>
              <w:t>165</w:t>
            </w:r>
          </w:hyperlink>
        </w:p>
        <w:p>
          <w:pPr>
            <w:pStyle w:val="Contents5"/>
            <w:tabs>
              <w:tab w:val="clear" w:pos="7892"/>
              <w:tab w:val="right" w:pos="9026" w:leader="dot"/>
            </w:tabs>
            <w:rPr/>
          </w:pPr>
          <w:hyperlink w:anchor="__RefHeading___Toc474175_1479056682">
            <w:r>
              <w:rPr>
                <w:webHidden/>
                <w:rStyle w:val="IndexLink"/>
                <w:rtl w:val="true"/>
              </w:rPr>
              <w:t>اشاره</w:t>
            </w:r>
            <w:r>
              <w:rPr>
                <w:rStyle w:val="IndexLink"/>
                <w:rtl w:val="true"/>
              </w:rPr>
              <w:tab/>
            </w:r>
            <w:r>
              <w:rPr>
                <w:rStyle w:val="IndexLink"/>
              </w:rPr>
              <w:t>165</w:t>
            </w:r>
          </w:hyperlink>
        </w:p>
        <w:p>
          <w:pPr>
            <w:pStyle w:val="Contents5"/>
            <w:tabs>
              <w:tab w:val="clear" w:pos="7892"/>
              <w:tab w:val="right" w:pos="9026" w:leader="dot"/>
            </w:tabs>
            <w:rPr/>
          </w:pPr>
          <w:hyperlink w:anchor="__RefHeading___Toc474177_1479056682">
            <w:r>
              <w:rPr>
                <w:webHidden/>
                <w:rStyle w:val="IndexLink"/>
                <w:rtl w:val="true"/>
              </w:rPr>
              <w:t>شرط اوّل</w:t>
            </w:r>
            <w:r>
              <w:rPr>
                <w:rStyle w:val="IndexLink"/>
                <w:rtl w:val="true"/>
              </w:rPr>
              <w:t xml:space="preserve">: </w:t>
            </w:r>
            <w:r>
              <w:rPr>
                <w:rStyle w:val="IndexLink"/>
                <w:rtl w:val="true"/>
              </w:rPr>
              <w:t>وجود</w:t>
            </w:r>
            <w:r>
              <w:rPr>
                <w:rStyle w:val="IndexLink"/>
                <w:rtl w:val="true"/>
              </w:rPr>
              <w:tab/>
            </w:r>
            <w:r>
              <w:rPr>
                <w:rStyle w:val="IndexLink"/>
              </w:rPr>
              <w:t>165</w:t>
            </w:r>
          </w:hyperlink>
        </w:p>
        <w:p>
          <w:pPr>
            <w:pStyle w:val="Contents6"/>
            <w:tabs>
              <w:tab w:val="clear" w:pos="7609"/>
              <w:tab w:val="right" w:pos="9026" w:leader="dot"/>
            </w:tabs>
            <w:rPr/>
          </w:pPr>
          <w:hyperlink w:anchor="__RefHeading___Toc474179_1479056682">
            <w:r>
              <w:rPr>
                <w:webHidden/>
                <w:rStyle w:val="IndexLink"/>
                <w:rtl w:val="true"/>
              </w:rPr>
              <w:t>دیدگاه امامیّه</w:t>
            </w:r>
            <w:r>
              <w:rPr>
                <w:rStyle w:val="IndexLink"/>
                <w:rtl w:val="true"/>
              </w:rPr>
              <w:tab/>
            </w:r>
            <w:r>
              <w:rPr>
                <w:rStyle w:val="IndexLink"/>
              </w:rPr>
              <w:t>165</w:t>
            </w:r>
          </w:hyperlink>
        </w:p>
        <w:p>
          <w:pPr>
            <w:pStyle w:val="Contents6"/>
            <w:tabs>
              <w:tab w:val="clear" w:pos="7609"/>
              <w:tab w:val="right" w:pos="9026" w:leader="dot"/>
            </w:tabs>
            <w:rPr/>
          </w:pPr>
          <w:hyperlink w:anchor="__RefHeading___Toc474181_1479056682">
            <w:r>
              <w:rPr>
                <w:webHidden/>
                <w:rStyle w:val="IndexLink"/>
                <w:rtl w:val="true"/>
              </w:rPr>
              <w:t>اشاره</w:t>
            </w:r>
            <w:r>
              <w:rPr>
                <w:rStyle w:val="IndexLink"/>
                <w:rtl w:val="true"/>
              </w:rPr>
              <w:tab/>
            </w:r>
            <w:r>
              <w:rPr>
                <w:rStyle w:val="IndexLink"/>
              </w:rPr>
              <w:t>165</w:t>
            </w:r>
          </w:hyperlink>
        </w:p>
        <w:p>
          <w:pPr>
            <w:pStyle w:val="Contents6"/>
            <w:tabs>
              <w:tab w:val="clear" w:pos="7609"/>
              <w:tab w:val="right" w:pos="9026" w:leader="dot"/>
            </w:tabs>
            <w:rPr/>
          </w:pPr>
          <w:hyperlink w:anchor="__RefHeading___Toc474183_1479056682">
            <w:r>
              <w:rPr>
                <w:webHidden/>
                <w:rStyle w:val="IndexLink"/>
              </w:rPr>
              <w:t>1</w:t>
            </w:r>
            <w:r>
              <w:rPr>
                <w:rStyle w:val="IndexLink"/>
                <w:rtl w:val="true"/>
              </w:rPr>
              <w:t xml:space="preserve">- </w:t>
            </w:r>
            <w:r>
              <w:rPr>
                <w:rStyle w:val="IndexLink"/>
                <w:rtl w:val="true"/>
              </w:rPr>
              <w:t xml:space="preserve">عدم صحّت وقف بر حمل </w:t>
            </w:r>
            <w:r>
              <w:rPr>
                <w:rStyle w:val="IndexLink"/>
                <w:rtl w:val="true"/>
              </w:rPr>
              <w:t>(</w:t>
            </w:r>
            <w:r>
              <w:rPr>
                <w:rStyle w:val="IndexLink"/>
                <w:rtl w:val="true"/>
              </w:rPr>
              <w:t>جَنین</w:t>
            </w:r>
            <w:r>
              <w:rPr>
                <w:rStyle w:val="IndexLink"/>
                <w:rtl w:val="true"/>
              </w:rPr>
              <w:t>)</w:t>
              <w:tab/>
            </w:r>
            <w:r>
              <w:rPr>
                <w:rStyle w:val="IndexLink"/>
              </w:rPr>
              <w:t>165</w:t>
            </w:r>
          </w:hyperlink>
        </w:p>
        <w:p>
          <w:pPr>
            <w:pStyle w:val="Contents6"/>
            <w:tabs>
              <w:tab w:val="clear" w:pos="7609"/>
              <w:tab w:val="right" w:pos="9026" w:leader="dot"/>
            </w:tabs>
            <w:rPr/>
          </w:pPr>
          <w:hyperlink w:anchor="__RefHeading___Toc474185_1479056682">
            <w:r>
              <w:rPr>
                <w:webHidden/>
                <w:rStyle w:val="IndexLink"/>
              </w:rPr>
              <w:t>2</w:t>
            </w:r>
            <w:r>
              <w:rPr>
                <w:rStyle w:val="IndexLink"/>
                <w:rtl w:val="true"/>
              </w:rPr>
              <w:t xml:space="preserve">- </w:t>
            </w:r>
            <w:r>
              <w:rPr>
                <w:rStyle w:val="IndexLink"/>
                <w:rtl w:val="true"/>
              </w:rPr>
              <w:t>وقف بر معدوم به تَبَع موجود</w:t>
            </w:r>
            <w:r>
              <w:rPr>
                <w:rStyle w:val="IndexLink"/>
                <w:rtl w:val="true"/>
              </w:rPr>
              <w:tab/>
            </w:r>
            <w:r>
              <w:rPr>
                <w:rStyle w:val="IndexLink"/>
              </w:rPr>
              <w:t>167</w:t>
            </w:r>
          </w:hyperlink>
        </w:p>
        <w:p>
          <w:pPr>
            <w:pStyle w:val="Contents6"/>
            <w:tabs>
              <w:tab w:val="clear" w:pos="7609"/>
              <w:tab w:val="right" w:pos="9026" w:leader="dot"/>
            </w:tabs>
            <w:rPr/>
          </w:pPr>
          <w:hyperlink w:anchor="__RefHeading___Toc474187_1479056682">
            <w:r>
              <w:rPr>
                <w:webHidden/>
                <w:rStyle w:val="IndexLink"/>
                <w:rtl w:val="true"/>
              </w:rPr>
              <w:t>دیدگاه دیگر مذاهب</w:t>
            </w:r>
            <w:r>
              <w:rPr>
                <w:rStyle w:val="IndexLink"/>
                <w:rtl w:val="true"/>
              </w:rPr>
              <w:tab/>
            </w:r>
            <w:r>
              <w:rPr>
                <w:rStyle w:val="IndexLink"/>
              </w:rPr>
              <w:t>168</w:t>
            </w:r>
          </w:hyperlink>
        </w:p>
        <w:p>
          <w:pPr>
            <w:pStyle w:val="Contents5"/>
            <w:tabs>
              <w:tab w:val="clear" w:pos="7892"/>
              <w:tab w:val="right" w:pos="9026" w:leader="dot"/>
            </w:tabs>
            <w:rPr/>
          </w:pPr>
          <w:hyperlink w:anchor="__RefHeading___Toc474189_1479056682">
            <w:r>
              <w:rPr>
                <w:webHidden/>
                <w:rStyle w:val="IndexLink"/>
                <w:rtl w:val="true"/>
              </w:rPr>
              <w:t>شرط دوم</w:t>
            </w:r>
            <w:r>
              <w:rPr>
                <w:rStyle w:val="IndexLink"/>
                <w:rtl w:val="true"/>
              </w:rPr>
              <w:t xml:space="preserve">: </w:t>
            </w:r>
            <w:r>
              <w:rPr>
                <w:rStyle w:val="IndexLink"/>
                <w:rtl w:val="true"/>
              </w:rPr>
              <w:t>تعیین</w:t>
            </w:r>
            <w:r>
              <w:rPr>
                <w:rStyle w:val="IndexLink"/>
                <w:rtl w:val="true"/>
              </w:rPr>
              <w:tab/>
            </w:r>
            <w:r>
              <w:rPr>
                <w:rStyle w:val="IndexLink"/>
              </w:rPr>
              <w:t>168</w:t>
            </w:r>
          </w:hyperlink>
        </w:p>
        <w:p>
          <w:pPr>
            <w:pStyle w:val="Contents6"/>
            <w:tabs>
              <w:tab w:val="clear" w:pos="7609"/>
              <w:tab w:val="right" w:pos="9026" w:leader="dot"/>
            </w:tabs>
            <w:rPr/>
          </w:pPr>
          <w:hyperlink w:anchor="__RefHeading___Toc474191_1479056682">
            <w:r>
              <w:rPr>
                <w:webHidden/>
                <w:rStyle w:val="IndexLink"/>
                <w:rtl w:val="true"/>
              </w:rPr>
              <w:t>اشاره</w:t>
            </w:r>
            <w:r>
              <w:rPr>
                <w:rStyle w:val="IndexLink"/>
                <w:rtl w:val="true"/>
              </w:rPr>
              <w:tab/>
            </w:r>
            <w:r>
              <w:rPr>
                <w:rStyle w:val="IndexLink"/>
              </w:rPr>
              <w:t>168</w:t>
            </w:r>
          </w:hyperlink>
        </w:p>
        <w:p>
          <w:pPr>
            <w:pStyle w:val="Contents6"/>
            <w:tabs>
              <w:tab w:val="clear" w:pos="7609"/>
              <w:tab w:val="right" w:pos="9026" w:leader="dot"/>
            </w:tabs>
            <w:rPr/>
          </w:pPr>
          <w:hyperlink w:anchor="__RefHeading___Toc474193_1479056682">
            <w:r>
              <w:rPr>
                <w:webHidden/>
                <w:rStyle w:val="IndexLink"/>
                <w:rtl w:val="true"/>
              </w:rPr>
              <w:t>دیدگاه امامیّه</w:t>
            </w:r>
            <w:r>
              <w:rPr>
                <w:rStyle w:val="IndexLink"/>
                <w:rtl w:val="true"/>
              </w:rPr>
              <w:tab/>
            </w:r>
            <w:r>
              <w:rPr>
                <w:rStyle w:val="IndexLink"/>
              </w:rPr>
              <w:t>169</w:t>
            </w:r>
          </w:hyperlink>
        </w:p>
        <w:p>
          <w:pPr>
            <w:pStyle w:val="Contents6"/>
            <w:tabs>
              <w:tab w:val="clear" w:pos="7609"/>
              <w:tab w:val="right" w:pos="9026" w:leader="dot"/>
            </w:tabs>
            <w:rPr/>
          </w:pPr>
          <w:hyperlink w:anchor="__RefHeading___Toc474195_1479056682">
            <w:r>
              <w:rPr>
                <w:webHidden/>
                <w:rStyle w:val="IndexLink"/>
                <w:rtl w:val="true"/>
              </w:rPr>
              <w:t>اشاره</w:t>
            </w:r>
            <w:r>
              <w:rPr>
                <w:rStyle w:val="IndexLink"/>
                <w:rtl w:val="true"/>
              </w:rPr>
              <w:tab/>
            </w:r>
            <w:r>
              <w:rPr>
                <w:rStyle w:val="IndexLink"/>
              </w:rPr>
              <w:t>169</w:t>
            </w:r>
          </w:hyperlink>
        </w:p>
        <w:p>
          <w:pPr>
            <w:pStyle w:val="Contents6"/>
            <w:tabs>
              <w:tab w:val="clear" w:pos="7609"/>
              <w:tab w:val="right" w:pos="9026" w:leader="dot"/>
            </w:tabs>
            <w:rPr/>
          </w:pPr>
          <w:hyperlink w:anchor="__RefHeading___Toc474197_1479056682">
            <w:r>
              <w:rPr>
                <w:webHidden/>
                <w:rStyle w:val="IndexLink"/>
              </w:rPr>
              <w:t>1</w:t>
            </w:r>
            <w:r>
              <w:rPr>
                <w:rStyle w:val="IndexLink"/>
                <w:rtl w:val="true"/>
              </w:rPr>
              <w:t xml:space="preserve">- </w:t>
            </w:r>
            <w:r>
              <w:rPr>
                <w:rStyle w:val="IndexLink"/>
                <w:rtl w:val="true"/>
              </w:rPr>
              <w:t>وقف بدون ذکر مصرف</w:t>
            </w:r>
            <w:r>
              <w:rPr>
                <w:rStyle w:val="IndexLink"/>
                <w:rtl w:val="true"/>
              </w:rPr>
              <w:tab/>
            </w:r>
            <w:r>
              <w:rPr>
                <w:rStyle w:val="IndexLink"/>
              </w:rPr>
              <w:t>169</w:t>
            </w:r>
          </w:hyperlink>
        </w:p>
        <w:p>
          <w:pPr>
            <w:pStyle w:val="Contents6"/>
            <w:tabs>
              <w:tab w:val="clear" w:pos="7609"/>
              <w:tab w:val="right" w:pos="9026" w:leader="dot"/>
            </w:tabs>
            <w:rPr/>
          </w:pPr>
          <w:hyperlink w:anchor="__RefHeading___Toc474199_1479056682">
            <w:r>
              <w:rPr>
                <w:webHidden/>
                <w:rStyle w:val="IndexLink"/>
              </w:rPr>
              <w:t>2</w:t>
            </w:r>
            <w:r>
              <w:rPr>
                <w:rStyle w:val="IndexLink"/>
                <w:rtl w:val="true"/>
              </w:rPr>
              <w:t xml:space="preserve">- </w:t>
            </w:r>
            <w:r>
              <w:rPr>
                <w:rStyle w:val="IndexLink"/>
                <w:rtl w:val="true"/>
              </w:rPr>
              <w:t>وقف بر موارد غیر محصور</w:t>
            </w:r>
            <w:r>
              <w:rPr>
                <w:rStyle w:val="IndexLink"/>
                <w:rtl w:val="true"/>
              </w:rPr>
              <w:tab/>
            </w:r>
            <w:r>
              <w:rPr>
                <w:rStyle w:val="IndexLink"/>
              </w:rPr>
              <w:t>171</w:t>
            </w:r>
          </w:hyperlink>
        </w:p>
        <w:p>
          <w:pPr>
            <w:pStyle w:val="Contents6"/>
            <w:tabs>
              <w:tab w:val="clear" w:pos="7609"/>
              <w:tab w:val="right" w:pos="9026" w:leader="dot"/>
            </w:tabs>
            <w:rPr/>
          </w:pPr>
          <w:hyperlink w:anchor="__RefHeading___Toc474201_1479056682">
            <w:r>
              <w:rPr>
                <w:webHidden/>
                <w:rStyle w:val="IndexLink"/>
                <w:rtl w:val="true"/>
              </w:rPr>
              <w:t>دیدگاه دیگر مذاهب</w:t>
            </w:r>
            <w:r>
              <w:rPr>
                <w:rStyle w:val="IndexLink"/>
                <w:rtl w:val="true"/>
              </w:rPr>
              <w:tab/>
            </w:r>
            <w:r>
              <w:rPr>
                <w:rStyle w:val="IndexLink"/>
              </w:rPr>
              <w:t>172</w:t>
            </w:r>
          </w:hyperlink>
        </w:p>
        <w:p>
          <w:pPr>
            <w:pStyle w:val="Contents6"/>
            <w:tabs>
              <w:tab w:val="clear" w:pos="7609"/>
              <w:tab w:val="right" w:pos="9026" w:leader="dot"/>
            </w:tabs>
            <w:rPr/>
          </w:pPr>
          <w:hyperlink w:anchor="__RefHeading___Toc474203_1479056682">
            <w:r>
              <w:rPr>
                <w:webHidden/>
                <w:rStyle w:val="IndexLink"/>
                <w:rtl w:val="true"/>
              </w:rPr>
              <w:t>اشاره</w:t>
            </w:r>
            <w:r>
              <w:rPr>
                <w:rStyle w:val="IndexLink"/>
                <w:rtl w:val="true"/>
              </w:rPr>
              <w:tab/>
            </w:r>
            <w:r>
              <w:rPr>
                <w:rStyle w:val="IndexLink"/>
              </w:rPr>
              <w:t>172</w:t>
            </w:r>
          </w:hyperlink>
        </w:p>
        <w:p>
          <w:pPr>
            <w:pStyle w:val="Contents6"/>
            <w:tabs>
              <w:tab w:val="clear" w:pos="7609"/>
              <w:tab w:val="right" w:pos="9026" w:leader="dot"/>
            </w:tabs>
            <w:rPr/>
          </w:pPr>
          <w:hyperlink w:anchor="__RefHeading___Toc474205_1479056682">
            <w:r>
              <w:rPr>
                <w:webHidden/>
                <w:rStyle w:val="IndexLink"/>
              </w:rPr>
              <w:t>1</w:t>
            </w:r>
            <w:r>
              <w:rPr>
                <w:rStyle w:val="IndexLink"/>
                <w:rtl w:val="true"/>
              </w:rPr>
              <w:t xml:space="preserve">- </w:t>
            </w:r>
            <w:r>
              <w:rPr>
                <w:rStyle w:val="IndexLink"/>
                <w:rtl w:val="true"/>
              </w:rPr>
              <w:t>وقف بدون ذکر مصرف</w:t>
            </w:r>
            <w:r>
              <w:rPr>
                <w:rStyle w:val="IndexLink"/>
                <w:rtl w:val="true"/>
              </w:rPr>
              <w:tab/>
            </w:r>
            <w:r>
              <w:rPr>
                <w:rStyle w:val="IndexLink"/>
              </w:rPr>
              <w:t>172</w:t>
            </w:r>
          </w:hyperlink>
        </w:p>
        <w:p>
          <w:pPr>
            <w:pStyle w:val="Contents6"/>
            <w:tabs>
              <w:tab w:val="clear" w:pos="7609"/>
              <w:tab w:val="right" w:pos="9026" w:leader="dot"/>
            </w:tabs>
            <w:rPr/>
          </w:pPr>
          <w:hyperlink w:anchor="__RefHeading___Toc474207_1479056682">
            <w:r>
              <w:rPr>
                <w:webHidden/>
                <w:rStyle w:val="IndexLink"/>
              </w:rPr>
              <w:t>2</w:t>
            </w:r>
            <w:r>
              <w:rPr>
                <w:rStyle w:val="IndexLink"/>
                <w:rtl w:val="true"/>
              </w:rPr>
              <w:t xml:space="preserve">- </w:t>
            </w:r>
            <w:r>
              <w:rPr>
                <w:rStyle w:val="IndexLink"/>
                <w:rtl w:val="true"/>
              </w:rPr>
              <w:t>وقف بر افراد غیر محصور</w:t>
            </w:r>
            <w:r>
              <w:rPr>
                <w:rStyle w:val="IndexLink"/>
                <w:rtl w:val="true"/>
              </w:rPr>
              <w:tab/>
            </w:r>
            <w:r>
              <w:rPr>
                <w:rStyle w:val="IndexLink"/>
              </w:rPr>
              <w:t>173</w:t>
            </w:r>
          </w:hyperlink>
        </w:p>
        <w:p>
          <w:pPr>
            <w:pStyle w:val="Contents6"/>
            <w:tabs>
              <w:tab w:val="clear" w:pos="7609"/>
              <w:tab w:val="right" w:pos="9026" w:leader="dot"/>
            </w:tabs>
            <w:rPr/>
          </w:pPr>
          <w:hyperlink w:anchor="__RefHeading___Toc474209_1479056682">
            <w:r>
              <w:rPr>
                <w:webHidden/>
                <w:rStyle w:val="IndexLink"/>
              </w:rPr>
              <w:t>3</w:t>
            </w:r>
            <w:r>
              <w:rPr>
                <w:rStyle w:val="IndexLink"/>
                <w:rtl w:val="true"/>
              </w:rPr>
              <w:t xml:space="preserve">- </w:t>
            </w:r>
            <w:r>
              <w:rPr>
                <w:rStyle w:val="IndexLink"/>
                <w:rtl w:val="true"/>
              </w:rPr>
              <w:t>موقوفات مجهول المصرف</w:t>
            </w:r>
            <w:r>
              <w:rPr>
                <w:rStyle w:val="IndexLink"/>
                <w:rtl w:val="true"/>
              </w:rPr>
              <w:tab/>
            </w:r>
            <w:r>
              <w:rPr>
                <w:rStyle w:val="IndexLink"/>
              </w:rPr>
              <w:t>174</w:t>
            </w:r>
          </w:hyperlink>
        </w:p>
        <w:p>
          <w:pPr>
            <w:pStyle w:val="Contents6"/>
            <w:tabs>
              <w:tab w:val="clear" w:pos="7609"/>
              <w:tab w:val="right" w:pos="9026" w:leader="dot"/>
            </w:tabs>
            <w:rPr/>
          </w:pPr>
          <w:hyperlink w:anchor="__RefHeading___Toc474211_1479056682">
            <w:r>
              <w:rPr>
                <w:webHidden/>
                <w:rStyle w:val="IndexLink"/>
              </w:rPr>
              <w:t>4</w:t>
            </w:r>
            <w:r>
              <w:rPr>
                <w:rStyle w:val="IndexLink"/>
                <w:rtl w:val="true"/>
              </w:rPr>
              <w:t xml:space="preserve">- </w:t>
            </w:r>
            <w:r>
              <w:rPr>
                <w:rStyle w:val="IndexLink"/>
                <w:rtl w:val="true"/>
              </w:rPr>
              <w:t>اوقافی که رسم آنها باطل شده است</w:t>
            </w:r>
            <w:r>
              <w:rPr>
                <w:rStyle w:val="IndexLink"/>
                <w:rtl w:val="true"/>
              </w:rPr>
              <w:tab/>
            </w:r>
            <w:r>
              <w:rPr>
                <w:rStyle w:val="IndexLink"/>
              </w:rPr>
              <w:t>175</w:t>
            </w:r>
          </w:hyperlink>
        </w:p>
        <w:p>
          <w:pPr>
            <w:pStyle w:val="Contents6"/>
            <w:tabs>
              <w:tab w:val="clear" w:pos="7609"/>
              <w:tab w:val="right" w:pos="9026" w:leader="dot"/>
            </w:tabs>
            <w:rPr/>
          </w:pPr>
          <w:hyperlink w:anchor="__RefHeading___Toc474213_1479056682">
            <w:r>
              <w:rPr>
                <w:webHidden/>
                <w:rStyle w:val="IndexLink"/>
              </w:rPr>
              <w:t>5</w:t>
            </w:r>
            <w:r>
              <w:rPr>
                <w:rStyle w:val="IndexLink"/>
                <w:rtl w:val="true"/>
              </w:rPr>
              <w:t xml:space="preserve">- </w:t>
            </w:r>
            <w:r>
              <w:rPr>
                <w:rStyle w:val="IndexLink"/>
                <w:rtl w:val="true"/>
              </w:rPr>
              <w:t xml:space="preserve">وقف در صورت انقراض </w:t>
            </w:r>
            <w:r>
              <w:rPr>
                <w:rStyle w:val="IndexLink"/>
                <w:rtl w:val="true"/>
              </w:rPr>
              <w:t>«</w:t>
            </w:r>
            <w:r>
              <w:rPr>
                <w:rStyle w:val="IndexLink"/>
                <w:rtl w:val="true"/>
              </w:rPr>
              <w:t>موقوفٌ عَلَیهم</w:t>
            </w:r>
            <w:r>
              <w:rPr>
                <w:rStyle w:val="IndexLink"/>
                <w:rtl w:val="true"/>
              </w:rPr>
              <w:t>»</w:t>
              <w:tab/>
            </w:r>
            <w:r>
              <w:rPr>
                <w:rStyle w:val="IndexLink"/>
              </w:rPr>
              <w:t>177</w:t>
            </w:r>
          </w:hyperlink>
        </w:p>
        <w:p>
          <w:pPr>
            <w:pStyle w:val="Contents6"/>
            <w:tabs>
              <w:tab w:val="clear" w:pos="7609"/>
              <w:tab w:val="right" w:pos="9026" w:leader="dot"/>
            </w:tabs>
            <w:rPr/>
          </w:pPr>
          <w:hyperlink w:anchor="__RefHeading___Toc474215_1479056682">
            <w:r>
              <w:rPr>
                <w:webHidden/>
                <w:rStyle w:val="IndexLink"/>
                <w:rtl w:val="true"/>
              </w:rPr>
              <w:t>دیدگاه امامیّه</w:t>
            </w:r>
            <w:r>
              <w:rPr>
                <w:rStyle w:val="IndexLink"/>
                <w:rtl w:val="true"/>
              </w:rPr>
              <w:tab/>
            </w:r>
            <w:r>
              <w:rPr>
                <w:rStyle w:val="IndexLink"/>
              </w:rPr>
              <w:t>178</w:t>
            </w:r>
          </w:hyperlink>
        </w:p>
        <w:p>
          <w:pPr>
            <w:pStyle w:val="Contents6"/>
            <w:tabs>
              <w:tab w:val="clear" w:pos="7609"/>
              <w:tab w:val="right" w:pos="9026" w:leader="dot"/>
            </w:tabs>
            <w:rPr/>
          </w:pPr>
          <w:hyperlink w:anchor="__RefHeading___Toc474217_1479056682">
            <w:r>
              <w:rPr>
                <w:webHidden/>
                <w:rStyle w:val="IndexLink"/>
                <w:rtl w:val="true"/>
              </w:rPr>
              <w:t>دیدگاه دیگر مذاهب</w:t>
            </w:r>
            <w:r>
              <w:rPr>
                <w:rStyle w:val="IndexLink"/>
                <w:rtl w:val="true"/>
              </w:rPr>
              <w:tab/>
            </w:r>
            <w:r>
              <w:rPr>
                <w:rStyle w:val="IndexLink"/>
              </w:rPr>
              <w:t>179</w:t>
            </w:r>
          </w:hyperlink>
        </w:p>
        <w:p>
          <w:pPr>
            <w:pStyle w:val="Contents5"/>
            <w:tabs>
              <w:tab w:val="clear" w:pos="7892"/>
              <w:tab w:val="right" w:pos="9026" w:leader="dot"/>
            </w:tabs>
            <w:rPr/>
          </w:pPr>
          <w:hyperlink w:anchor="__RefHeading___Toc474219_1479056682">
            <w:r>
              <w:rPr>
                <w:webHidden/>
                <w:rStyle w:val="IndexLink"/>
                <w:rtl w:val="true"/>
              </w:rPr>
              <w:t>شرط سوم</w:t>
            </w:r>
            <w:r>
              <w:rPr>
                <w:rStyle w:val="IndexLink"/>
                <w:rtl w:val="true"/>
              </w:rPr>
              <w:t xml:space="preserve">: </w:t>
            </w:r>
            <w:r>
              <w:rPr>
                <w:rStyle w:val="IndexLink"/>
                <w:rtl w:val="true"/>
              </w:rPr>
              <w:t>صحّت تملّک</w:t>
            </w:r>
            <w:r>
              <w:rPr>
                <w:rStyle w:val="IndexLink"/>
                <w:rtl w:val="true"/>
              </w:rPr>
              <w:tab/>
            </w:r>
            <w:r>
              <w:rPr>
                <w:rStyle w:val="IndexLink"/>
              </w:rPr>
              <w:t>180</w:t>
            </w:r>
          </w:hyperlink>
        </w:p>
        <w:p>
          <w:pPr>
            <w:pStyle w:val="Contents6"/>
            <w:tabs>
              <w:tab w:val="clear" w:pos="7609"/>
              <w:tab w:val="right" w:pos="9026" w:leader="dot"/>
            </w:tabs>
            <w:rPr/>
          </w:pPr>
          <w:hyperlink w:anchor="__RefHeading___Toc474221_1479056682">
            <w:r>
              <w:rPr>
                <w:webHidden/>
                <w:rStyle w:val="IndexLink"/>
                <w:rtl w:val="true"/>
              </w:rPr>
              <w:t>دیدگاه امامیّه</w:t>
            </w:r>
            <w:r>
              <w:rPr>
                <w:rStyle w:val="IndexLink"/>
                <w:rtl w:val="true"/>
              </w:rPr>
              <w:tab/>
            </w:r>
            <w:r>
              <w:rPr>
                <w:rStyle w:val="IndexLink"/>
              </w:rPr>
              <w:t>180</w:t>
            </w:r>
          </w:hyperlink>
        </w:p>
        <w:p>
          <w:pPr>
            <w:pStyle w:val="Contents6"/>
            <w:tabs>
              <w:tab w:val="clear" w:pos="7609"/>
              <w:tab w:val="right" w:pos="9026" w:leader="dot"/>
            </w:tabs>
            <w:rPr/>
          </w:pPr>
          <w:hyperlink w:anchor="__RefHeading___Toc474223_1479056682">
            <w:r>
              <w:rPr>
                <w:webHidden/>
                <w:rStyle w:val="IndexLink"/>
                <w:rtl w:val="true"/>
              </w:rPr>
              <w:t>دیدگاه دیگر مذاهب</w:t>
            </w:r>
            <w:r>
              <w:rPr>
                <w:rStyle w:val="IndexLink"/>
                <w:rtl w:val="true"/>
              </w:rPr>
              <w:tab/>
            </w:r>
            <w:r>
              <w:rPr>
                <w:rStyle w:val="IndexLink"/>
              </w:rPr>
              <w:t>182</w:t>
            </w:r>
          </w:hyperlink>
        </w:p>
        <w:p>
          <w:pPr>
            <w:pStyle w:val="Contents5"/>
            <w:tabs>
              <w:tab w:val="clear" w:pos="7892"/>
              <w:tab w:val="right" w:pos="9026" w:leader="dot"/>
            </w:tabs>
            <w:rPr/>
          </w:pPr>
          <w:hyperlink w:anchor="__RefHeading___Toc474225_1479056682">
            <w:r>
              <w:rPr>
                <w:webHidden/>
                <w:rStyle w:val="IndexLink"/>
                <w:rtl w:val="true"/>
              </w:rPr>
              <w:t>شرط چهارم</w:t>
            </w:r>
            <w:r>
              <w:rPr>
                <w:rStyle w:val="IndexLink"/>
                <w:rtl w:val="true"/>
              </w:rPr>
              <w:t xml:space="preserve">: </w:t>
            </w:r>
            <w:r>
              <w:rPr>
                <w:rStyle w:val="IndexLink"/>
                <w:rtl w:val="true"/>
              </w:rPr>
              <w:t>فقر</w:t>
            </w:r>
            <w:r>
              <w:rPr>
                <w:rStyle w:val="IndexLink"/>
                <w:rtl w:val="true"/>
              </w:rPr>
              <w:tab/>
            </w:r>
            <w:r>
              <w:rPr>
                <w:rStyle w:val="IndexLink"/>
              </w:rPr>
              <w:t>183</w:t>
            </w:r>
          </w:hyperlink>
        </w:p>
        <w:p>
          <w:pPr>
            <w:pStyle w:val="Contents6"/>
            <w:tabs>
              <w:tab w:val="clear" w:pos="7609"/>
              <w:tab w:val="right" w:pos="9026" w:leader="dot"/>
            </w:tabs>
            <w:rPr/>
          </w:pPr>
          <w:hyperlink w:anchor="__RefHeading___Toc474227_1479056682">
            <w:r>
              <w:rPr>
                <w:webHidden/>
                <w:rStyle w:val="IndexLink"/>
                <w:rtl w:val="true"/>
              </w:rPr>
              <w:t>دیدگاه امامیّه</w:t>
            </w:r>
            <w:r>
              <w:rPr>
                <w:rStyle w:val="IndexLink"/>
                <w:rtl w:val="true"/>
              </w:rPr>
              <w:tab/>
            </w:r>
            <w:r>
              <w:rPr>
                <w:rStyle w:val="IndexLink"/>
              </w:rPr>
              <w:t>183</w:t>
            </w:r>
          </w:hyperlink>
        </w:p>
        <w:p>
          <w:pPr>
            <w:pStyle w:val="Contents6"/>
            <w:tabs>
              <w:tab w:val="clear" w:pos="7609"/>
              <w:tab w:val="right" w:pos="9026" w:leader="dot"/>
            </w:tabs>
            <w:rPr/>
          </w:pPr>
          <w:hyperlink w:anchor="__RefHeading___Toc474229_1479056682">
            <w:r>
              <w:rPr>
                <w:webHidden/>
                <w:rStyle w:val="IndexLink"/>
                <w:rtl w:val="true"/>
              </w:rPr>
              <w:t>دیدگاه دیگر مذاهب</w:t>
            </w:r>
            <w:r>
              <w:rPr>
                <w:rStyle w:val="IndexLink"/>
                <w:rtl w:val="true"/>
              </w:rPr>
              <w:tab/>
            </w:r>
            <w:r>
              <w:rPr>
                <w:rStyle w:val="IndexLink"/>
              </w:rPr>
              <w:t>183</w:t>
            </w:r>
          </w:hyperlink>
        </w:p>
        <w:p>
          <w:pPr>
            <w:pStyle w:val="Contents5"/>
            <w:tabs>
              <w:tab w:val="clear" w:pos="7892"/>
              <w:tab w:val="right" w:pos="9026" w:leader="dot"/>
            </w:tabs>
            <w:rPr/>
          </w:pPr>
          <w:hyperlink w:anchor="__RefHeading___Toc474231_1479056682">
            <w:r>
              <w:rPr>
                <w:webHidden/>
                <w:rStyle w:val="IndexLink"/>
                <w:rtl w:val="true"/>
              </w:rPr>
              <w:t>شرط پنجم</w:t>
            </w:r>
            <w:r>
              <w:rPr>
                <w:rStyle w:val="IndexLink"/>
                <w:rtl w:val="true"/>
              </w:rPr>
              <w:t xml:space="preserve">: </w:t>
            </w:r>
            <w:r>
              <w:rPr>
                <w:rStyle w:val="IndexLink"/>
                <w:rtl w:val="true"/>
              </w:rPr>
              <w:t>اسلام و ایمان</w:t>
            </w:r>
            <w:r>
              <w:rPr>
                <w:rStyle w:val="IndexLink"/>
                <w:rtl w:val="true"/>
              </w:rPr>
              <w:tab/>
            </w:r>
            <w:r>
              <w:rPr>
                <w:rStyle w:val="IndexLink"/>
              </w:rPr>
              <w:t>184</w:t>
            </w:r>
          </w:hyperlink>
        </w:p>
        <w:p>
          <w:pPr>
            <w:pStyle w:val="Contents6"/>
            <w:tabs>
              <w:tab w:val="clear" w:pos="7609"/>
              <w:tab w:val="right" w:pos="9026" w:leader="dot"/>
            </w:tabs>
            <w:rPr/>
          </w:pPr>
          <w:hyperlink w:anchor="__RefHeading___Toc474233_1479056682">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74235_1479056682">
            <w:r>
              <w:rPr>
                <w:webHidden/>
                <w:rStyle w:val="IndexLink"/>
              </w:rPr>
              <w:t>1</w:t>
            </w:r>
            <w:r>
              <w:rPr>
                <w:rStyle w:val="IndexLink"/>
                <w:rtl w:val="true"/>
              </w:rPr>
              <w:t xml:space="preserve">- </w:t>
            </w:r>
            <w:r>
              <w:rPr>
                <w:rStyle w:val="IndexLink"/>
                <w:rtl w:val="true"/>
              </w:rPr>
              <w:t>وقف بر کافر ذمّی</w:t>
            </w:r>
            <w:r>
              <w:rPr>
                <w:rStyle w:val="IndexLink"/>
                <w:rtl w:val="true"/>
              </w:rPr>
              <w:tab/>
            </w:r>
            <w:r>
              <w:rPr>
                <w:rStyle w:val="IndexLink"/>
              </w:rPr>
              <w:t>184</w:t>
            </w:r>
          </w:hyperlink>
        </w:p>
        <w:p>
          <w:pPr>
            <w:pStyle w:val="Contents6"/>
            <w:tabs>
              <w:tab w:val="clear" w:pos="7609"/>
              <w:tab w:val="right" w:pos="9026" w:leader="dot"/>
            </w:tabs>
            <w:rPr/>
          </w:pPr>
          <w:hyperlink w:anchor="__RefHeading___Toc474237_1479056682">
            <w:r>
              <w:rPr>
                <w:webHidden/>
                <w:rStyle w:val="IndexLink"/>
              </w:rPr>
              <w:t>2</w:t>
            </w:r>
            <w:r>
              <w:rPr>
                <w:rStyle w:val="IndexLink"/>
                <w:rtl w:val="true"/>
              </w:rPr>
              <w:t xml:space="preserve">- </w:t>
            </w:r>
            <w:r>
              <w:rPr>
                <w:rStyle w:val="IndexLink"/>
                <w:rtl w:val="true"/>
              </w:rPr>
              <w:t>وقف بر کفّار حربی</w:t>
            </w:r>
            <w:r>
              <w:rPr>
                <w:rStyle w:val="IndexLink"/>
                <w:rtl w:val="true"/>
              </w:rPr>
              <w:tab/>
            </w:r>
            <w:r>
              <w:rPr>
                <w:rStyle w:val="IndexLink"/>
              </w:rPr>
              <w:t>187</w:t>
            </w:r>
          </w:hyperlink>
        </w:p>
        <w:p>
          <w:pPr>
            <w:pStyle w:val="Contents6"/>
            <w:tabs>
              <w:tab w:val="clear" w:pos="7609"/>
              <w:tab w:val="right" w:pos="9026" w:leader="dot"/>
            </w:tabs>
            <w:rPr/>
          </w:pPr>
          <w:hyperlink w:anchor="__RefHeading___Toc474239_1479056682">
            <w:r>
              <w:rPr>
                <w:webHidden/>
                <w:rStyle w:val="IndexLink"/>
                <w:rtl w:val="true"/>
              </w:rPr>
              <w:t>اشاره</w:t>
            </w:r>
            <w:r>
              <w:rPr>
                <w:rStyle w:val="IndexLink"/>
                <w:rtl w:val="true"/>
              </w:rPr>
              <w:tab/>
            </w:r>
            <w:r>
              <w:rPr>
                <w:rStyle w:val="IndexLink"/>
              </w:rPr>
              <w:t>187</w:t>
            </w:r>
          </w:hyperlink>
        </w:p>
        <w:p>
          <w:pPr>
            <w:pStyle w:val="Contents6"/>
            <w:tabs>
              <w:tab w:val="clear" w:pos="7609"/>
              <w:tab w:val="right" w:pos="9026" w:leader="dot"/>
            </w:tabs>
            <w:rPr/>
          </w:pPr>
          <w:hyperlink w:anchor="__RefHeading___Toc474241_1479056682">
            <w:r>
              <w:rPr>
                <w:webHidden/>
                <w:rStyle w:val="IndexLink"/>
                <w:rtl w:val="true"/>
              </w:rPr>
              <w:t>دیدگاه دیگر مذاهب</w:t>
            </w:r>
            <w:r>
              <w:rPr>
                <w:rStyle w:val="IndexLink"/>
                <w:rtl w:val="true"/>
              </w:rPr>
              <w:tab/>
            </w:r>
            <w:r>
              <w:rPr>
                <w:rStyle w:val="IndexLink"/>
              </w:rPr>
              <w:t>188</w:t>
            </w:r>
          </w:hyperlink>
        </w:p>
        <w:p>
          <w:pPr>
            <w:pStyle w:val="Contents6"/>
            <w:tabs>
              <w:tab w:val="clear" w:pos="7609"/>
              <w:tab w:val="right" w:pos="9026" w:leader="dot"/>
            </w:tabs>
            <w:rPr/>
          </w:pPr>
          <w:hyperlink w:anchor="__RefHeading___Toc474243_1479056682">
            <w:r>
              <w:rPr>
                <w:webHidden/>
                <w:rStyle w:val="IndexLink"/>
              </w:rPr>
              <w:t>3</w:t>
            </w:r>
            <w:r>
              <w:rPr>
                <w:rStyle w:val="IndexLink"/>
                <w:rtl w:val="true"/>
              </w:rPr>
              <w:t xml:space="preserve">- </w:t>
            </w:r>
            <w:r>
              <w:rPr>
                <w:rStyle w:val="IndexLink"/>
                <w:rtl w:val="true"/>
              </w:rPr>
              <w:t xml:space="preserve">وقف بر بِیَع، کَنایس، تورات و انجیل، قُطّاع الطّریق و </w:t>
            </w:r>
            <w:r>
              <w:rPr>
                <w:rStyle w:val="IndexLink"/>
                <w:rtl w:val="true"/>
              </w:rPr>
              <w:t>...</w:t>
              <w:tab/>
            </w:r>
            <w:r>
              <w:rPr>
                <w:rStyle w:val="IndexLink"/>
              </w:rPr>
              <w:t>189</w:t>
            </w:r>
          </w:hyperlink>
        </w:p>
        <w:p>
          <w:pPr>
            <w:pStyle w:val="Contents6"/>
            <w:tabs>
              <w:tab w:val="clear" w:pos="7609"/>
              <w:tab w:val="right" w:pos="9026" w:leader="dot"/>
            </w:tabs>
            <w:rPr/>
          </w:pPr>
          <w:hyperlink w:anchor="__RefHeading___Toc474245_1479056682">
            <w:r>
              <w:rPr>
                <w:webHidden/>
                <w:rStyle w:val="IndexLink"/>
                <w:rtl w:val="true"/>
              </w:rPr>
              <w:t>اشاره</w:t>
            </w:r>
            <w:r>
              <w:rPr>
                <w:rStyle w:val="IndexLink"/>
                <w:rtl w:val="true"/>
              </w:rPr>
              <w:tab/>
            </w:r>
            <w:r>
              <w:rPr>
                <w:rStyle w:val="IndexLink"/>
              </w:rPr>
              <w:t>189</w:t>
            </w:r>
          </w:hyperlink>
        </w:p>
        <w:p>
          <w:pPr>
            <w:pStyle w:val="Contents6"/>
            <w:tabs>
              <w:tab w:val="clear" w:pos="7609"/>
              <w:tab w:val="right" w:pos="9026" w:leader="dot"/>
            </w:tabs>
            <w:rPr/>
          </w:pPr>
          <w:hyperlink w:anchor="__RefHeading___Toc474247_1479056682">
            <w:r>
              <w:rPr>
                <w:webHidden/>
                <w:rStyle w:val="IndexLink"/>
                <w:rtl w:val="true"/>
              </w:rPr>
              <w:t>قانون مدنی</w:t>
            </w:r>
            <w:r>
              <w:rPr>
                <w:rStyle w:val="IndexLink"/>
                <w:rtl w:val="true"/>
              </w:rPr>
              <w:tab/>
            </w:r>
            <w:r>
              <w:rPr>
                <w:rStyle w:val="IndexLink"/>
              </w:rPr>
              <w:t>191</w:t>
            </w:r>
          </w:hyperlink>
        </w:p>
        <w:p>
          <w:pPr>
            <w:pStyle w:val="Contents4"/>
            <w:tabs>
              <w:tab w:val="clear" w:pos="8176"/>
              <w:tab w:val="right" w:pos="9026" w:leader="dot"/>
            </w:tabs>
            <w:rPr/>
          </w:pPr>
          <w:hyperlink w:anchor="__RefHeading___Toc474249_1479056682">
            <w:r>
              <w:rPr>
                <w:webHidden/>
                <w:rStyle w:val="IndexLink"/>
                <w:rtl w:val="true"/>
              </w:rPr>
              <w:t>مبحث سوم</w:t>
            </w:r>
            <w:r>
              <w:rPr>
                <w:rStyle w:val="IndexLink"/>
                <w:rtl w:val="true"/>
              </w:rPr>
              <w:t xml:space="preserve">: </w:t>
            </w:r>
            <w:r>
              <w:rPr>
                <w:rStyle w:val="IndexLink"/>
                <w:rtl w:val="true"/>
              </w:rPr>
              <w:t>وقف بر اولاد</w:t>
            </w:r>
            <w:r>
              <w:rPr>
                <w:rStyle w:val="IndexLink"/>
                <w:rtl w:val="true"/>
              </w:rPr>
              <w:tab/>
            </w:r>
            <w:r>
              <w:rPr>
                <w:rStyle w:val="IndexLink"/>
              </w:rPr>
              <w:t>191</w:t>
            </w:r>
          </w:hyperlink>
        </w:p>
        <w:p>
          <w:pPr>
            <w:pStyle w:val="Contents5"/>
            <w:tabs>
              <w:tab w:val="clear" w:pos="7892"/>
              <w:tab w:val="right" w:pos="9026" w:leader="dot"/>
            </w:tabs>
            <w:rPr/>
          </w:pPr>
          <w:hyperlink w:anchor="__RefHeading___Toc474251_1479056682">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474253_1479056682">
            <w:r>
              <w:rPr>
                <w:webHidden/>
                <w:rStyle w:val="IndexLink"/>
              </w:rPr>
              <w:t>1</w:t>
            </w:r>
            <w:r>
              <w:rPr>
                <w:rStyle w:val="IndexLink"/>
                <w:rtl w:val="true"/>
              </w:rPr>
              <w:t xml:space="preserve">- </w:t>
            </w:r>
            <w:r>
              <w:rPr>
                <w:rStyle w:val="IndexLink"/>
                <w:rtl w:val="true"/>
              </w:rPr>
              <w:t>مشروعیّت وقف بر اولاد</w:t>
            </w:r>
            <w:r>
              <w:rPr>
                <w:rStyle w:val="IndexLink"/>
                <w:rtl w:val="true"/>
              </w:rPr>
              <w:tab/>
            </w:r>
            <w:r>
              <w:rPr>
                <w:rStyle w:val="IndexLink"/>
              </w:rPr>
              <w:t>192</w:t>
            </w:r>
          </w:hyperlink>
        </w:p>
        <w:p>
          <w:pPr>
            <w:pStyle w:val="Contents5"/>
            <w:tabs>
              <w:tab w:val="clear" w:pos="7892"/>
              <w:tab w:val="right" w:pos="9026" w:leader="dot"/>
            </w:tabs>
            <w:rPr/>
          </w:pPr>
          <w:hyperlink w:anchor="__RefHeading___Toc474255_1479056682">
            <w:r>
              <w:rPr>
                <w:webHidden/>
                <w:rStyle w:val="IndexLink"/>
              </w:rPr>
              <w:t>2</w:t>
            </w:r>
            <w:r>
              <w:rPr>
                <w:rStyle w:val="IndexLink"/>
                <w:rtl w:val="true"/>
              </w:rPr>
              <w:t xml:space="preserve">- </w:t>
            </w:r>
            <w:r>
              <w:rPr>
                <w:rStyle w:val="IndexLink"/>
                <w:rtl w:val="true"/>
              </w:rPr>
              <w:t xml:space="preserve">دخول یا عدم دخول اولادِ اولاد در </w:t>
            </w:r>
            <w:r>
              <w:rPr>
                <w:rStyle w:val="IndexLink"/>
                <w:rtl w:val="true"/>
              </w:rPr>
              <w:t>«</w:t>
            </w:r>
            <w:r>
              <w:rPr>
                <w:rStyle w:val="IndexLink"/>
                <w:rtl w:val="true"/>
              </w:rPr>
              <w:t>اولاد</w:t>
            </w:r>
            <w:r>
              <w:rPr>
                <w:rStyle w:val="IndexLink"/>
                <w:rtl w:val="true"/>
              </w:rPr>
              <w:t>»</w:t>
              <w:tab/>
            </w:r>
            <w:r>
              <w:rPr>
                <w:rStyle w:val="IndexLink"/>
              </w:rPr>
              <w:t>193</w:t>
            </w:r>
          </w:hyperlink>
        </w:p>
        <w:p>
          <w:pPr>
            <w:pStyle w:val="Contents6"/>
            <w:tabs>
              <w:tab w:val="clear" w:pos="7609"/>
              <w:tab w:val="right" w:pos="9026" w:leader="dot"/>
            </w:tabs>
            <w:rPr/>
          </w:pPr>
          <w:hyperlink w:anchor="__RefHeading___Toc474257_1479056682">
            <w:r>
              <w:rPr>
                <w:webHidden/>
                <w:rStyle w:val="IndexLink"/>
                <w:rtl w:val="true"/>
              </w:rPr>
              <w:t>اشاره</w:t>
            </w:r>
            <w:r>
              <w:rPr>
                <w:rStyle w:val="IndexLink"/>
                <w:rtl w:val="true"/>
              </w:rPr>
              <w:tab/>
            </w:r>
            <w:r>
              <w:rPr>
                <w:rStyle w:val="IndexLink"/>
              </w:rPr>
              <w:t>193</w:t>
            </w:r>
          </w:hyperlink>
        </w:p>
        <w:p>
          <w:pPr>
            <w:pStyle w:val="Contents6"/>
            <w:tabs>
              <w:tab w:val="clear" w:pos="7609"/>
              <w:tab w:val="right" w:pos="9026" w:leader="dot"/>
            </w:tabs>
            <w:rPr/>
          </w:pPr>
          <w:hyperlink w:anchor="__RefHeading___Toc474259_1479056682">
            <w:r>
              <w:rPr>
                <w:webHidden/>
                <w:rStyle w:val="IndexLink"/>
                <w:rtl w:val="true"/>
              </w:rPr>
              <w:t>دیدگاه دیگر مذاهب</w:t>
            </w:r>
            <w:r>
              <w:rPr>
                <w:rStyle w:val="IndexLink"/>
                <w:rtl w:val="true"/>
              </w:rPr>
              <w:tab/>
            </w:r>
            <w:r>
              <w:rPr>
                <w:rStyle w:val="IndexLink"/>
              </w:rPr>
              <w:t>196</w:t>
            </w:r>
          </w:hyperlink>
        </w:p>
        <w:p>
          <w:pPr>
            <w:pStyle w:val="Contents5"/>
            <w:tabs>
              <w:tab w:val="clear" w:pos="7892"/>
              <w:tab w:val="right" w:pos="9026" w:leader="dot"/>
            </w:tabs>
            <w:rPr/>
          </w:pPr>
          <w:hyperlink w:anchor="__RefHeading___Toc474261_1479056682">
            <w:r>
              <w:rPr>
                <w:webHidden/>
                <w:rStyle w:val="IndexLink"/>
              </w:rPr>
              <w:t>3</w:t>
            </w:r>
            <w:r>
              <w:rPr>
                <w:rStyle w:val="IndexLink"/>
                <w:rtl w:val="true"/>
              </w:rPr>
              <w:t xml:space="preserve">- </w:t>
            </w:r>
            <w:r>
              <w:rPr>
                <w:rStyle w:val="IndexLink"/>
                <w:rtl w:val="true"/>
              </w:rPr>
              <w:t>حکم دختران در وقف اولادی</w:t>
            </w:r>
            <w:r>
              <w:rPr>
                <w:rStyle w:val="IndexLink"/>
                <w:rtl w:val="true"/>
              </w:rPr>
              <w:tab/>
            </w:r>
            <w:r>
              <w:rPr>
                <w:rStyle w:val="IndexLink"/>
              </w:rPr>
              <w:t>197</w:t>
            </w:r>
          </w:hyperlink>
        </w:p>
        <w:p>
          <w:pPr>
            <w:pStyle w:val="Contents6"/>
            <w:tabs>
              <w:tab w:val="clear" w:pos="7609"/>
              <w:tab w:val="right" w:pos="9026" w:leader="dot"/>
            </w:tabs>
            <w:rPr/>
          </w:pPr>
          <w:hyperlink w:anchor="__RefHeading___Toc474263_1479056682">
            <w:r>
              <w:rPr>
                <w:webHidden/>
                <w:rStyle w:val="IndexLink"/>
                <w:rtl w:val="true"/>
              </w:rPr>
              <w:t>دیدگاه امامیّه</w:t>
            </w:r>
            <w:r>
              <w:rPr>
                <w:rStyle w:val="IndexLink"/>
                <w:rtl w:val="true"/>
              </w:rPr>
              <w:tab/>
            </w:r>
            <w:r>
              <w:rPr>
                <w:rStyle w:val="IndexLink"/>
              </w:rPr>
              <w:t>197</w:t>
            </w:r>
          </w:hyperlink>
        </w:p>
        <w:p>
          <w:pPr>
            <w:pStyle w:val="Contents6"/>
            <w:tabs>
              <w:tab w:val="clear" w:pos="7609"/>
              <w:tab w:val="right" w:pos="9026" w:leader="dot"/>
            </w:tabs>
            <w:rPr/>
          </w:pPr>
          <w:hyperlink w:anchor="__RefHeading___Toc474265_1479056682">
            <w:r>
              <w:rPr>
                <w:webHidden/>
                <w:rStyle w:val="IndexLink"/>
                <w:rtl w:val="true"/>
              </w:rPr>
              <w:t>دیدگاه دیگر مذاهب</w:t>
            </w:r>
            <w:r>
              <w:rPr>
                <w:rStyle w:val="IndexLink"/>
                <w:rtl w:val="true"/>
              </w:rPr>
              <w:tab/>
            </w:r>
            <w:r>
              <w:rPr>
                <w:rStyle w:val="IndexLink"/>
              </w:rPr>
              <w:t>198</w:t>
            </w:r>
          </w:hyperlink>
        </w:p>
        <w:p>
          <w:pPr>
            <w:pStyle w:val="Contents6"/>
            <w:tabs>
              <w:tab w:val="clear" w:pos="7609"/>
              <w:tab w:val="right" w:pos="9026" w:leader="dot"/>
            </w:tabs>
            <w:rPr/>
          </w:pPr>
          <w:hyperlink w:anchor="__RefHeading___Toc474267_1479056682">
            <w:r>
              <w:rPr>
                <w:webHidden/>
                <w:rStyle w:val="IndexLink"/>
                <w:rtl w:val="true"/>
              </w:rPr>
              <w:t>ذرّیّه، عقِب ،نسل</w:t>
            </w:r>
            <w:r>
              <w:rPr>
                <w:rStyle w:val="IndexLink"/>
                <w:rtl w:val="true"/>
              </w:rPr>
              <w:tab/>
            </w:r>
            <w:r>
              <w:rPr>
                <w:rStyle w:val="IndexLink"/>
              </w:rPr>
              <w:t>199</w:t>
            </w:r>
          </w:hyperlink>
        </w:p>
        <w:p>
          <w:pPr>
            <w:pStyle w:val="Contents6"/>
            <w:tabs>
              <w:tab w:val="clear" w:pos="7609"/>
              <w:tab w:val="right" w:pos="9026" w:leader="dot"/>
            </w:tabs>
            <w:rPr/>
          </w:pPr>
          <w:hyperlink w:anchor="__RefHeading___Toc474269_1479056682">
            <w:r>
              <w:rPr>
                <w:webHidden/>
                <w:rStyle w:val="IndexLink"/>
                <w:rtl w:val="true"/>
              </w:rPr>
              <w:t>دیدگاه دیگر مذاهب</w:t>
            </w:r>
            <w:r>
              <w:rPr>
                <w:rStyle w:val="IndexLink"/>
                <w:rtl w:val="true"/>
              </w:rPr>
              <w:tab/>
            </w:r>
            <w:r>
              <w:rPr>
                <w:rStyle w:val="IndexLink"/>
              </w:rPr>
              <w:t>202</w:t>
            </w:r>
          </w:hyperlink>
        </w:p>
        <w:p>
          <w:pPr>
            <w:pStyle w:val="Contents5"/>
            <w:tabs>
              <w:tab w:val="clear" w:pos="7892"/>
              <w:tab w:val="right" w:pos="9026" w:leader="dot"/>
            </w:tabs>
            <w:rPr/>
          </w:pPr>
          <w:hyperlink w:anchor="__RefHeading___Toc474271_1479056682">
            <w:r>
              <w:rPr>
                <w:webHidden/>
                <w:rStyle w:val="IndexLink"/>
              </w:rPr>
              <w:t>4</w:t>
            </w:r>
            <w:r>
              <w:rPr>
                <w:rStyle w:val="IndexLink"/>
                <w:rtl w:val="true"/>
              </w:rPr>
              <w:t xml:space="preserve">- </w:t>
            </w:r>
            <w:r>
              <w:rPr>
                <w:rStyle w:val="IndexLink"/>
                <w:rtl w:val="true"/>
              </w:rPr>
              <w:t>جنین</w:t>
            </w:r>
            <w:r>
              <w:rPr>
                <w:rStyle w:val="IndexLink"/>
                <w:rtl w:val="true"/>
              </w:rPr>
              <w:tab/>
            </w:r>
            <w:r>
              <w:rPr>
                <w:rStyle w:val="IndexLink"/>
              </w:rPr>
              <w:t>203</w:t>
            </w:r>
          </w:hyperlink>
        </w:p>
        <w:p>
          <w:pPr>
            <w:pStyle w:val="Contents6"/>
            <w:tabs>
              <w:tab w:val="clear" w:pos="7609"/>
              <w:tab w:val="right" w:pos="9026" w:leader="dot"/>
            </w:tabs>
            <w:rPr/>
          </w:pPr>
          <w:hyperlink w:anchor="__RefHeading___Toc474273_1479056682">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474275_1479056682">
            <w:r>
              <w:rPr>
                <w:webHidden/>
                <w:rStyle w:val="IndexLink"/>
                <w:rtl w:val="true"/>
              </w:rPr>
              <w:t>چند فرع</w:t>
            </w:r>
            <w:r>
              <w:rPr>
                <w:rStyle w:val="IndexLink"/>
                <w:rtl w:val="true"/>
              </w:rPr>
              <w:tab/>
            </w:r>
            <w:r>
              <w:rPr>
                <w:rStyle w:val="IndexLink"/>
              </w:rPr>
              <w:t>204</w:t>
            </w:r>
          </w:hyperlink>
        </w:p>
        <w:p>
          <w:pPr>
            <w:pStyle w:val="Contents4"/>
            <w:tabs>
              <w:tab w:val="clear" w:pos="8176"/>
              <w:tab w:val="right" w:pos="9026" w:leader="dot"/>
            </w:tabs>
            <w:rPr/>
          </w:pPr>
          <w:hyperlink w:anchor="__RefHeading___Toc474277_1479056682">
            <w:r>
              <w:rPr>
                <w:webHidden/>
                <w:rStyle w:val="IndexLink"/>
                <w:rtl w:val="true"/>
              </w:rPr>
              <w:t>مبحث چهارم</w:t>
            </w:r>
            <w:r>
              <w:rPr>
                <w:rStyle w:val="IndexLink"/>
                <w:rtl w:val="true"/>
              </w:rPr>
              <w:t xml:space="preserve">: </w:t>
            </w:r>
            <w:r>
              <w:rPr>
                <w:rStyle w:val="IndexLink"/>
                <w:rtl w:val="true"/>
              </w:rPr>
              <w:t>بیان مصادیق واژه‌ها و اصطلاحات</w:t>
            </w:r>
            <w:r>
              <w:rPr>
                <w:rStyle w:val="IndexLink"/>
                <w:rtl w:val="true"/>
              </w:rPr>
              <w:tab/>
            </w:r>
            <w:r>
              <w:rPr>
                <w:rStyle w:val="IndexLink"/>
              </w:rPr>
              <w:t>205</w:t>
            </w:r>
          </w:hyperlink>
        </w:p>
        <w:p>
          <w:pPr>
            <w:pStyle w:val="Contents5"/>
            <w:tabs>
              <w:tab w:val="clear" w:pos="7892"/>
              <w:tab w:val="right" w:pos="9026" w:leader="dot"/>
            </w:tabs>
            <w:rPr/>
          </w:pPr>
          <w:hyperlink w:anchor="__RefHeading___Toc474279_1479056682">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474281_1479056682">
            <w:r>
              <w:rPr>
                <w:webHidden/>
                <w:rStyle w:val="IndexLink"/>
                <w:rtl w:val="true"/>
              </w:rPr>
              <w:t>مسلمین</w:t>
            </w:r>
            <w:r>
              <w:rPr>
                <w:rStyle w:val="IndexLink"/>
                <w:rtl w:val="true"/>
              </w:rPr>
              <w:tab/>
            </w:r>
            <w:r>
              <w:rPr>
                <w:rStyle w:val="IndexLink"/>
              </w:rPr>
              <w:t>206</w:t>
            </w:r>
          </w:hyperlink>
        </w:p>
        <w:p>
          <w:pPr>
            <w:pStyle w:val="Contents5"/>
            <w:tabs>
              <w:tab w:val="clear" w:pos="7892"/>
              <w:tab w:val="right" w:pos="9026" w:leader="dot"/>
            </w:tabs>
            <w:rPr/>
          </w:pPr>
          <w:hyperlink w:anchor="__RefHeading___Toc474283_1479056682">
            <w:r>
              <w:rPr>
                <w:webHidden/>
                <w:rStyle w:val="IndexLink"/>
                <w:rtl w:val="true"/>
              </w:rPr>
              <w:t>مؤمنین</w:t>
            </w:r>
            <w:r>
              <w:rPr>
                <w:rStyle w:val="IndexLink"/>
                <w:rtl w:val="true"/>
              </w:rPr>
              <w:tab/>
            </w:r>
            <w:r>
              <w:rPr>
                <w:rStyle w:val="IndexLink"/>
              </w:rPr>
              <w:t>207</w:t>
            </w:r>
          </w:hyperlink>
        </w:p>
        <w:p>
          <w:pPr>
            <w:pStyle w:val="Contents5"/>
            <w:tabs>
              <w:tab w:val="clear" w:pos="7892"/>
              <w:tab w:val="right" w:pos="9026" w:leader="dot"/>
            </w:tabs>
            <w:rPr/>
          </w:pPr>
          <w:hyperlink w:anchor="__RefHeading___Toc474285_1479056682">
            <w:r>
              <w:rPr>
                <w:webHidden/>
                <w:rStyle w:val="IndexLink"/>
                <w:rtl w:val="true"/>
              </w:rPr>
              <w:t>شیعه</w:t>
            </w:r>
            <w:r>
              <w:rPr>
                <w:rStyle w:val="IndexLink"/>
                <w:rtl w:val="true"/>
              </w:rPr>
              <w:tab/>
            </w:r>
            <w:r>
              <w:rPr>
                <w:rStyle w:val="IndexLink"/>
              </w:rPr>
              <w:t>208</w:t>
            </w:r>
          </w:hyperlink>
        </w:p>
        <w:p>
          <w:pPr>
            <w:pStyle w:val="Contents5"/>
            <w:tabs>
              <w:tab w:val="clear" w:pos="7892"/>
              <w:tab w:val="right" w:pos="9026" w:leader="dot"/>
            </w:tabs>
            <w:rPr/>
          </w:pPr>
          <w:hyperlink w:anchor="__RefHeading___Toc474287_1479056682">
            <w:r>
              <w:rPr>
                <w:webHidden/>
                <w:rStyle w:val="IndexLink"/>
                <w:rtl w:val="true"/>
              </w:rPr>
              <w:t>اهل بیت و آل رسول</w:t>
            </w:r>
            <w:r>
              <w:rPr>
                <w:rStyle w:val="IndexLink"/>
                <w:rtl w:val="true"/>
              </w:rPr>
              <w:tab/>
            </w:r>
            <w:r>
              <w:rPr>
                <w:rStyle w:val="IndexLink"/>
              </w:rPr>
              <w:t>209</w:t>
            </w:r>
          </w:hyperlink>
        </w:p>
        <w:p>
          <w:pPr>
            <w:pStyle w:val="Contents5"/>
            <w:tabs>
              <w:tab w:val="clear" w:pos="7892"/>
              <w:tab w:val="right" w:pos="9026" w:leader="dot"/>
            </w:tabs>
            <w:rPr/>
          </w:pPr>
          <w:hyperlink w:anchor="__RefHeading___Toc474289_1479056682">
            <w:r>
              <w:rPr>
                <w:webHidden/>
                <w:rStyle w:val="IndexLink"/>
                <w:rtl w:val="true"/>
              </w:rPr>
              <w:t>«</w:t>
            </w:r>
            <w:r>
              <w:rPr>
                <w:rStyle w:val="IndexLink"/>
                <w:rtl w:val="true"/>
              </w:rPr>
              <w:t>فی سبیل اللّه</w:t>
            </w:r>
            <w:r>
              <w:rPr>
                <w:rStyle w:val="IndexLink"/>
                <w:rtl w:val="true"/>
              </w:rPr>
              <w:t>»</w:t>
            </w:r>
            <w:r>
              <w:rPr>
                <w:rStyle w:val="IndexLink"/>
                <w:rtl w:val="true"/>
              </w:rPr>
              <w:t xml:space="preserve">، </w:t>
            </w:r>
            <w:r>
              <w:rPr>
                <w:rStyle w:val="IndexLink"/>
                <w:rtl w:val="true"/>
              </w:rPr>
              <w:t>«</w:t>
            </w:r>
            <w:r>
              <w:rPr>
                <w:rStyle w:val="IndexLink"/>
                <w:rtl w:val="true"/>
              </w:rPr>
              <w:t>فی سبیل‌الثواب</w:t>
            </w:r>
            <w:r>
              <w:rPr>
                <w:rStyle w:val="IndexLink"/>
                <w:rtl w:val="true"/>
              </w:rPr>
              <w:t>»</w:t>
            </w:r>
            <w:r>
              <w:rPr>
                <w:rStyle w:val="IndexLink"/>
                <w:rtl w:val="true"/>
              </w:rPr>
              <w:t xml:space="preserve">، </w:t>
            </w:r>
            <w:r>
              <w:rPr>
                <w:rStyle w:val="IndexLink"/>
                <w:rtl w:val="true"/>
              </w:rPr>
              <w:t>«</w:t>
            </w:r>
            <w:r>
              <w:rPr>
                <w:rStyle w:val="IndexLink"/>
                <w:rtl w:val="true"/>
              </w:rPr>
              <w:t>فی سبیل‌الخیر</w:t>
            </w:r>
            <w:r>
              <w:rPr>
                <w:rStyle w:val="IndexLink"/>
                <w:rtl w:val="true"/>
              </w:rPr>
              <w:t>»</w:t>
              <w:tab/>
            </w:r>
            <w:r>
              <w:rPr>
                <w:rStyle w:val="IndexLink"/>
              </w:rPr>
              <w:t>218</w:t>
            </w:r>
          </w:hyperlink>
        </w:p>
        <w:p>
          <w:pPr>
            <w:pStyle w:val="Contents6"/>
            <w:tabs>
              <w:tab w:val="clear" w:pos="7609"/>
              <w:tab w:val="right" w:pos="9026" w:leader="dot"/>
            </w:tabs>
            <w:rPr/>
          </w:pPr>
          <w:hyperlink w:anchor="__RefHeading___Toc474291_1479056682">
            <w:r>
              <w:rPr>
                <w:webHidden/>
                <w:rStyle w:val="IndexLink"/>
                <w:rtl w:val="true"/>
              </w:rPr>
              <w:t>دیدگاه امامیّه</w:t>
            </w:r>
            <w:r>
              <w:rPr>
                <w:rStyle w:val="IndexLink"/>
                <w:rtl w:val="true"/>
              </w:rPr>
              <w:tab/>
            </w:r>
            <w:r>
              <w:rPr>
                <w:rStyle w:val="IndexLink"/>
              </w:rPr>
              <w:t>218</w:t>
            </w:r>
          </w:hyperlink>
        </w:p>
        <w:p>
          <w:pPr>
            <w:pStyle w:val="Contents6"/>
            <w:tabs>
              <w:tab w:val="clear" w:pos="7609"/>
              <w:tab w:val="right" w:pos="9026" w:leader="dot"/>
            </w:tabs>
            <w:rPr/>
          </w:pPr>
          <w:hyperlink w:anchor="__RefHeading___Toc474293_1479056682">
            <w:r>
              <w:rPr>
                <w:webHidden/>
                <w:rStyle w:val="IndexLink"/>
                <w:rtl w:val="true"/>
              </w:rPr>
              <w:t>دیدگاه دیگر مذاهب</w:t>
            </w:r>
            <w:r>
              <w:rPr>
                <w:rStyle w:val="IndexLink"/>
                <w:rtl w:val="true"/>
              </w:rPr>
              <w:tab/>
            </w:r>
            <w:r>
              <w:rPr>
                <w:rStyle w:val="IndexLink"/>
              </w:rPr>
              <w:t>219</w:t>
            </w:r>
          </w:hyperlink>
        </w:p>
        <w:p>
          <w:pPr>
            <w:pStyle w:val="Contents5"/>
            <w:tabs>
              <w:tab w:val="clear" w:pos="7892"/>
              <w:tab w:val="right" w:pos="9026" w:leader="dot"/>
            </w:tabs>
            <w:rPr/>
          </w:pPr>
          <w:hyperlink w:anchor="__RefHeading___Toc474295_1479056682">
            <w:r>
              <w:rPr>
                <w:webHidden/>
                <w:rStyle w:val="IndexLink"/>
                <w:rtl w:val="true"/>
              </w:rPr>
              <w:t>فقرا</w:t>
            </w:r>
            <w:r>
              <w:rPr>
                <w:rStyle w:val="IndexLink"/>
                <w:rtl w:val="true"/>
              </w:rPr>
              <w:tab/>
            </w:r>
            <w:r>
              <w:rPr>
                <w:rStyle w:val="IndexLink"/>
              </w:rPr>
              <w:t>220</w:t>
            </w:r>
          </w:hyperlink>
        </w:p>
        <w:p>
          <w:pPr>
            <w:pStyle w:val="Contents5"/>
            <w:tabs>
              <w:tab w:val="clear" w:pos="7892"/>
              <w:tab w:val="right" w:pos="9026" w:leader="dot"/>
            </w:tabs>
            <w:rPr/>
          </w:pPr>
          <w:hyperlink w:anchor="__RefHeading___Toc474297_1479056682">
            <w:r>
              <w:rPr>
                <w:webHidden/>
                <w:rStyle w:val="IndexLink"/>
                <w:rtl w:val="true"/>
              </w:rPr>
              <w:t xml:space="preserve">جیران </w:t>
            </w:r>
            <w:r>
              <w:rPr>
                <w:rStyle w:val="IndexLink"/>
                <w:rtl w:val="true"/>
              </w:rPr>
              <w:t xml:space="preserve">= </w:t>
            </w:r>
            <w:r>
              <w:rPr>
                <w:rStyle w:val="IndexLink"/>
                <w:rtl w:val="true"/>
              </w:rPr>
              <w:t>همسایگان</w:t>
            </w:r>
            <w:r>
              <w:rPr>
                <w:rStyle w:val="IndexLink"/>
                <w:rtl w:val="true"/>
              </w:rPr>
              <w:tab/>
            </w:r>
            <w:r>
              <w:rPr>
                <w:rStyle w:val="IndexLink"/>
              </w:rPr>
              <w:t>222</w:t>
            </w:r>
          </w:hyperlink>
        </w:p>
        <w:p>
          <w:pPr>
            <w:pStyle w:val="Contents6"/>
            <w:tabs>
              <w:tab w:val="clear" w:pos="7609"/>
              <w:tab w:val="right" w:pos="9026" w:leader="dot"/>
            </w:tabs>
            <w:rPr/>
          </w:pPr>
          <w:hyperlink w:anchor="__RefHeading___Toc474299_1479056682">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474301_1479056682">
            <w:r>
              <w:rPr>
                <w:webHidden/>
                <w:rStyle w:val="IndexLink"/>
                <w:rtl w:val="true"/>
              </w:rPr>
              <w:t>چند نکته</w:t>
            </w:r>
            <w:r>
              <w:rPr>
                <w:rStyle w:val="IndexLink"/>
                <w:rtl w:val="true"/>
              </w:rPr>
              <w:tab/>
            </w:r>
            <w:r>
              <w:rPr>
                <w:rStyle w:val="IndexLink"/>
              </w:rPr>
              <w:t>224</w:t>
            </w:r>
          </w:hyperlink>
        </w:p>
        <w:p>
          <w:pPr>
            <w:pStyle w:val="Contents4"/>
            <w:tabs>
              <w:tab w:val="clear" w:pos="8176"/>
              <w:tab w:val="right" w:pos="9026" w:leader="dot"/>
            </w:tabs>
            <w:rPr/>
          </w:pPr>
          <w:hyperlink w:anchor="__RefHeading___Toc474303_1479056682">
            <w:r>
              <w:rPr>
                <w:webHidden/>
                <w:rStyle w:val="IndexLink"/>
                <w:rtl w:val="true"/>
              </w:rPr>
              <w:t>مبحث پنجم</w:t>
            </w:r>
            <w:r>
              <w:rPr>
                <w:rStyle w:val="IndexLink"/>
                <w:rtl w:val="true"/>
              </w:rPr>
              <w:t xml:space="preserve">: </w:t>
            </w:r>
            <w:r>
              <w:rPr>
                <w:rStyle w:val="IndexLink"/>
                <w:rtl w:val="true"/>
              </w:rPr>
              <w:t>چگونگی مصرف درآمد وقف</w:t>
            </w:r>
            <w:r>
              <w:rPr>
                <w:rStyle w:val="IndexLink"/>
                <w:rtl w:val="true"/>
              </w:rPr>
              <w:tab/>
            </w:r>
            <w:r>
              <w:rPr>
                <w:rStyle w:val="IndexLink"/>
              </w:rPr>
              <w:t>225</w:t>
            </w:r>
          </w:hyperlink>
        </w:p>
        <w:p>
          <w:pPr>
            <w:pStyle w:val="Contents5"/>
            <w:tabs>
              <w:tab w:val="clear" w:pos="7892"/>
              <w:tab w:val="right" w:pos="9026" w:leader="dot"/>
            </w:tabs>
            <w:rPr/>
          </w:pPr>
          <w:hyperlink w:anchor="__RefHeading___Toc474305_1479056682">
            <w:r>
              <w:rPr>
                <w:webHidden/>
                <w:rStyle w:val="IndexLink"/>
                <w:rtl w:val="true"/>
              </w:rPr>
              <w:t>اشاره</w:t>
            </w:r>
            <w:r>
              <w:rPr>
                <w:rStyle w:val="IndexLink"/>
                <w:rtl w:val="true"/>
              </w:rPr>
              <w:tab/>
            </w:r>
            <w:r>
              <w:rPr>
                <w:rStyle w:val="IndexLink"/>
              </w:rPr>
              <w:t>225</w:t>
            </w:r>
          </w:hyperlink>
        </w:p>
        <w:p>
          <w:pPr>
            <w:pStyle w:val="Contents5"/>
            <w:tabs>
              <w:tab w:val="clear" w:pos="7892"/>
              <w:tab w:val="right" w:pos="9026" w:leader="dot"/>
            </w:tabs>
            <w:rPr/>
          </w:pPr>
          <w:hyperlink w:anchor="__RefHeading___Toc474307_1479056682">
            <w:r>
              <w:rPr>
                <w:webHidden/>
                <w:rStyle w:val="IndexLink"/>
                <w:rtl w:val="true"/>
              </w:rPr>
              <w:t>دیدگاه امامیّه</w:t>
            </w:r>
            <w:r>
              <w:rPr>
                <w:rStyle w:val="IndexLink"/>
                <w:rtl w:val="true"/>
              </w:rPr>
              <w:tab/>
            </w:r>
            <w:r>
              <w:rPr>
                <w:rStyle w:val="IndexLink"/>
              </w:rPr>
              <w:t>225</w:t>
            </w:r>
          </w:hyperlink>
        </w:p>
        <w:p>
          <w:pPr>
            <w:pStyle w:val="Contents5"/>
            <w:tabs>
              <w:tab w:val="clear" w:pos="7892"/>
              <w:tab w:val="right" w:pos="9026" w:leader="dot"/>
            </w:tabs>
            <w:rPr/>
          </w:pPr>
          <w:hyperlink w:anchor="__RefHeading___Toc474309_1479056682">
            <w:r>
              <w:rPr>
                <w:webHidden/>
                <w:rStyle w:val="IndexLink"/>
                <w:rtl w:val="true"/>
              </w:rPr>
              <w:t>چند نکته</w:t>
            </w:r>
            <w:r>
              <w:rPr>
                <w:rStyle w:val="IndexLink"/>
                <w:rtl w:val="true"/>
              </w:rPr>
              <w:tab/>
            </w:r>
            <w:r>
              <w:rPr>
                <w:rStyle w:val="IndexLink"/>
              </w:rPr>
              <w:t>227</w:t>
            </w:r>
          </w:hyperlink>
        </w:p>
        <w:p>
          <w:pPr>
            <w:pStyle w:val="Contents5"/>
            <w:tabs>
              <w:tab w:val="clear" w:pos="7892"/>
              <w:tab w:val="right" w:pos="9026" w:leader="dot"/>
            </w:tabs>
            <w:rPr/>
          </w:pPr>
          <w:hyperlink w:anchor="__RefHeading___Toc474311_1479056682">
            <w:r>
              <w:rPr>
                <w:webHidden/>
                <w:rStyle w:val="IndexLink"/>
                <w:rtl w:val="true"/>
              </w:rPr>
              <w:t>دیدگاه دیگر مذاهب</w:t>
            </w:r>
            <w:r>
              <w:rPr>
                <w:rStyle w:val="IndexLink"/>
                <w:rtl w:val="true"/>
              </w:rPr>
              <w:tab/>
            </w:r>
            <w:r>
              <w:rPr>
                <w:rStyle w:val="IndexLink"/>
              </w:rPr>
              <w:t>228</w:t>
            </w:r>
          </w:hyperlink>
        </w:p>
        <w:p>
          <w:pPr>
            <w:pStyle w:val="Contents3"/>
            <w:tabs>
              <w:tab w:val="clear" w:pos="8459"/>
              <w:tab w:val="right" w:pos="9026" w:leader="dot"/>
            </w:tabs>
            <w:rPr/>
          </w:pPr>
          <w:hyperlink w:anchor="__RefHeading___Toc474313_1479056682">
            <w:r>
              <w:rPr>
                <w:webHidden/>
                <w:rStyle w:val="IndexLink"/>
                <w:rtl w:val="true"/>
              </w:rPr>
              <w:t>فصل پنجم</w:t>
            </w:r>
            <w:r>
              <w:rPr>
                <w:rStyle w:val="IndexLink"/>
                <w:rtl w:val="true"/>
              </w:rPr>
              <w:t xml:space="preserve">: </w:t>
            </w:r>
            <w:r>
              <w:rPr>
                <w:rStyle w:val="IndexLink"/>
                <w:rtl w:val="true"/>
              </w:rPr>
              <w:t>احکام وقف</w:t>
            </w:r>
            <w:r>
              <w:rPr>
                <w:rStyle w:val="IndexLink"/>
                <w:rtl w:val="true"/>
              </w:rPr>
              <w:tab/>
            </w:r>
            <w:r>
              <w:rPr>
                <w:rStyle w:val="IndexLink"/>
              </w:rPr>
              <w:t>230</w:t>
            </w:r>
          </w:hyperlink>
        </w:p>
        <w:p>
          <w:pPr>
            <w:pStyle w:val="Contents4"/>
            <w:tabs>
              <w:tab w:val="clear" w:pos="8176"/>
              <w:tab w:val="right" w:pos="9026" w:leader="dot"/>
            </w:tabs>
            <w:rPr/>
          </w:pPr>
          <w:hyperlink w:anchor="__RefHeading___Toc474315_1479056682">
            <w:r>
              <w:rPr>
                <w:webHidden/>
                <w:rStyle w:val="IndexLink"/>
                <w:rtl w:val="true"/>
              </w:rPr>
              <w:t>مبحث اوّل</w:t>
            </w:r>
            <w:r>
              <w:rPr>
                <w:rStyle w:val="IndexLink"/>
                <w:rtl w:val="true"/>
              </w:rPr>
              <w:t xml:space="preserve">: </w:t>
            </w:r>
            <w:r>
              <w:rPr>
                <w:rStyle w:val="IndexLink"/>
                <w:rtl w:val="true"/>
              </w:rPr>
              <w:t>نگهداری و هزینه مال موقوف</w:t>
            </w:r>
            <w:r>
              <w:rPr>
                <w:rStyle w:val="IndexLink"/>
                <w:rtl w:val="true"/>
              </w:rPr>
              <w:tab/>
            </w:r>
            <w:r>
              <w:rPr>
                <w:rStyle w:val="IndexLink"/>
              </w:rPr>
              <w:t>230</w:t>
            </w:r>
          </w:hyperlink>
        </w:p>
        <w:p>
          <w:pPr>
            <w:pStyle w:val="Contents5"/>
            <w:tabs>
              <w:tab w:val="clear" w:pos="7892"/>
              <w:tab w:val="right" w:pos="9026" w:leader="dot"/>
            </w:tabs>
            <w:rPr/>
          </w:pPr>
          <w:hyperlink w:anchor="__RefHeading___Toc474317_1479056682">
            <w:r>
              <w:rPr>
                <w:webHidden/>
                <w:rStyle w:val="IndexLink"/>
                <w:rtl w:val="true"/>
              </w:rPr>
              <w:t xml:space="preserve">گفتار </w:t>
            </w:r>
            <w:r>
              <w:rPr>
                <w:rStyle w:val="IndexLink"/>
              </w:rPr>
              <w:t>1</w:t>
            </w:r>
            <w:r>
              <w:rPr>
                <w:rStyle w:val="IndexLink"/>
                <w:rtl w:val="true"/>
              </w:rPr>
              <w:t xml:space="preserve"> - </w:t>
            </w:r>
            <w:r>
              <w:rPr>
                <w:rStyle w:val="IndexLink"/>
                <w:rtl w:val="true"/>
              </w:rPr>
              <w:t>لزوم نگهداری و صیانت مال موقوف</w:t>
            </w:r>
            <w:r>
              <w:rPr>
                <w:rStyle w:val="IndexLink"/>
                <w:rtl w:val="true"/>
              </w:rPr>
              <w:tab/>
            </w:r>
            <w:r>
              <w:rPr>
                <w:rStyle w:val="IndexLink"/>
              </w:rPr>
              <w:t>230</w:t>
            </w:r>
          </w:hyperlink>
        </w:p>
        <w:p>
          <w:pPr>
            <w:pStyle w:val="Contents6"/>
            <w:tabs>
              <w:tab w:val="clear" w:pos="7609"/>
              <w:tab w:val="right" w:pos="9026" w:leader="dot"/>
            </w:tabs>
            <w:rPr/>
          </w:pPr>
          <w:hyperlink w:anchor="__RefHeading___Toc474319_1479056682">
            <w:r>
              <w:rPr>
                <w:webHidden/>
                <w:rStyle w:val="IndexLink"/>
                <w:rtl w:val="true"/>
              </w:rPr>
              <w:t>دیدگاه امامیّه</w:t>
            </w:r>
            <w:r>
              <w:rPr>
                <w:rStyle w:val="IndexLink"/>
                <w:rtl w:val="true"/>
              </w:rPr>
              <w:tab/>
            </w:r>
            <w:r>
              <w:rPr>
                <w:rStyle w:val="IndexLink"/>
              </w:rPr>
              <w:t>230</w:t>
            </w:r>
          </w:hyperlink>
        </w:p>
        <w:p>
          <w:pPr>
            <w:pStyle w:val="Contents5"/>
            <w:tabs>
              <w:tab w:val="clear" w:pos="7892"/>
              <w:tab w:val="right" w:pos="9026" w:leader="dot"/>
            </w:tabs>
            <w:rPr/>
          </w:pPr>
          <w:hyperlink w:anchor="__RefHeading___Toc474321_1479056682">
            <w:r>
              <w:rPr>
                <w:webHidden/>
                <w:rStyle w:val="IndexLink"/>
                <w:rtl w:val="true"/>
              </w:rPr>
              <w:t xml:space="preserve">گفتار </w:t>
            </w:r>
            <w:r>
              <w:rPr>
                <w:rStyle w:val="IndexLink"/>
              </w:rPr>
              <w:t>2</w:t>
            </w:r>
            <w:r>
              <w:rPr>
                <w:rStyle w:val="IndexLink"/>
                <w:rtl w:val="true"/>
              </w:rPr>
              <w:t xml:space="preserve">- </w:t>
            </w:r>
            <w:r>
              <w:rPr>
                <w:rStyle w:val="IndexLink"/>
                <w:rtl w:val="true"/>
              </w:rPr>
              <w:t>هزینه مال موقوف</w:t>
            </w:r>
            <w:r>
              <w:rPr>
                <w:rStyle w:val="IndexLink"/>
                <w:rtl w:val="true"/>
              </w:rPr>
              <w:tab/>
            </w:r>
            <w:r>
              <w:rPr>
                <w:rStyle w:val="IndexLink"/>
              </w:rPr>
              <w:t>231</w:t>
            </w:r>
          </w:hyperlink>
        </w:p>
        <w:p>
          <w:pPr>
            <w:pStyle w:val="Contents6"/>
            <w:tabs>
              <w:tab w:val="clear" w:pos="7609"/>
              <w:tab w:val="right" w:pos="9026" w:leader="dot"/>
            </w:tabs>
            <w:rPr/>
          </w:pPr>
          <w:hyperlink w:anchor="__RefHeading___Toc474323_1479056682">
            <w:r>
              <w:rPr>
                <w:webHidden/>
                <w:rStyle w:val="IndexLink"/>
                <w:rtl w:val="true"/>
              </w:rPr>
              <w:t>دیدگاه امامیّه</w:t>
            </w:r>
            <w:r>
              <w:rPr>
                <w:rStyle w:val="IndexLink"/>
                <w:rtl w:val="true"/>
              </w:rPr>
              <w:tab/>
            </w:r>
            <w:r>
              <w:rPr>
                <w:rStyle w:val="IndexLink"/>
              </w:rPr>
              <w:t>231</w:t>
            </w:r>
          </w:hyperlink>
        </w:p>
        <w:p>
          <w:pPr>
            <w:pStyle w:val="Contents6"/>
            <w:tabs>
              <w:tab w:val="clear" w:pos="7609"/>
              <w:tab w:val="right" w:pos="9026" w:leader="dot"/>
            </w:tabs>
            <w:rPr/>
          </w:pPr>
          <w:hyperlink w:anchor="__RefHeading___Toc474325_1479056682">
            <w:r>
              <w:rPr>
                <w:webHidden/>
                <w:rStyle w:val="IndexLink"/>
                <w:rtl w:val="true"/>
              </w:rPr>
              <w:t>دیدگاه دیگر مذاهب</w:t>
            </w:r>
            <w:r>
              <w:rPr>
                <w:rStyle w:val="IndexLink"/>
                <w:rtl w:val="true"/>
              </w:rPr>
              <w:tab/>
            </w:r>
            <w:r>
              <w:rPr>
                <w:rStyle w:val="IndexLink"/>
              </w:rPr>
              <w:t>232</w:t>
            </w:r>
          </w:hyperlink>
        </w:p>
        <w:p>
          <w:pPr>
            <w:pStyle w:val="Contents4"/>
            <w:tabs>
              <w:tab w:val="clear" w:pos="8176"/>
              <w:tab w:val="right" w:pos="9026" w:leader="dot"/>
            </w:tabs>
            <w:rPr/>
          </w:pPr>
          <w:hyperlink w:anchor="__RefHeading___Toc474327_1479056682">
            <w:r>
              <w:rPr>
                <w:webHidden/>
                <w:rStyle w:val="IndexLink"/>
                <w:rtl w:val="true"/>
              </w:rPr>
              <w:t>مبحث دوم</w:t>
            </w:r>
            <w:r>
              <w:rPr>
                <w:rStyle w:val="IndexLink"/>
                <w:rtl w:val="true"/>
              </w:rPr>
              <w:t xml:space="preserve">: </w:t>
            </w:r>
            <w:r>
              <w:rPr>
                <w:rStyle w:val="IndexLink"/>
                <w:rtl w:val="true"/>
              </w:rPr>
              <w:t>ملکیّت در وقف</w:t>
            </w:r>
            <w:r>
              <w:rPr>
                <w:rStyle w:val="IndexLink"/>
                <w:rtl w:val="true"/>
              </w:rPr>
              <w:tab/>
            </w:r>
            <w:r>
              <w:rPr>
                <w:rStyle w:val="IndexLink"/>
              </w:rPr>
              <w:t>233</w:t>
            </w:r>
          </w:hyperlink>
        </w:p>
        <w:p>
          <w:pPr>
            <w:pStyle w:val="Contents5"/>
            <w:tabs>
              <w:tab w:val="clear" w:pos="7892"/>
              <w:tab w:val="right" w:pos="9026" w:leader="dot"/>
            </w:tabs>
            <w:rPr/>
          </w:pPr>
          <w:hyperlink w:anchor="__RefHeading___Toc474329_1479056682">
            <w:r>
              <w:rPr>
                <w:webHidden/>
                <w:rStyle w:val="IndexLink"/>
                <w:rtl w:val="true"/>
              </w:rPr>
              <w:t xml:space="preserve">گفتار </w:t>
            </w:r>
            <w:r>
              <w:rPr>
                <w:rStyle w:val="IndexLink"/>
              </w:rPr>
              <w:t>1</w:t>
            </w:r>
            <w:r>
              <w:rPr>
                <w:rStyle w:val="IndexLink"/>
                <w:rtl w:val="true"/>
              </w:rPr>
              <w:t xml:space="preserve">- </w:t>
            </w:r>
            <w:r>
              <w:rPr>
                <w:rStyle w:val="IndexLink"/>
                <w:rtl w:val="true"/>
              </w:rPr>
              <w:t>مالک رَقَبه اموالِ مَوقوفه کیست ؟</w:t>
            </w:r>
            <w:r>
              <w:rPr>
                <w:rStyle w:val="IndexLink"/>
                <w:rtl w:val="true"/>
              </w:rPr>
              <w:tab/>
            </w:r>
            <w:r>
              <w:rPr>
                <w:rStyle w:val="IndexLink"/>
              </w:rPr>
              <w:t>233</w:t>
            </w:r>
          </w:hyperlink>
        </w:p>
        <w:p>
          <w:pPr>
            <w:pStyle w:val="Contents6"/>
            <w:tabs>
              <w:tab w:val="clear" w:pos="7609"/>
              <w:tab w:val="right" w:pos="9026" w:leader="dot"/>
            </w:tabs>
            <w:rPr/>
          </w:pPr>
          <w:hyperlink w:anchor="__RefHeading___Toc474331_1479056682">
            <w:r>
              <w:rPr>
                <w:webHidden/>
                <w:rStyle w:val="IndexLink"/>
                <w:rtl w:val="true"/>
              </w:rPr>
              <w:t>اشاره</w:t>
            </w:r>
            <w:r>
              <w:rPr>
                <w:rStyle w:val="IndexLink"/>
                <w:rtl w:val="true"/>
              </w:rPr>
              <w:tab/>
            </w:r>
            <w:r>
              <w:rPr>
                <w:rStyle w:val="IndexLink"/>
              </w:rPr>
              <w:t>233</w:t>
            </w:r>
          </w:hyperlink>
        </w:p>
        <w:p>
          <w:pPr>
            <w:pStyle w:val="Contents6"/>
            <w:tabs>
              <w:tab w:val="clear" w:pos="7609"/>
              <w:tab w:val="right" w:pos="9026" w:leader="dot"/>
            </w:tabs>
            <w:rPr/>
          </w:pPr>
          <w:hyperlink w:anchor="__RefHeading___Toc474333_1479056682">
            <w:r>
              <w:rPr>
                <w:webHidden/>
                <w:rStyle w:val="IndexLink"/>
                <w:rtl w:val="true"/>
              </w:rPr>
              <w:t>دیدگاه فقهای امامیّه</w:t>
            </w:r>
            <w:r>
              <w:rPr>
                <w:rStyle w:val="IndexLink"/>
                <w:rtl w:val="true"/>
              </w:rPr>
              <w:tab/>
            </w:r>
            <w:r>
              <w:rPr>
                <w:rStyle w:val="IndexLink"/>
              </w:rPr>
              <w:t>234</w:t>
            </w:r>
          </w:hyperlink>
        </w:p>
        <w:p>
          <w:pPr>
            <w:pStyle w:val="Contents6"/>
            <w:tabs>
              <w:tab w:val="clear" w:pos="7609"/>
              <w:tab w:val="right" w:pos="9026" w:leader="dot"/>
            </w:tabs>
            <w:rPr/>
          </w:pPr>
          <w:hyperlink w:anchor="__RefHeading___Toc474335_1479056682">
            <w:r>
              <w:rPr>
                <w:webHidden/>
                <w:rStyle w:val="IndexLink"/>
                <w:rtl w:val="true"/>
              </w:rPr>
              <w:t>مالکیّت موقوفٌ عَلَیْه</w:t>
            </w:r>
            <w:r>
              <w:rPr>
                <w:rStyle w:val="IndexLink"/>
                <w:rtl w:val="true"/>
              </w:rPr>
              <w:tab/>
            </w:r>
            <w:r>
              <w:rPr>
                <w:rStyle w:val="IndexLink"/>
              </w:rPr>
              <w:t>236</w:t>
            </w:r>
          </w:hyperlink>
        </w:p>
        <w:p>
          <w:pPr>
            <w:pStyle w:val="Contents6"/>
            <w:tabs>
              <w:tab w:val="clear" w:pos="7609"/>
              <w:tab w:val="right" w:pos="9026" w:leader="dot"/>
            </w:tabs>
            <w:rPr/>
          </w:pPr>
          <w:hyperlink w:anchor="__RefHeading___Toc474337_1479056682">
            <w:r>
              <w:rPr>
                <w:webHidden/>
                <w:rStyle w:val="IndexLink"/>
                <w:rtl w:val="true"/>
              </w:rPr>
              <w:t>چند نکته</w:t>
            </w:r>
            <w:r>
              <w:rPr>
                <w:rStyle w:val="IndexLink"/>
                <w:rtl w:val="true"/>
              </w:rPr>
              <w:tab/>
            </w:r>
            <w:r>
              <w:rPr>
                <w:rStyle w:val="IndexLink"/>
              </w:rPr>
              <w:t>240</w:t>
            </w:r>
          </w:hyperlink>
        </w:p>
        <w:p>
          <w:pPr>
            <w:pStyle w:val="Contents6"/>
            <w:tabs>
              <w:tab w:val="clear" w:pos="7609"/>
              <w:tab w:val="right" w:pos="9026" w:leader="dot"/>
            </w:tabs>
            <w:rPr/>
          </w:pPr>
          <w:hyperlink w:anchor="__RefHeading___Toc474339_1479056682">
            <w:r>
              <w:rPr>
                <w:webHidden/>
                <w:rStyle w:val="IndexLink"/>
                <w:rtl w:val="true"/>
              </w:rPr>
              <w:t>دیدگاه دیگر مذاهب</w:t>
            </w:r>
            <w:r>
              <w:rPr>
                <w:rStyle w:val="IndexLink"/>
                <w:rtl w:val="true"/>
              </w:rPr>
              <w:tab/>
            </w:r>
            <w:r>
              <w:rPr>
                <w:rStyle w:val="IndexLink"/>
              </w:rPr>
              <w:t>241</w:t>
            </w:r>
          </w:hyperlink>
        </w:p>
        <w:p>
          <w:pPr>
            <w:pStyle w:val="Contents5"/>
            <w:tabs>
              <w:tab w:val="clear" w:pos="7892"/>
              <w:tab w:val="right" w:pos="9026" w:leader="dot"/>
            </w:tabs>
            <w:rPr/>
          </w:pPr>
          <w:hyperlink w:anchor="__RefHeading___Toc474341_1479056682">
            <w:r>
              <w:rPr>
                <w:webHidden/>
                <w:rStyle w:val="IndexLink"/>
                <w:rtl w:val="true"/>
              </w:rPr>
              <w:t xml:space="preserve">گفتار </w:t>
            </w:r>
            <w:r>
              <w:rPr>
                <w:rStyle w:val="IndexLink"/>
              </w:rPr>
              <w:t>2</w:t>
            </w:r>
            <w:r>
              <w:rPr>
                <w:rStyle w:val="IndexLink"/>
                <w:rtl w:val="true"/>
              </w:rPr>
              <w:t xml:space="preserve">- </w:t>
            </w:r>
            <w:r>
              <w:rPr>
                <w:rStyle w:val="IndexLink"/>
                <w:rtl w:val="true"/>
              </w:rPr>
              <w:t>اجاره وقف توسّط موقوفٌ عَلَیْه</w:t>
            </w:r>
            <w:r>
              <w:rPr>
                <w:rStyle w:val="IndexLink"/>
                <w:rtl w:val="true"/>
              </w:rPr>
              <w:tab/>
            </w:r>
            <w:r>
              <w:rPr>
                <w:rStyle w:val="IndexLink"/>
              </w:rPr>
              <w:t>244</w:t>
            </w:r>
          </w:hyperlink>
        </w:p>
        <w:p>
          <w:pPr>
            <w:pStyle w:val="Contents6"/>
            <w:tabs>
              <w:tab w:val="clear" w:pos="7609"/>
              <w:tab w:val="right" w:pos="9026" w:leader="dot"/>
            </w:tabs>
            <w:rPr/>
          </w:pPr>
          <w:hyperlink w:anchor="__RefHeading___Toc474343_1479056682">
            <w:r>
              <w:rPr>
                <w:webHidden/>
                <w:rStyle w:val="IndexLink"/>
                <w:rtl w:val="true"/>
              </w:rPr>
              <w:t>دیدگاه امامیّه</w:t>
            </w:r>
            <w:r>
              <w:rPr>
                <w:rStyle w:val="IndexLink"/>
                <w:rtl w:val="true"/>
              </w:rPr>
              <w:tab/>
            </w:r>
            <w:r>
              <w:rPr>
                <w:rStyle w:val="IndexLink"/>
              </w:rPr>
              <w:t>244</w:t>
            </w:r>
          </w:hyperlink>
        </w:p>
        <w:p>
          <w:pPr>
            <w:pStyle w:val="Contents6"/>
            <w:tabs>
              <w:tab w:val="clear" w:pos="7609"/>
              <w:tab w:val="right" w:pos="9026" w:leader="dot"/>
            </w:tabs>
            <w:rPr/>
          </w:pPr>
          <w:hyperlink w:anchor="__RefHeading___Toc474345_1479056682">
            <w:r>
              <w:rPr>
                <w:webHidden/>
                <w:rStyle w:val="IndexLink"/>
                <w:rtl w:val="true"/>
              </w:rPr>
              <w:t>دیدگاه دیگر مذاهب</w:t>
            </w:r>
            <w:r>
              <w:rPr>
                <w:rStyle w:val="IndexLink"/>
                <w:rtl w:val="true"/>
              </w:rPr>
              <w:tab/>
            </w:r>
            <w:r>
              <w:rPr>
                <w:rStyle w:val="IndexLink"/>
              </w:rPr>
              <w:t>247</w:t>
            </w:r>
          </w:hyperlink>
        </w:p>
        <w:p>
          <w:pPr>
            <w:pStyle w:val="Contents5"/>
            <w:tabs>
              <w:tab w:val="clear" w:pos="7892"/>
              <w:tab w:val="right" w:pos="9026" w:leader="dot"/>
            </w:tabs>
            <w:rPr/>
          </w:pPr>
          <w:hyperlink w:anchor="__RefHeading___Toc474347_1479056682">
            <w:r>
              <w:rPr>
                <w:webHidden/>
                <w:rStyle w:val="IndexLink"/>
                <w:rtl w:val="true"/>
              </w:rPr>
              <w:t xml:space="preserve">گفتار </w:t>
            </w:r>
            <w:r>
              <w:rPr>
                <w:rStyle w:val="IndexLink"/>
              </w:rPr>
              <w:t>3</w:t>
            </w:r>
            <w:r>
              <w:rPr>
                <w:rStyle w:val="IndexLink"/>
                <w:rtl w:val="true"/>
              </w:rPr>
              <w:t xml:space="preserve">- </w:t>
            </w:r>
            <w:r>
              <w:rPr>
                <w:rStyle w:val="IndexLink"/>
                <w:rtl w:val="true"/>
              </w:rPr>
              <w:t>شخصیّت حقوقی وقف</w:t>
            </w:r>
            <w:r>
              <w:rPr>
                <w:rStyle w:val="IndexLink"/>
                <w:rtl w:val="true"/>
              </w:rPr>
              <w:tab/>
            </w:r>
            <w:r>
              <w:rPr>
                <w:rStyle w:val="IndexLink"/>
              </w:rPr>
              <w:t>249</w:t>
            </w:r>
          </w:hyperlink>
        </w:p>
        <w:p>
          <w:pPr>
            <w:pStyle w:val="Contents4"/>
            <w:tabs>
              <w:tab w:val="clear" w:pos="8176"/>
              <w:tab w:val="right" w:pos="9026" w:leader="dot"/>
            </w:tabs>
            <w:rPr/>
          </w:pPr>
          <w:hyperlink w:anchor="__RefHeading___Toc474349_1479056682">
            <w:r>
              <w:rPr>
                <w:webHidden/>
                <w:rStyle w:val="IndexLink"/>
                <w:rtl w:val="true"/>
              </w:rPr>
              <w:t>مبحث سوم</w:t>
            </w:r>
            <w:r>
              <w:rPr>
                <w:rStyle w:val="IndexLink"/>
                <w:rtl w:val="true"/>
              </w:rPr>
              <w:t xml:space="preserve">: </w:t>
            </w:r>
            <w:r>
              <w:rPr>
                <w:rStyle w:val="IndexLink"/>
                <w:rtl w:val="true"/>
              </w:rPr>
              <w:t>شروط واقف</w:t>
            </w:r>
            <w:r>
              <w:rPr>
                <w:rStyle w:val="IndexLink"/>
                <w:rtl w:val="true"/>
              </w:rPr>
              <w:tab/>
            </w:r>
            <w:r>
              <w:rPr>
                <w:rStyle w:val="IndexLink"/>
              </w:rPr>
              <w:t>252</w:t>
            </w:r>
          </w:hyperlink>
        </w:p>
        <w:p>
          <w:pPr>
            <w:pStyle w:val="Contents5"/>
            <w:tabs>
              <w:tab w:val="clear" w:pos="7892"/>
              <w:tab w:val="right" w:pos="9026" w:leader="dot"/>
            </w:tabs>
            <w:rPr/>
          </w:pPr>
          <w:hyperlink w:anchor="__RefHeading___Toc474351_1479056682">
            <w:r>
              <w:rPr>
                <w:webHidden/>
                <w:rStyle w:val="IndexLink"/>
                <w:rtl w:val="true"/>
              </w:rPr>
              <w:t xml:space="preserve">گفتار </w:t>
            </w:r>
            <w:r>
              <w:rPr>
                <w:rStyle w:val="IndexLink"/>
              </w:rPr>
              <w:t>1</w:t>
            </w:r>
            <w:r>
              <w:rPr>
                <w:rStyle w:val="IndexLink"/>
                <w:rtl w:val="true"/>
              </w:rPr>
              <w:t xml:space="preserve">- </w:t>
            </w:r>
            <w:r>
              <w:rPr>
                <w:rStyle w:val="IndexLink"/>
                <w:rtl w:val="true"/>
              </w:rPr>
              <w:t>معنای شرط</w:t>
            </w:r>
            <w:r>
              <w:rPr>
                <w:rStyle w:val="IndexLink"/>
                <w:rtl w:val="true"/>
              </w:rPr>
              <w:tab/>
            </w:r>
            <w:r>
              <w:rPr>
                <w:rStyle w:val="IndexLink"/>
              </w:rPr>
              <w:t>252</w:t>
            </w:r>
          </w:hyperlink>
        </w:p>
        <w:p>
          <w:pPr>
            <w:pStyle w:val="Contents5"/>
            <w:tabs>
              <w:tab w:val="clear" w:pos="7892"/>
              <w:tab w:val="right" w:pos="9026" w:leader="dot"/>
            </w:tabs>
            <w:rPr/>
          </w:pPr>
          <w:hyperlink w:anchor="__RefHeading___Toc474353_1479056682">
            <w:r>
              <w:rPr>
                <w:webHidden/>
                <w:rStyle w:val="IndexLink"/>
                <w:rtl w:val="true"/>
              </w:rPr>
              <w:t xml:space="preserve">گفتار </w:t>
            </w:r>
            <w:r>
              <w:rPr>
                <w:rStyle w:val="IndexLink"/>
              </w:rPr>
              <w:t>2</w:t>
            </w:r>
            <w:r>
              <w:rPr>
                <w:rStyle w:val="IndexLink"/>
                <w:rtl w:val="true"/>
              </w:rPr>
              <w:t xml:space="preserve">- </w:t>
            </w:r>
            <w:r>
              <w:rPr>
                <w:rStyle w:val="IndexLink"/>
                <w:rtl w:val="true"/>
              </w:rPr>
              <w:t>اهمّیّت شروط واقف</w:t>
            </w:r>
            <w:r>
              <w:rPr>
                <w:rStyle w:val="IndexLink"/>
                <w:rtl w:val="true"/>
              </w:rPr>
              <w:tab/>
            </w:r>
            <w:r>
              <w:rPr>
                <w:rStyle w:val="IndexLink"/>
              </w:rPr>
              <w:t>253</w:t>
            </w:r>
          </w:hyperlink>
        </w:p>
        <w:p>
          <w:pPr>
            <w:pStyle w:val="Contents5"/>
            <w:tabs>
              <w:tab w:val="clear" w:pos="7892"/>
              <w:tab w:val="right" w:pos="9026" w:leader="dot"/>
            </w:tabs>
            <w:rPr/>
          </w:pPr>
          <w:hyperlink w:anchor="__RefHeading___Toc474355_1479056682">
            <w:r>
              <w:rPr>
                <w:webHidden/>
                <w:rStyle w:val="IndexLink"/>
                <w:rtl w:val="true"/>
              </w:rPr>
              <w:t xml:space="preserve">گفتار </w:t>
            </w:r>
            <w:r>
              <w:rPr>
                <w:rStyle w:val="IndexLink"/>
              </w:rPr>
              <w:t>3</w:t>
            </w:r>
            <w:r>
              <w:rPr>
                <w:rStyle w:val="IndexLink"/>
                <w:rtl w:val="true"/>
              </w:rPr>
              <w:t xml:space="preserve">- </w:t>
            </w:r>
            <w:r>
              <w:rPr>
                <w:rStyle w:val="IndexLink"/>
                <w:rtl w:val="true"/>
              </w:rPr>
              <w:t>شرایط صحّت شروط</w:t>
            </w:r>
            <w:r>
              <w:rPr>
                <w:rStyle w:val="IndexLink"/>
                <w:rtl w:val="true"/>
              </w:rPr>
              <w:tab/>
            </w:r>
            <w:r>
              <w:rPr>
                <w:rStyle w:val="IndexLink"/>
              </w:rPr>
              <w:t>255</w:t>
            </w:r>
          </w:hyperlink>
        </w:p>
        <w:p>
          <w:pPr>
            <w:pStyle w:val="Contents6"/>
            <w:tabs>
              <w:tab w:val="clear" w:pos="7609"/>
              <w:tab w:val="right" w:pos="9026" w:leader="dot"/>
            </w:tabs>
            <w:rPr/>
          </w:pPr>
          <w:hyperlink w:anchor="__RefHeading___Toc474357_1479056682">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474359_1479056682">
            <w:r>
              <w:rPr>
                <w:webHidden/>
                <w:rStyle w:val="IndexLink"/>
                <w:rtl w:val="true"/>
              </w:rPr>
              <w:t>شرط اوّل</w:t>
            </w:r>
            <w:r>
              <w:rPr>
                <w:rStyle w:val="IndexLink"/>
                <w:rtl w:val="true"/>
              </w:rPr>
              <w:t xml:space="preserve">: </w:t>
            </w:r>
            <w:r>
              <w:rPr>
                <w:rStyle w:val="IndexLink"/>
                <w:rtl w:val="true"/>
              </w:rPr>
              <w:t>عدم مخالفت با مقتضای عقد</w:t>
            </w:r>
            <w:r>
              <w:rPr>
                <w:rStyle w:val="IndexLink"/>
                <w:rtl w:val="true"/>
              </w:rPr>
              <w:tab/>
            </w:r>
            <w:r>
              <w:rPr>
                <w:rStyle w:val="IndexLink"/>
              </w:rPr>
              <w:t>255</w:t>
            </w:r>
          </w:hyperlink>
        </w:p>
        <w:p>
          <w:pPr>
            <w:pStyle w:val="Contents6"/>
            <w:tabs>
              <w:tab w:val="clear" w:pos="7609"/>
              <w:tab w:val="right" w:pos="9026" w:leader="dot"/>
            </w:tabs>
            <w:rPr/>
          </w:pPr>
          <w:hyperlink w:anchor="__RefHeading___Toc474361_1479056682">
            <w:r>
              <w:rPr>
                <w:webHidden/>
                <w:rStyle w:val="IndexLink"/>
                <w:rtl w:val="true"/>
              </w:rPr>
              <w:t>شرط دوم</w:t>
            </w:r>
            <w:r>
              <w:rPr>
                <w:rStyle w:val="IndexLink"/>
                <w:rtl w:val="true"/>
              </w:rPr>
              <w:t xml:space="preserve">: </w:t>
            </w:r>
            <w:r>
              <w:rPr>
                <w:rStyle w:val="IndexLink"/>
                <w:rtl w:val="true"/>
              </w:rPr>
              <w:t>اقتران به انشای وقف</w:t>
            </w:r>
            <w:r>
              <w:rPr>
                <w:rStyle w:val="IndexLink"/>
                <w:rtl w:val="true"/>
              </w:rPr>
              <w:tab/>
            </w:r>
            <w:r>
              <w:rPr>
                <w:rStyle w:val="IndexLink"/>
              </w:rPr>
              <w:t>256</w:t>
            </w:r>
          </w:hyperlink>
        </w:p>
        <w:p>
          <w:pPr>
            <w:pStyle w:val="Contents6"/>
            <w:tabs>
              <w:tab w:val="clear" w:pos="7609"/>
              <w:tab w:val="right" w:pos="9026" w:leader="dot"/>
            </w:tabs>
            <w:rPr/>
          </w:pPr>
          <w:hyperlink w:anchor="__RefHeading___Toc474363_1479056682">
            <w:r>
              <w:rPr>
                <w:webHidden/>
                <w:rStyle w:val="IndexLink"/>
                <w:rtl w:val="true"/>
              </w:rPr>
              <w:t>شرط سوم</w:t>
            </w:r>
            <w:r>
              <w:rPr>
                <w:rStyle w:val="IndexLink"/>
                <w:rtl w:val="true"/>
              </w:rPr>
              <w:t xml:space="preserve">: </w:t>
            </w:r>
            <w:r>
              <w:rPr>
                <w:rStyle w:val="IndexLink"/>
                <w:rtl w:val="true"/>
              </w:rPr>
              <w:t>عدم مخالفت با کتاب و سنّت</w:t>
            </w:r>
            <w:r>
              <w:rPr>
                <w:rStyle w:val="IndexLink"/>
                <w:rtl w:val="true"/>
              </w:rPr>
              <w:tab/>
            </w:r>
            <w:r>
              <w:rPr>
                <w:rStyle w:val="IndexLink"/>
              </w:rPr>
              <w:t>256</w:t>
            </w:r>
          </w:hyperlink>
        </w:p>
        <w:p>
          <w:pPr>
            <w:pStyle w:val="Contents6"/>
            <w:tabs>
              <w:tab w:val="clear" w:pos="7609"/>
              <w:tab w:val="right" w:pos="9026" w:leader="dot"/>
            </w:tabs>
            <w:rPr/>
          </w:pPr>
          <w:hyperlink w:anchor="__RefHeading___Toc474365_1479056682">
            <w:r>
              <w:rPr>
                <w:webHidden/>
                <w:rStyle w:val="IndexLink"/>
                <w:rtl w:val="true"/>
              </w:rPr>
              <w:t>شرط چهارم</w:t>
            </w:r>
            <w:r>
              <w:rPr>
                <w:rStyle w:val="IndexLink"/>
                <w:rtl w:val="true"/>
              </w:rPr>
              <w:t xml:space="preserve">: </w:t>
            </w:r>
            <w:r>
              <w:rPr>
                <w:rStyle w:val="IndexLink"/>
                <w:rtl w:val="true"/>
              </w:rPr>
              <w:t xml:space="preserve">عدم جهالت </w:t>
            </w:r>
            <w:r>
              <w:rPr>
                <w:rStyle w:val="IndexLink"/>
                <w:rtl w:val="true"/>
              </w:rPr>
              <w:t>(</w:t>
            </w:r>
            <w:r>
              <w:rPr>
                <w:rStyle w:val="IndexLink"/>
                <w:rtl w:val="true"/>
              </w:rPr>
              <w:t>معلوم بودن</w:t>
            </w:r>
            <w:r>
              <w:rPr>
                <w:rStyle w:val="IndexLink"/>
                <w:rtl w:val="true"/>
              </w:rPr>
              <w:t>)</w:t>
              <w:tab/>
            </w:r>
            <w:r>
              <w:rPr>
                <w:rStyle w:val="IndexLink"/>
              </w:rPr>
              <w:t>257</w:t>
            </w:r>
          </w:hyperlink>
        </w:p>
        <w:p>
          <w:pPr>
            <w:pStyle w:val="Contents6"/>
            <w:tabs>
              <w:tab w:val="clear" w:pos="7609"/>
              <w:tab w:val="right" w:pos="9026" w:leader="dot"/>
            </w:tabs>
            <w:rPr/>
          </w:pPr>
          <w:hyperlink w:anchor="__RefHeading___Toc474367_1479056682">
            <w:r>
              <w:rPr>
                <w:webHidden/>
                <w:rStyle w:val="IndexLink"/>
                <w:rtl w:val="true"/>
              </w:rPr>
              <w:t>شرط پنجم</w:t>
            </w:r>
            <w:r>
              <w:rPr>
                <w:rStyle w:val="IndexLink"/>
                <w:rtl w:val="true"/>
              </w:rPr>
              <w:t xml:space="preserve">: </w:t>
            </w:r>
            <w:r>
              <w:rPr>
                <w:rStyle w:val="IndexLink"/>
                <w:rtl w:val="true"/>
              </w:rPr>
              <w:t>جایز بودن نفس شرط</w:t>
            </w:r>
            <w:r>
              <w:rPr>
                <w:rStyle w:val="IndexLink"/>
                <w:rtl w:val="true"/>
              </w:rPr>
              <w:tab/>
            </w:r>
            <w:r>
              <w:rPr>
                <w:rStyle w:val="IndexLink"/>
              </w:rPr>
              <w:t>257</w:t>
            </w:r>
          </w:hyperlink>
        </w:p>
        <w:p>
          <w:pPr>
            <w:pStyle w:val="Contents5"/>
            <w:tabs>
              <w:tab w:val="clear" w:pos="7892"/>
              <w:tab w:val="right" w:pos="9026" w:leader="dot"/>
            </w:tabs>
            <w:rPr/>
          </w:pPr>
          <w:hyperlink w:anchor="__RefHeading___Toc474369_1479056682">
            <w:r>
              <w:rPr>
                <w:webHidden/>
                <w:rStyle w:val="IndexLink"/>
                <w:rtl w:val="true"/>
              </w:rPr>
              <w:t xml:space="preserve">گفتار </w:t>
            </w:r>
            <w:r>
              <w:rPr>
                <w:rStyle w:val="IndexLink"/>
              </w:rPr>
              <w:t>4</w:t>
            </w:r>
            <w:r>
              <w:rPr>
                <w:rStyle w:val="IndexLink"/>
                <w:rtl w:val="true"/>
              </w:rPr>
              <w:t xml:space="preserve">- </w:t>
            </w:r>
            <w:r>
              <w:rPr>
                <w:rStyle w:val="IndexLink"/>
                <w:rtl w:val="true"/>
              </w:rPr>
              <w:t>بعضی از مصادیق شروط واقف</w:t>
            </w:r>
            <w:r>
              <w:rPr>
                <w:rStyle w:val="IndexLink"/>
                <w:rtl w:val="true"/>
              </w:rPr>
              <w:tab/>
            </w:r>
            <w:r>
              <w:rPr>
                <w:rStyle w:val="IndexLink"/>
              </w:rPr>
              <w:t>260</w:t>
            </w:r>
          </w:hyperlink>
        </w:p>
        <w:p>
          <w:pPr>
            <w:pStyle w:val="Contents6"/>
            <w:tabs>
              <w:tab w:val="clear" w:pos="7609"/>
              <w:tab w:val="right" w:pos="9026" w:leader="dot"/>
            </w:tabs>
            <w:rPr/>
          </w:pPr>
          <w:hyperlink w:anchor="__RefHeading___Toc474371_1479056682">
            <w:r>
              <w:rPr>
                <w:webHidden/>
                <w:rStyle w:val="IndexLink"/>
                <w:rtl w:val="true"/>
              </w:rPr>
              <w:t>اشاره</w:t>
            </w:r>
            <w:r>
              <w:rPr>
                <w:rStyle w:val="IndexLink"/>
                <w:rtl w:val="true"/>
              </w:rPr>
              <w:tab/>
            </w:r>
            <w:r>
              <w:rPr>
                <w:rStyle w:val="IndexLink"/>
              </w:rPr>
              <w:t>260</w:t>
            </w:r>
          </w:hyperlink>
        </w:p>
        <w:p>
          <w:pPr>
            <w:pStyle w:val="Contents6"/>
            <w:tabs>
              <w:tab w:val="clear" w:pos="7609"/>
              <w:tab w:val="right" w:pos="9026" w:leader="dot"/>
            </w:tabs>
            <w:rPr/>
          </w:pPr>
          <w:hyperlink w:anchor="__RefHeading___Toc474373_1479056682">
            <w:r>
              <w:rPr>
                <w:webHidden/>
                <w:rStyle w:val="IndexLink"/>
              </w:rPr>
              <w:t>1</w:t>
            </w:r>
            <w:r>
              <w:rPr>
                <w:rStyle w:val="IndexLink"/>
                <w:rtl w:val="true"/>
              </w:rPr>
              <w:t xml:space="preserve">- </w:t>
            </w:r>
            <w:r>
              <w:rPr>
                <w:rStyle w:val="IndexLink"/>
                <w:rtl w:val="true"/>
              </w:rPr>
              <w:t>شرط عود مال موقوف به واقف درصورت نیاز</w:t>
            </w:r>
            <w:r>
              <w:rPr>
                <w:rStyle w:val="IndexLink"/>
                <w:rtl w:val="true"/>
              </w:rPr>
              <w:tab/>
            </w:r>
            <w:r>
              <w:rPr>
                <w:rStyle w:val="IndexLink"/>
              </w:rPr>
              <w:t>260</w:t>
            </w:r>
          </w:hyperlink>
        </w:p>
        <w:p>
          <w:pPr>
            <w:pStyle w:val="Contents6"/>
            <w:tabs>
              <w:tab w:val="clear" w:pos="7609"/>
              <w:tab w:val="right" w:pos="9026" w:leader="dot"/>
            </w:tabs>
            <w:rPr/>
          </w:pPr>
          <w:hyperlink w:anchor="__RefHeading___Toc474375_1479056682">
            <w:r>
              <w:rPr>
                <w:webHidden/>
                <w:rStyle w:val="IndexLink"/>
              </w:rPr>
              <w:t>2</w:t>
            </w:r>
            <w:r>
              <w:rPr>
                <w:rStyle w:val="IndexLink"/>
                <w:rtl w:val="true"/>
              </w:rPr>
              <w:t xml:space="preserve">- </w:t>
            </w:r>
            <w:r>
              <w:rPr>
                <w:rStyle w:val="IndexLink"/>
                <w:rtl w:val="true"/>
              </w:rPr>
              <w:t>شرط خیار</w:t>
            </w:r>
            <w:r>
              <w:rPr>
                <w:rStyle w:val="IndexLink"/>
                <w:rtl w:val="true"/>
              </w:rPr>
              <w:tab/>
            </w:r>
            <w:r>
              <w:rPr>
                <w:rStyle w:val="IndexLink"/>
              </w:rPr>
              <w:t>262</w:t>
            </w:r>
          </w:hyperlink>
        </w:p>
        <w:p>
          <w:pPr>
            <w:pStyle w:val="Contents6"/>
            <w:tabs>
              <w:tab w:val="clear" w:pos="7609"/>
              <w:tab w:val="right" w:pos="9026" w:leader="dot"/>
            </w:tabs>
            <w:rPr/>
          </w:pPr>
          <w:hyperlink w:anchor="__RefHeading___Toc474377_1479056682">
            <w:r>
              <w:rPr>
                <w:webHidden/>
                <w:rStyle w:val="IndexLink"/>
              </w:rPr>
              <w:t>3</w:t>
            </w:r>
            <w:r>
              <w:rPr>
                <w:rStyle w:val="IndexLink"/>
                <w:rtl w:val="true"/>
              </w:rPr>
              <w:t xml:space="preserve">- </w:t>
            </w:r>
            <w:r>
              <w:rPr>
                <w:rStyle w:val="IndexLink"/>
                <w:rtl w:val="true"/>
              </w:rPr>
              <w:t>شرط اخراج موقوفٌ عَلَیْه</w:t>
            </w:r>
            <w:r>
              <w:rPr>
                <w:rStyle w:val="IndexLink"/>
                <w:rtl w:val="true"/>
              </w:rPr>
              <w:tab/>
            </w:r>
            <w:r>
              <w:rPr>
                <w:rStyle w:val="IndexLink"/>
              </w:rPr>
              <w:t>263</w:t>
            </w:r>
          </w:hyperlink>
        </w:p>
        <w:p>
          <w:pPr>
            <w:pStyle w:val="Contents6"/>
            <w:tabs>
              <w:tab w:val="clear" w:pos="7609"/>
              <w:tab w:val="right" w:pos="9026" w:leader="dot"/>
            </w:tabs>
            <w:rPr/>
          </w:pPr>
          <w:hyperlink w:anchor="__RefHeading___Toc474379_1479056682">
            <w:r>
              <w:rPr>
                <w:webHidden/>
                <w:rStyle w:val="IndexLink"/>
              </w:rPr>
              <w:t>4</w:t>
            </w:r>
            <w:r>
              <w:rPr>
                <w:rStyle w:val="IndexLink"/>
                <w:rtl w:val="true"/>
              </w:rPr>
              <w:t xml:space="preserve">- </w:t>
            </w:r>
            <w:r>
              <w:rPr>
                <w:rStyle w:val="IndexLink"/>
                <w:rtl w:val="true"/>
              </w:rPr>
              <w:t xml:space="preserve">شرط ادخال </w:t>
            </w:r>
            <w:r>
              <w:rPr>
                <w:rStyle w:val="IndexLink"/>
                <w:rtl w:val="true"/>
              </w:rPr>
              <w:t>...</w:t>
              <w:tab/>
            </w:r>
            <w:r>
              <w:rPr>
                <w:rStyle w:val="IndexLink"/>
              </w:rPr>
              <w:t>264</w:t>
            </w:r>
          </w:hyperlink>
        </w:p>
        <w:p>
          <w:pPr>
            <w:pStyle w:val="Contents6"/>
            <w:tabs>
              <w:tab w:val="clear" w:pos="7609"/>
              <w:tab w:val="right" w:pos="9026" w:leader="dot"/>
            </w:tabs>
            <w:rPr/>
          </w:pPr>
          <w:hyperlink w:anchor="__RefHeading___Toc474381_1479056682">
            <w:r>
              <w:rPr>
                <w:webHidden/>
                <w:rStyle w:val="IndexLink"/>
                <w:rtl w:val="true"/>
              </w:rPr>
              <w:t>فقه اهل سنّت</w:t>
            </w:r>
            <w:r>
              <w:rPr>
                <w:rStyle w:val="IndexLink"/>
                <w:rtl w:val="true"/>
              </w:rPr>
              <w:tab/>
            </w:r>
            <w:r>
              <w:rPr>
                <w:rStyle w:val="IndexLink"/>
              </w:rPr>
              <w:t>266</w:t>
            </w:r>
          </w:hyperlink>
        </w:p>
        <w:p>
          <w:pPr>
            <w:pStyle w:val="Contents6"/>
            <w:tabs>
              <w:tab w:val="clear" w:pos="7609"/>
              <w:tab w:val="right" w:pos="9026" w:leader="dot"/>
            </w:tabs>
            <w:rPr/>
          </w:pPr>
          <w:hyperlink w:anchor="__RefHeading___Toc474383_1479056682">
            <w:r>
              <w:rPr>
                <w:webHidden/>
                <w:rStyle w:val="IndexLink"/>
                <w:rtl w:val="true"/>
              </w:rPr>
              <w:t>احکام شروط ده‌گانه</w:t>
            </w:r>
            <w:r>
              <w:rPr>
                <w:rStyle w:val="IndexLink"/>
                <w:rtl w:val="true"/>
              </w:rPr>
              <w:tab/>
            </w:r>
            <w:r>
              <w:rPr>
                <w:rStyle w:val="IndexLink"/>
              </w:rPr>
              <w:t>267</w:t>
            </w:r>
          </w:hyperlink>
        </w:p>
        <w:p>
          <w:pPr>
            <w:pStyle w:val="Contents6"/>
            <w:tabs>
              <w:tab w:val="clear" w:pos="7609"/>
              <w:tab w:val="right" w:pos="9026" w:leader="dot"/>
            </w:tabs>
            <w:rPr/>
          </w:pPr>
          <w:hyperlink w:anchor="__RefHeading___Toc474385_1479056682">
            <w:r>
              <w:rPr>
                <w:webHidden/>
                <w:rStyle w:val="IndexLink"/>
              </w:rPr>
              <w:t>1</w:t>
            </w:r>
            <w:r>
              <w:rPr>
                <w:rStyle w:val="IndexLink"/>
                <w:rtl w:val="true"/>
              </w:rPr>
              <w:t xml:space="preserve"> </w:t>
            </w:r>
            <w:r>
              <w:rPr>
                <w:rStyle w:val="IndexLink"/>
                <w:rtl w:val="true"/>
              </w:rPr>
              <w:t xml:space="preserve">و </w:t>
            </w:r>
            <w:r>
              <w:rPr>
                <w:rStyle w:val="IndexLink"/>
              </w:rPr>
              <w:t>2</w:t>
            </w:r>
            <w:r>
              <w:rPr>
                <w:rStyle w:val="IndexLink"/>
                <w:rtl w:val="true"/>
              </w:rPr>
              <w:t xml:space="preserve">- </w:t>
            </w:r>
            <w:r>
              <w:rPr>
                <w:rStyle w:val="IndexLink"/>
                <w:rtl w:val="true"/>
              </w:rPr>
              <w:t>زیاده و نقصان</w:t>
            </w:r>
            <w:r>
              <w:rPr>
                <w:rStyle w:val="IndexLink"/>
                <w:rtl w:val="true"/>
              </w:rPr>
              <w:tab/>
            </w:r>
            <w:r>
              <w:rPr>
                <w:rStyle w:val="IndexLink"/>
              </w:rPr>
              <w:t>267</w:t>
            </w:r>
          </w:hyperlink>
        </w:p>
        <w:p>
          <w:pPr>
            <w:pStyle w:val="Contents6"/>
            <w:tabs>
              <w:tab w:val="clear" w:pos="7609"/>
              <w:tab w:val="right" w:pos="9026" w:leader="dot"/>
            </w:tabs>
            <w:rPr/>
          </w:pPr>
          <w:hyperlink w:anchor="__RefHeading___Toc474387_1479056682">
            <w:r>
              <w:rPr>
                <w:webHidden/>
                <w:rStyle w:val="IndexLink"/>
              </w:rPr>
              <w:t>3</w:t>
            </w:r>
            <w:r>
              <w:rPr>
                <w:rStyle w:val="IndexLink"/>
                <w:rtl w:val="true"/>
              </w:rPr>
              <w:t xml:space="preserve"> </w:t>
            </w:r>
            <w:r>
              <w:rPr>
                <w:rStyle w:val="IndexLink"/>
                <w:rtl w:val="true"/>
              </w:rPr>
              <w:t xml:space="preserve">و </w:t>
            </w:r>
            <w:r>
              <w:rPr>
                <w:rStyle w:val="IndexLink"/>
              </w:rPr>
              <w:t>4</w:t>
            </w:r>
            <w:r>
              <w:rPr>
                <w:rStyle w:val="IndexLink"/>
                <w:rtl w:val="true"/>
              </w:rPr>
              <w:t xml:space="preserve">- </w:t>
            </w:r>
            <w:r>
              <w:rPr>
                <w:rStyle w:val="IndexLink"/>
                <w:rtl w:val="true"/>
              </w:rPr>
              <w:t>ادخال و اخراج</w:t>
            </w:r>
            <w:r>
              <w:rPr>
                <w:rStyle w:val="IndexLink"/>
                <w:rtl w:val="true"/>
              </w:rPr>
              <w:tab/>
            </w:r>
            <w:r>
              <w:rPr>
                <w:rStyle w:val="IndexLink"/>
              </w:rPr>
              <w:t>267</w:t>
            </w:r>
          </w:hyperlink>
        </w:p>
        <w:p>
          <w:pPr>
            <w:pStyle w:val="Contents6"/>
            <w:tabs>
              <w:tab w:val="clear" w:pos="7609"/>
              <w:tab w:val="right" w:pos="9026" w:leader="dot"/>
            </w:tabs>
            <w:rPr/>
          </w:pPr>
          <w:hyperlink w:anchor="__RefHeading___Toc474389_1479056682">
            <w:r>
              <w:rPr>
                <w:webHidden/>
                <w:rStyle w:val="IndexLink"/>
              </w:rPr>
              <w:t>5</w:t>
            </w:r>
            <w:r>
              <w:rPr>
                <w:rStyle w:val="IndexLink"/>
                <w:rtl w:val="true"/>
              </w:rPr>
              <w:t xml:space="preserve"> </w:t>
            </w:r>
            <w:r>
              <w:rPr>
                <w:rStyle w:val="IndexLink"/>
                <w:rtl w:val="true"/>
              </w:rPr>
              <w:t xml:space="preserve">و </w:t>
            </w:r>
            <w:r>
              <w:rPr>
                <w:rStyle w:val="IndexLink"/>
              </w:rPr>
              <w:t>6</w:t>
            </w:r>
            <w:r>
              <w:rPr>
                <w:rStyle w:val="IndexLink"/>
                <w:rtl w:val="true"/>
              </w:rPr>
              <w:t xml:space="preserve">- </w:t>
            </w:r>
            <w:r>
              <w:rPr>
                <w:rStyle w:val="IndexLink"/>
                <w:rtl w:val="true"/>
              </w:rPr>
              <w:t>اِعطا و حرمان</w:t>
            </w:r>
            <w:r>
              <w:rPr>
                <w:rStyle w:val="IndexLink"/>
                <w:rtl w:val="true"/>
              </w:rPr>
              <w:tab/>
            </w:r>
            <w:r>
              <w:rPr>
                <w:rStyle w:val="IndexLink"/>
              </w:rPr>
              <w:t>268</w:t>
            </w:r>
          </w:hyperlink>
        </w:p>
        <w:p>
          <w:pPr>
            <w:pStyle w:val="Contents6"/>
            <w:tabs>
              <w:tab w:val="clear" w:pos="7609"/>
              <w:tab w:val="right" w:pos="9026" w:leader="dot"/>
            </w:tabs>
            <w:rPr/>
          </w:pPr>
          <w:hyperlink w:anchor="__RefHeading___Toc474391_1479056682">
            <w:r>
              <w:rPr>
                <w:webHidden/>
                <w:rStyle w:val="IndexLink"/>
              </w:rPr>
              <w:t>7</w:t>
            </w:r>
            <w:r>
              <w:rPr>
                <w:rStyle w:val="IndexLink"/>
                <w:rtl w:val="true"/>
              </w:rPr>
              <w:t xml:space="preserve"> </w:t>
            </w:r>
            <w:r>
              <w:rPr>
                <w:rStyle w:val="IndexLink"/>
                <w:rtl w:val="true"/>
              </w:rPr>
              <w:t xml:space="preserve">و </w:t>
            </w:r>
            <w:r>
              <w:rPr>
                <w:rStyle w:val="IndexLink"/>
              </w:rPr>
              <w:t>8</w:t>
            </w:r>
            <w:r>
              <w:rPr>
                <w:rStyle w:val="IndexLink"/>
                <w:rtl w:val="true"/>
              </w:rPr>
              <w:t xml:space="preserve">- </w:t>
            </w:r>
            <w:r>
              <w:rPr>
                <w:rStyle w:val="IndexLink"/>
                <w:rtl w:val="true"/>
              </w:rPr>
              <w:t>تغییر و تبدیل</w:t>
            </w:r>
            <w:r>
              <w:rPr>
                <w:rStyle w:val="IndexLink"/>
                <w:rtl w:val="true"/>
              </w:rPr>
              <w:tab/>
            </w:r>
            <w:r>
              <w:rPr>
                <w:rStyle w:val="IndexLink"/>
              </w:rPr>
              <w:t>268</w:t>
            </w:r>
          </w:hyperlink>
        </w:p>
        <w:p>
          <w:pPr>
            <w:pStyle w:val="Contents6"/>
            <w:tabs>
              <w:tab w:val="clear" w:pos="7609"/>
              <w:tab w:val="right" w:pos="9026" w:leader="dot"/>
            </w:tabs>
            <w:rPr/>
          </w:pPr>
          <w:hyperlink w:anchor="__RefHeading___Toc474393_1479056682">
            <w:r>
              <w:rPr>
                <w:webHidden/>
                <w:rStyle w:val="IndexLink"/>
              </w:rPr>
              <w:t>9</w:t>
            </w:r>
            <w:r>
              <w:rPr>
                <w:rStyle w:val="IndexLink"/>
                <w:rtl w:val="true"/>
              </w:rPr>
              <w:t xml:space="preserve"> </w:t>
            </w:r>
            <w:r>
              <w:rPr>
                <w:rStyle w:val="IndexLink"/>
                <w:rtl w:val="true"/>
              </w:rPr>
              <w:t xml:space="preserve">و </w:t>
            </w:r>
            <w:r>
              <w:rPr>
                <w:rStyle w:val="IndexLink"/>
              </w:rPr>
              <w:t>10</w:t>
            </w:r>
            <w:r>
              <w:rPr>
                <w:rStyle w:val="IndexLink"/>
                <w:rtl w:val="true"/>
              </w:rPr>
              <w:t xml:space="preserve">- </w:t>
            </w:r>
            <w:r>
              <w:rPr>
                <w:rStyle w:val="IndexLink"/>
                <w:rtl w:val="true"/>
              </w:rPr>
              <w:t>اِبدال و اِستبدال</w:t>
            </w:r>
            <w:r>
              <w:rPr>
                <w:rStyle w:val="IndexLink"/>
                <w:rtl w:val="true"/>
              </w:rPr>
              <w:tab/>
            </w:r>
            <w:r>
              <w:rPr>
                <w:rStyle w:val="IndexLink"/>
              </w:rPr>
              <w:t>269</w:t>
            </w:r>
          </w:hyperlink>
        </w:p>
        <w:p>
          <w:pPr>
            <w:pStyle w:val="Contents5"/>
            <w:tabs>
              <w:tab w:val="clear" w:pos="7892"/>
              <w:tab w:val="right" w:pos="9026" w:leader="dot"/>
            </w:tabs>
            <w:rPr/>
          </w:pPr>
          <w:hyperlink w:anchor="__RefHeading___Toc474395_1479056682">
            <w:r>
              <w:rPr>
                <w:webHidden/>
                <w:rStyle w:val="IndexLink"/>
                <w:rtl w:val="true"/>
              </w:rPr>
              <w:t xml:space="preserve">گفتار </w:t>
            </w:r>
            <w:r>
              <w:rPr>
                <w:rStyle w:val="IndexLink"/>
              </w:rPr>
              <w:t>5</w:t>
            </w:r>
            <w:r>
              <w:rPr>
                <w:rStyle w:val="IndexLink"/>
                <w:rtl w:val="true"/>
              </w:rPr>
              <w:t xml:space="preserve">- </w:t>
            </w:r>
            <w:r>
              <w:rPr>
                <w:rStyle w:val="IndexLink"/>
                <w:rtl w:val="true"/>
              </w:rPr>
              <w:t>حکم شرط فاسد</w:t>
            </w:r>
            <w:r>
              <w:rPr>
                <w:rStyle w:val="IndexLink"/>
                <w:rtl w:val="true"/>
              </w:rPr>
              <w:tab/>
            </w:r>
            <w:r>
              <w:rPr>
                <w:rStyle w:val="IndexLink"/>
              </w:rPr>
              <w:t>270</w:t>
            </w:r>
          </w:hyperlink>
        </w:p>
        <w:p>
          <w:pPr>
            <w:pStyle w:val="Contents6"/>
            <w:tabs>
              <w:tab w:val="clear" w:pos="7609"/>
              <w:tab w:val="right" w:pos="9026" w:leader="dot"/>
            </w:tabs>
            <w:rPr/>
          </w:pPr>
          <w:hyperlink w:anchor="__RefHeading___Toc474397_1479056682">
            <w:r>
              <w:rPr>
                <w:webHidden/>
                <w:rStyle w:val="IndexLink"/>
                <w:rtl w:val="true"/>
              </w:rPr>
              <w:t>اشاره</w:t>
            </w:r>
            <w:r>
              <w:rPr>
                <w:rStyle w:val="IndexLink"/>
                <w:rtl w:val="true"/>
              </w:rPr>
              <w:tab/>
            </w:r>
            <w:r>
              <w:rPr>
                <w:rStyle w:val="IndexLink"/>
              </w:rPr>
              <w:t>270</w:t>
            </w:r>
          </w:hyperlink>
        </w:p>
        <w:p>
          <w:pPr>
            <w:pStyle w:val="Contents6"/>
            <w:tabs>
              <w:tab w:val="clear" w:pos="7609"/>
              <w:tab w:val="right" w:pos="9026" w:leader="dot"/>
            </w:tabs>
            <w:rPr/>
          </w:pPr>
          <w:hyperlink w:anchor="__RefHeading___Toc474399_1479056682">
            <w:r>
              <w:rPr>
                <w:webHidden/>
                <w:rStyle w:val="IndexLink"/>
                <w:rtl w:val="true"/>
              </w:rPr>
              <w:t>دیدگاه دیگر مذاهب</w:t>
            </w:r>
            <w:r>
              <w:rPr>
                <w:rStyle w:val="IndexLink"/>
                <w:rtl w:val="true"/>
              </w:rPr>
              <w:tab/>
            </w:r>
            <w:r>
              <w:rPr>
                <w:rStyle w:val="IndexLink"/>
              </w:rPr>
              <w:t>272</w:t>
            </w:r>
          </w:hyperlink>
        </w:p>
        <w:p>
          <w:pPr>
            <w:pStyle w:val="Contents4"/>
            <w:tabs>
              <w:tab w:val="clear" w:pos="8176"/>
              <w:tab w:val="right" w:pos="9026" w:leader="dot"/>
            </w:tabs>
            <w:rPr/>
          </w:pPr>
          <w:hyperlink w:anchor="__RefHeading___Toc474401_1479056682">
            <w:r>
              <w:rPr>
                <w:webHidden/>
                <w:rStyle w:val="IndexLink"/>
                <w:rtl w:val="true"/>
              </w:rPr>
              <w:t>مبحث چهارم</w:t>
            </w:r>
            <w:r>
              <w:rPr>
                <w:rStyle w:val="IndexLink"/>
                <w:rtl w:val="true"/>
              </w:rPr>
              <w:t xml:space="preserve">: </w:t>
            </w:r>
            <w:r>
              <w:rPr>
                <w:rStyle w:val="IndexLink"/>
                <w:rtl w:val="true"/>
              </w:rPr>
              <w:t>تولیت و نظارت بر وقف</w:t>
            </w:r>
            <w:r>
              <w:rPr>
                <w:rStyle w:val="IndexLink"/>
                <w:rtl w:val="true"/>
              </w:rPr>
              <w:tab/>
            </w:r>
            <w:r>
              <w:rPr>
                <w:rStyle w:val="IndexLink"/>
              </w:rPr>
              <w:t>273</w:t>
            </w:r>
          </w:hyperlink>
        </w:p>
        <w:p>
          <w:pPr>
            <w:pStyle w:val="Contents5"/>
            <w:tabs>
              <w:tab w:val="clear" w:pos="7892"/>
              <w:tab w:val="right" w:pos="9026" w:leader="dot"/>
            </w:tabs>
            <w:rPr/>
          </w:pPr>
          <w:hyperlink w:anchor="__RefHeading___Toc474403_1479056682">
            <w:r>
              <w:rPr>
                <w:webHidden/>
                <w:rStyle w:val="IndexLink"/>
                <w:rtl w:val="true"/>
              </w:rPr>
              <w:t xml:space="preserve">گفتار </w:t>
            </w:r>
            <w:r>
              <w:rPr>
                <w:rStyle w:val="IndexLink"/>
              </w:rPr>
              <w:t>1</w:t>
            </w:r>
            <w:r>
              <w:rPr>
                <w:rStyle w:val="IndexLink"/>
                <w:rtl w:val="true"/>
              </w:rPr>
              <w:t xml:space="preserve">- </w:t>
            </w:r>
            <w:r>
              <w:rPr>
                <w:rStyle w:val="IndexLink"/>
                <w:rtl w:val="true"/>
              </w:rPr>
              <w:t xml:space="preserve">معنای تولیت </w:t>
            </w:r>
            <w:r>
              <w:rPr>
                <w:rStyle w:val="IndexLink"/>
                <w:rtl w:val="true"/>
              </w:rPr>
              <w:t>(</w:t>
            </w:r>
            <w:r>
              <w:rPr>
                <w:rStyle w:val="IndexLink"/>
                <w:rtl w:val="true"/>
              </w:rPr>
              <w:t>ولایت</w:t>
            </w:r>
            <w:r>
              <w:rPr>
                <w:rStyle w:val="IndexLink"/>
                <w:rtl w:val="true"/>
              </w:rPr>
              <w:t xml:space="preserve">) </w:t>
            </w:r>
            <w:r>
              <w:rPr>
                <w:rStyle w:val="IndexLink"/>
                <w:rtl w:val="true"/>
              </w:rPr>
              <w:t>و نظارت بر وقف</w:t>
            </w:r>
            <w:r>
              <w:rPr>
                <w:rStyle w:val="IndexLink"/>
                <w:rtl w:val="true"/>
              </w:rPr>
              <w:tab/>
            </w:r>
            <w:r>
              <w:rPr>
                <w:rStyle w:val="IndexLink"/>
              </w:rPr>
              <w:t>273</w:t>
            </w:r>
          </w:hyperlink>
        </w:p>
        <w:p>
          <w:pPr>
            <w:pStyle w:val="Contents6"/>
            <w:tabs>
              <w:tab w:val="clear" w:pos="7609"/>
              <w:tab w:val="right" w:pos="9026" w:leader="dot"/>
            </w:tabs>
            <w:rPr/>
          </w:pPr>
          <w:hyperlink w:anchor="__RefHeading___Toc474405_1479056682">
            <w:r>
              <w:rPr>
                <w:webHidden/>
                <w:rStyle w:val="IndexLink"/>
                <w:rtl w:val="true"/>
              </w:rPr>
              <w:t>اشاره</w:t>
            </w:r>
            <w:r>
              <w:rPr>
                <w:rStyle w:val="IndexLink"/>
                <w:rtl w:val="true"/>
              </w:rPr>
              <w:tab/>
            </w:r>
            <w:r>
              <w:rPr>
                <w:rStyle w:val="IndexLink"/>
              </w:rPr>
              <w:t>273</w:t>
            </w:r>
          </w:hyperlink>
        </w:p>
        <w:p>
          <w:pPr>
            <w:pStyle w:val="Contents6"/>
            <w:tabs>
              <w:tab w:val="clear" w:pos="7609"/>
              <w:tab w:val="right" w:pos="9026" w:leader="dot"/>
            </w:tabs>
            <w:rPr/>
          </w:pPr>
          <w:hyperlink w:anchor="__RefHeading___Toc474407_1479056682">
            <w:r>
              <w:rPr>
                <w:webHidden/>
                <w:rStyle w:val="IndexLink"/>
                <w:rtl w:val="true"/>
              </w:rPr>
              <w:t>نظارت در لغت</w:t>
            </w:r>
            <w:r>
              <w:rPr>
                <w:rStyle w:val="IndexLink"/>
                <w:rtl w:val="true"/>
              </w:rPr>
              <w:tab/>
            </w:r>
            <w:r>
              <w:rPr>
                <w:rStyle w:val="IndexLink"/>
              </w:rPr>
              <w:t>274</w:t>
            </w:r>
          </w:hyperlink>
        </w:p>
        <w:p>
          <w:pPr>
            <w:pStyle w:val="Contents6"/>
            <w:tabs>
              <w:tab w:val="clear" w:pos="7609"/>
              <w:tab w:val="right" w:pos="9026" w:leader="dot"/>
            </w:tabs>
            <w:rPr/>
          </w:pPr>
          <w:hyperlink w:anchor="__RefHeading___Toc474409_1479056682">
            <w:r>
              <w:rPr>
                <w:webHidden/>
                <w:rStyle w:val="IndexLink"/>
                <w:rtl w:val="true"/>
              </w:rPr>
              <w:t>نظارت در اصطلاح</w:t>
            </w:r>
            <w:r>
              <w:rPr>
                <w:rStyle w:val="IndexLink"/>
                <w:rtl w:val="true"/>
              </w:rPr>
              <w:tab/>
            </w:r>
            <w:r>
              <w:rPr>
                <w:rStyle w:val="IndexLink"/>
              </w:rPr>
              <w:t>274</w:t>
            </w:r>
          </w:hyperlink>
        </w:p>
        <w:p>
          <w:pPr>
            <w:pStyle w:val="Contents5"/>
            <w:tabs>
              <w:tab w:val="clear" w:pos="7892"/>
              <w:tab w:val="right" w:pos="9026" w:leader="dot"/>
            </w:tabs>
            <w:rPr/>
          </w:pPr>
          <w:hyperlink w:anchor="__RefHeading___Toc474411_1479056682">
            <w:r>
              <w:rPr>
                <w:webHidden/>
                <w:rStyle w:val="IndexLink"/>
                <w:rtl w:val="true"/>
              </w:rPr>
              <w:t xml:space="preserve">گفتار </w:t>
            </w:r>
            <w:r>
              <w:rPr>
                <w:rStyle w:val="IndexLink"/>
              </w:rPr>
              <w:t>2</w:t>
            </w:r>
            <w:r>
              <w:rPr>
                <w:rStyle w:val="IndexLink"/>
                <w:rtl w:val="true"/>
              </w:rPr>
              <w:t xml:space="preserve">- </w:t>
            </w:r>
            <w:r>
              <w:rPr>
                <w:rStyle w:val="IndexLink"/>
                <w:rtl w:val="true"/>
              </w:rPr>
              <w:t>اقسام ولایت</w:t>
            </w:r>
            <w:r>
              <w:rPr>
                <w:rStyle w:val="IndexLink"/>
                <w:rtl w:val="true"/>
              </w:rPr>
              <w:tab/>
            </w:r>
            <w:r>
              <w:rPr>
                <w:rStyle w:val="IndexLink"/>
              </w:rPr>
              <w:t>274</w:t>
            </w:r>
          </w:hyperlink>
        </w:p>
        <w:p>
          <w:pPr>
            <w:pStyle w:val="Contents6"/>
            <w:tabs>
              <w:tab w:val="clear" w:pos="7609"/>
              <w:tab w:val="right" w:pos="9026" w:leader="dot"/>
            </w:tabs>
            <w:rPr/>
          </w:pPr>
          <w:hyperlink w:anchor="__RefHeading___Toc474413_1479056682">
            <w:r>
              <w:rPr>
                <w:webHidden/>
                <w:rStyle w:val="IndexLink"/>
                <w:rtl w:val="true"/>
              </w:rPr>
              <w:t>اشاره</w:t>
            </w:r>
            <w:r>
              <w:rPr>
                <w:rStyle w:val="IndexLink"/>
                <w:rtl w:val="true"/>
              </w:rPr>
              <w:tab/>
            </w:r>
            <w:r>
              <w:rPr>
                <w:rStyle w:val="IndexLink"/>
              </w:rPr>
              <w:t>274</w:t>
            </w:r>
          </w:hyperlink>
        </w:p>
        <w:p>
          <w:pPr>
            <w:pStyle w:val="Contents6"/>
            <w:tabs>
              <w:tab w:val="clear" w:pos="7609"/>
              <w:tab w:val="right" w:pos="9026" w:leader="dot"/>
            </w:tabs>
            <w:rPr/>
          </w:pPr>
          <w:hyperlink w:anchor="__RefHeading___Toc474415_1479056682">
            <w:r>
              <w:rPr>
                <w:webHidden/>
                <w:rStyle w:val="IndexLink"/>
                <w:rtl w:val="true"/>
              </w:rPr>
              <w:t xml:space="preserve">ولایت واقف و </w:t>
            </w:r>
            <w:r>
              <w:rPr>
                <w:rStyle w:val="IndexLink"/>
                <w:rtl w:val="true"/>
              </w:rPr>
              <w:t>...</w:t>
              <w:tab/>
            </w:r>
            <w:r>
              <w:rPr>
                <w:rStyle w:val="IndexLink"/>
              </w:rPr>
              <w:t>275</w:t>
            </w:r>
          </w:hyperlink>
        </w:p>
        <w:p>
          <w:pPr>
            <w:pStyle w:val="Contents6"/>
            <w:tabs>
              <w:tab w:val="clear" w:pos="7609"/>
              <w:tab w:val="right" w:pos="9026" w:leader="dot"/>
            </w:tabs>
            <w:rPr/>
          </w:pPr>
          <w:hyperlink w:anchor="__RefHeading___Toc474417_1479056682">
            <w:r>
              <w:rPr>
                <w:webHidden/>
                <w:rStyle w:val="IndexLink"/>
                <w:rtl w:val="true"/>
              </w:rPr>
              <w:t>دیدگاه امامیّه</w:t>
            </w:r>
            <w:r>
              <w:rPr>
                <w:rStyle w:val="IndexLink"/>
                <w:rtl w:val="true"/>
              </w:rPr>
              <w:tab/>
            </w:r>
            <w:r>
              <w:rPr>
                <w:rStyle w:val="IndexLink"/>
              </w:rPr>
              <w:t>275</w:t>
            </w:r>
          </w:hyperlink>
        </w:p>
        <w:p>
          <w:pPr>
            <w:pStyle w:val="Contents6"/>
            <w:tabs>
              <w:tab w:val="clear" w:pos="7609"/>
              <w:tab w:val="right" w:pos="9026" w:leader="dot"/>
            </w:tabs>
            <w:rPr/>
          </w:pPr>
          <w:hyperlink w:anchor="__RefHeading___Toc474419_1479056682">
            <w:r>
              <w:rPr>
                <w:webHidden/>
                <w:rStyle w:val="IndexLink"/>
                <w:rtl w:val="true"/>
              </w:rPr>
              <w:t>اشاره</w:t>
            </w:r>
            <w:r>
              <w:rPr>
                <w:rStyle w:val="IndexLink"/>
                <w:rtl w:val="true"/>
              </w:rPr>
              <w:tab/>
            </w:r>
            <w:r>
              <w:rPr>
                <w:rStyle w:val="IndexLink"/>
              </w:rPr>
              <w:t>275</w:t>
            </w:r>
          </w:hyperlink>
        </w:p>
        <w:p>
          <w:pPr>
            <w:pStyle w:val="Contents6"/>
            <w:tabs>
              <w:tab w:val="clear" w:pos="7609"/>
              <w:tab w:val="right" w:pos="9026" w:leader="dot"/>
            </w:tabs>
            <w:rPr/>
          </w:pPr>
          <w:hyperlink w:anchor="__RefHeading___Toc474421_1479056682">
            <w:r>
              <w:rPr>
                <w:webHidden/>
                <w:rStyle w:val="IndexLink"/>
              </w:rPr>
              <w:t>1</w:t>
            </w:r>
            <w:r>
              <w:rPr>
                <w:rStyle w:val="IndexLink"/>
                <w:rtl w:val="true"/>
              </w:rPr>
              <w:t xml:space="preserve">- </w:t>
            </w:r>
            <w:r>
              <w:rPr>
                <w:rStyle w:val="IndexLink"/>
                <w:rtl w:val="true"/>
              </w:rPr>
              <w:t>جعل ولایت از سوی واقف برای خودش</w:t>
            </w:r>
            <w:r>
              <w:rPr>
                <w:rStyle w:val="IndexLink"/>
                <w:rtl w:val="true"/>
              </w:rPr>
              <w:tab/>
            </w:r>
            <w:r>
              <w:rPr>
                <w:rStyle w:val="IndexLink"/>
              </w:rPr>
              <w:t>276</w:t>
            </w:r>
          </w:hyperlink>
        </w:p>
        <w:p>
          <w:pPr>
            <w:pStyle w:val="Contents6"/>
            <w:tabs>
              <w:tab w:val="clear" w:pos="7609"/>
              <w:tab w:val="right" w:pos="9026" w:leader="dot"/>
            </w:tabs>
            <w:rPr/>
          </w:pPr>
          <w:hyperlink w:anchor="__RefHeading___Toc474423_1479056682">
            <w:r>
              <w:rPr>
                <w:webHidden/>
                <w:rStyle w:val="IndexLink"/>
              </w:rPr>
              <w:t>2</w:t>
            </w:r>
            <w:r>
              <w:rPr>
                <w:rStyle w:val="IndexLink"/>
                <w:rtl w:val="true"/>
              </w:rPr>
              <w:t xml:space="preserve">- </w:t>
            </w:r>
            <w:r>
              <w:rPr>
                <w:rStyle w:val="IndexLink"/>
                <w:rtl w:val="true"/>
              </w:rPr>
              <w:t>جعل ولایت از سوی واقف برای دیگری</w:t>
            </w:r>
            <w:r>
              <w:rPr>
                <w:rStyle w:val="IndexLink"/>
                <w:rtl w:val="true"/>
              </w:rPr>
              <w:tab/>
            </w:r>
            <w:r>
              <w:rPr>
                <w:rStyle w:val="IndexLink"/>
              </w:rPr>
              <w:t>277</w:t>
            </w:r>
          </w:hyperlink>
        </w:p>
        <w:p>
          <w:pPr>
            <w:pStyle w:val="Contents6"/>
            <w:tabs>
              <w:tab w:val="clear" w:pos="7609"/>
              <w:tab w:val="right" w:pos="9026" w:leader="dot"/>
            </w:tabs>
            <w:rPr/>
          </w:pPr>
          <w:hyperlink w:anchor="__RefHeading___Toc474425_1479056682">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474427_1479056682">
            <w:r>
              <w:rPr>
                <w:webHidden/>
                <w:rStyle w:val="IndexLink"/>
                <w:rtl w:val="true"/>
              </w:rPr>
              <w:t>چندنکته</w:t>
            </w:r>
            <w:r>
              <w:rPr>
                <w:rStyle w:val="IndexLink"/>
                <w:rtl w:val="true"/>
              </w:rPr>
              <w:tab/>
            </w:r>
            <w:r>
              <w:rPr>
                <w:rStyle w:val="IndexLink"/>
              </w:rPr>
              <w:t>278</w:t>
            </w:r>
          </w:hyperlink>
        </w:p>
        <w:p>
          <w:pPr>
            <w:pStyle w:val="Contents6"/>
            <w:tabs>
              <w:tab w:val="clear" w:pos="7609"/>
              <w:tab w:val="right" w:pos="9026" w:leader="dot"/>
            </w:tabs>
            <w:rPr/>
          </w:pPr>
          <w:hyperlink w:anchor="__RefHeading___Toc474429_1479056682">
            <w:r>
              <w:rPr>
                <w:webHidden/>
                <w:rStyle w:val="IndexLink"/>
              </w:rPr>
              <w:t>3</w:t>
            </w:r>
            <w:r>
              <w:rPr>
                <w:rStyle w:val="IndexLink"/>
                <w:rtl w:val="true"/>
              </w:rPr>
              <w:t xml:space="preserve">- </w:t>
            </w:r>
            <w:r>
              <w:rPr>
                <w:rStyle w:val="IndexLink"/>
                <w:rtl w:val="true"/>
              </w:rPr>
              <w:t>تولیت و نظارت در صورت عدم تعیین</w:t>
            </w:r>
            <w:r>
              <w:rPr>
                <w:rStyle w:val="IndexLink"/>
                <w:rtl w:val="true"/>
              </w:rPr>
              <w:tab/>
            </w:r>
            <w:r>
              <w:rPr>
                <w:rStyle w:val="IndexLink"/>
              </w:rPr>
              <w:t>279</w:t>
            </w:r>
          </w:hyperlink>
        </w:p>
        <w:p>
          <w:pPr>
            <w:pStyle w:val="Contents6"/>
            <w:tabs>
              <w:tab w:val="clear" w:pos="7609"/>
              <w:tab w:val="right" w:pos="9026" w:leader="dot"/>
            </w:tabs>
            <w:rPr/>
          </w:pPr>
          <w:hyperlink w:anchor="__RefHeading___Toc474431_1479056682">
            <w:r>
              <w:rPr>
                <w:webHidden/>
                <w:rStyle w:val="IndexLink"/>
                <w:rtl w:val="true"/>
              </w:rPr>
              <w:t>چند نکته</w:t>
            </w:r>
            <w:r>
              <w:rPr>
                <w:rStyle w:val="IndexLink"/>
                <w:rtl w:val="true"/>
              </w:rPr>
              <w:tab/>
            </w:r>
            <w:r>
              <w:rPr>
                <w:rStyle w:val="IndexLink"/>
              </w:rPr>
              <w:t>280</w:t>
            </w:r>
          </w:hyperlink>
        </w:p>
        <w:p>
          <w:pPr>
            <w:pStyle w:val="Contents6"/>
            <w:tabs>
              <w:tab w:val="clear" w:pos="7609"/>
              <w:tab w:val="right" w:pos="9026" w:leader="dot"/>
            </w:tabs>
            <w:rPr/>
          </w:pPr>
          <w:hyperlink w:anchor="__RefHeading___Toc474433_1479056682">
            <w:r>
              <w:rPr>
                <w:webHidden/>
                <w:rStyle w:val="IndexLink"/>
                <w:rtl w:val="true"/>
              </w:rPr>
              <w:t>نکته‌هایی از قانون مدنی</w:t>
            </w:r>
            <w:r>
              <w:rPr>
                <w:rStyle w:val="IndexLink"/>
                <w:rtl w:val="true"/>
              </w:rPr>
              <w:tab/>
            </w:r>
            <w:r>
              <w:rPr>
                <w:rStyle w:val="IndexLink"/>
              </w:rPr>
              <w:t>281</w:t>
            </w:r>
          </w:hyperlink>
        </w:p>
        <w:p>
          <w:pPr>
            <w:pStyle w:val="Contents6"/>
            <w:tabs>
              <w:tab w:val="clear" w:pos="7609"/>
              <w:tab w:val="right" w:pos="9026" w:leader="dot"/>
            </w:tabs>
            <w:rPr/>
          </w:pPr>
          <w:hyperlink w:anchor="__RefHeading___Toc474435_1479056682">
            <w:r>
              <w:rPr>
                <w:webHidden/>
                <w:rStyle w:val="IndexLink"/>
                <w:rtl w:val="true"/>
              </w:rPr>
              <w:t>دیدگاه دیگر مذاهب</w:t>
            </w:r>
            <w:r>
              <w:rPr>
                <w:rStyle w:val="IndexLink"/>
                <w:rtl w:val="true"/>
              </w:rPr>
              <w:tab/>
            </w:r>
            <w:r>
              <w:rPr>
                <w:rStyle w:val="IndexLink"/>
              </w:rPr>
              <w:t>282</w:t>
            </w:r>
          </w:hyperlink>
        </w:p>
        <w:p>
          <w:pPr>
            <w:pStyle w:val="Contents5"/>
            <w:tabs>
              <w:tab w:val="clear" w:pos="7892"/>
              <w:tab w:val="right" w:pos="9026" w:leader="dot"/>
            </w:tabs>
            <w:rPr/>
          </w:pPr>
          <w:hyperlink w:anchor="__RefHeading___Toc474437_1479056682">
            <w:r>
              <w:rPr>
                <w:webHidden/>
                <w:rStyle w:val="IndexLink"/>
                <w:rtl w:val="true"/>
              </w:rPr>
              <w:t xml:space="preserve">گفتار </w:t>
            </w:r>
            <w:r>
              <w:rPr>
                <w:rStyle w:val="IndexLink"/>
              </w:rPr>
              <w:t>3</w:t>
            </w:r>
            <w:r>
              <w:rPr>
                <w:rStyle w:val="IndexLink"/>
                <w:rtl w:val="true"/>
              </w:rPr>
              <w:t xml:space="preserve">- </w:t>
            </w:r>
            <w:r>
              <w:rPr>
                <w:rStyle w:val="IndexLink"/>
                <w:rtl w:val="true"/>
              </w:rPr>
              <w:t>شرایط متولّی</w:t>
            </w:r>
            <w:r>
              <w:rPr>
                <w:rStyle w:val="IndexLink"/>
                <w:rtl w:val="true"/>
              </w:rPr>
              <w:tab/>
            </w:r>
            <w:r>
              <w:rPr>
                <w:rStyle w:val="IndexLink"/>
              </w:rPr>
              <w:t>285</w:t>
            </w:r>
          </w:hyperlink>
        </w:p>
        <w:p>
          <w:pPr>
            <w:pStyle w:val="Contents6"/>
            <w:tabs>
              <w:tab w:val="clear" w:pos="7609"/>
              <w:tab w:val="right" w:pos="9026" w:leader="dot"/>
            </w:tabs>
            <w:rPr/>
          </w:pPr>
          <w:hyperlink w:anchor="__RefHeading___Toc474439_1479056682">
            <w:r>
              <w:rPr>
                <w:webHidden/>
                <w:rStyle w:val="IndexLink"/>
                <w:rtl w:val="true"/>
              </w:rPr>
              <w:t>دیدگاه امامیّه</w:t>
            </w:r>
            <w:r>
              <w:rPr>
                <w:rStyle w:val="IndexLink"/>
                <w:rtl w:val="true"/>
              </w:rPr>
              <w:tab/>
            </w:r>
            <w:r>
              <w:rPr>
                <w:rStyle w:val="IndexLink"/>
              </w:rPr>
              <w:t>285</w:t>
            </w:r>
          </w:hyperlink>
        </w:p>
        <w:p>
          <w:pPr>
            <w:pStyle w:val="Contents6"/>
            <w:tabs>
              <w:tab w:val="clear" w:pos="7609"/>
              <w:tab w:val="right" w:pos="9026" w:leader="dot"/>
            </w:tabs>
            <w:rPr/>
          </w:pPr>
          <w:hyperlink w:anchor="__RefHeading___Toc474441_1479056682">
            <w:r>
              <w:rPr>
                <w:webHidden/>
                <w:rStyle w:val="IndexLink"/>
                <w:rtl w:val="true"/>
              </w:rPr>
              <w:t>دیدگاه دیگر مذاهب</w:t>
            </w:r>
            <w:r>
              <w:rPr>
                <w:rStyle w:val="IndexLink"/>
                <w:rtl w:val="true"/>
              </w:rPr>
              <w:tab/>
            </w:r>
            <w:r>
              <w:rPr>
                <w:rStyle w:val="IndexLink"/>
              </w:rPr>
              <w:t>288</w:t>
            </w:r>
          </w:hyperlink>
        </w:p>
        <w:p>
          <w:pPr>
            <w:pStyle w:val="Contents5"/>
            <w:tabs>
              <w:tab w:val="clear" w:pos="7892"/>
              <w:tab w:val="right" w:pos="9026" w:leader="dot"/>
            </w:tabs>
            <w:rPr/>
          </w:pPr>
          <w:hyperlink w:anchor="__RefHeading___Toc474443_1479056682">
            <w:r>
              <w:rPr>
                <w:webHidden/>
                <w:rStyle w:val="IndexLink"/>
                <w:rtl w:val="true"/>
              </w:rPr>
              <w:t xml:space="preserve">گفتار </w:t>
            </w:r>
            <w:r>
              <w:rPr>
                <w:rStyle w:val="IndexLink"/>
              </w:rPr>
              <w:t>4</w:t>
            </w:r>
            <w:r>
              <w:rPr>
                <w:rStyle w:val="IndexLink"/>
                <w:rtl w:val="true"/>
              </w:rPr>
              <w:t xml:space="preserve">- </w:t>
            </w:r>
            <w:r>
              <w:rPr>
                <w:rStyle w:val="IndexLink"/>
                <w:rtl w:val="true"/>
              </w:rPr>
              <w:t>عزل متولّی در صورت سلب صلاحیت و</w:t>
            </w:r>
            <w:r>
              <w:rPr>
                <w:rStyle w:val="IndexLink"/>
                <w:rtl w:val="true"/>
              </w:rPr>
              <w:t>...</w:t>
              <w:tab/>
            </w:r>
            <w:r>
              <w:rPr>
                <w:rStyle w:val="IndexLink"/>
              </w:rPr>
              <w:t>289</w:t>
            </w:r>
          </w:hyperlink>
        </w:p>
        <w:p>
          <w:pPr>
            <w:pStyle w:val="Contents6"/>
            <w:tabs>
              <w:tab w:val="clear" w:pos="7609"/>
              <w:tab w:val="right" w:pos="9026" w:leader="dot"/>
            </w:tabs>
            <w:rPr/>
          </w:pPr>
          <w:hyperlink w:anchor="__RefHeading___Toc474445_1479056682">
            <w:r>
              <w:rPr>
                <w:webHidden/>
                <w:rStyle w:val="IndexLink"/>
                <w:rtl w:val="true"/>
              </w:rPr>
              <w:t>اشاره</w:t>
            </w:r>
            <w:r>
              <w:rPr>
                <w:rStyle w:val="IndexLink"/>
                <w:rtl w:val="true"/>
              </w:rPr>
              <w:tab/>
            </w:r>
            <w:r>
              <w:rPr>
                <w:rStyle w:val="IndexLink"/>
              </w:rPr>
              <w:t>289</w:t>
            </w:r>
          </w:hyperlink>
        </w:p>
        <w:p>
          <w:pPr>
            <w:pStyle w:val="Contents6"/>
            <w:tabs>
              <w:tab w:val="clear" w:pos="7609"/>
              <w:tab w:val="right" w:pos="9026" w:leader="dot"/>
            </w:tabs>
            <w:rPr/>
          </w:pPr>
          <w:hyperlink w:anchor="__RefHeading___Toc474447_1479056682">
            <w:r>
              <w:rPr>
                <w:webHidden/>
                <w:rStyle w:val="IndexLink"/>
                <w:rtl w:val="true"/>
              </w:rPr>
              <w:t>دیدگاه دیگر مذاهب</w:t>
            </w:r>
            <w:r>
              <w:rPr>
                <w:rStyle w:val="IndexLink"/>
                <w:rtl w:val="true"/>
              </w:rPr>
              <w:tab/>
            </w:r>
            <w:r>
              <w:rPr>
                <w:rStyle w:val="IndexLink"/>
              </w:rPr>
              <w:t>292</w:t>
            </w:r>
          </w:hyperlink>
        </w:p>
        <w:p>
          <w:pPr>
            <w:pStyle w:val="Contents5"/>
            <w:tabs>
              <w:tab w:val="clear" w:pos="7892"/>
              <w:tab w:val="right" w:pos="9026" w:leader="dot"/>
            </w:tabs>
            <w:rPr/>
          </w:pPr>
          <w:hyperlink w:anchor="__RefHeading___Toc474449_1479056682">
            <w:r>
              <w:rPr>
                <w:webHidden/>
                <w:rStyle w:val="IndexLink"/>
                <w:rtl w:val="true"/>
              </w:rPr>
              <w:t xml:space="preserve">گفتار </w:t>
            </w:r>
            <w:r>
              <w:rPr>
                <w:rStyle w:val="IndexLink"/>
              </w:rPr>
              <w:t>5</w:t>
            </w:r>
            <w:r>
              <w:rPr>
                <w:rStyle w:val="IndexLink"/>
                <w:rtl w:val="true"/>
              </w:rPr>
              <w:t xml:space="preserve">- </w:t>
            </w:r>
            <w:r>
              <w:rPr>
                <w:rStyle w:val="IndexLink"/>
                <w:rtl w:val="true"/>
              </w:rPr>
              <w:t xml:space="preserve">ولایت برای تعیین و گزینش نگهبانان و کارگران و </w:t>
            </w:r>
            <w:r>
              <w:rPr>
                <w:rStyle w:val="IndexLink"/>
                <w:rtl w:val="true"/>
              </w:rPr>
              <w:t>...</w:t>
              <w:tab/>
            </w:r>
            <w:r>
              <w:rPr>
                <w:rStyle w:val="IndexLink"/>
              </w:rPr>
              <w:t>293</w:t>
            </w:r>
          </w:hyperlink>
        </w:p>
        <w:p>
          <w:pPr>
            <w:pStyle w:val="Contents5"/>
            <w:tabs>
              <w:tab w:val="clear" w:pos="7892"/>
              <w:tab w:val="right" w:pos="9026" w:leader="dot"/>
            </w:tabs>
            <w:rPr/>
          </w:pPr>
          <w:hyperlink w:anchor="__RefHeading___Toc474451_1479056682">
            <w:r>
              <w:rPr>
                <w:webHidden/>
                <w:rStyle w:val="IndexLink"/>
                <w:rtl w:val="true"/>
              </w:rPr>
              <w:t xml:space="preserve">گفتار </w:t>
            </w:r>
            <w:r>
              <w:rPr>
                <w:rStyle w:val="IndexLink"/>
              </w:rPr>
              <w:t>6</w:t>
            </w:r>
            <w:r>
              <w:rPr>
                <w:rStyle w:val="IndexLink"/>
                <w:rtl w:val="true"/>
              </w:rPr>
              <w:t xml:space="preserve">- </w:t>
            </w:r>
            <w:r>
              <w:rPr>
                <w:rStyle w:val="IndexLink"/>
                <w:rtl w:val="true"/>
              </w:rPr>
              <w:t>نظارت بر متولّی</w:t>
            </w:r>
            <w:r>
              <w:rPr>
                <w:rStyle w:val="IndexLink"/>
                <w:rtl w:val="true"/>
              </w:rPr>
              <w:tab/>
            </w:r>
            <w:r>
              <w:rPr>
                <w:rStyle w:val="IndexLink"/>
              </w:rPr>
              <w:t>294</w:t>
            </w:r>
          </w:hyperlink>
        </w:p>
        <w:p>
          <w:pPr>
            <w:pStyle w:val="Contents5"/>
            <w:tabs>
              <w:tab w:val="clear" w:pos="7892"/>
              <w:tab w:val="right" w:pos="9026" w:leader="dot"/>
            </w:tabs>
            <w:rPr/>
          </w:pPr>
          <w:hyperlink w:anchor="__RefHeading___Toc474453_1479056682">
            <w:r>
              <w:rPr>
                <w:webHidden/>
                <w:rStyle w:val="IndexLink"/>
                <w:rtl w:val="true"/>
              </w:rPr>
              <w:t xml:space="preserve">گفتار </w:t>
            </w:r>
            <w:r>
              <w:rPr>
                <w:rStyle w:val="IndexLink"/>
              </w:rPr>
              <w:t>7</w:t>
            </w:r>
            <w:r>
              <w:rPr>
                <w:rStyle w:val="IndexLink"/>
                <w:rtl w:val="true"/>
              </w:rPr>
              <w:t xml:space="preserve">- </w:t>
            </w:r>
            <w:r>
              <w:rPr>
                <w:rStyle w:val="IndexLink"/>
                <w:rtl w:val="true"/>
              </w:rPr>
              <w:t>حدود وظایف و اختیارات متولّی</w:t>
            </w:r>
            <w:r>
              <w:rPr>
                <w:rStyle w:val="IndexLink"/>
                <w:rtl w:val="true"/>
              </w:rPr>
              <w:tab/>
            </w:r>
            <w:r>
              <w:rPr>
                <w:rStyle w:val="IndexLink"/>
              </w:rPr>
              <w:t>295</w:t>
            </w:r>
          </w:hyperlink>
        </w:p>
        <w:p>
          <w:pPr>
            <w:pStyle w:val="Contents6"/>
            <w:tabs>
              <w:tab w:val="clear" w:pos="7609"/>
              <w:tab w:val="right" w:pos="9026" w:leader="dot"/>
            </w:tabs>
            <w:rPr/>
          </w:pPr>
          <w:hyperlink w:anchor="__RefHeading___Toc474455_1479056682">
            <w:r>
              <w:rPr>
                <w:webHidden/>
                <w:rStyle w:val="IndexLink"/>
                <w:rtl w:val="true"/>
              </w:rPr>
              <w:t>دیدگاه امامیّه</w:t>
            </w:r>
            <w:r>
              <w:rPr>
                <w:rStyle w:val="IndexLink"/>
                <w:rtl w:val="true"/>
              </w:rPr>
              <w:tab/>
            </w:r>
            <w:r>
              <w:rPr>
                <w:rStyle w:val="IndexLink"/>
              </w:rPr>
              <w:t>295</w:t>
            </w:r>
          </w:hyperlink>
        </w:p>
        <w:p>
          <w:pPr>
            <w:pStyle w:val="Contents6"/>
            <w:tabs>
              <w:tab w:val="clear" w:pos="7609"/>
              <w:tab w:val="right" w:pos="9026" w:leader="dot"/>
            </w:tabs>
            <w:rPr/>
          </w:pPr>
          <w:hyperlink w:anchor="__RefHeading___Toc474457_1479056682">
            <w:r>
              <w:rPr>
                <w:webHidden/>
                <w:rStyle w:val="IndexLink"/>
                <w:rtl w:val="true"/>
              </w:rPr>
              <w:t>تفویض و توکیل در تولیت</w:t>
            </w:r>
            <w:r>
              <w:rPr>
                <w:rStyle w:val="IndexLink"/>
                <w:rtl w:val="true"/>
              </w:rPr>
              <w:tab/>
            </w:r>
            <w:r>
              <w:rPr>
                <w:rStyle w:val="IndexLink"/>
              </w:rPr>
              <w:t>296</w:t>
            </w:r>
          </w:hyperlink>
        </w:p>
        <w:p>
          <w:pPr>
            <w:pStyle w:val="Contents6"/>
            <w:tabs>
              <w:tab w:val="clear" w:pos="7609"/>
              <w:tab w:val="right" w:pos="9026" w:leader="dot"/>
            </w:tabs>
            <w:rPr/>
          </w:pPr>
          <w:hyperlink w:anchor="__RefHeading___Toc474459_1479056682">
            <w:r>
              <w:rPr>
                <w:webHidden/>
                <w:rStyle w:val="IndexLink"/>
                <w:rtl w:val="true"/>
              </w:rPr>
              <w:t>اجاره مال موقوف توسّط متولّی</w:t>
            </w:r>
            <w:r>
              <w:rPr>
                <w:rStyle w:val="IndexLink"/>
                <w:rtl w:val="true"/>
              </w:rPr>
              <w:tab/>
            </w:r>
            <w:r>
              <w:rPr>
                <w:rStyle w:val="IndexLink"/>
              </w:rPr>
              <w:t>296</w:t>
            </w:r>
          </w:hyperlink>
        </w:p>
        <w:p>
          <w:pPr>
            <w:pStyle w:val="Contents6"/>
            <w:tabs>
              <w:tab w:val="clear" w:pos="7609"/>
              <w:tab w:val="right" w:pos="9026" w:leader="dot"/>
            </w:tabs>
            <w:rPr/>
          </w:pPr>
          <w:hyperlink w:anchor="__RefHeading___Toc474461_1479056682">
            <w:r>
              <w:rPr>
                <w:webHidden/>
                <w:rStyle w:val="IndexLink"/>
                <w:rtl w:val="true"/>
              </w:rPr>
              <w:t>دیدگاه دیگر مذاهب</w:t>
            </w:r>
            <w:r>
              <w:rPr>
                <w:rStyle w:val="IndexLink"/>
                <w:rtl w:val="true"/>
              </w:rPr>
              <w:tab/>
            </w:r>
            <w:r>
              <w:rPr>
                <w:rStyle w:val="IndexLink"/>
              </w:rPr>
              <w:t>297</w:t>
            </w:r>
          </w:hyperlink>
        </w:p>
        <w:p>
          <w:pPr>
            <w:pStyle w:val="Contents5"/>
            <w:tabs>
              <w:tab w:val="clear" w:pos="7892"/>
              <w:tab w:val="right" w:pos="9026" w:leader="dot"/>
            </w:tabs>
            <w:rPr/>
          </w:pPr>
          <w:hyperlink w:anchor="__RefHeading___Toc474463_1479056682">
            <w:r>
              <w:rPr>
                <w:webHidden/>
                <w:rStyle w:val="IndexLink"/>
                <w:rtl w:val="true"/>
              </w:rPr>
              <w:t xml:space="preserve">گفتار </w:t>
            </w:r>
            <w:r>
              <w:rPr>
                <w:rStyle w:val="IndexLink"/>
              </w:rPr>
              <w:t>8</w:t>
            </w:r>
            <w:r>
              <w:rPr>
                <w:rStyle w:val="IndexLink"/>
                <w:rtl w:val="true"/>
              </w:rPr>
              <w:t xml:space="preserve">- </w:t>
            </w:r>
            <w:r>
              <w:rPr>
                <w:rStyle w:val="IndexLink"/>
                <w:rtl w:val="true"/>
              </w:rPr>
              <w:t xml:space="preserve">اجرت متولّی </w:t>
            </w:r>
            <w:r>
              <w:rPr>
                <w:rStyle w:val="IndexLink"/>
                <w:rtl w:val="true"/>
              </w:rPr>
              <w:t>(</w:t>
            </w:r>
            <w:r>
              <w:rPr>
                <w:rStyle w:val="IndexLink"/>
                <w:rtl w:val="true"/>
              </w:rPr>
              <w:t>حق التّولیة</w:t>
            </w:r>
            <w:r>
              <w:rPr>
                <w:rStyle w:val="IndexLink"/>
                <w:rtl w:val="true"/>
              </w:rPr>
              <w:t>)</w:t>
              <w:tab/>
            </w:r>
            <w:r>
              <w:rPr>
                <w:rStyle w:val="IndexLink"/>
              </w:rPr>
              <w:t>301</w:t>
            </w:r>
          </w:hyperlink>
        </w:p>
        <w:p>
          <w:pPr>
            <w:pStyle w:val="Contents6"/>
            <w:tabs>
              <w:tab w:val="clear" w:pos="7609"/>
              <w:tab w:val="right" w:pos="9026" w:leader="dot"/>
            </w:tabs>
            <w:rPr/>
          </w:pPr>
          <w:hyperlink w:anchor="__RefHeading___Toc474465_1479056682">
            <w:r>
              <w:rPr>
                <w:webHidden/>
                <w:rStyle w:val="IndexLink"/>
                <w:rtl w:val="true"/>
              </w:rPr>
              <w:t>دیدگاه امامیّه</w:t>
            </w:r>
            <w:r>
              <w:rPr>
                <w:rStyle w:val="IndexLink"/>
                <w:rtl w:val="true"/>
              </w:rPr>
              <w:tab/>
            </w:r>
            <w:r>
              <w:rPr>
                <w:rStyle w:val="IndexLink"/>
              </w:rPr>
              <w:t>301</w:t>
            </w:r>
          </w:hyperlink>
        </w:p>
        <w:p>
          <w:pPr>
            <w:pStyle w:val="Contents6"/>
            <w:tabs>
              <w:tab w:val="clear" w:pos="7609"/>
              <w:tab w:val="right" w:pos="9026" w:leader="dot"/>
            </w:tabs>
            <w:rPr/>
          </w:pPr>
          <w:hyperlink w:anchor="__RefHeading___Toc474467_1479056682">
            <w:r>
              <w:rPr>
                <w:webHidden/>
                <w:rStyle w:val="IndexLink"/>
                <w:rtl w:val="true"/>
              </w:rPr>
              <w:t>دیدگاه دیگر مذاهب</w:t>
            </w:r>
            <w:r>
              <w:rPr>
                <w:rStyle w:val="IndexLink"/>
                <w:rtl w:val="true"/>
              </w:rPr>
              <w:tab/>
            </w:r>
            <w:r>
              <w:rPr>
                <w:rStyle w:val="IndexLink"/>
              </w:rPr>
              <w:t>302</w:t>
            </w:r>
          </w:hyperlink>
        </w:p>
        <w:p>
          <w:pPr>
            <w:pStyle w:val="Contents5"/>
            <w:tabs>
              <w:tab w:val="clear" w:pos="7892"/>
              <w:tab w:val="right" w:pos="9026" w:leader="dot"/>
            </w:tabs>
            <w:rPr/>
          </w:pPr>
          <w:hyperlink w:anchor="__RefHeading___Toc474469_1479056682">
            <w:r>
              <w:rPr>
                <w:webHidden/>
                <w:rStyle w:val="IndexLink"/>
                <w:rtl w:val="true"/>
              </w:rPr>
              <w:t xml:space="preserve">گفتار </w:t>
            </w:r>
            <w:r>
              <w:rPr>
                <w:rStyle w:val="IndexLink"/>
              </w:rPr>
              <w:t>9</w:t>
            </w:r>
            <w:r>
              <w:rPr>
                <w:rStyle w:val="IndexLink"/>
                <w:rtl w:val="true"/>
              </w:rPr>
              <w:t xml:space="preserve">- </w:t>
            </w:r>
            <w:r>
              <w:rPr>
                <w:rStyle w:val="IndexLink"/>
                <w:rtl w:val="true"/>
              </w:rPr>
              <w:t>متولّی امین است</w:t>
            </w:r>
            <w:r>
              <w:rPr>
                <w:rStyle w:val="IndexLink"/>
                <w:rtl w:val="true"/>
              </w:rPr>
              <w:tab/>
            </w:r>
            <w:r>
              <w:rPr>
                <w:rStyle w:val="IndexLink"/>
              </w:rPr>
              <w:t>305</w:t>
            </w:r>
          </w:hyperlink>
        </w:p>
        <w:p>
          <w:pPr>
            <w:pStyle w:val="Contents4"/>
            <w:tabs>
              <w:tab w:val="clear" w:pos="8176"/>
              <w:tab w:val="right" w:pos="9026" w:leader="dot"/>
            </w:tabs>
            <w:rPr/>
          </w:pPr>
          <w:hyperlink w:anchor="__RefHeading___Toc474471_1479056682">
            <w:r>
              <w:rPr>
                <w:webHidden/>
                <w:rStyle w:val="IndexLink"/>
                <w:rtl w:val="true"/>
              </w:rPr>
              <w:t>مبحث پنجم</w:t>
            </w:r>
            <w:r>
              <w:rPr>
                <w:rStyle w:val="IndexLink"/>
                <w:rtl w:val="true"/>
              </w:rPr>
              <w:t xml:space="preserve">: </w:t>
            </w:r>
            <w:r>
              <w:rPr>
                <w:rStyle w:val="IndexLink"/>
                <w:rtl w:val="true"/>
              </w:rPr>
              <w:t>بیع و استبدال وقف</w:t>
            </w:r>
            <w:r>
              <w:rPr>
                <w:rStyle w:val="IndexLink"/>
                <w:rtl w:val="true"/>
              </w:rPr>
              <w:tab/>
            </w:r>
            <w:r>
              <w:rPr>
                <w:rStyle w:val="IndexLink"/>
              </w:rPr>
              <w:t>305</w:t>
            </w:r>
          </w:hyperlink>
        </w:p>
        <w:p>
          <w:pPr>
            <w:pStyle w:val="Contents5"/>
            <w:tabs>
              <w:tab w:val="clear" w:pos="7892"/>
              <w:tab w:val="right" w:pos="9026" w:leader="dot"/>
            </w:tabs>
            <w:rPr/>
          </w:pPr>
          <w:hyperlink w:anchor="__RefHeading___Toc474473_1479056682">
            <w:r>
              <w:rPr>
                <w:webHidden/>
                <w:rStyle w:val="IndexLink"/>
                <w:rtl w:val="true"/>
              </w:rPr>
              <w:t xml:space="preserve">گفتار </w:t>
            </w:r>
            <w:r>
              <w:rPr>
                <w:rStyle w:val="IndexLink"/>
              </w:rPr>
              <w:t>1</w:t>
            </w:r>
            <w:r>
              <w:rPr>
                <w:rStyle w:val="IndexLink"/>
                <w:rtl w:val="true"/>
              </w:rPr>
              <w:t xml:space="preserve">- </w:t>
            </w:r>
            <w:r>
              <w:rPr>
                <w:rStyle w:val="IndexLink"/>
                <w:rtl w:val="true"/>
              </w:rPr>
              <w:t xml:space="preserve">ادلّه عدم جواز بیع </w:t>
            </w:r>
            <w:r>
              <w:rPr>
                <w:rStyle w:val="IndexLink"/>
                <w:rtl w:val="true"/>
              </w:rPr>
              <w:t>(</w:t>
            </w:r>
            <w:r>
              <w:rPr>
                <w:rStyle w:val="IndexLink"/>
                <w:rtl w:val="true"/>
              </w:rPr>
              <w:t>فی‌الجمله</w:t>
            </w:r>
            <w:r>
              <w:rPr>
                <w:rStyle w:val="IndexLink"/>
                <w:rtl w:val="true"/>
              </w:rPr>
              <w:t>)</w:t>
              <w:tab/>
            </w:r>
            <w:r>
              <w:rPr>
                <w:rStyle w:val="IndexLink"/>
              </w:rPr>
              <w:t>305</w:t>
            </w:r>
          </w:hyperlink>
        </w:p>
        <w:p>
          <w:pPr>
            <w:pStyle w:val="Contents5"/>
            <w:tabs>
              <w:tab w:val="clear" w:pos="7892"/>
              <w:tab w:val="right" w:pos="9026" w:leader="dot"/>
            </w:tabs>
            <w:rPr/>
          </w:pPr>
          <w:hyperlink w:anchor="__RefHeading___Toc474475_1479056682">
            <w:r>
              <w:rPr>
                <w:webHidden/>
                <w:rStyle w:val="IndexLink"/>
                <w:rtl w:val="true"/>
              </w:rPr>
              <w:t xml:space="preserve">گفتار </w:t>
            </w:r>
            <w:r>
              <w:rPr>
                <w:rStyle w:val="IndexLink"/>
              </w:rPr>
              <w:t>2</w:t>
            </w:r>
            <w:r>
              <w:rPr>
                <w:rStyle w:val="IndexLink"/>
                <w:rtl w:val="true"/>
              </w:rPr>
              <w:t xml:space="preserve">- </w:t>
            </w:r>
            <w:r>
              <w:rPr>
                <w:rStyle w:val="IndexLink"/>
                <w:rtl w:val="true"/>
              </w:rPr>
              <w:t>آیا وقف با بیع باطل می‌شود یا با جواز بیع؟</w:t>
            </w:r>
            <w:r>
              <w:rPr>
                <w:rStyle w:val="IndexLink"/>
                <w:rtl w:val="true"/>
              </w:rPr>
              <w:tab/>
            </w:r>
            <w:r>
              <w:rPr>
                <w:rStyle w:val="IndexLink"/>
              </w:rPr>
              <w:t>308</w:t>
            </w:r>
          </w:hyperlink>
        </w:p>
        <w:p>
          <w:pPr>
            <w:pStyle w:val="Contents5"/>
            <w:tabs>
              <w:tab w:val="clear" w:pos="7892"/>
              <w:tab w:val="right" w:pos="9026" w:leader="dot"/>
            </w:tabs>
            <w:rPr/>
          </w:pPr>
          <w:hyperlink w:anchor="__RefHeading___Toc474477_1479056682">
            <w:r>
              <w:rPr>
                <w:webHidden/>
                <w:rStyle w:val="IndexLink"/>
                <w:rtl w:val="true"/>
              </w:rPr>
              <w:t xml:space="preserve">گفتار </w:t>
            </w:r>
            <w:r>
              <w:rPr>
                <w:rStyle w:val="IndexLink"/>
              </w:rPr>
              <w:t>3</w:t>
            </w:r>
            <w:r>
              <w:rPr>
                <w:rStyle w:val="IndexLink"/>
                <w:rtl w:val="true"/>
              </w:rPr>
              <w:t xml:space="preserve">- </w:t>
            </w:r>
            <w:r>
              <w:rPr>
                <w:rStyle w:val="IndexLink"/>
                <w:rtl w:val="true"/>
              </w:rPr>
              <w:t>اقسام وقف و حکم بیع و استبدال آنها</w:t>
            </w:r>
            <w:r>
              <w:rPr>
                <w:rStyle w:val="IndexLink"/>
                <w:rtl w:val="true"/>
              </w:rPr>
              <w:tab/>
            </w:r>
            <w:r>
              <w:rPr>
                <w:rStyle w:val="IndexLink"/>
              </w:rPr>
              <w:t>310</w:t>
            </w:r>
          </w:hyperlink>
        </w:p>
        <w:p>
          <w:pPr>
            <w:pStyle w:val="Contents6"/>
            <w:tabs>
              <w:tab w:val="clear" w:pos="7609"/>
              <w:tab w:val="right" w:pos="9026" w:leader="dot"/>
            </w:tabs>
            <w:rPr/>
          </w:pPr>
          <w:hyperlink w:anchor="__RefHeading___Toc474479_1479056682">
            <w:r>
              <w:rPr>
                <w:webHidden/>
                <w:rStyle w:val="IndexLink"/>
                <w:rtl w:val="true"/>
              </w:rPr>
              <w:t>دیدگاه امامیّه</w:t>
            </w:r>
            <w:r>
              <w:rPr>
                <w:rStyle w:val="IndexLink"/>
                <w:rtl w:val="true"/>
              </w:rPr>
              <w:tab/>
            </w:r>
            <w:r>
              <w:rPr>
                <w:rStyle w:val="IndexLink"/>
              </w:rPr>
              <w:t>310</w:t>
            </w:r>
          </w:hyperlink>
        </w:p>
        <w:p>
          <w:pPr>
            <w:pStyle w:val="Contents5"/>
            <w:tabs>
              <w:tab w:val="clear" w:pos="7892"/>
              <w:tab w:val="right" w:pos="9026" w:leader="dot"/>
            </w:tabs>
            <w:rPr/>
          </w:pPr>
          <w:hyperlink w:anchor="__RefHeading___Toc474481_1479056682">
            <w:r>
              <w:rPr>
                <w:webHidden/>
                <w:rStyle w:val="IndexLink"/>
                <w:rtl w:val="true"/>
              </w:rPr>
              <w:t xml:space="preserve">گفتار </w:t>
            </w:r>
            <w:r>
              <w:rPr>
                <w:rStyle w:val="IndexLink"/>
              </w:rPr>
              <w:t>4</w:t>
            </w:r>
            <w:r>
              <w:rPr>
                <w:rStyle w:val="IndexLink"/>
                <w:rtl w:val="true"/>
              </w:rPr>
              <w:t xml:space="preserve">- </w:t>
            </w:r>
            <w:r>
              <w:rPr>
                <w:rStyle w:val="IndexLink"/>
                <w:rtl w:val="true"/>
              </w:rPr>
              <w:t>مساجد</w:t>
            </w:r>
            <w:r>
              <w:rPr>
                <w:rStyle w:val="IndexLink"/>
                <w:rtl w:val="true"/>
              </w:rPr>
              <w:tab/>
            </w:r>
            <w:r>
              <w:rPr>
                <w:rStyle w:val="IndexLink"/>
              </w:rPr>
              <w:t>310</w:t>
            </w:r>
          </w:hyperlink>
        </w:p>
        <w:p>
          <w:pPr>
            <w:pStyle w:val="Contents6"/>
            <w:tabs>
              <w:tab w:val="clear" w:pos="7609"/>
              <w:tab w:val="right" w:pos="9026" w:leader="dot"/>
            </w:tabs>
            <w:rPr/>
          </w:pPr>
          <w:hyperlink w:anchor="__RefHeading___Toc474483_1479056682">
            <w:r>
              <w:rPr>
                <w:webHidden/>
                <w:rStyle w:val="IndexLink"/>
                <w:rtl w:val="true"/>
              </w:rPr>
              <w:t>اشاره</w:t>
            </w:r>
            <w:r>
              <w:rPr>
                <w:rStyle w:val="IndexLink"/>
                <w:rtl w:val="true"/>
              </w:rPr>
              <w:tab/>
            </w:r>
            <w:r>
              <w:rPr>
                <w:rStyle w:val="IndexLink"/>
              </w:rPr>
              <w:t>310</w:t>
            </w:r>
          </w:hyperlink>
        </w:p>
        <w:p>
          <w:pPr>
            <w:pStyle w:val="Contents6"/>
            <w:tabs>
              <w:tab w:val="clear" w:pos="7609"/>
              <w:tab w:val="right" w:pos="9026" w:leader="dot"/>
            </w:tabs>
            <w:rPr/>
          </w:pPr>
          <w:hyperlink w:anchor="__RefHeading___Toc474485_1479056682">
            <w:r>
              <w:rPr>
                <w:webHidden/>
                <w:rStyle w:val="IndexLink"/>
                <w:rtl w:val="true"/>
              </w:rPr>
              <w:t>مقام اوّل</w:t>
            </w:r>
            <w:r>
              <w:rPr>
                <w:rStyle w:val="IndexLink"/>
                <w:rtl w:val="true"/>
              </w:rPr>
              <w:t xml:space="preserve">: </w:t>
            </w:r>
            <w:r>
              <w:rPr>
                <w:rStyle w:val="IndexLink"/>
                <w:rtl w:val="true"/>
              </w:rPr>
              <w:t>بیع و تصرّف در اصل مسجد</w:t>
            </w:r>
            <w:r>
              <w:rPr>
                <w:rStyle w:val="IndexLink"/>
                <w:rtl w:val="true"/>
              </w:rPr>
              <w:tab/>
            </w:r>
            <w:r>
              <w:rPr>
                <w:rStyle w:val="IndexLink"/>
              </w:rPr>
              <w:t>311</w:t>
            </w:r>
          </w:hyperlink>
        </w:p>
        <w:p>
          <w:pPr>
            <w:pStyle w:val="Contents6"/>
            <w:tabs>
              <w:tab w:val="clear" w:pos="7609"/>
              <w:tab w:val="right" w:pos="9026" w:leader="dot"/>
            </w:tabs>
            <w:rPr/>
          </w:pPr>
          <w:hyperlink w:anchor="__RefHeading___Toc474487_1479056682">
            <w:r>
              <w:rPr>
                <w:webHidden/>
                <w:rStyle w:val="IndexLink"/>
                <w:rtl w:val="true"/>
              </w:rPr>
              <w:t>مقام دوم</w:t>
            </w:r>
            <w:r>
              <w:rPr>
                <w:rStyle w:val="IndexLink"/>
                <w:rtl w:val="true"/>
              </w:rPr>
              <w:t xml:space="preserve">: </w:t>
            </w:r>
            <w:r>
              <w:rPr>
                <w:rStyle w:val="IndexLink"/>
                <w:rtl w:val="true"/>
              </w:rPr>
              <w:t>اموال مساجد</w:t>
            </w:r>
            <w:r>
              <w:rPr>
                <w:rStyle w:val="IndexLink"/>
                <w:rtl w:val="true"/>
              </w:rPr>
              <w:tab/>
            </w:r>
            <w:r>
              <w:rPr>
                <w:rStyle w:val="IndexLink"/>
              </w:rPr>
              <w:t>315</w:t>
            </w:r>
          </w:hyperlink>
        </w:p>
        <w:p>
          <w:pPr>
            <w:pStyle w:val="Contents6"/>
            <w:tabs>
              <w:tab w:val="clear" w:pos="7609"/>
              <w:tab w:val="right" w:pos="9026" w:leader="dot"/>
            </w:tabs>
            <w:rPr/>
          </w:pPr>
          <w:hyperlink w:anchor="__RefHeading___Toc474489_1479056682">
            <w:r>
              <w:rPr>
                <w:webHidden/>
                <w:rStyle w:val="IndexLink"/>
                <w:rtl w:val="true"/>
              </w:rPr>
              <w:t>اشاره</w:t>
            </w:r>
            <w:r>
              <w:rPr>
                <w:rStyle w:val="IndexLink"/>
                <w:rtl w:val="true"/>
              </w:rPr>
              <w:tab/>
            </w:r>
            <w:r>
              <w:rPr>
                <w:rStyle w:val="IndexLink"/>
              </w:rPr>
              <w:t>315</w:t>
            </w:r>
          </w:hyperlink>
        </w:p>
        <w:p>
          <w:pPr>
            <w:pStyle w:val="Contents6"/>
            <w:tabs>
              <w:tab w:val="clear" w:pos="7609"/>
              <w:tab w:val="right" w:pos="9026" w:leader="dot"/>
            </w:tabs>
            <w:rPr/>
          </w:pPr>
          <w:hyperlink w:anchor="__RefHeading___Toc474491_1479056682">
            <w:r>
              <w:rPr>
                <w:webHidden/>
                <w:rStyle w:val="IndexLink"/>
              </w:rPr>
              <w:t>1</w:t>
            </w:r>
            <w:r>
              <w:rPr>
                <w:rStyle w:val="IndexLink"/>
                <w:rtl w:val="true"/>
              </w:rPr>
              <w:t xml:space="preserve">- </w:t>
            </w:r>
            <w:r>
              <w:rPr>
                <w:rStyle w:val="IndexLink"/>
                <w:rtl w:val="true"/>
              </w:rPr>
              <w:t>به کار بردن و استفاده آنها در دیگر مساجد</w:t>
            </w:r>
            <w:r>
              <w:rPr>
                <w:rStyle w:val="IndexLink"/>
                <w:rtl w:val="true"/>
              </w:rPr>
              <w:tab/>
            </w:r>
            <w:r>
              <w:rPr>
                <w:rStyle w:val="IndexLink"/>
              </w:rPr>
              <w:t>315</w:t>
            </w:r>
          </w:hyperlink>
        </w:p>
        <w:p>
          <w:pPr>
            <w:pStyle w:val="Contents6"/>
            <w:tabs>
              <w:tab w:val="clear" w:pos="7609"/>
              <w:tab w:val="right" w:pos="9026" w:leader="dot"/>
            </w:tabs>
            <w:rPr/>
          </w:pPr>
          <w:hyperlink w:anchor="__RefHeading___Toc474493_1479056682">
            <w:r>
              <w:rPr>
                <w:webHidden/>
                <w:rStyle w:val="IndexLink"/>
              </w:rPr>
              <w:t>2</w:t>
            </w:r>
            <w:r>
              <w:rPr>
                <w:rStyle w:val="IndexLink"/>
                <w:rtl w:val="true"/>
              </w:rPr>
              <w:t xml:space="preserve">- </w:t>
            </w:r>
            <w:r>
              <w:rPr>
                <w:rStyle w:val="IndexLink"/>
                <w:rtl w:val="true"/>
              </w:rPr>
              <w:t>بیع اموال مسجد و</w:t>
            </w:r>
            <w:r>
              <w:rPr>
                <w:rStyle w:val="IndexLink"/>
                <w:rtl w:val="true"/>
              </w:rPr>
              <w:t>...</w:t>
              <w:tab/>
            </w:r>
            <w:r>
              <w:rPr>
                <w:rStyle w:val="IndexLink"/>
              </w:rPr>
              <w:t>316</w:t>
            </w:r>
          </w:hyperlink>
        </w:p>
        <w:p>
          <w:pPr>
            <w:pStyle w:val="Contents6"/>
            <w:tabs>
              <w:tab w:val="clear" w:pos="7609"/>
              <w:tab w:val="right" w:pos="9026" w:leader="dot"/>
            </w:tabs>
            <w:rPr/>
          </w:pPr>
          <w:hyperlink w:anchor="__RefHeading___Toc474495_1479056682">
            <w:r>
              <w:rPr>
                <w:webHidden/>
                <w:rStyle w:val="IndexLink"/>
                <w:rtl w:val="true"/>
              </w:rPr>
              <w:t>دیدگاه دیگر مذاهب درباره مساجد</w:t>
            </w:r>
            <w:r>
              <w:rPr>
                <w:rStyle w:val="IndexLink"/>
                <w:rtl w:val="true"/>
              </w:rPr>
              <w:tab/>
            </w:r>
            <w:r>
              <w:rPr>
                <w:rStyle w:val="IndexLink"/>
              </w:rPr>
              <w:t>318</w:t>
            </w:r>
          </w:hyperlink>
        </w:p>
        <w:p>
          <w:pPr>
            <w:pStyle w:val="Contents6"/>
            <w:tabs>
              <w:tab w:val="clear" w:pos="7609"/>
              <w:tab w:val="right" w:pos="9026" w:leader="dot"/>
            </w:tabs>
            <w:rPr/>
          </w:pPr>
          <w:hyperlink w:anchor="__RefHeading___Toc474497_1479056682">
            <w:r>
              <w:rPr>
                <w:webHidden/>
                <w:rStyle w:val="IndexLink"/>
                <w:rtl w:val="true"/>
              </w:rPr>
              <w:t>مقام اوّل</w:t>
            </w:r>
            <w:r>
              <w:rPr>
                <w:rStyle w:val="IndexLink"/>
                <w:rtl w:val="true"/>
              </w:rPr>
              <w:t xml:space="preserve">: </w:t>
            </w:r>
            <w:r>
              <w:rPr>
                <w:rStyle w:val="IndexLink"/>
                <w:rtl w:val="true"/>
              </w:rPr>
              <w:t>اصل مسجد</w:t>
            </w:r>
            <w:r>
              <w:rPr>
                <w:rStyle w:val="IndexLink"/>
                <w:rtl w:val="true"/>
              </w:rPr>
              <w:tab/>
            </w:r>
            <w:r>
              <w:rPr>
                <w:rStyle w:val="IndexLink"/>
              </w:rPr>
              <w:t>318</w:t>
            </w:r>
          </w:hyperlink>
        </w:p>
        <w:p>
          <w:pPr>
            <w:pStyle w:val="Contents6"/>
            <w:tabs>
              <w:tab w:val="clear" w:pos="7609"/>
              <w:tab w:val="right" w:pos="9026" w:leader="dot"/>
            </w:tabs>
            <w:rPr/>
          </w:pPr>
          <w:hyperlink w:anchor="__RefHeading___Toc474499_1479056682">
            <w:r>
              <w:rPr>
                <w:webHidden/>
                <w:rStyle w:val="IndexLink"/>
                <w:rtl w:val="true"/>
              </w:rPr>
              <w:t>مقام دوم</w:t>
            </w:r>
            <w:r>
              <w:rPr>
                <w:rStyle w:val="IndexLink"/>
                <w:rtl w:val="true"/>
              </w:rPr>
              <w:t xml:space="preserve">: </w:t>
            </w:r>
            <w:r>
              <w:rPr>
                <w:rStyle w:val="IndexLink"/>
                <w:rtl w:val="true"/>
              </w:rPr>
              <w:t>اموال مسجد</w:t>
            </w:r>
            <w:r>
              <w:rPr>
                <w:rStyle w:val="IndexLink"/>
                <w:rtl w:val="true"/>
              </w:rPr>
              <w:tab/>
            </w:r>
            <w:r>
              <w:rPr>
                <w:rStyle w:val="IndexLink"/>
              </w:rPr>
              <w:t>320</w:t>
            </w:r>
          </w:hyperlink>
        </w:p>
        <w:p>
          <w:pPr>
            <w:pStyle w:val="Contents5"/>
            <w:tabs>
              <w:tab w:val="clear" w:pos="7892"/>
              <w:tab w:val="right" w:pos="9026" w:leader="dot"/>
            </w:tabs>
            <w:rPr/>
          </w:pPr>
          <w:hyperlink w:anchor="__RefHeading___Toc474501_1479056682">
            <w:r>
              <w:rPr>
                <w:webHidden/>
                <w:rStyle w:val="IndexLink"/>
                <w:rtl w:val="true"/>
              </w:rPr>
              <w:t xml:space="preserve">گفتار </w:t>
            </w:r>
            <w:r>
              <w:rPr>
                <w:rStyle w:val="IndexLink"/>
              </w:rPr>
              <w:t>5</w:t>
            </w:r>
            <w:r>
              <w:rPr>
                <w:rStyle w:val="IndexLink"/>
                <w:rtl w:val="true"/>
              </w:rPr>
              <w:t xml:space="preserve">- </w:t>
            </w:r>
            <w:r>
              <w:rPr>
                <w:rStyle w:val="IndexLink"/>
                <w:rtl w:val="true"/>
              </w:rPr>
              <w:t>بیع و استبدال در وقف خاصّ</w:t>
            </w:r>
            <w:r>
              <w:rPr>
                <w:rStyle w:val="IndexLink"/>
                <w:rtl w:val="true"/>
              </w:rPr>
              <w:tab/>
            </w:r>
            <w:r>
              <w:rPr>
                <w:rStyle w:val="IndexLink"/>
              </w:rPr>
              <w:t>321</w:t>
            </w:r>
          </w:hyperlink>
        </w:p>
        <w:p>
          <w:pPr>
            <w:pStyle w:val="Contents6"/>
            <w:tabs>
              <w:tab w:val="clear" w:pos="7609"/>
              <w:tab w:val="right" w:pos="9026" w:leader="dot"/>
            </w:tabs>
            <w:rPr/>
          </w:pPr>
          <w:hyperlink w:anchor="__RefHeading___Toc474503_1479056682">
            <w:r>
              <w:rPr>
                <w:webHidden/>
                <w:rStyle w:val="IndexLink"/>
                <w:rtl w:val="true"/>
              </w:rPr>
              <w:t>اشاره</w:t>
            </w:r>
            <w:r>
              <w:rPr>
                <w:rStyle w:val="IndexLink"/>
                <w:rtl w:val="true"/>
              </w:rPr>
              <w:tab/>
            </w:r>
            <w:r>
              <w:rPr>
                <w:rStyle w:val="IndexLink"/>
              </w:rPr>
              <w:t>321</w:t>
            </w:r>
          </w:hyperlink>
        </w:p>
        <w:p>
          <w:pPr>
            <w:pStyle w:val="Contents6"/>
            <w:tabs>
              <w:tab w:val="clear" w:pos="7609"/>
              <w:tab w:val="right" w:pos="9026" w:leader="dot"/>
            </w:tabs>
            <w:rPr/>
          </w:pPr>
          <w:hyperlink w:anchor="__RefHeading___Toc474505_1479056682">
            <w:r>
              <w:rPr>
                <w:webHidden/>
                <w:rStyle w:val="IndexLink"/>
                <w:rtl w:val="true"/>
              </w:rPr>
              <w:t>صُوَر ده‌گانه جواز بیع</w:t>
            </w:r>
            <w:r>
              <w:rPr>
                <w:rStyle w:val="IndexLink"/>
                <w:rtl w:val="true"/>
              </w:rPr>
              <w:tab/>
            </w:r>
            <w:r>
              <w:rPr>
                <w:rStyle w:val="IndexLink"/>
              </w:rPr>
              <w:t>322</w:t>
            </w:r>
          </w:hyperlink>
        </w:p>
        <w:p>
          <w:pPr>
            <w:pStyle w:val="Contents6"/>
            <w:tabs>
              <w:tab w:val="clear" w:pos="7609"/>
              <w:tab w:val="right" w:pos="9026" w:leader="dot"/>
            </w:tabs>
            <w:rPr/>
          </w:pPr>
          <w:hyperlink w:anchor="__RefHeading___Toc474507_1479056682">
            <w:r>
              <w:rPr>
                <w:webHidden/>
                <w:rStyle w:val="IndexLink"/>
                <w:rtl w:val="true"/>
              </w:rPr>
              <w:t>نکته‌ای از صاحب عروه</w:t>
            </w:r>
            <w:r>
              <w:rPr>
                <w:rStyle w:val="IndexLink"/>
                <w:rtl w:val="true"/>
              </w:rPr>
              <w:tab/>
            </w:r>
            <w:r>
              <w:rPr>
                <w:rStyle w:val="IndexLink"/>
              </w:rPr>
              <w:t>344</w:t>
            </w:r>
          </w:hyperlink>
        </w:p>
        <w:p>
          <w:pPr>
            <w:pStyle w:val="Contents6"/>
            <w:tabs>
              <w:tab w:val="clear" w:pos="7609"/>
              <w:tab w:val="right" w:pos="9026" w:leader="dot"/>
            </w:tabs>
            <w:rPr/>
          </w:pPr>
          <w:hyperlink w:anchor="__RefHeading___Toc474509_1479056682">
            <w:r>
              <w:rPr>
                <w:webHidden/>
                <w:rStyle w:val="IndexLink"/>
                <w:rtl w:val="true"/>
              </w:rPr>
              <w:t>حکم ثمن مال وقف در صورت بیع</w:t>
            </w:r>
            <w:r>
              <w:rPr>
                <w:rStyle w:val="IndexLink"/>
                <w:rtl w:val="true"/>
              </w:rPr>
              <w:tab/>
            </w:r>
            <w:r>
              <w:rPr>
                <w:rStyle w:val="IndexLink"/>
              </w:rPr>
              <w:t>346</w:t>
            </w:r>
          </w:hyperlink>
        </w:p>
        <w:p>
          <w:pPr>
            <w:pStyle w:val="Contents6"/>
            <w:tabs>
              <w:tab w:val="clear" w:pos="7609"/>
              <w:tab w:val="right" w:pos="9026" w:leader="dot"/>
            </w:tabs>
            <w:rPr/>
          </w:pPr>
          <w:hyperlink w:anchor="__RefHeading___Toc474511_1479056682">
            <w:r>
              <w:rPr>
                <w:webHidden/>
                <w:rStyle w:val="IndexLink"/>
                <w:rtl w:val="true"/>
              </w:rPr>
              <w:t>یادآوری چند نکته</w:t>
            </w:r>
            <w:r>
              <w:rPr>
                <w:rStyle w:val="IndexLink"/>
                <w:rtl w:val="true"/>
              </w:rPr>
              <w:tab/>
            </w:r>
            <w:r>
              <w:rPr>
                <w:rStyle w:val="IndexLink"/>
              </w:rPr>
              <w:t>350</w:t>
            </w:r>
          </w:hyperlink>
        </w:p>
        <w:p>
          <w:pPr>
            <w:pStyle w:val="Contents6"/>
            <w:tabs>
              <w:tab w:val="clear" w:pos="7609"/>
              <w:tab w:val="right" w:pos="9026" w:leader="dot"/>
            </w:tabs>
            <w:rPr/>
          </w:pPr>
          <w:hyperlink w:anchor="__RefHeading___Toc474513_1479056682">
            <w:r>
              <w:rPr>
                <w:webHidden/>
                <w:rStyle w:val="IndexLink"/>
                <w:rtl w:val="true"/>
              </w:rPr>
              <w:t>متصدی بیع وقف کیست ؟</w:t>
            </w:r>
            <w:r>
              <w:rPr>
                <w:rStyle w:val="IndexLink"/>
                <w:rtl w:val="true"/>
              </w:rPr>
              <w:tab/>
            </w:r>
            <w:r>
              <w:rPr>
                <w:rStyle w:val="IndexLink"/>
              </w:rPr>
              <w:t>351</w:t>
            </w:r>
          </w:hyperlink>
        </w:p>
        <w:p>
          <w:pPr>
            <w:pStyle w:val="Contents6"/>
            <w:tabs>
              <w:tab w:val="clear" w:pos="7609"/>
              <w:tab w:val="right" w:pos="9026" w:leader="dot"/>
            </w:tabs>
            <w:rPr/>
          </w:pPr>
          <w:hyperlink w:anchor="__RefHeading___Toc474515_1479056682">
            <w:r>
              <w:rPr>
                <w:webHidden/>
                <w:rStyle w:val="IndexLink"/>
                <w:rtl w:val="true"/>
              </w:rPr>
              <w:t>نکته</w:t>
            </w:r>
            <w:r>
              <w:rPr>
                <w:rStyle w:val="IndexLink"/>
                <w:rtl w:val="true"/>
              </w:rPr>
              <w:tab/>
            </w:r>
            <w:r>
              <w:rPr>
                <w:rStyle w:val="IndexLink"/>
              </w:rPr>
              <w:t>354</w:t>
            </w:r>
          </w:hyperlink>
        </w:p>
        <w:p>
          <w:pPr>
            <w:pStyle w:val="Contents6"/>
            <w:tabs>
              <w:tab w:val="clear" w:pos="7609"/>
              <w:tab w:val="right" w:pos="9026" w:leader="dot"/>
            </w:tabs>
            <w:rPr/>
          </w:pPr>
          <w:hyperlink w:anchor="__RefHeading___Toc474517_1479056682">
            <w:r>
              <w:rPr>
                <w:webHidden/>
                <w:rStyle w:val="IndexLink"/>
                <w:rtl w:val="true"/>
              </w:rPr>
              <w:t>نکته پایانی این مبحث</w:t>
            </w:r>
            <w:r>
              <w:rPr>
                <w:rStyle w:val="IndexLink"/>
                <w:rtl w:val="true"/>
              </w:rPr>
              <w:tab/>
            </w:r>
            <w:r>
              <w:rPr>
                <w:rStyle w:val="IndexLink"/>
              </w:rPr>
              <w:t>361</w:t>
            </w:r>
          </w:hyperlink>
        </w:p>
        <w:p>
          <w:pPr>
            <w:pStyle w:val="Contents4"/>
            <w:tabs>
              <w:tab w:val="clear" w:pos="8176"/>
              <w:tab w:val="right" w:pos="9026" w:leader="dot"/>
            </w:tabs>
            <w:rPr/>
          </w:pPr>
          <w:hyperlink w:anchor="__RefHeading___Toc474519_1479056682">
            <w:r>
              <w:rPr>
                <w:webHidden/>
                <w:rStyle w:val="IndexLink"/>
                <w:rtl w:val="true"/>
              </w:rPr>
              <w:t>مبحث ششم</w:t>
            </w:r>
            <w:r>
              <w:rPr>
                <w:rStyle w:val="IndexLink"/>
                <w:rtl w:val="true"/>
              </w:rPr>
              <w:t xml:space="preserve">: </w:t>
            </w:r>
            <w:r>
              <w:rPr>
                <w:rStyle w:val="IndexLink"/>
                <w:rtl w:val="true"/>
              </w:rPr>
              <w:t>راههای اثبات وقف</w:t>
            </w:r>
            <w:r>
              <w:rPr>
                <w:rStyle w:val="IndexLink"/>
                <w:rtl w:val="true"/>
              </w:rPr>
              <w:tab/>
            </w:r>
            <w:r>
              <w:rPr>
                <w:rStyle w:val="IndexLink"/>
              </w:rPr>
              <w:t>362</w:t>
            </w:r>
          </w:hyperlink>
        </w:p>
        <w:p>
          <w:pPr>
            <w:pStyle w:val="Contents5"/>
            <w:tabs>
              <w:tab w:val="clear" w:pos="7892"/>
              <w:tab w:val="right" w:pos="9026" w:leader="dot"/>
            </w:tabs>
            <w:rPr/>
          </w:pPr>
          <w:hyperlink w:anchor="__RefHeading___Toc474521_1479056682">
            <w:r>
              <w:rPr>
                <w:webHidden/>
                <w:rStyle w:val="IndexLink"/>
                <w:rtl w:val="true"/>
              </w:rPr>
              <w:t xml:space="preserve">گفتار </w:t>
            </w:r>
            <w:r>
              <w:rPr>
                <w:rStyle w:val="IndexLink"/>
              </w:rPr>
              <w:t>1</w:t>
            </w:r>
            <w:r>
              <w:rPr>
                <w:rStyle w:val="IndexLink"/>
                <w:rtl w:val="true"/>
              </w:rPr>
              <w:t xml:space="preserve">- </w:t>
            </w:r>
            <w:r>
              <w:rPr>
                <w:rStyle w:val="IndexLink"/>
                <w:rtl w:val="true"/>
              </w:rPr>
              <w:t>بیان راههای اثبات در فقه فریقین</w:t>
            </w:r>
            <w:r>
              <w:rPr>
                <w:rStyle w:val="IndexLink"/>
                <w:rtl w:val="true"/>
              </w:rPr>
              <w:tab/>
            </w:r>
            <w:r>
              <w:rPr>
                <w:rStyle w:val="IndexLink"/>
              </w:rPr>
              <w:t>362</w:t>
            </w:r>
          </w:hyperlink>
        </w:p>
        <w:p>
          <w:pPr>
            <w:pStyle w:val="Contents6"/>
            <w:tabs>
              <w:tab w:val="clear" w:pos="7609"/>
              <w:tab w:val="right" w:pos="9026" w:leader="dot"/>
            </w:tabs>
            <w:rPr/>
          </w:pPr>
          <w:hyperlink w:anchor="__RefHeading___Toc474523_1479056682">
            <w:r>
              <w:rPr>
                <w:webHidden/>
                <w:rStyle w:val="IndexLink"/>
                <w:rtl w:val="true"/>
              </w:rPr>
              <w:t>دیدگاه امامیّه</w:t>
            </w:r>
            <w:r>
              <w:rPr>
                <w:rStyle w:val="IndexLink"/>
                <w:rtl w:val="true"/>
              </w:rPr>
              <w:tab/>
            </w:r>
            <w:r>
              <w:rPr>
                <w:rStyle w:val="IndexLink"/>
              </w:rPr>
              <w:t>362</w:t>
            </w:r>
          </w:hyperlink>
        </w:p>
        <w:p>
          <w:pPr>
            <w:pStyle w:val="Contents6"/>
            <w:tabs>
              <w:tab w:val="clear" w:pos="7609"/>
              <w:tab w:val="right" w:pos="9026" w:leader="dot"/>
            </w:tabs>
            <w:rPr/>
          </w:pPr>
          <w:hyperlink w:anchor="__RefHeading___Toc474525_1479056682">
            <w:r>
              <w:rPr>
                <w:webHidden/>
                <w:rStyle w:val="IndexLink"/>
                <w:rtl w:val="true"/>
              </w:rPr>
              <w:t>اشاره</w:t>
            </w:r>
            <w:r>
              <w:rPr>
                <w:rStyle w:val="IndexLink"/>
                <w:rtl w:val="true"/>
              </w:rPr>
              <w:tab/>
            </w:r>
            <w:r>
              <w:rPr>
                <w:rStyle w:val="IndexLink"/>
              </w:rPr>
              <w:t>362</w:t>
            </w:r>
          </w:hyperlink>
        </w:p>
        <w:p>
          <w:pPr>
            <w:pStyle w:val="Contents6"/>
            <w:tabs>
              <w:tab w:val="clear" w:pos="7609"/>
              <w:tab w:val="right" w:pos="9026" w:leader="dot"/>
            </w:tabs>
            <w:rPr/>
          </w:pPr>
          <w:hyperlink w:anchor="__RefHeading___Toc474527_1479056682">
            <w:r>
              <w:rPr>
                <w:webHidden/>
                <w:rStyle w:val="IndexLink"/>
              </w:rPr>
              <w:t>1</w:t>
            </w:r>
            <w:r>
              <w:rPr>
                <w:rStyle w:val="IndexLink"/>
                <w:rtl w:val="true"/>
              </w:rPr>
              <w:t xml:space="preserve">- </w:t>
            </w:r>
            <w:r>
              <w:rPr>
                <w:rStyle w:val="IndexLink"/>
                <w:rtl w:val="true"/>
              </w:rPr>
              <w:t>حصول علم</w:t>
            </w:r>
            <w:r>
              <w:rPr>
                <w:rStyle w:val="IndexLink"/>
                <w:rtl w:val="true"/>
              </w:rPr>
              <w:tab/>
            </w:r>
            <w:r>
              <w:rPr>
                <w:rStyle w:val="IndexLink"/>
              </w:rPr>
              <w:t>363</w:t>
            </w:r>
          </w:hyperlink>
        </w:p>
        <w:p>
          <w:pPr>
            <w:pStyle w:val="Contents6"/>
            <w:tabs>
              <w:tab w:val="clear" w:pos="7609"/>
              <w:tab w:val="right" w:pos="9026" w:leader="dot"/>
            </w:tabs>
            <w:rPr/>
          </w:pPr>
          <w:hyperlink w:anchor="__RefHeading___Toc474529_1479056682">
            <w:r>
              <w:rPr>
                <w:webHidden/>
                <w:rStyle w:val="IndexLink"/>
              </w:rPr>
              <w:t>2</w:t>
            </w:r>
            <w:r>
              <w:rPr>
                <w:rStyle w:val="IndexLink"/>
                <w:rtl w:val="true"/>
              </w:rPr>
              <w:t xml:space="preserve">- </w:t>
            </w:r>
            <w:r>
              <w:rPr>
                <w:rStyle w:val="IndexLink"/>
                <w:rtl w:val="true"/>
              </w:rPr>
              <w:t>بیّنه شرعیّه</w:t>
            </w:r>
            <w:r>
              <w:rPr>
                <w:rStyle w:val="IndexLink"/>
                <w:rtl w:val="true"/>
              </w:rPr>
              <w:tab/>
            </w:r>
            <w:r>
              <w:rPr>
                <w:rStyle w:val="IndexLink"/>
              </w:rPr>
              <w:t>363</w:t>
            </w:r>
          </w:hyperlink>
        </w:p>
        <w:p>
          <w:pPr>
            <w:pStyle w:val="Contents6"/>
            <w:tabs>
              <w:tab w:val="clear" w:pos="7609"/>
              <w:tab w:val="right" w:pos="9026" w:leader="dot"/>
            </w:tabs>
            <w:rPr/>
          </w:pPr>
          <w:hyperlink w:anchor="__RefHeading___Toc474531_1479056682">
            <w:r>
              <w:rPr>
                <w:webHidden/>
                <w:rStyle w:val="IndexLink"/>
              </w:rPr>
              <w:t>3</w:t>
            </w:r>
            <w:r>
              <w:rPr>
                <w:rStyle w:val="IndexLink"/>
                <w:rtl w:val="true"/>
              </w:rPr>
              <w:t xml:space="preserve">- </w:t>
            </w:r>
            <w:r>
              <w:rPr>
                <w:rStyle w:val="IndexLink"/>
                <w:rtl w:val="true"/>
              </w:rPr>
              <w:t>اِقرار ذی‌الید</w:t>
            </w:r>
            <w:r>
              <w:rPr>
                <w:rStyle w:val="IndexLink"/>
                <w:rtl w:val="true"/>
              </w:rPr>
              <w:tab/>
            </w:r>
            <w:r>
              <w:rPr>
                <w:rStyle w:val="IndexLink"/>
              </w:rPr>
              <w:t>364</w:t>
            </w:r>
          </w:hyperlink>
        </w:p>
        <w:p>
          <w:pPr>
            <w:pStyle w:val="Contents6"/>
            <w:tabs>
              <w:tab w:val="clear" w:pos="7609"/>
              <w:tab w:val="right" w:pos="9026" w:leader="dot"/>
            </w:tabs>
            <w:rPr/>
          </w:pPr>
          <w:hyperlink w:anchor="__RefHeading___Toc474533_1479056682">
            <w:r>
              <w:rPr>
                <w:webHidden/>
                <w:rStyle w:val="IndexLink"/>
              </w:rPr>
              <w:t>4</w:t>
            </w:r>
            <w:r>
              <w:rPr>
                <w:rStyle w:val="IndexLink"/>
                <w:rtl w:val="true"/>
              </w:rPr>
              <w:t xml:space="preserve">- </w:t>
            </w:r>
            <w:r>
              <w:rPr>
                <w:rStyle w:val="IndexLink"/>
                <w:rtl w:val="true"/>
              </w:rPr>
              <w:t>شیاع</w:t>
            </w:r>
            <w:r>
              <w:rPr>
                <w:rStyle w:val="IndexLink"/>
                <w:rtl w:val="true"/>
              </w:rPr>
              <w:tab/>
            </w:r>
            <w:r>
              <w:rPr>
                <w:rStyle w:val="IndexLink"/>
              </w:rPr>
              <w:t>365</w:t>
            </w:r>
          </w:hyperlink>
        </w:p>
        <w:p>
          <w:pPr>
            <w:pStyle w:val="Contents6"/>
            <w:tabs>
              <w:tab w:val="clear" w:pos="7609"/>
              <w:tab w:val="right" w:pos="9026" w:leader="dot"/>
            </w:tabs>
            <w:rPr/>
          </w:pPr>
          <w:hyperlink w:anchor="__RefHeading___Toc474535_1479056682">
            <w:r>
              <w:rPr>
                <w:webHidden/>
                <w:rStyle w:val="IndexLink"/>
              </w:rPr>
              <w:t>5</w:t>
            </w:r>
            <w:r>
              <w:rPr>
                <w:rStyle w:val="IndexLink"/>
                <w:rtl w:val="true"/>
              </w:rPr>
              <w:t xml:space="preserve">- </w:t>
            </w:r>
            <w:r>
              <w:rPr>
                <w:rStyle w:val="IndexLink"/>
                <w:rtl w:val="true"/>
              </w:rPr>
              <w:t>استقلال ید موقوفٌ عَلَیْه</w:t>
            </w:r>
            <w:r>
              <w:rPr>
                <w:rStyle w:val="IndexLink"/>
                <w:rtl w:val="true"/>
              </w:rPr>
              <w:tab/>
            </w:r>
            <w:r>
              <w:rPr>
                <w:rStyle w:val="IndexLink"/>
              </w:rPr>
              <w:t>365</w:t>
            </w:r>
          </w:hyperlink>
        </w:p>
        <w:p>
          <w:pPr>
            <w:pStyle w:val="Contents6"/>
            <w:tabs>
              <w:tab w:val="clear" w:pos="7609"/>
              <w:tab w:val="right" w:pos="9026" w:leader="dot"/>
            </w:tabs>
            <w:rPr/>
          </w:pPr>
          <w:hyperlink w:anchor="__RefHeading___Toc474537_1479056682">
            <w:r>
              <w:rPr>
                <w:webHidden/>
                <w:rStyle w:val="IndexLink"/>
              </w:rPr>
              <w:t>6</w:t>
            </w:r>
            <w:r>
              <w:rPr>
                <w:rStyle w:val="IndexLink"/>
                <w:rtl w:val="true"/>
              </w:rPr>
              <w:t xml:space="preserve">- </w:t>
            </w:r>
            <w:r>
              <w:rPr>
                <w:rStyle w:val="IndexLink"/>
                <w:rtl w:val="true"/>
              </w:rPr>
              <w:t>معامله وقفیّت، توسّط مسلمین</w:t>
            </w:r>
            <w:r>
              <w:rPr>
                <w:rStyle w:val="IndexLink"/>
                <w:rtl w:val="true"/>
              </w:rPr>
              <w:tab/>
            </w:r>
            <w:r>
              <w:rPr>
                <w:rStyle w:val="IndexLink"/>
              </w:rPr>
              <w:t>365</w:t>
            </w:r>
          </w:hyperlink>
        </w:p>
        <w:p>
          <w:pPr>
            <w:pStyle w:val="Contents6"/>
            <w:tabs>
              <w:tab w:val="clear" w:pos="7609"/>
              <w:tab w:val="right" w:pos="9026" w:leader="dot"/>
            </w:tabs>
            <w:rPr/>
          </w:pPr>
          <w:hyperlink w:anchor="__RefHeading___Toc474539_1479056682">
            <w:r>
              <w:rPr>
                <w:webHidden/>
                <w:rStyle w:val="IndexLink"/>
              </w:rPr>
              <w:t>7</w:t>
            </w:r>
            <w:r>
              <w:rPr>
                <w:rStyle w:val="IndexLink"/>
                <w:rtl w:val="true"/>
              </w:rPr>
              <w:t xml:space="preserve">- </w:t>
            </w:r>
            <w:r>
              <w:rPr>
                <w:rStyle w:val="IndexLink"/>
                <w:rtl w:val="true"/>
              </w:rPr>
              <w:t>وجود علایم</w:t>
            </w:r>
            <w:r>
              <w:rPr>
                <w:rStyle w:val="IndexLink"/>
                <w:rtl w:val="true"/>
              </w:rPr>
              <w:tab/>
            </w:r>
            <w:r>
              <w:rPr>
                <w:rStyle w:val="IndexLink"/>
              </w:rPr>
              <w:t>366</w:t>
            </w:r>
          </w:hyperlink>
        </w:p>
        <w:p>
          <w:pPr>
            <w:pStyle w:val="Contents6"/>
            <w:tabs>
              <w:tab w:val="clear" w:pos="7609"/>
              <w:tab w:val="right" w:pos="9026" w:leader="dot"/>
            </w:tabs>
            <w:rPr/>
          </w:pPr>
          <w:hyperlink w:anchor="__RefHeading___Toc474541_1479056682">
            <w:r>
              <w:rPr>
                <w:webHidden/>
                <w:rStyle w:val="IndexLink"/>
              </w:rPr>
              <w:t>8</w:t>
            </w:r>
            <w:r>
              <w:rPr>
                <w:rStyle w:val="IndexLink"/>
                <w:rtl w:val="true"/>
              </w:rPr>
              <w:t xml:space="preserve">- </w:t>
            </w:r>
            <w:r>
              <w:rPr>
                <w:rStyle w:val="IndexLink"/>
                <w:rtl w:val="true"/>
              </w:rPr>
              <w:t>کتابت</w:t>
            </w:r>
            <w:r>
              <w:rPr>
                <w:rStyle w:val="IndexLink"/>
                <w:rtl w:val="true"/>
              </w:rPr>
              <w:tab/>
            </w:r>
            <w:r>
              <w:rPr>
                <w:rStyle w:val="IndexLink"/>
              </w:rPr>
              <w:t>366</w:t>
            </w:r>
          </w:hyperlink>
        </w:p>
        <w:p>
          <w:pPr>
            <w:pStyle w:val="Contents6"/>
            <w:tabs>
              <w:tab w:val="clear" w:pos="7609"/>
              <w:tab w:val="right" w:pos="9026" w:leader="dot"/>
            </w:tabs>
            <w:rPr/>
          </w:pPr>
          <w:hyperlink w:anchor="__RefHeading___Toc474543_1479056682">
            <w:r>
              <w:rPr>
                <w:webHidden/>
                <w:rStyle w:val="IndexLink"/>
                <w:rtl w:val="true"/>
              </w:rPr>
              <w:t>اشاره به دو نکته</w:t>
            </w:r>
            <w:r>
              <w:rPr>
                <w:rStyle w:val="IndexLink"/>
                <w:rtl w:val="true"/>
              </w:rPr>
              <w:tab/>
            </w:r>
            <w:r>
              <w:rPr>
                <w:rStyle w:val="IndexLink"/>
              </w:rPr>
              <w:t>366</w:t>
            </w:r>
          </w:hyperlink>
        </w:p>
        <w:p>
          <w:pPr>
            <w:pStyle w:val="Contents6"/>
            <w:tabs>
              <w:tab w:val="clear" w:pos="7609"/>
              <w:tab w:val="right" w:pos="9026" w:leader="dot"/>
            </w:tabs>
            <w:rPr/>
          </w:pPr>
          <w:hyperlink w:anchor="__RefHeading___Toc474545_1479056682">
            <w:r>
              <w:rPr>
                <w:webHidden/>
                <w:rStyle w:val="IndexLink"/>
                <w:rtl w:val="true"/>
              </w:rPr>
              <w:t>دیدگاه دیگر مذاهب</w:t>
            </w:r>
            <w:r>
              <w:rPr>
                <w:rStyle w:val="IndexLink"/>
                <w:rtl w:val="true"/>
              </w:rPr>
              <w:tab/>
            </w:r>
            <w:r>
              <w:rPr>
                <w:rStyle w:val="IndexLink"/>
              </w:rPr>
              <w:t>367</w:t>
            </w:r>
          </w:hyperlink>
        </w:p>
        <w:p>
          <w:pPr>
            <w:pStyle w:val="Contents5"/>
            <w:tabs>
              <w:tab w:val="clear" w:pos="7892"/>
              <w:tab w:val="right" w:pos="9026" w:leader="dot"/>
            </w:tabs>
            <w:rPr/>
          </w:pPr>
          <w:hyperlink w:anchor="__RefHeading___Toc474547_1479056682">
            <w:r>
              <w:rPr>
                <w:webHidden/>
                <w:rStyle w:val="IndexLink"/>
                <w:rtl w:val="true"/>
              </w:rPr>
              <w:t xml:space="preserve">گفتار </w:t>
            </w:r>
            <w:r>
              <w:rPr>
                <w:rStyle w:val="IndexLink"/>
              </w:rPr>
              <w:t>2</w:t>
            </w:r>
            <w:r>
              <w:rPr>
                <w:rStyle w:val="IndexLink"/>
                <w:rtl w:val="true"/>
              </w:rPr>
              <w:t xml:space="preserve">- </w:t>
            </w:r>
            <w:r>
              <w:rPr>
                <w:rStyle w:val="IndexLink"/>
                <w:rtl w:val="true"/>
              </w:rPr>
              <w:t>توضیح نکته‌ای بسیار مهمّ</w:t>
            </w:r>
            <w:r>
              <w:rPr>
                <w:rStyle w:val="IndexLink"/>
                <w:rtl w:val="true"/>
              </w:rPr>
              <w:tab/>
            </w:r>
            <w:r>
              <w:rPr>
                <w:rStyle w:val="IndexLink"/>
              </w:rPr>
              <w:t>369</w:t>
            </w:r>
          </w:hyperlink>
        </w:p>
        <w:p>
          <w:pPr>
            <w:pStyle w:val="Contents4"/>
            <w:tabs>
              <w:tab w:val="clear" w:pos="8176"/>
              <w:tab w:val="right" w:pos="9026" w:leader="dot"/>
            </w:tabs>
            <w:rPr/>
          </w:pPr>
          <w:hyperlink w:anchor="__RefHeading___Toc474549_1479056682">
            <w:r>
              <w:rPr>
                <w:webHidden/>
                <w:rStyle w:val="IndexLink"/>
                <w:rtl w:val="true"/>
              </w:rPr>
              <w:t>مبحث هفتم</w:t>
            </w:r>
            <w:r>
              <w:rPr>
                <w:rStyle w:val="IndexLink"/>
                <w:rtl w:val="true"/>
              </w:rPr>
              <w:t xml:space="preserve">: </w:t>
            </w:r>
            <w:r>
              <w:rPr>
                <w:rStyle w:val="IndexLink"/>
                <w:rtl w:val="true"/>
              </w:rPr>
              <w:t>وقف در مرض موت</w:t>
            </w:r>
            <w:r>
              <w:rPr>
                <w:rStyle w:val="IndexLink"/>
                <w:rtl w:val="true"/>
              </w:rPr>
              <w:tab/>
            </w:r>
            <w:r>
              <w:rPr>
                <w:rStyle w:val="IndexLink"/>
              </w:rPr>
              <w:t>370</w:t>
            </w:r>
          </w:hyperlink>
        </w:p>
        <w:p>
          <w:pPr>
            <w:pStyle w:val="Contents5"/>
            <w:tabs>
              <w:tab w:val="clear" w:pos="7892"/>
              <w:tab w:val="right" w:pos="9026" w:leader="dot"/>
            </w:tabs>
            <w:rPr/>
          </w:pPr>
          <w:hyperlink w:anchor="__RefHeading___Toc474551_1479056682">
            <w:r>
              <w:rPr>
                <w:webHidden/>
                <w:rStyle w:val="IndexLink"/>
                <w:rtl w:val="true"/>
              </w:rPr>
              <w:t xml:space="preserve">گفتار </w:t>
            </w:r>
            <w:r>
              <w:rPr>
                <w:rStyle w:val="IndexLink"/>
              </w:rPr>
              <w:t>1</w:t>
            </w:r>
            <w:r>
              <w:rPr>
                <w:rStyle w:val="IndexLink"/>
                <w:rtl w:val="true"/>
              </w:rPr>
              <w:t xml:space="preserve">- </w:t>
            </w:r>
            <w:r>
              <w:rPr>
                <w:rStyle w:val="IndexLink"/>
                <w:rtl w:val="true"/>
              </w:rPr>
              <w:t>معنای مرض موت</w:t>
            </w:r>
            <w:r>
              <w:rPr>
                <w:rStyle w:val="IndexLink"/>
                <w:rtl w:val="true"/>
              </w:rPr>
              <w:tab/>
            </w:r>
            <w:r>
              <w:rPr>
                <w:rStyle w:val="IndexLink"/>
              </w:rPr>
              <w:t>370</w:t>
            </w:r>
          </w:hyperlink>
        </w:p>
        <w:p>
          <w:pPr>
            <w:pStyle w:val="Contents5"/>
            <w:tabs>
              <w:tab w:val="clear" w:pos="7892"/>
              <w:tab w:val="right" w:pos="9026" w:leader="dot"/>
            </w:tabs>
            <w:rPr/>
          </w:pPr>
          <w:hyperlink w:anchor="__RefHeading___Toc474553_1479056682">
            <w:r>
              <w:rPr>
                <w:webHidden/>
                <w:rStyle w:val="IndexLink"/>
                <w:rtl w:val="true"/>
              </w:rPr>
              <w:t xml:space="preserve">گفتار </w:t>
            </w:r>
            <w:r>
              <w:rPr>
                <w:rStyle w:val="IndexLink"/>
              </w:rPr>
              <w:t>2</w:t>
            </w:r>
            <w:r>
              <w:rPr>
                <w:rStyle w:val="IndexLink"/>
                <w:rtl w:val="true"/>
              </w:rPr>
              <w:t xml:space="preserve">- </w:t>
            </w:r>
            <w:r>
              <w:rPr>
                <w:rStyle w:val="IndexLink"/>
                <w:rtl w:val="true"/>
              </w:rPr>
              <w:t>معنای تبرّع</w:t>
            </w:r>
            <w:r>
              <w:rPr>
                <w:rStyle w:val="IndexLink"/>
                <w:rtl w:val="true"/>
              </w:rPr>
              <w:tab/>
            </w:r>
            <w:r>
              <w:rPr>
                <w:rStyle w:val="IndexLink"/>
              </w:rPr>
              <w:t>371</w:t>
            </w:r>
          </w:hyperlink>
        </w:p>
        <w:p>
          <w:pPr>
            <w:pStyle w:val="Contents6"/>
            <w:tabs>
              <w:tab w:val="clear" w:pos="7609"/>
              <w:tab w:val="right" w:pos="9026" w:leader="dot"/>
            </w:tabs>
            <w:rPr/>
          </w:pPr>
          <w:hyperlink w:anchor="__RefHeading___Toc474555_1479056682">
            <w:r>
              <w:rPr>
                <w:webHidden/>
                <w:rStyle w:val="IndexLink"/>
                <w:rtl w:val="true"/>
              </w:rPr>
              <w:t>اشاره</w:t>
            </w:r>
            <w:r>
              <w:rPr>
                <w:rStyle w:val="IndexLink"/>
                <w:rtl w:val="true"/>
              </w:rPr>
              <w:tab/>
            </w:r>
            <w:r>
              <w:rPr>
                <w:rStyle w:val="IndexLink"/>
              </w:rPr>
              <w:t>371</w:t>
            </w:r>
          </w:hyperlink>
        </w:p>
        <w:p>
          <w:pPr>
            <w:pStyle w:val="Contents6"/>
            <w:tabs>
              <w:tab w:val="clear" w:pos="7609"/>
              <w:tab w:val="right" w:pos="9026" w:leader="dot"/>
            </w:tabs>
            <w:rPr/>
          </w:pPr>
          <w:hyperlink w:anchor="__RefHeading___Toc474557_1479056682">
            <w:r>
              <w:rPr>
                <w:webHidden/>
                <w:rStyle w:val="IndexLink"/>
                <w:rtl w:val="true"/>
              </w:rPr>
              <w:t>تبرّعات منجّزه و مؤَجَّله</w:t>
            </w:r>
            <w:r>
              <w:rPr>
                <w:rStyle w:val="IndexLink"/>
                <w:rtl w:val="true"/>
              </w:rPr>
              <w:tab/>
            </w:r>
            <w:r>
              <w:rPr>
                <w:rStyle w:val="IndexLink"/>
              </w:rPr>
              <w:t>372</w:t>
            </w:r>
          </w:hyperlink>
        </w:p>
        <w:p>
          <w:pPr>
            <w:pStyle w:val="Contents5"/>
            <w:tabs>
              <w:tab w:val="clear" w:pos="7892"/>
              <w:tab w:val="right" w:pos="9026" w:leader="dot"/>
            </w:tabs>
            <w:rPr/>
          </w:pPr>
          <w:hyperlink w:anchor="__RefHeading___Toc474559_1479056682">
            <w:r>
              <w:rPr>
                <w:webHidden/>
                <w:rStyle w:val="IndexLink"/>
                <w:rtl w:val="true"/>
              </w:rPr>
              <w:t xml:space="preserve">گفتار </w:t>
            </w:r>
            <w:r>
              <w:rPr>
                <w:rStyle w:val="IndexLink"/>
              </w:rPr>
              <w:t>3</w:t>
            </w:r>
            <w:r>
              <w:rPr>
                <w:rStyle w:val="IndexLink"/>
                <w:rtl w:val="true"/>
              </w:rPr>
              <w:t xml:space="preserve">- </w:t>
            </w:r>
            <w:r>
              <w:rPr>
                <w:rStyle w:val="IndexLink"/>
                <w:rtl w:val="true"/>
              </w:rPr>
              <w:t>حکم مسأله</w:t>
            </w:r>
            <w:r>
              <w:rPr>
                <w:rStyle w:val="IndexLink"/>
                <w:rtl w:val="true"/>
              </w:rPr>
              <w:tab/>
            </w:r>
            <w:r>
              <w:rPr>
                <w:rStyle w:val="IndexLink"/>
              </w:rPr>
              <w:t>372</w:t>
            </w:r>
          </w:hyperlink>
        </w:p>
        <w:p>
          <w:pPr>
            <w:pStyle w:val="Contents6"/>
            <w:tabs>
              <w:tab w:val="clear" w:pos="7609"/>
              <w:tab w:val="right" w:pos="9026" w:leader="dot"/>
            </w:tabs>
            <w:rPr/>
          </w:pPr>
          <w:hyperlink w:anchor="__RefHeading___Toc474561_1479056682">
            <w:r>
              <w:rPr>
                <w:webHidden/>
                <w:rStyle w:val="IndexLink"/>
                <w:rtl w:val="true"/>
              </w:rPr>
              <w:t>اشاره</w:t>
            </w:r>
            <w:r>
              <w:rPr>
                <w:rStyle w:val="IndexLink"/>
                <w:rtl w:val="true"/>
              </w:rPr>
              <w:tab/>
            </w:r>
            <w:r>
              <w:rPr>
                <w:rStyle w:val="IndexLink"/>
              </w:rPr>
              <w:t>372</w:t>
            </w:r>
          </w:hyperlink>
        </w:p>
        <w:p>
          <w:pPr>
            <w:pStyle w:val="Contents6"/>
            <w:tabs>
              <w:tab w:val="clear" w:pos="7609"/>
              <w:tab w:val="right" w:pos="9026" w:leader="dot"/>
            </w:tabs>
            <w:rPr/>
          </w:pPr>
          <w:hyperlink w:anchor="__RefHeading___Toc474563_1479056682">
            <w:r>
              <w:rPr>
                <w:webHidden/>
                <w:rStyle w:val="IndexLink"/>
                <w:rtl w:val="true"/>
              </w:rPr>
              <w:t>ادله قول اوّل</w:t>
            </w:r>
            <w:r>
              <w:rPr>
                <w:rStyle w:val="IndexLink"/>
                <w:rtl w:val="true"/>
              </w:rPr>
              <w:tab/>
            </w:r>
            <w:r>
              <w:rPr>
                <w:rStyle w:val="IndexLink"/>
              </w:rPr>
              <w:t>373</w:t>
            </w:r>
          </w:hyperlink>
        </w:p>
        <w:p>
          <w:pPr>
            <w:pStyle w:val="Contents6"/>
            <w:tabs>
              <w:tab w:val="clear" w:pos="7609"/>
              <w:tab w:val="right" w:pos="9026" w:leader="dot"/>
            </w:tabs>
            <w:rPr/>
          </w:pPr>
          <w:hyperlink w:anchor="__RefHeading___Toc474565_1479056682">
            <w:r>
              <w:rPr>
                <w:webHidden/>
                <w:rStyle w:val="IndexLink"/>
                <w:rtl w:val="true"/>
              </w:rPr>
              <w:t>ادّله قول دوم</w:t>
            </w:r>
            <w:r>
              <w:rPr>
                <w:rStyle w:val="IndexLink"/>
                <w:rtl w:val="true"/>
              </w:rPr>
              <w:tab/>
            </w:r>
            <w:r>
              <w:rPr>
                <w:rStyle w:val="IndexLink"/>
              </w:rPr>
              <w:t>375</w:t>
            </w:r>
          </w:hyperlink>
        </w:p>
        <w:p>
          <w:pPr>
            <w:pStyle w:val="Contents6"/>
            <w:tabs>
              <w:tab w:val="clear" w:pos="7609"/>
              <w:tab w:val="right" w:pos="9026" w:leader="dot"/>
            </w:tabs>
            <w:rPr/>
          </w:pPr>
          <w:hyperlink w:anchor="__RefHeading___Toc474567_1479056682">
            <w:r>
              <w:rPr>
                <w:webHidden/>
                <w:rStyle w:val="IndexLink"/>
                <w:rtl w:val="true"/>
              </w:rPr>
              <w:t>وصیّت به وقف</w:t>
            </w:r>
            <w:r>
              <w:rPr>
                <w:rStyle w:val="IndexLink"/>
                <w:rtl w:val="true"/>
              </w:rPr>
              <w:tab/>
            </w:r>
            <w:r>
              <w:rPr>
                <w:rStyle w:val="IndexLink"/>
              </w:rPr>
              <w:t>377</w:t>
            </w:r>
          </w:hyperlink>
        </w:p>
        <w:p>
          <w:pPr>
            <w:pStyle w:val="Contents6"/>
            <w:tabs>
              <w:tab w:val="clear" w:pos="7609"/>
              <w:tab w:val="right" w:pos="9026" w:leader="dot"/>
            </w:tabs>
            <w:rPr/>
          </w:pPr>
          <w:hyperlink w:anchor="__RefHeading___Toc474569_1479056682">
            <w:r>
              <w:rPr>
                <w:webHidden/>
                <w:rStyle w:val="IndexLink"/>
                <w:rtl w:val="true"/>
              </w:rPr>
              <w:t>دیدگاه دیگر مذاهب</w:t>
            </w:r>
            <w:r>
              <w:rPr>
                <w:rStyle w:val="IndexLink"/>
                <w:rtl w:val="true"/>
              </w:rPr>
              <w:tab/>
            </w:r>
            <w:r>
              <w:rPr>
                <w:rStyle w:val="IndexLink"/>
              </w:rPr>
              <w:t>377</w:t>
            </w:r>
          </w:hyperlink>
        </w:p>
        <w:p>
          <w:pPr>
            <w:pStyle w:val="Contents6"/>
            <w:tabs>
              <w:tab w:val="clear" w:pos="7609"/>
              <w:tab w:val="right" w:pos="9026" w:leader="dot"/>
            </w:tabs>
            <w:rPr/>
          </w:pPr>
          <w:hyperlink w:anchor="__RefHeading___Toc474571_1479056682">
            <w:r>
              <w:rPr>
                <w:webHidden/>
                <w:rStyle w:val="IndexLink"/>
                <w:rtl w:val="true"/>
              </w:rPr>
              <w:t>اشاره به چند نکته</w:t>
            </w:r>
            <w:r>
              <w:rPr>
                <w:rStyle w:val="IndexLink"/>
                <w:rtl w:val="true"/>
              </w:rPr>
              <w:tab/>
            </w:r>
            <w:r>
              <w:rPr>
                <w:rStyle w:val="IndexLink"/>
              </w:rPr>
              <w:t>378</w:t>
            </w:r>
          </w:hyperlink>
        </w:p>
        <w:p>
          <w:pPr>
            <w:pStyle w:val="Contents3"/>
            <w:tabs>
              <w:tab w:val="clear" w:pos="8459"/>
              <w:tab w:val="right" w:pos="9026" w:leader="dot"/>
            </w:tabs>
            <w:rPr/>
          </w:pPr>
          <w:hyperlink w:anchor="__RefHeading___Toc474573_1479056682">
            <w:r>
              <w:rPr>
                <w:webHidden/>
                <w:rStyle w:val="IndexLink"/>
                <w:rtl w:val="true"/>
              </w:rPr>
              <w:t>فصل ششم</w:t>
            </w:r>
            <w:r>
              <w:rPr>
                <w:rStyle w:val="IndexLink"/>
                <w:rtl w:val="true"/>
              </w:rPr>
              <w:t xml:space="preserve">: </w:t>
            </w:r>
            <w:r>
              <w:rPr>
                <w:rStyle w:val="IndexLink"/>
                <w:rtl w:val="true"/>
              </w:rPr>
              <w:t>سُکنی، عُمری، رُقبی و حبس</w:t>
            </w:r>
            <w:r>
              <w:rPr>
                <w:rStyle w:val="IndexLink"/>
                <w:rtl w:val="true"/>
              </w:rPr>
              <w:tab/>
            </w:r>
            <w:r>
              <w:rPr>
                <w:rStyle w:val="IndexLink"/>
              </w:rPr>
              <w:t>380</w:t>
            </w:r>
          </w:hyperlink>
        </w:p>
        <w:p>
          <w:pPr>
            <w:pStyle w:val="Contents4"/>
            <w:tabs>
              <w:tab w:val="clear" w:pos="8176"/>
              <w:tab w:val="right" w:pos="9026" w:leader="dot"/>
            </w:tabs>
            <w:rPr/>
          </w:pPr>
          <w:hyperlink w:anchor="__RefHeading___Toc474575_1479056682">
            <w:r>
              <w:rPr>
                <w:webHidden/>
                <w:rStyle w:val="IndexLink"/>
                <w:rtl w:val="true"/>
              </w:rPr>
              <w:t>مبحث اوّل</w:t>
            </w:r>
            <w:r>
              <w:rPr>
                <w:rStyle w:val="IndexLink"/>
                <w:rtl w:val="true"/>
              </w:rPr>
              <w:t xml:space="preserve">: </w:t>
            </w:r>
            <w:r>
              <w:rPr>
                <w:rStyle w:val="IndexLink"/>
                <w:rtl w:val="true"/>
              </w:rPr>
              <w:t>سُکنی، عُمری و رُقبی از دیدگاه امامیّه</w:t>
            </w:r>
            <w:r>
              <w:rPr>
                <w:rStyle w:val="IndexLink"/>
                <w:rtl w:val="true"/>
              </w:rPr>
              <w:tab/>
            </w:r>
            <w:r>
              <w:rPr>
                <w:rStyle w:val="IndexLink"/>
              </w:rPr>
              <w:t>380</w:t>
            </w:r>
          </w:hyperlink>
        </w:p>
        <w:p>
          <w:pPr>
            <w:pStyle w:val="Contents5"/>
            <w:tabs>
              <w:tab w:val="clear" w:pos="7892"/>
              <w:tab w:val="right" w:pos="9026" w:leader="dot"/>
            </w:tabs>
            <w:rPr/>
          </w:pPr>
          <w:hyperlink w:anchor="__RefHeading___Toc474577_1479056682">
            <w:r>
              <w:rPr>
                <w:webHidden/>
                <w:rStyle w:val="IndexLink"/>
                <w:rtl w:val="true"/>
              </w:rPr>
              <w:t xml:space="preserve">گفتار </w:t>
            </w:r>
            <w:r>
              <w:rPr>
                <w:rStyle w:val="IndexLink"/>
              </w:rPr>
              <w:t>1</w:t>
            </w:r>
            <w:r>
              <w:rPr>
                <w:rStyle w:val="IndexLink"/>
                <w:rtl w:val="true"/>
              </w:rPr>
              <w:t xml:space="preserve">- </w:t>
            </w:r>
            <w:r>
              <w:rPr>
                <w:rStyle w:val="IndexLink"/>
                <w:rtl w:val="true"/>
              </w:rPr>
              <w:t>معانی این عناوین</w:t>
            </w:r>
            <w:r>
              <w:rPr>
                <w:rStyle w:val="IndexLink"/>
                <w:rtl w:val="true"/>
              </w:rPr>
              <w:tab/>
            </w:r>
            <w:r>
              <w:rPr>
                <w:rStyle w:val="IndexLink"/>
              </w:rPr>
              <w:t>380</w:t>
            </w:r>
          </w:hyperlink>
        </w:p>
        <w:p>
          <w:pPr>
            <w:pStyle w:val="Contents5"/>
            <w:tabs>
              <w:tab w:val="clear" w:pos="7892"/>
              <w:tab w:val="right" w:pos="9026" w:leader="dot"/>
            </w:tabs>
            <w:rPr/>
          </w:pPr>
          <w:hyperlink w:anchor="__RefHeading___Toc474579_1479056682">
            <w:r>
              <w:rPr>
                <w:webHidden/>
                <w:rStyle w:val="IndexLink"/>
                <w:rtl w:val="true"/>
              </w:rPr>
              <w:t xml:space="preserve">گفتار </w:t>
            </w:r>
            <w:r>
              <w:rPr>
                <w:rStyle w:val="IndexLink"/>
              </w:rPr>
              <w:t>2</w:t>
            </w:r>
            <w:r>
              <w:rPr>
                <w:rStyle w:val="IndexLink"/>
                <w:rtl w:val="true"/>
              </w:rPr>
              <w:t xml:space="preserve">- </w:t>
            </w:r>
            <w:r>
              <w:rPr>
                <w:rStyle w:val="IndexLink"/>
                <w:rtl w:val="true"/>
              </w:rPr>
              <w:t>شرایط</w:t>
            </w:r>
            <w:r>
              <w:rPr>
                <w:rStyle w:val="IndexLink"/>
                <w:rtl w:val="true"/>
              </w:rPr>
              <w:tab/>
            </w:r>
            <w:r>
              <w:rPr>
                <w:rStyle w:val="IndexLink"/>
              </w:rPr>
              <w:t>383</w:t>
            </w:r>
          </w:hyperlink>
        </w:p>
        <w:p>
          <w:pPr>
            <w:pStyle w:val="Contents6"/>
            <w:tabs>
              <w:tab w:val="clear" w:pos="7609"/>
              <w:tab w:val="right" w:pos="9026" w:leader="dot"/>
            </w:tabs>
            <w:rPr/>
          </w:pPr>
          <w:hyperlink w:anchor="__RefHeading___Toc474581_1479056682">
            <w:r>
              <w:rPr>
                <w:webHidden/>
                <w:rStyle w:val="IndexLink"/>
                <w:rtl w:val="true"/>
              </w:rPr>
              <w:t>شرط اوّل</w:t>
            </w:r>
            <w:r>
              <w:rPr>
                <w:rStyle w:val="IndexLink"/>
                <w:rtl w:val="true"/>
              </w:rPr>
              <w:t xml:space="preserve">: </w:t>
            </w:r>
            <w:r>
              <w:rPr>
                <w:rStyle w:val="IndexLink"/>
                <w:rtl w:val="true"/>
              </w:rPr>
              <w:t>صیغه عقد</w:t>
            </w:r>
            <w:r>
              <w:rPr>
                <w:rStyle w:val="IndexLink"/>
                <w:rtl w:val="true"/>
              </w:rPr>
              <w:tab/>
            </w:r>
            <w:r>
              <w:rPr>
                <w:rStyle w:val="IndexLink"/>
              </w:rPr>
              <w:t>383</w:t>
            </w:r>
          </w:hyperlink>
        </w:p>
        <w:p>
          <w:pPr>
            <w:pStyle w:val="Contents6"/>
            <w:tabs>
              <w:tab w:val="clear" w:pos="7609"/>
              <w:tab w:val="right" w:pos="9026" w:leader="dot"/>
            </w:tabs>
            <w:rPr/>
          </w:pPr>
          <w:hyperlink w:anchor="__RefHeading___Toc474583_1479056682">
            <w:r>
              <w:rPr>
                <w:webHidden/>
                <w:rStyle w:val="IndexLink"/>
                <w:rtl w:val="true"/>
              </w:rPr>
              <w:t>شرط دوم</w:t>
            </w:r>
            <w:r>
              <w:rPr>
                <w:rStyle w:val="IndexLink"/>
                <w:rtl w:val="true"/>
              </w:rPr>
              <w:t xml:space="preserve">: </w:t>
            </w:r>
            <w:r>
              <w:rPr>
                <w:rStyle w:val="IndexLink"/>
                <w:rtl w:val="true"/>
              </w:rPr>
              <w:t>قبض</w:t>
            </w:r>
            <w:r>
              <w:rPr>
                <w:rStyle w:val="IndexLink"/>
                <w:rtl w:val="true"/>
              </w:rPr>
              <w:tab/>
            </w:r>
            <w:r>
              <w:rPr>
                <w:rStyle w:val="IndexLink"/>
              </w:rPr>
              <w:t>384</w:t>
            </w:r>
          </w:hyperlink>
        </w:p>
        <w:p>
          <w:pPr>
            <w:pStyle w:val="Contents6"/>
            <w:tabs>
              <w:tab w:val="clear" w:pos="7609"/>
              <w:tab w:val="right" w:pos="9026" w:leader="dot"/>
            </w:tabs>
            <w:rPr/>
          </w:pPr>
          <w:hyperlink w:anchor="__RefHeading___Toc474585_1479056682">
            <w:r>
              <w:rPr>
                <w:webHidden/>
                <w:rStyle w:val="IndexLink"/>
                <w:rtl w:val="true"/>
              </w:rPr>
              <w:t>شرط سوم</w:t>
            </w:r>
            <w:r>
              <w:rPr>
                <w:rStyle w:val="IndexLink"/>
                <w:rtl w:val="true"/>
              </w:rPr>
              <w:t xml:space="preserve">: </w:t>
            </w:r>
            <w:r>
              <w:rPr>
                <w:rStyle w:val="IndexLink"/>
                <w:rtl w:val="true"/>
              </w:rPr>
              <w:t>قصد قربت</w:t>
            </w:r>
            <w:r>
              <w:rPr>
                <w:rStyle w:val="IndexLink"/>
                <w:rtl w:val="true"/>
              </w:rPr>
              <w:tab/>
            </w:r>
            <w:r>
              <w:rPr>
                <w:rStyle w:val="IndexLink"/>
              </w:rPr>
              <w:t>386</w:t>
            </w:r>
          </w:hyperlink>
        </w:p>
        <w:p>
          <w:pPr>
            <w:pStyle w:val="Contents5"/>
            <w:tabs>
              <w:tab w:val="clear" w:pos="7892"/>
              <w:tab w:val="right" w:pos="9026" w:leader="dot"/>
            </w:tabs>
            <w:rPr/>
          </w:pPr>
          <w:hyperlink w:anchor="__RefHeading___Toc474587_1479056682">
            <w:r>
              <w:rPr>
                <w:webHidden/>
                <w:rStyle w:val="IndexLink"/>
                <w:rtl w:val="true"/>
              </w:rPr>
              <w:t xml:space="preserve">گفتار </w:t>
            </w:r>
            <w:r>
              <w:rPr>
                <w:rStyle w:val="IndexLink"/>
              </w:rPr>
              <w:t>3</w:t>
            </w:r>
            <w:r>
              <w:rPr>
                <w:rStyle w:val="IndexLink"/>
                <w:rtl w:val="true"/>
              </w:rPr>
              <w:t xml:space="preserve">- </w:t>
            </w:r>
            <w:r>
              <w:rPr>
                <w:rStyle w:val="IndexLink"/>
                <w:rtl w:val="true"/>
              </w:rPr>
              <w:t>آیا اثر و فایده این عقود نقل منفعت است؟</w:t>
            </w:r>
            <w:r>
              <w:rPr>
                <w:rStyle w:val="IndexLink"/>
                <w:rtl w:val="true"/>
              </w:rPr>
              <w:tab/>
            </w:r>
            <w:r>
              <w:rPr>
                <w:rStyle w:val="IndexLink"/>
              </w:rPr>
              <w:t>386</w:t>
            </w:r>
          </w:hyperlink>
        </w:p>
        <w:p>
          <w:pPr>
            <w:pStyle w:val="Contents5"/>
            <w:tabs>
              <w:tab w:val="clear" w:pos="7892"/>
              <w:tab w:val="right" w:pos="9026" w:leader="dot"/>
            </w:tabs>
            <w:rPr/>
          </w:pPr>
          <w:hyperlink w:anchor="__RefHeading___Toc474589_1479056682">
            <w:r>
              <w:rPr>
                <w:webHidden/>
                <w:rStyle w:val="IndexLink"/>
                <w:rtl w:val="true"/>
              </w:rPr>
              <w:t xml:space="preserve">گفتار </w:t>
            </w:r>
            <w:r>
              <w:rPr>
                <w:rStyle w:val="IndexLink"/>
              </w:rPr>
              <w:t>4</w:t>
            </w:r>
            <w:r>
              <w:rPr>
                <w:rStyle w:val="IndexLink"/>
                <w:rtl w:val="true"/>
              </w:rPr>
              <w:t xml:space="preserve">- </w:t>
            </w:r>
            <w:r>
              <w:rPr>
                <w:rStyle w:val="IndexLink"/>
                <w:rtl w:val="true"/>
              </w:rPr>
              <w:t>مواردی که متعلّقِ سکنی، عمری و رقبی قرار می‌گیرند</w:t>
            </w:r>
            <w:r>
              <w:rPr>
                <w:rStyle w:val="IndexLink"/>
                <w:rtl w:val="true"/>
              </w:rPr>
              <w:tab/>
            </w:r>
            <w:r>
              <w:rPr>
                <w:rStyle w:val="IndexLink"/>
              </w:rPr>
              <w:t>387</w:t>
            </w:r>
          </w:hyperlink>
        </w:p>
        <w:p>
          <w:pPr>
            <w:pStyle w:val="Contents5"/>
            <w:tabs>
              <w:tab w:val="clear" w:pos="7892"/>
              <w:tab w:val="right" w:pos="9026" w:leader="dot"/>
            </w:tabs>
            <w:rPr/>
          </w:pPr>
          <w:hyperlink w:anchor="__RefHeading___Toc474591_1479056682">
            <w:r>
              <w:rPr>
                <w:webHidden/>
                <w:rStyle w:val="IndexLink"/>
                <w:rtl w:val="true"/>
              </w:rPr>
              <w:t xml:space="preserve">گفتار </w:t>
            </w:r>
            <w:r>
              <w:rPr>
                <w:rStyle w:val="IndexLink"/>
              </w:rPr>
              <w:t>5</w:t>
            </w:r>
            <w:r>
              <w:rPr>
                <w:rStyle w:val="IndexLink"/>
                <w:rtl w:val="true"/>
              </w:rPr>
              <w:t xml:space="preserve">- </w:t>
            </w:r>
            <w:r>
              <w:rPr>
                <w:rStyle w:val="IndexLink"/>
                <w:rtl w:val="true"/>
              </w:rPr>
              <w:t>قلمرو استفاده ساکن مُعمَر</w:t>
            </w:r>
            <w:r>
              <w:rPr>
                <w:rStyle w:val="IndexLink"/>
                <w:rtl w:val="true"/>
              </w:rPr>
              <w:t>...</w:t>
              <w:tab/>
            </w:r>
            <w:r>
              <w:rPr>
                <w:rStyle w:val="IndexLink"/>
              </w:rPr>
              <w:t>388</w:t>
            </w:r>
          </w:hyperlink>
        </w:p>
        <w:p>
          <w:pPr>
            <w:pStyle w:val="Contents5"/>
            <w:tabs>
              <w:tab w:val="clear" w:pos="7892"/>
              <w:tab w:val="right" w:pos="9026" w:leader="dot"/>
            </w:tabs>
            <w:rPr/>
          </w:pPr>
          <w:hyperlink w:anchor="__RefHeading___Toc474593_1479056682">
            <w:r>
              <w:rPr>
                <w:webHidden/>
                <w:rStyle w:val="IndexLink"/>
                <w:rtl w:val="true"/>
              </w:rPr>
              <w:t xml:space="preserve">گفتار </w:t>
            </w:r>
            <w:r>
              <w:rPr>
                <w:rStyle w:val="IndexLink"/>
              </w:rPr>
              <w:t>6</w:t>
            </w:r>
            <w:r>
              <w:rPr>
                <w:rStyle w:val="IndexLink"/>
                <w:rtl w:val="true"/>
              </w:rPr>
              <w:t xml:space="preserve">- </w:t>
            </w:r>
            <w:r>
              <w:rPr>
                <w:rStyle w:val="IndexLink"/>
                <w:rtl w:val="true"/>
              </w:rPr>
              <w:t>آیا قبل از انقضای مدّت مقرر، مالک حق بیع و</w:t>
            </w:r>
            <w:r>
              <w:rPr>
                <w:rStyle w:val="IndexLink"/>
                <w:rtl w:val="true"/>
              </w:rPr>
              <w:t xml:space="preserve">... </w:t>
            </w:r>
            <w:r>
              <w:rPr>
                <w:rStyle w:val="IndexLink"/>
                <w:rtl w:val="true"/>
              </w:rPr>
              <w:t>دارد؟</w:t>
            </w:r>
            <w:r>
              <w:rPr>
                <w:rStyle w:val="IndexLink"/>
                <w:rtl w:val="true"/>
              </w:rPr>
              <w:tab/>
            </w:r>
            <w:r>
              <w:rPr>
                <w:rStyle w:val="IndexLink"/>
              </w:rPr>
              <w:t>389</w:t>
            </w:r>
          </w:hyperlink>
        </w:p>
        <w:p>
          <w:pPr>
            <w:pStyle w:val="Contents5"/>
            <w:tabs>
              <w:tab w:val="clear" w:pos="7892"/>
              <w:tab w:val="right" w:pos="9026" w:leader="dot"/>
            </w:tabs>
            <w:rPr/>
          </w:pPr>
          <w:hyperlink w:anchor="__RefHeading___Toc474595_1479056682">
            <w:r>
              <w:rPr>
                <w:webHidden/>
                <w:rStyle w:val="IndexLink"/>
                <w:rtl w:val="true"/>
              </w:rPr>
              <w:t xml:space="preserve">گفتار </w:t>
            </w:r>
            <w:r>
              <w:rPr>
                <w:rStyle w:val="IndexLink"/>
              </w:rPr>
              <w:t>7</w:t>
            </w:r>
            <w:r>
              <w:rPr>
                <w:rStyle w:val="IndexLink"/>
                <w:rtl w:val="true"/>
              </w:rPr>
              <w:t xml:space="preserve">- </w:t>
            </w:r>
            <w:r>
              <w:rPr>
                <w:rStyle w:val="IndexLink"/>
                <w:rtl w:val="true"/>
              </w:rPr>
              <w:t>حکم این عقود در صورت مرگ یکی از متعاقدین</w:t>
            </w:r>
            <w:r>
              <w:rPr>
                <w:rStyle w:val="IndexLink"/>
                <w:rtl w:val="true"/>
              </w:rPr>
              <w:tab/>
            </w:r>
            <w:r>
              <w:rPr>
                <w:rStyle w:val="IndexLink"/>
              </w:rPr>
              <w:t>390</w:t>
            </w:r>
          </w:hyperlink>
        </w:p>
        <w:p>
          <w:pPr>
            <w:pStyle w:val="Contents4"/>
            <w:tabs>
              <w:tab w:val="clear" w:pos="8176"/>
              <w:tab w:val="right" w:pos="9026" w:leader="dot"/>
            </w:tabs>
            <w:rPr/>
          </w:pPr>
          <w:hyperlink w:anchor="__RefHeading___Toc474597_1479056682">
            <w:r>
              <w:rPr>
                <w:webHidden/>
                <w:rStyle w:val="IndexLink"/>
                <w:rtl w:val="true"/>
              </w:rPr>
              <w:t>مبحث دوم</w:t>
            </w:r>
            <w:r>
              <w:rPr>
                <w:rStyle w:val="IndexLink"/>
                <w:rtl w:val="true"/>
              </w:rPr>
              <w:t xml:space="preserve">: </w:t>
            </w:r>
            <w:r>
              <w:rPr>
                <w:rStyle w:val="IndexLink"/>
                <w:rtl w:val="true"/>
              </w:rPr>
              <w:t xml:space="preserve">حبس </w:t>
            </w:r>
            <w:r>
              <w:rPr>
                <w:rStyle w:val="IndexLink"/>
                <w:rtl w:val="true"/>
              </w:rPr>
              <w:t>(</w:t>
            </w:r>
            <w:r>
              <w:rPr>
                <w:rStyle w:val="IndexLink"/>
                <w:rtl w:val="true"/>
              </w:rPr>
              <w:t>از دیدگاه امامیّه</w:t>
            </w:r>
            <w:r>
              <w:rPr>
                <w:rStyle w:val="IndexLink"/>
                <w:rtl w:val="true"/>
              </w:rPr>
              <w:t>)</w:t>
              <w:tab/>
            </w:r>
            <w:r>
              <w:rPr>
                <w:rStyle w:val="IndexLink"/>
              </w:rPr>
              <w:t>391</w:t>
            </w:r>
          </w:hyperlink>
        </w:p>
        <w:p>
          <w:pPr>
            <w:pStyle w:val="Contents5"/>
            <w:tabs>
              <w:tab w:val="clear" w:pos="7892"/>
              <w:tab w:val="right" w:pos="9026" w:leader="dot"/>
            </w:tabs>
            <w:rPr/>
          </w:pPr>
          <w:hyperlink w:anchor="__RefHeading___Toc474599_1479056682">
            <w:r>
              <w:rPr>
                <w:webHidden/>
                <w:rStyle w:val="IndexLink"/>
                <w:rtl w:val="true"/>
              </w:rPr>
              <w:t xml:space="preserve">گفتار </w:t>
            </w:r>
            <w:r>
              <w:rPr>
                <w:rStyle w:val="IndexLink"/>
              </w:rPr>
              <w:t>1</w:t>
            </w:r>
            <w:r>
              <w:rPr>
                <w:rStyle w:val="IndexLink"/>
                <w:rtl w:val="true"/>
              </w:rPr>
              <w:t xml:space="preserve">- </w:t>
            </w:r>
            <w:r>
              <w:rPr>
                <w:rStyle w:val="IndexLink"/>
                <w:rtl w:val="true"/>
              </w:rPr>
              <w:t>موارد و معنی حبس</w:t>
            </w:r>
            <w:r>
              <w:rPr>
                <w:rStyle w:val="IndexLink"/>
                <w:rtl w:val="true"/>
              </w:rPr>
              <w:tab/>
            </w:r>
            <w:r>
              <w:rPr>
                <w:rStyle w:val="IndexLink"/>
              </w:rPr>
              <w:t>391</w:t>
            </w:r>
          </w:hyperlink>
        </w:p>
        <w:p>
          <w:pPr>
            <w:pStyle w:val="Contents5"/>
            <w:tabs>
              <w:tab w:val="clear" w:pos="7892"/>
              <w:tab w:val="right" w:pos="9026" w:leader="dot"/>
            </w:tabs>
            <w:rPr/>
          </w:pPr>
          <w:hyperlink w:anchor="__RefHeading___Toc474601_1479056682">
            <w:r>
              <w:rPr>
                <w:webHidden/>
                <w:rStyle w:val="IndexLink"/>
                <w:rtl w:val="true"/>
              </w:rPr>
              <w:t xml:space="preserve">گفتار </w:t>
            </w:r>
            <w:r>
              <w:rPr>
                <w:rStyle w:val="IndexLink"/>
              </w:rPr>
              <w:t>2</w:t>
            </w:r>
            <w:r>
              <w:rPr>
                <w:rStyle w:val="IndexLink"/>
                <w:rtl w:val="true"/>
              </w:rPr>
              <w:t xml:space="preserve">- </w:t>
            </w:r>
            <w:r>
              <w:rPr>
                <w:rStyle w:val="IndexLink"/>
                <w:rtl w:val="true"/>
              </w:rPr>
              <w:t>حبس؛ لزوم یا عدم لزوم؟</w:t>
            </w:r>
            <w:r>
              <w:rPr>
                <w:rStyle w:val="IndexLink"/>
                <w:rtl w:val="true"/>
              </w:rPr>
              <w:tab/>
            </w:r>
            <w:r>
              <w:rPr>
                <w:rStyle w:val="IndexLink"/>
              </w:rPr>
              <w:t>393</w:t>
            </w:r>
          </w:hyperlink>
        </w:p>
        <w:p>
          <w:pPr>
            <w:pStyle w:val="Contents4"/>
            <w:tabs>
              <w:tab w:val="clear" w:pos="8176"/>
              <w:tab w:val="right" w:pos="9026" w:leader="dot"/>
            </w:tabs>
            <w:rPr/>
          </w:pPr>
          <w:hyperlink w:anchor="__RefHeading___Toc474603_1479056682">
            <w:r>
              <w:rPr>
                <w:webHidden/>
                <w:rStyle w:val="IndexLink"/>
                <w:rtl w:val="true"/>
              </w:rPr>
              <w:t>مبحث سوم</w:t>
            </w:r>
            <w:r>
              <w:rPr>
                <w:rStyle w:val="IndexLink"/>
                <w:rtl w:val="true"/>
              </w:rPr>
              <w:t xml:space="preserve">: </w:t>
            </w:r>
            <w:r>
              <w:rPr>
                <w:rStyle w:val="IndexLink"/>
                <w:rtl w:val="true"/>
              </w:rPr>
              <w:t>عمری، رُقبی و سُکنی از دیدگاه دیگر مذاهب</w:t>
            </w:r>
            <w:r>
              <w:rPr>
                <w:rStyle w:val="IndexLink"/>
                <w:rtl w:val="true"/>
              </w:rPr>
              <w:tab/>
            </w:r>
            <w:r>
              <w:rPr>
                <w:rStyle w:val="IndexLink"/>
              </w:rPr>
              <w:t>395</w:t>
            </w:r>
          </w:hyperlink>
        </w:p>
        <w:p>
          <w:pPr>
            <w:pStyle w:val="Contents5"/>
            <w:tabs>
              <w:tab w:val="clear" w:pos="7892"/>
              <w:tab w:val="right" w:pos="9026" w:leader="dot"/>
            </w:tabs>
            <w:rPr/>
          </w:pPr>
          <w:hyperlink w:anchor="__RefHeading___Toc474605_1479056682">
            <w:r>
              <w:rPr>
                <w:webHidden/>
                <w:rStyle w:val="IndexLink"/>
                <w:rtl w:val="true"/>
              </w:rPr>
              <w:t xml:space="preserve">گفتار </w:t>
            </w:r>
            <w:r>
              <w:rPr>
                <w:rStyle w:val="IndexLink"/>
              </w:rPr>
              <w:t>1</w:t>
            </w:r>
            <w:r>
              <w:rPr>
                <w:rStyle w:val="IndexLink"/>
                <w:rtl w:val="true"/>
              </w:rPr>
              <w:t xml:space="preserve">- </w:t>
            </w:r>
            <w:r>
              <w:rPr>
                <w:rStyle w:val="IndexLink"/>
                <w:rtl w:val="true"/>
              </w:rPr>
              <w:t>معنای این عناوین</w:t>
            </w:r>
            <w:r>
              <w:rPr>
                <w:rStyle w:val="IndexLink"/>
                <w:rtl w:val="true"/>
              </w:rPr>
              <w:tab/>
            </w:r>
            <w:r>
              <w:rPr>
                <w:rStyle w:val="IndexLink"/>
              </w:rPr>
              <w:t>395</w:t>
            </w:r>
          </w:hyperlink>
        </w:p>
        <w:p>
          <w:pPr>
            <w:pStyle w:val="Contents5"/>
            <w:tabs>
              <w:tab w:val="clear" w:pos="7892"/>
              <w:tab w:val="right" w:pos="9026" w:leader="dot"/>
            </w:tabs>
            <w:rPr/>
          </w:pPr>
          <w:hyperlink w:anchor="__RefHeading___Toc474607_1479056682">
            <w:r>
              <w:rPr>
                <w:webHidden/>
                <w:rStyle w:val="IndexLink"/>
                <w:rtl w:val="true"/>
              </w:rPr>
              <w:t xml:space="preserve">گفتار </w:t>
            </w:r>
            <w:r>
              <w:rPr>
                <w:rStyle w:val="IndexLink"/>
              </w:rPr>
              <w:t>2</w:t>
            </w:r>
            <w:r>
              <w:rPr>
                <w:rStyle w:val="IndexLink"/>
                <w:rtl w:val="true"/>
              </w:rPr>
              <w:t xml:space="preserve">- </w:t>
            </w:r>
            <w:r>
              <w:rPr>
                <w:rStyle w:val="IndexLink"/>
                <w:rtl w:val="true"/>
              </w:rPr>
              <w:t>حکم عمری</w:t>
            </w:r>
            <w:r>
              <w:rPr>
                <w:rStyle w:val="IndexLink"/>
                <w:rtl w:val="true"/>
              </w:rPr>
              <w:tab/>
            </w:r>
            <w:r>
              <w:rPr>
                <w:rStyle w:val="IndexLink"/>
              </w:rPr>
              <w:t>396</w:t>
            </w:r>
          </w:hyperlink>
        </w:p>
        <w:p>
          <w:pPr>
            <w:pStyle w:val="Contents5"/>
            <w:tabs>
              <w:tab w:val="clear" w:pos="7892"/>
              <w:tab w:val="right" w:pos="9026" w:leader="dot"/>
            </w:tabs>
            <w:rPr/>
          </w:pPr>
          <w:hyperlink w:anchor="__RefHeading___Toc474609_1479056682">
            <w:r>
              <w:rPr>
                <w:webHidden/>
                <w:rStyle w:val="IndexLink"/>
                <w:rtl w:val="true"/>
              </w:rPr>
              <w:t xml:space="preserve">گفتار </w:t>
            </w:r>
            <w:r>
              <w:rPr>
                <w:rStyle w:val="IndexLink"/>
              </w:rPr>
              <w:t>3</w:t>
            </w:r>
            <w:r>
              <w:rPr>
                <w:rStyle w:val="IndexLink"/>
                <w:rtl w:val="true"/>
              </w:rPr>
              <w:t xml:space="preserve">- </w:t>
            </w:r>
            <w:r>
              <w:rPr>
                <w:rStyle w:val="IndexLink"/>
                <w:rtl w:val="true"/>
              </w:rPr>
              <w:t>حکم رقبی</w:t>
            </w:r>
            <w:r>
              <w:rPr>
                <w:rStyle w:val="IndexLink"/>
                <w:rtl w:val="true"/>
              </w:rPr>
              <w:tab/>
            </w:r>
            <w:r>
              <w:rPr>
                <w:rStyle w:val="IndexLink"/>
              </w:rPr>
              <w:t>398</w:t>
            </w:r>
          </w:hyperlink>
        </w:p>
        <w:p>
          <w:pPr>
            <w:pStyle w:val="Contents5"/>
            <w:tabs>
              <w:tab w:val="clear" w:pos="7892"/>
              <w:tab w:val="right" w:pos="9026" w:leader="dot"/>
            </w:tabs>
            <w:rPr/>
          </w:pPr>
          <w:hyperlink w:anchor="__RefHeading___Toc474611_1479056682">
            <w:r>
              <w:rPr>
                <w:webHidden/>
                <w:rStyle w:val="IndexLink"/>
                <w:rtl w:val="true"/>
              </w:rPr>
              <w:t xml:space="preserve">گفتار </w:t>
            </w:r>
            <w:r>
              <w:rPr>
                <w:rStyle w:val="IndexLink"/>
              </w:rPr>
              <w:t>4</w:t>
            </w:r>
            <w:r>
              <w:rPr>
                <w:rStyle w:val="IndexLink"/>
                <w:rtl w:val="true"/>
              </w:rPr>
              <w:t xml:space="preserve">- </w:t>
            </w:r>
            <w:r>
              <w:rPr>
                <w:rStyle w:val="IndexLink"/>
                <w:rtl w:val="true"/>
              </w:rPr>
              <w:t>حکم سُکنی</w:t>
            </w:r>
            <w:r>
              <w:rPr>
                <w:rStyle w:val="IndexLink"/>
                <w:rtl w:val="true"/>
              </w:rPr>
              <w:tab/>
            </w:r>
            <w:r>
              <w:rPr>
                <w:rStyle w:val="IndexLink"/>
              </w:rPr>
              <w:t>399</w:t>
            </w:r>
          </w:hyperlink>
        </w:p>
        <w:p>
          <w:pPr>
            <w:pStyle w:val="Contents2"/>
            <w:tabs>
              <w:tab w:val="clear" w:pos="8743"/>
              <w:tab w:val="right" w:pos="9026" w:leader="dot"/>
            </w:tabs>
            <w:rPr/>
          </w:pPr>
          <w:hyperlink w:anchor="__RefHeading___Toc474613_1479056682">
            <w:r>
              <w:rPr>
                <w:webHidden/>
                <w:rStyle w:val="IndexLink"/>
                <w:rtl w:val="true"/>
              </w:rPr>
              <w:t xml:space="preserve">بخش </w:t>
            </w:r>
            <w:r>
              <w:rPr>
                <w:rStyle w:val="IndexLink"/>
              </w:rPr>
              <w:t>3</w:t>
            </w:r>
            <w:r>
              <w:rPr>
                <w:rStyle w:val="IndexLink"/>
                <w:rtl w:val="true"/>
              </w:rPr>
              <w:t xml:space="preserve">: </w:t>
            </w:r>
            <w:r>
              <w:rPr>
                <w:rStyle w:val="IndexLink"/>
                <w:rtl w:val="true"/>
              </w:rPr>
              <w:t>نقش وقف در شکوفایی اقتصاد اسلامی</w:t>
            </w:r>
            <w:r>
              <w:rPr>
                <w:rStyle w:val="IndexLink"/>
                <w:rtl w:val="true"/>
              </w:rPr>
              <w:tab/>
            </w:r>
            <w:r>
              <w:rPr>
                <w:rStyle w:val="IndexLink"/>
              </w:rPr>
              <w:t>400</w:t>
            </w:r>
          </w:hyperlink>
        </w:p>
        <w:p>
          <w:pPr>
            <w:pStyle w:val="Contents3"/>
            <w:tabs>
              <w:tab w:val="clear" w:pos="8459"/>
              <w:tab w:val="right" w:pos="9026" w:leader="dot"/>
            </w:tabs>
            <w:rPr/>
          </w:pPr>
          <w:hyperlink w:anchor="__RefHeading___Toc474615_1479056682">
            <w:r>
              <w:rPr>
                <w:webHidden/>
                <w:rStyle w:val="IndexLink"/>
                <w:rtl w:val="true"/>
              </w:rPr>
              <w:t>اشاره</w:t>
            </w:r>
            <w:r>
              <w:rPr>
                <w:rStyle w:val="IndexLink"/>
                <w:rtl w:val="true"/>
              </w:rPr>
              <w:tab/>
            </w:r>
            <w:r>
              <w:rPr>
                <w:rStyle w:val="IndexLink"/>
              </w:rPr>
              <w:t>400</w:t>
            </w:r>
          </w:hyperlink>
        </w:p>
        <w:p>
          <w:pPr>
            <w:pStyle w:val="Contents3"/>
            <w:tabs>
              <w:tab w:val="clear" w:pos="8459"/>
              <w:tab w:val="right" w:pos="9026" w:leader="dot"/>
            </w:tabs>
            <w:rPr/>
          </w:pPr>
          <w:hyperlink w:anchor="__RefHeading___Toc474617_1479056682">
            <w:r>
              <w:rPr>
                <w:webHidden/>
                <w:rStyle w:val="IndexLink"/>
                <w:rtl w:val="true"/>
              </w:rPr>
              <w:t>فصل اول</w:t>
            </w:r>
            <w:r>
              <w:rPr>
                <w:rStyle w:val="IndexLink"/>
                <w:rtl w:val="true"/>
              </w:rPr>
              <w:t xml:space="preserve">: </w:t>
            </w:r>
            <w:r>
              <w:rPr>
                <w:rStyle w:val="IndexLink"/>
                <w:rtl w:val="true"/>
              </w:rPr>
              <w:t>کلّیّاتی پیرامون اقتصاد اسلامی</w:t>
            </w:r>
            <w:r>
              <w:rPr>
                <w:rStyle w:val="IndexLink"/>
                <w:rtl w:val="true"/>
              </w:rPr>
              <w:tab/>
            </w:r>
            <w:r>
              <w:rPr>
                <w:rStyle w:val="IndexLink"/>
              </w:rPr>
              <w:t>402</w:t>
            </w:r>
          </w:hyperlink>
        </w:p>
        <w:p>
          <w:pPr>
            <w:pStyle w:val="Contents4"/>
            <w:tabs>
              <w:tab w:val="clear" w:pos="8176"/>
              <w:tab w:val="right" w:pos="9026" w:leader="dot"/>
            </w:tabs>
            <w:rPr/>
          </w:pPr>
          <w:hyperlink w:anchor="__RefHeading___Toc474619_1479056682">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474621_1479056682">
            <w:r>
              <w:rPr>
                <w:webHidden/>
                <w:rStyle w:val="IndexLink"/>
                <w:rtl w:val="true"/>
              </w:rPr>
              <w:t xml:space="preserve">گفتار </w:t>
            </w:r>
            <w:r>
              <w:rPr>
                <w:rStyle w:val="IndexLink"/>
              </w:rPr>
              <w:t>1</w:t>
            </w:r>
            <w:r>
              <w:rPr>
                <w:rStyle w:val="IndexLink"/>
                <w:rtl w:val="true"/>
              </w:rPr>
              <w:t xml:space="preserve">- </w:t>
            </w:r>
            <w:r>
              <w:rPr>
                <w:rStyle w:val="IndexLink"/>
                <w:rtl w:val="true"/>
              </w:rPr>
              <w:t>اسلام دین زندگی است</w:t>
            </w:r>
            <w:r>
              <w:rPr>
                <w:rStyle w:val="IndexLink"/>
                <w:rtl w:val="true"/>
              </w:rPr>
              <w:tab/>
            </w:r>
            <w:r>
              <w:rPr>
                <w:rStyle w:val="IndexLink"/>
              </w:rPr>
              <w:t>402</w:t>
            </w:r>
          </w:hyperlink>
        </w:p>
        <w:p>
          <w:pPr>
            <w:pStyle w:val="Contents4"/>
            <w:tabs>
              <w:tab w:val="clear" w:pos="8176"/>
              <w:tab w:val="right" w:pos="9026" w:leader="dot"/>
            </w:tabs>
            <w:rPr/>
          </w:pPr>
          <w:hyperlink w:anchor="__RefHeading___Toc474623_1479056682">
            <w:r>
              <w:rPr>
                <w:webHidden/>
                <w:rStyle w:val="IndexLink"/>
                <w:rtl w:val="true"/>
              </w:rPr>
              <w:t xml:space="preserve">گفتار </w:t>
            </w:r>
            <w:r>
              <w:rPr>
                <w:rStyle w:val="IndexLink"/>
              </w:rPr>
              <w:t>2</w:t>
            </w:r>
            <w:r>
              <w:rPr>
                <w:rStyle w:val="IndexLink"/>
                <w:rtl w:val="true"/>
              </w:rPr>
              <w:t xml:space="preserve">- </w:t>
            </w:r>
            <w:r>
              <w:rPr>
                <w:rStyle w:val="IndexLink"/>
                <w:rtl w:val="true"/>
              </w:rPr>
              <w:t xml:space="preserve">ثروت </w:t>
            </w:r>
            <w:r>
              <w:rPr>
                <w:rStyle w:val="IndexLink"/>
                <w:rtl w:val="true"/>
              </w:rPr>
              <w:t>(</w:t>
            </w:r>
            <w:r>
              <w:rPr>
                <w:rStyle w:val="IndexLink"/>
                <w:rtl w:val="true"/>
              </w:rPr>
              <w:t>و دنیا</w:t>
            </w:r>
            <w:r>
              <w:rPr>
                <w:rStyle w:val="IndexLink"/>
                <w:rtl w:val="true"/>
              </w:rPr>
              <w:t xml:space="preserve">) </w:t>
            </w:r>
            <w:r>
              <w:rPr>
                <w:rStyle w:val="IndexLink"/>
                <w:rtl w:val="true"/>
              </w:rPr>
              <w:t>از دیدگاه اسلام</w:t>
            </w:r>
            <w:r>
              <w:rPr>
                <w:rStyle w:val="IndexLink"/>
                <w:rtl w:val="true"/>
              </w:rPr>
              <w:tab/>
            </w:r>
            <w:r>
              <w:rPr>
                <w:rStyle w:val="IndexLink"/>
              </w:rPr>
              <w:t>403</w:t>
            </w:r>
          </w:hyperlink>
        </w:p>
        <w:p>
          <w:pPr>
            <w:pStyle w:val="Contents4"/>
            <w:tabs>
              <w:tab w:val="clear" w:pos="8176"/>
              <w:tab w:val="right" w:pos="9026" w:leader="dot"/>
            </w:tabs>
            <w:rPr/>
          </w:pPr>
          <w:hyperlink w:anchor="__RefHeading___Toc474625_1479056682">
            <w:r>
              <w:rPr>
                <w:webHidden/>
                <w:rStyle w:val="IndexLink"/>
                <w:rtl w:val="true"/>
              </w:rPr>
              <w:t xml:space="preserve">گفتار </w:t>
            </w:r>
            <w:r>
              <w:rPr>
                <w:rStyle w:val="IndexLink"/>
              </w:rPr>
              <w:t>3</w:t>
            </w:r>
            <w:r>
              <w:rPr>
                <w:rStyle w:val="IndexLink"/>
                <w:rtl w:val="true"/>
              </w:rPr>
              <w:t xml:space="preserve">- </w:t>
            </w:r>
            <w:r>
              <w:rPr>
                <w:rStyle w:val="IndexLink"/>
                <w:rtl w:val="true"/>
              </w:rPr>
              <w:t>اقتصاد اسلامی در مقایسه با دیگر مکتبهای اقتصادی</w:t>
            </w:r>
            <w:r>
              <w:rPr>
                <w:rStyle w:val="IndexLink"/>
                <w:rtl w:val="true"/>
              </w:rPr>
              <w:tab/>
            </w:r>
            <w:r>
              <w:rPr>
                <w:rStyle w:val="IndexLink"/>
              </w:rPr>
              <w:t>407</w:t>
            </w:r>
          </w:hyperlink>
        </w:p>
        <w:p>
          <w:pPr>
            <w:pStyle w:val="Contents3"/>
            <w:tabs>
              <w:tab w:val="clear" w:pos="8459"/>
              <w:tab w:val="right" w:pos="9026" w:leader="dot"/>
            </w:tabs>
            <w:rPr/>
          </w:pPr>
          <w:hyperlink w:anchor="__RefHeading___Toc474627_1479056682">
            <w:r>
              <w:rPr>
                <w:webHidden/>
                <w:rStyle w:val="IndexLink"/>
                <w:rtl w:val="true"/>
              </w:rPr>
              <w:t>فصل دوم</w:t>
            </w:r>
            <w:r>
              <w:rPr>
                <w:rStyle w:val="IndexLink"/>
                <w:rtl w:val="true"/>
              </w:rPr>
              <w:t xml:space="preserve">: </w:t>
            </w:r>
            <w:r>
              <w:rPr>
                <w:rStyle w:val="IndexLink"/>
                <w:rtl w:val="true"/>
              </w:rPr>
              <w:t>نظام اقتصادی اسلام</w:t>
            </w:r>
            <w:r>
              <w:rPr>
                <w:rStyle w:val="IndexLink"/>
                <w:rtl w:val="true"/>
              </w:rPr>
              <w:tab/>
            </w:r>
            <w:r>
              <w:rPr>
                <w:rStyle w:val="IndexLink"/>
              </w:rPr>
              <w:t>410</w:t>
            </w:r>
          </w:hyperlink>
        </w:p>
        <w:p>
          <w:pPr>
            <w:pStyle w:val="Contents4"/>
            <w:tabs>
              <w:tab w:val="clear" w:pos="8176"/>
              <w:tab w:val="right" w:pos="9026" w:leader="dot"/>
            </w:tabs>
            <w:rPr/>
          </w:pPr>
          <w:hyperlink w:anchor="__RefHeading___Toc474629_1479056682">
            <w:r>
              <w:rPr>
                <w:webHidden/>
                <w:rStyle w:val="IndexLink"/>
                <w:rtl w:val="true"/>
              </w:rPr>
              <w:t xml:space="preserve">گفتار </w:t>
            </w:r>
            <w:r>
              <w:rPr>
                <w:rStyle w:val="IndexLink"/>
              </w:rPr>
              <w:t>1</w:t>
            </w:r>
            <w:r>
              <w:rPr>
                <w:rStyle w:val="IndexLink"/>
                <w:rtl w:val="true"/>
              </w:rPr>
              <w:t xml:space="preserve">- </w:t>
            </w:r>
            <w:r>
              <w:rPr>
                <w:rStyle w:val="IndexLink"/>
                <w:rtl w:val="true"/>
              </w:rPr>
              <w:t>تفاوت مکتب اقتصادی و علم اقتصاد</w:t>
            </w:r>
            <w:r>
              <w:rPr>
                <w:rStyle w:val="IndexLink"/>
                <w:rtl w:val="true"/>
              </w:rPr>
              <w:tab/>
            </w:r>
            <w:r>
              <w:rPr>
                <w:rStyle w:val="IndexLink"/>
              </w:rPr>
              <w:t>410</w:t>
            </w:r>
          </w:hyperlink>
        </w:p>
        <w:p>
          <w:pPr>
            <w:pStyle w:val="Contents4"/>
            <w:tabs>
              <w:tab w:val="clear" w:pos="8176"/>
              <w:tab w:val="right" w:pos="9026" w:leader="dot"/>
            </w:tabs>
            <w:rPr/>
          </w:pPr>
          <w:hyperlink w:anchor="__RefHeading___Toc474631_1479056682">
            <w:r>
              <w:rPr>
                <w:webHidden/>
                <w:rStyle w:val="IndexLink"/>
                <w:rtl w:val="true"/>
              </w:rPr>
              <w:t xml:space="preserve">گفتار </w:t>
            </w:r>
            <w:r>
              <w:rPr>
                <w:rStyle w:val="IndexLink"/>
              </w:rPr>
              <w:t>2</w:t>
            </w:r>
            <w:r>
              <w:rPr>
                <w:rStyle w:val="IndexLink"/>
                <w:rtl w:val="true"/>
              </w:rPr>
              <w:t xml:space="preserve">- </w:t>
            </w:r>
            <w:r>
              <w:rPr>
                <w:rStyle w:val="IndexLink"/>
                <w:rtl w:val="true"/>
              </w:rPr>
              <w:t>وظیفه و کار اصلی محقّق در مکتب اقتصادی اسلام، کشف است</w:t>
            </w:r>
            <w:r>
              <w:rPr>
                <w:rStyle w:val="IndexLink"/>
                <w:rtl w:val="true"/>
              </w:rPr>
              <w:tab/>
            </w:r>
            <w:r>
              <w:rPr>
                <w:rStyle w:val="IndexLink"/>
              </w:rPr>
              <w:t>412</w:t>
            </w:r>
          </w:hyperlink>
        </w:p>
        <w:p>
          <w:pPr>
            <w:pStyle w:val="Contents4"/>
            <w:tabs>
              <w:tab w:val="clear" w:pos="8176"/>
              <w:tab w:val="right" w:pos="9026" w:leader="dot"/>
            </w:tabs>
            <w:rPr/>
          </w:pPr>
          <w:hyperlink w:anchor="__RefHeading___Toc474633_1479056682">
            <w:r>
              <w:rPr>
                <w:webHidden/>
                <w:rStyle w:val="IndexLink"/>
                <w:rtl w:val="true"/>
              </w:rPr>
              <w:t xml:space="preserve">گفتار </w:t>
            </w:r>
            <w:r>
              <w:rPr>
                <w:rStyle w:val="IndexLink"/>
              </w:rPr>
              <w:t>3</w:t>
            </w:r>
            <w:r>
              <w:rPr>
                <w:rStyle w:val="IndexLink"/>
                <w:rtl w:val="true"/>
              </w:rPr>
              <w:t xml:space="preserve">- </w:t>
            </w:r>
            <w:r>
              <w:rPr>
                <w:rStyle w:val="IndexLink"/>
                <w:rtl w:val="true"/>
              </w:rPr>
              <w:t>اسلام و علم اقتصاد</w:t>
            </w:r>
            <w:r>
              <w:rPr>
                <w:rStyle w:val="IndexLink"/>
                <w:rtl w:val="true"/>
              </w:rPr>
              <w:tab/>
            </w:r>
            <w:r>
              <w:rPr>
                <w:rStyle w:val="IndexLink"/>
              </w:rPr>
              <w:t>412</w:t>
            </w:r>
          </w:hyperlink>
        </w:p>
        <w:p>
          <w:pPr>
            <w:pStyle w:val="Contents3"/>
            <w:tabs>
              <w:tab w:val="clear" w:pos="8459"/>
              <w:tab w:val="right" w:pos="9026" w:leader="dot"/>
            </w:tabs>
            <w:rPr/>
          </w:pPr>
          <w:hyperlink w:anchor="__RefHeading___Toc474635_1479056682">
            <w:r>
              <w:rPr>
                <w:webHidden/>
                <w:rStyle w:val="IndexLink"/>
                <w:rtl w:val="true"/>
              </w:rPr>
              <w:t>فصل سوم</w:t>
            </w:r>
            <w:r>
              <w:rPr>
                <w:rStyle w:val="IndexLink"/>
                <w:rtl w:val="true"/>
              </w:rPr>
              <w:t xml:space="preserve">: </w:t>
            </w:r>
            <w:r>
              <w:rPr>
                <w:rStyle w:val="IndexLink"/>
                <w:rtl w:val="true"/>
              </w:rPr>
              <w:t>اهداف اقتصادی اسلامی</w:t>
            </w:r>
            <w:r>
              <w:rPr>
                <w:rStyle w:val="IndexLink"/>
                <w:rtl w:val="true"/>
              </w:rPr>
              <w:tab/>
            </w:r>
            <w:r>
              <w:rPr>
                <w:rStyle w:val="IndexLink"/>
              </w:rPr>
              <w:t>414</w:t>
            </w:r>
          </w:hyperlink>
        </w:p>
        <w:p>
          <w:pPr>
            <w:pStyle w:val="Contents4"/>
            <w:tabs>
              <w:tab w:val="clear" w:pos="8176"/>
              <w:tab w:val="right" w:pos="9026" w:leader="dot"/>
            </w:tabs>
            <w:rPr/>
          </w:pPr>
          <w:hyperlink w:anchor="__RefHeading___Toc474637_1479056682">
            <w:r>
              <w:rPr>
                <w:webHidden/>
                <w:rStyle w:val="IndexLink"/>
                <w:rtl w:val="true"/>
              </w:rPr>
              <w:t>اشاره</w:t>
            </w:r>
            <w:r>
              <w:rPr>
                <w:rStyle w:val="IndexLink"/>
                <w:rtl w:val="true"/>
              </w:rPr>
              <w:tab/>
            </w:r>
            <w:r>
              <w:rPr>
                <w:rStyle w:val="IndexLink"/>
              </w:rPr>
              <w:t>414</w:t>
            </w:r>
          </w:hyperlink>
        </w:p>
        <w:p>
          <w:pPr>
            <w:pStyle w:val="Contents4"/>
            <w:tabs>
              <w:tab w:val="clear" w:pos="8176"/>
              <w:tab w:val="right" w:pos="9026" w:leader="dot"/>
            </w:tabs>
            <w:rPr/>
          </w:pPr>
          <w:hyperlink w:anchor="__RefHeading___Toc474639_1479056682">
            <w:r>
              <w:rPr>
                <w:webHidden/>
                <w:rStyle w:val="IndexLink"/>
                <w:rtl w:val="true"/>
              </w:rPr>
              <w:t xml:space="preserve">گفتار </w:t>
            </w:r>
            <w:r>
              <w:rPr>
                <w:rStyle w:val="IndexLink"/>
              </w:rPr>
              <w:t>1</w:t>
            </w:r>
            <w:r>
              <w:rPr>
                <w:rStyle w:val="IndexLink"/>
                <w:rtl w:val="true"/>
              </w:rPr>
              <w:t xml:space="preserve">- </w:t>
            </w:r>
            <w:r>
              <w:rPr>
                <w:rStyle w:val="IndexLink"/>
                <w:rtl w:val="true"/>
              </w:rPr>
              <w:t xml:space="preserve">هدف اوّلی </w:t>
            </w:r>
            <w:r>
              <w:rPr>
                <w:rStyle w:val="IndexLink"/>
                <w:rtl w:val="true"/>
              </w:rPr>
              <w:t>(</w:t>
            </w:r>
            <w:r>
              <w:rPr>
                <w:rStyle w:val="IndexLink"/>
                <w:rtl w:val="true"/>
              </w:rPr>
              <w:t>یا اصلی</w:t>
            </w:r>
            <w:r>
              <w:rPr>
                <w:rStyle w:val="IndexLink"/>
                <w:rtl w:val="true"/>
              </w:rPr>
              <w:t>)</w:t>
              <w:tab/>
            </w:r>
            <w:r>
              <w:rPr>
                <w:rStyle w:val="IndexLink"/>
              </w:rPr>
              <w:t>414</w:t>
            </w:r>
          </w:hyperlink>
        </w:p>
        <w:p>
          <w:pPr>
            <w:pStyle w:val="Contents4"/>
            <w:tabs>
              <w:tab w:val="clear" w:pos="8176"/>
              <w:tab w:val="right" w:pos="9026" w:leader="dot"/>
            </w:tabs>
            <w:rPr/>
          </w:pPr>
          <w:hyperlink w:anchor="__RefHeading___Toc474641_1479056682">
            <w:r>
              <w:rPr>
                <w:webHidden/>
                <w:rStyle w:val="IndexLink"/>
                <w:rtl w:val="true"/>
              </w:rPr>
              <w:t xml:space="preserve">گفتار </w:t>
            </w:r>
            <w:r>
              <w:rPr>
                <w:rStyle w:val="IndexLink"/>
              </w:rPr>
              <w:t>2</w:t>
            </w:r>
            <w:r>
              <w:rPr>
                <w:rStyle w:val="IndexLink"/>
                <w:rtl w:val="true"/>
              </w:rPr>
              <w:t xml:space="preserve">- </w:t>
            </w:r>
            <w:r>
              <w:rPr>
                <w:rStyle w:val="IndexLink"/>
                <w:rtl w:val="true"/>
              </w:rPr>
              <w:t>هدفهای فرعی و ثانوی</w:t>
            </w:r>
            <w:r>
              <w:rPr>
                <w:rStyle w:val="IndexLink"/>
                <w:rtl w:val="true"/>
              </w:rPr>
              <w:tab/>
            </w:r>
            <w:r>
              <w:rPr>
                <w:rStyle w:val="IndexLink"/>
              </w:rPr>
              <w:t>416</w:t>
            </w:r>
          </w:hyperlink>
        </w:p>
        <w:p>
          <w:pPr>
            <w:pStyle w:val="Contents5"/>
            <w:tabs>
              <w:tab w:val="clear" w:pos="7892"/>
              <w:tab w:val="right" w:pos="9026" w:leader="dot"/>
            </w:tabs>
            <w:rPr/>
          </w:pPr>
          <w:hyperlink w:anchor="__RefHeading___Toc474643_1479056682">
            <w:r>
              <w:rPr>
                <w:webHidden/>
                <w:rStyle w:val="IndexLink"/>
                <w:rtl w:val="true"/>
              </w:rPr>
              <w:t>اشاره</w:t>
            </w:r>
            <w:r>
              <w:rPr>
                <w:rStyle w:val="IndexLink"/>
                <w:rtl w:val="true"/>
              </w:rPr>
              <w:tab/>
            </w:r>
            <w:r>
              <w:rPr>
                <w:rStyle w:val="IndexLink"/>
              </w:rPr>
              <w:t>416</w:t>
            </w:r>
          </w:hyperlink>
        </w:p>
        <w:p>
          <w:pPr>
            <w:pStyle w:val="Contents5"/>
            <w:tabs>
              <w:tab w:val="clear" w:pos="7892"/>
              <w:tab w:val="right" w:pos="9026" w:leader="dot"/>
            </w:tabs>
            <w:rPr/>
          </w:pPr>
          <w:hyperlink w:anchor="__RefHeading___Toc474645_1479056682">
            <w:r>
              <w:rPr>
                <w:webHidden/>
                <w:rStyle w:val="IndexLink"/>
              </w:rPr>
              <w:t>1</w:t>
            </w:r>
            <w:r>
              <w:rPr>
                <w:rStyle w:val="IndexLink"/>
                <w:rtl w:val="true"/>
              </w:rPr>
              <w:t xml:space="preserve">- </w:t>
            </w:r>
            <w:r>
              <w:rPr>
                <w:rStyle w:val="IndexLink"/>
                <w:rtl w:val="true"/>
              </w:rPr>
              <w:t>حاکمیّت سیاسی اسلام</w:t>
            </w:r>
            <w:r>
              <w:rPr>
                <w:rStyle w:val="IndexLink"/>
                <w:rtl w:val="true"/>
              </w:rPr>
              <w:tab/>
            </w:r>
            <w:r>
              <w:rPr>
                <w:rStyle w:val="IndexLink"/>
              </w:rPr>
              <w:t>416</w:t>
            </w:r>
          </w:hyperlink>
        </w:p>
        <w:p>
          <w:pPr>
            <w:pStyle w:val="Contents5"/>
            <w:tabs>
              <w:tab w:val="clear" w:pos="7892"/>
              <w:tab w:val="right" w:pos="9026" w:leader="dot"/>
            </w:tabs>
            <w:rPr/>
          </w:pPr>
          <w:hyperlink w:anchor="__RefHeading___Toc474647_1479056682">
            <w:r>
              <w:rPr>
                <w:webHidden/>
                <w:rStyle w:val="IndexLink"/>
              </w:rPr>
              <w:t>2</w:t>
            </w:r>
            <w:r>
              <w:rPr>
                <w:rStyle w:val="IndexLink"/>
                <w:rtl w:val="true"/>
              </w:rPr>
              <w:t xml:space="preserve">- </w:t>
            </w:r>
            <w:r>
              <w:rPr>
                <w:rStyle w:val="IndexLink"/>
                <w:rtl w:val="true"/>
              </w:rPr>
              <w:t>تحکیم ارزشهای معنوی و اخلاقی</w:t>
            </w:r>
            <w:r>
              <w:rPr>
                <w:rStyle w:val="IndexLink"/>
                <w:rtl w:val="true"/>
              </w:rPr>
              <w:tab/>
            </w:r>
            <w:r>
              <w:rPr>
                <w:rStyle w:val="IndexLink"/>
              </w:rPr>
              <w:t>417</w:t>
            </w:r>
          </w:hyperlink>
        </w:p>
        <w:p>
          <w:pPr>
            <w:pStyle w:val="Contents5"/>
            <w:tabs>
              <w:tab w:val="clear" w:pos="7892"/>
              <w:tab w:val="right" w:pos="9026" w:leader="dot"/>
            </w:tabs>
            <w:rPr/>
          </w:pPr>
          <w:hyperlink w:anchor="__RefHeading___Toc474649_1479056682">
            <w:r>
              <w:rPr>
                <w:webHidden/>
                <w:rStyle w:val="IndexLink"/>
              </w:rPr>
              <w:t>3</w:t>
            </w:r>
            <w:r>
              <w:rPr>
                <w:rStyle w:val="IndexLink"/>
                <w:rtl w:val="true"/>
              </w:rPr>
              <w:t xml:space="preserve">- </w:t>
            </w:r>
            <w:r>
              <w:rPr>
                <w:rStyle w:val="IndexLink"/>
                <w:rtl w:val="true"/>
              </w:rPr>
              <w:t>برپایی عدالت اجتماعی</w:t>
            </w:r>
            <w:r>
              <w:rPr>
                <w:rStyle w:val="IndexLink"/>
                <w:rtl w:val="true"/>
              </w:rPr>
              <w:tab/>
            </w:r>
            <w:r>
              <w:rPr>
                <w:rStyle w:val="IndexLink"/>
              </w:rPr>
              <w:t>418</w:t>
            </w:r>
          </w:hyperlink>
        </w:p>
        <w:p>
          <w:pPr>
            <w:pStyle w:val="Contents5"/>
            <w:tabs>
              <w:tab w:val="clear" w:pos="7892"/>
              <w:tab w:val="right" w:pos="9026" w:leader="dot"/>
            </w:tabs>
            <w:rPr/>
          </w:pPr>
          <w:hyperlink w:anchor="__RefHeading___Toc474651_1479056682">
            <w:r>
              <w:rPr>
                <w:webHidden/>
                <w:rStyle w:val="IndexLink"/>
              </w:rPr>
              <w:t>4</w:t>
            </w:r>
            <w:r>
              <w:rPr>
                <w:rStyle w:val="IndexLink"/>
                <w:rtl w:val="true"/>
              </w:rPr>
              <w:t xml:space="preserve">- </w:t>
            </w:r>
            <w:r>
              <w:rPr>
                <w:rStyle w:val="IndexLink"/>
                <w:rtl w:val="true"/>
              </w:rPr>
              <w:t>استقلال اقتصادی</w:t>
            </w:r>
            <w:r>
              <w:rPr>
                <w:rStyle w:val="IndexLink"/>
                <w:rtl w:val="true"/>
              </w:rPr>
              <w:tab/>
            </w:r>
            <w:r>
              <w:rPr>
                <w:rStyle w:val="IndexLink"/>
              </w:rPr>
              <w:t>419</w:t>
            </w:r>
          </w:hyperlink>
        </w:p>
        <w:p>
          <w:pPr>
            <w:pStyle w:val="Contents5"/>
            <w:tabs>
              <w:tab w:val="clear" w:pos="7892"/>
              <w:tab w:val="right" w:pos="9026" w:leader="dot"/>
            </w:tabs>
            <w:rPr/>
          </w:pPr>
          <w:hyperlink w:anchor="__RefHeading___Toc474653_1479056682">
            <w:r>
              <w:rPr>
                <w:webHidden/>
                <w:rStyle w:val="IndexLink"/>
              </w:rPr>
              <w:t>5</w:t>
            </w:r>
            <w:r>
              <w:rPr>
                <w:rStyle w:val="IndexLink"/>
                <w:rtl w:val="true"/>
              </w:rPr>
              <w:t xml:space="preserve">- </w:t>
            </w:r>
            <w:r>
              <w:rPr>
                <w:rStyle w:val="IndexLink"/>
                <w:rtl w:val="true"/>
              </w:rPr>
              <w:t>توسعه و رشد</w:t>
            </w:r>
            <w:r>
              <w:rPr>
                <w:rStyle w:val="IndexLink"/>
                <w:rtl w:val="true"/>
              </w:rPr>
              <w:tab/>
            </w:r>
            <w:r>
              <w:rPr>
                <w:rStyle w:val="IndexLink"/>
              </w:rPr>
              <w:t>419</w:t>
            </w:r>
          </w:hyperlink>
        </w:p>
        <w:p>
          <w:pPr>
            <w:pStyle w:val="Contents5"/>
            <w:tabs>
              <w:tab w:val="clear" w:pos="7892"/>
              <w:tab w:val="right" w:pos="9026" w:leader="dot"/>
            </w:tabs>
            <w:rPr/>
          </w:pPr>
          <w:hyperlink w:anchor="__RefHeading___Toc474655_1479056682">
            <w:r>
              <w:rPr>
                <w:webHidden/>
                <w:rStyle w:val="IndexLink"/>
              </w:rPr>
              <w:t>6</w:t>
            </w:r>
            <w:r>
              <w:rPr>
                <w:rStyle w:val="IndexLink"/>
                <w:rtl w:val="true"/>
              </w:rPr>
              <w:t xml:space="preserve">- </w:t>
            </w:r>
            <w:r>
              <w:rPr>
                <w:rStyle w:val="IndexLink"/>
                <w:rtl w:val="true"/>
              </w:rPr>
              <w:t>رفاه عمومی</w:t>
            </w:r>
            <w:r>
              <w:rPr>
                <w:rStyle w:val="IndexLink"/>
                <w:rtl w:val="true"/>
              </w:rPr>
              <w:tab/>
            </w:r>
            <w:r>
              <w:rPr>
                <w:rStyle w:val="IndexLink"/>
              </w:rPr>
              <w:t>420</w:t>
            </w:r>
          </w:hyperlink>
        </w:p>
        <w:p>
          <w:pPr>
            <w:pStyle w:val="Contents3"/>
            <w:tabs>
              <w:tab w:val="clear" w:pos="8459"/>
              <w:tab w:val="right" w:pos="9026" w:leader="dot"/>
            </w:tabs>
            <w:rPr/>
          </w:pPr>
          <w:hyperlink w:anchor="__RefHeading___Toc474657_1479056682">
            <w:r>
              <w:rPr>
                <w:webHidden/>
                <w:rStyle w:val="IndexLink"/>
                <w:rtl w:val="true"/>
              </w:rPr>
              <w:t>فصل چهارم</w:t>
            </w:r>
            <w:r>
              <w:rPr>
                <w:rStyle w:val="IndexLink"/>
                <w:rtl w:val="true"/>
              </w:rPr>
              <w:t xml:space="preserve">: </w:t>
            </w:r>
            <w:r>
              <w:rPr>
                <w:rStyle w:val="IndexLink"/>
                <w:rtl w:val="true"/>
              </w:rPr>
              <w:t>نقش وقف در تحقّق اهداف اقتصاد اسلامی</w:t>
            </w:r>
            <w:r>
              <w:rPr>
                <w:rStyle w:val="IndexLink"/>
                <w:rtl w:val="true"/>
              </w:rPr>
              <w:tab/>
            </w:r>
            <w:r>
              <w:rPr>
                <w:rStyle w:val="IndexLink"/>
              </w:rPr>
              <w:t>422</w:t>
            </w:r>
          </w:hyperlink>
        </w:p>
        <w:p>
          <w:pPr>
            <w:pStyle w:val="Contents4"/>
            <w:tabs>
              <w:tab w:val="clear" w:pos="8176"/>
              <w:tab w:val="right" w:pos="9026" w:leader="dot"/>
            </w:tabs>
            <w:rPr/>
          </w:pPr>
          <w:hyperlink w:anchor="__RefHeading___Toc474659_1479056682">
            <w:r>
              <w:rPr>
                <w:webHidden/>
                <w:rStyle w:val="IndexLink"/>
                <w:rtl w:val="true"/>
              </w:rPr>
              <w:t xml:space="preserve">گفتار </w:t>
            </w:r>
            <w:r>
              <w:rPr>
                <w:rStyle w:val="IndexLink"/>
              </w:rPr>
              <w:t>1</w:t>
            </w:r>
            <w:r>
              <w:rPr>
                <w:rStyle w:val="IndexLink"/>
                <w:rtl w:val="true"/>
              </w:rPr>
              <w:t xml:space="preserve">- </w:t>
            </w:r>
            <w:r>
              <w:rPr>
                <w:rStyle w:val="IndexLink"/>
                <w:rtl w:val="true"/>
              </w:rPr>
              <w:t>نقش وقف در تحقّق هدف اصلی و اوّلی</w:t>
            </w:r>
            <w:r>
              <w:rPr>
                <w:rStyle w:val="IndexLink"/>
                <w:rtl w:val="true"/>
              </w:rPr>
              <w:tab/>
            </w:r>
            <w:r>
              <w:rPr>
                <w:rStyle w:val="IndexLink"/>
              </w:rPr>
              <w:t>422</w:t>
            </w:r>
          </w:hyperlink>
        </w:p>
        <w:p>
          <w:pPr>
            <w:pStyle w:val="Contents4"/>
            <w:tabs>
              <w:tab w:val="clear" w:pos="8176"/>
              <w:tab w:val="right" w:pos="9026" w:leader="dot"/>
            </w:tabs>
            <w:rPr/>
          </w:pPr>
          <w:hyperlink w:anchor="__RefHeading___Toc474661_1479056682">
            <w:r>
              <w:rPr>
                <w:webHidden/>
                <w:rStyle w:val="IndexLink"/>
                <w:rtl w:val="true"/>
              </w:rPr>
              <w:t xml:space="preserve">گفتار </w:t>
            </w:r>
            <w:r>
              <w:rPr>
                <w:rStyle w:val="IndexLink"/>
              </w:rPr>
              <w:t>2</w:t>
            </w:r>
            <w:r>
              <w:rPr>
                <w:rStyle w:val="IndexLink"/>
                <w:rtl w:val="true"/>
              </w:rPr>
              <w:t xml:space="preserve">- </w:t>
            </w:r>
            <w:r>
              <w:rPr>
                <w:rStyle w:val="IndexLink"/>
                <w:rtl w:val="true"/>
              </w:rPr>
              <w:t>نقش وقف در تحقّق اهداف فرعی اقتصاد اسلامی</w:t>
            </w:r>
            <w:r>
              <w:rPr>
                <w:rStyle w:val="IndexLink"/>
                <w:rtl w:val="true"/>
              </w:rPr>
              <w:tab/>
            </w:r>
            <w:r>
              <w:rPr>
                <w:rStyle w:val="IndexLink"/>
              </w:rPr>
              <w:t>424</w:t>
            </w:r>
          </w:hyperlink>
        </w:p>
        <w:p>
          <w:pPr>
            <w:pStyle w:val="Contents5"/>
            <w:tabs>
              <w:tab w:val="clear" w:pos="7892"/>
              <w:tab w:val="right" w:pos="9026" w:leader="dot"/>
            </w:tabs>
            <w:rPr/>
          </w:pPr>
          <w:hyperlink w:anchor="__RefHeading___Toc474663_1479056682">
            <w:r>
              <w:rPr>
                <w:webHidden/>
                <w:rStyle w:val="IndexLink"/>
                <w:rtl w:val="true"/>
              </w:rPr>
              <w:t xml:space="preserve">الف </w:t>
            </w:r>
            <w:r>
              <w:rPr>
                <w:rStyle w:val="IndexLink"/>
                <w:rtl w:val="true"/>
              </w:rPr>
              <w:t xml:space="preserve">- </w:t>
            </w:r>
            <w:r>
              <w:rPr>
                <w:rStyle w:val="IndexLink"/>
                <w:rtl w:val="true"/>
              </w:rPr>
              <w:t xml:space="preserve">تأثیر وقف بر استقلال اقتصادی </w:t>
            </w:r>
            <w:r>
              <w:rPr>
                <w:rStyle w:val="IndexLink"/>
                <w:rtl w:val="true"/>
              </w:rPr>
              <w:t>(</w:t>
            </w:r>
            <w:r>
              <w:rPr>
                <w:rStyle w:val="IndexLink"/>
                <w:rtl w:val="true"/>
              </w:rPr>
              <w:t>و سیاسی</w:t>
            </w:r>
            <w:r>
              <w:rPr>
                <w:rStyle w:val="IndexLink"/>
                <w:rtl w:val="true"/>
              </w:rPr>
              <w:t xml:space="preserve">) </w:t>
            </w:r>
            <w:r>
              <w:rPr>
                <w:rStyle w:val="IndexLink"/>
                <w:rtl w:val="true"/>
              </w:rPr>
              <w:t>و رشد و توسعه</w:t>
            </w:r>
            <w:r>
              <w:rPr>
                <w:rStyle w:val="IndexLink"/>
                <w:rtl w:val="true"/>
              </w:rPr>
              <w:tab/>
            </w:r>
            <w:r>
              <w:rPr>
                <w:rStyle w:val="IndexLink"/>
              </w:rPr>
              <w:t>424</w:t>
            </w:r>
          </w:hyperlink>
        </w:p>
        <w:p>
          <w:pPr>
            <w:pStyle w:val="Contents6"/>
            <w:tabs>
              <w:tab w:val="clear" w:pos="7609"/>
              <w:tab w:val="right" w:pos="9026" w:leader="dot"/>
            </w:tabs>
            <w:rPr/>
          </w:pPr>
          <w:hyperlink w:anchor="__RefHeading___Toc474665_1479056682">
            <w:r>
              <w:rPr>
                <w:webHidden/>
                <w:rStyle w:val="IndexLink"/>
                <w:rtl w:val="true"/>
              </w:rPr>
              <w:t>اشاره</w:t>
            </w:r>
            <w:r>
              <w:rPr>
                <w:rStyle w:val="IndexLink"/>
                <w:rtl w:val="true"/>
              </w:rPr>
              <w:tab/>
            </w:r>
            <w:r>
              <w:rPr>
                <w:rStyle w:val="IndexLink"/>
              </w:rPr>
              <w:t>424</w:t>
            </w:r>
          </w:hyperlink>
        </w:p>
        <w:p>
          <w:pPr>
            <w:pStyle w:val="Contents6"/>
            <w:tabs>
              <w:tab w:val="clear" w:pos="7609"/>
              <w:tab w:val="right" w:pos="9026" w:leader="dot"/>
            </w:tabs>
            <w:rPr/>
          </w:pPr>
          <w:hyperlink w:anchor="__RefHeading___Toc474667_1479056682">
            <w:r>
              <w:rPr>
                <w:webHidden/>
                <w:rStyle w:val="IndexLink"/>
              </w:rPr>
              <w:t>1</w:t>
            </w:r>
            <w:r>
              <w:rPr>
                <w:rStyle w:val="IndexLink"/>
                <w:rtl w:val="true"/>
              </w:rPr>
              <w:t xml:space="preserve">- </w:t>
            </w:r>
            <w:r>
              <w:rPr>
                <w:rStyle w:val="IndexLink"/>
                <w:rtl w:val="true"/>
              </w:rPr>
              <w:t>فعّالیّتهای کشاورزی</w:t>
            </w:r>
            <w:r>
              <w:rPr>
                <w:rStyle w:val="IndexLink"/>
                <w:rtl w:val="true"/>
              </w:rPr>
              <w:tab/>
            </w:r>
            <w:r>
              <w:rPr>
                <w:rStyle w:val="IndexLink"/>
              </w:rPr>
              <w:t>426</w:t>
            </w:r>
          </w:hyperlink>
        </w:p>
        <w:p>
          <w:pPr>
            <w:pStyle w:val="Contents6"/>
            <w:tabs>
              <w:tab w:val="clear" w:pos="7609"/>
              <w:tab w:val="right" w:pos="9026" w:leader="dot"/>
            </w:tabs>
            <w:rPr/>
          </w:pPr>
          <w:hyperlink w:anchor="__RefHeading___Toc474669_1479056682">
            <w:r>
              <w:rPr>
                <w:webHidden/>
                <w:rStyle w:val="IndexLink"/>
              </w:rPr>
              <w:t>2</w:t>
            </w:r>
            <w:r>
              <w:rPr>
                <w:rStyle w:val="IndexLink"/>
                <w:rtl w:val="true"/>
              </w:rPr>
              <w:t xml:space="preserve">- </w:t>
            </w:r>
            <w:r>
              <w:rPr>
                <w:rStyle w:val="IndexLink"/>
                <w:rtl w:val="true"/>
              </w:rPr>
              <w:t>فعّالیّتهای تولیدی</w:t>
            </w:r>
            <w:r>
              <w:rPr>
                <w:rStyle w:val="IndexLink"/>
                <w:rtl w:val="true"/>
              </w:rPr>
              <w:tab/>
            </w:r>
            <w:r>
              <w:rPr>
                <w:rStyle w:val="IndexLink"/>
              </w:rPr>
              <w:t>427</w:t>
            </w:r>
          </w:hyperlink>
        </w:p>
        <w:p>
          <w:pPr>
            <w:pStyle w:val="Contents6"/>
            <w:tabs>
              <w:tab w:val="clear" w:pos="7609"/>
              <w:tab w:val="right" w:pos="9026" w:leader="dot"/>
            </w:tabs>
            <w:rPr/>
          </w:pPr>
          <w:hyperlink w:anchor="__RefHeading___Toc474671_1479056682">
            <w:r>
              <w:rPr>
                <w:webHidden/>
                <w:rStyle w:val="IndexLink"/>
              </w:rPr>
              <w:t>3</w:t>
            </w:r>
            <w:r>
              <w:rPr>
                <w:rStyle w:val="IndexLink"/>
                <w:rtl w:val="true"/>
              </w:rPr>
              <w:t xml:space="preserve">- </w:t>
            </w:r>
            <w:r>
              <w:rPr>
                <w:rStyle w:val="IndexLink"/>
                <w:rtl w:val="true"/>
              </w:rPr>
              <w:t>فعّالیّتهای خدماتی و اجتماعی</w:t>
            </w:r>
            <w:r>
              <w:rPr>
                <w:rStyle w:val="IndexLink"/>
                <w:rtl w:val="true"/>
              </w:rPr>
              <w:tab/>
            </w:r>
            <w:r>
              <w:rPr>
                <w:rStyle w:val="IndexLink"/>
              </w:rPr>
              <w:t>429</w:t>
            </w:r>
          </w:hyperlink>
        </w:p>
        <w:p>
          <w:pPr>
            <w:pStyle w:val="Contents5"/>
            <w:tabs>
              <w:tab w:val="clear" w:pos="7892"/>
              <w:tab w:val="right" w:pos="9026" w:leader="dot"/>
            </w:tabs>
            <w:rPr/>
          </w:pPr>
          <w:hyperlink w:anchor="__RefHeading___Toc474673_1479056682">
            <w:r>
              <w:rPr>
                <w:webHidden/>
                <w:rStyle w:val="IndexLink"/>
                <w:rtl w:val="true"/>
              </w:rPr>
              <w:t xml:space="preserve">ب </w:t>
            </w:r>
            <w:r>
              <w:rPr>
                <w:rStyle w:val="IndexLink"/>
                <w:rtl w:val="true"/>
              </w:rPr>
              <w:t xml:space="preserve">- </w:t>
            </w:r>
            <w:r>
              <w:rPr>
                <w:rStyle w:val="IndexLink"/>
                <w:rtl w:val="true"/>
              </w:rPr>
              <w:t>تأثیر وقف بر تحقّق عدالت اجتماعی و رفاه عمومی</w:t>
            </w:r>
            <w:r>
              <w:rPr>
                <w:rStyle w:val="IndexLink"/>
                <w:rtl w:val="true"/>
              </w:rPr>
              <w:tab/>
            </w:r>
            <w:r>
              <w:rPr>
                <w:rStyle w:val="IndexLink"/>
              </w:rPr>
              <w:t>430</w:t>
            </w:r>
          </w:hyperlink>
        </w:p>
        <w:p>
          <w:pPr>
            <w:pStyle w:val="Contents6"/>
            <w:tabs>
              <w:tab w:val="clear" w:pos="7609"/>
              <w:tab w:val="right" w:pos="9026" w:leader="dot"/>
            </w:tabs>
            <w:rPr/>
          </w:pPr>
          <w:hyperlink w:anchor="__RefHeading___Toc474675_1479056682">
            <w:r>
              <w:rPr>
                <w:webHidden/>
                <w:rStyle w:val="IndexLink"/>
                <w:rtl w:val="true"/>
              </w:rPr>
              <w:t>اشاره</w:t>
            </w:r>
            <w:r>
              <w:rPr>
                <w:rStyle w:val="IndexLink"/>
                <w:rtl w:val="true"/>
              </w:rPr>
              <w:tab/>
            </w:r>
            <w:r>
              <w:rPr>
                <w:rStyle w:val="IndexLink"/>
              </w:rPr>
              <w:t>430</w:t>
            </w:r>
          </w:hyperlink>
        </w:p>
        <w:p>
          <w:pPr>
            <w:pStyle w:val="Contents6"/>
            <w:tabs>
              <w:tab w:val="clear" w:pos="7609"/>
              <w:tab w:val="right" w:pos="9026" w:leader="dot"/>
            </w:tabs>
            <w:rPr/>
          </w:pPr>
          <w:hyperlink w:anchor="__RefHeading___Toc474677_1479056682">
            <w:r>
              <w:rPr>
                <w:webHidden/>
                <w:rStyle w:val="IndexLink"/>
                <w:rtl w:val="true"/>
              </w:rPr>
              <w:t>نقش وقف</w:t>
            </w:r>
            <w:r>
              <w:rPr>
                <w:rStyle w:val="IndexLink"/>
                <w:rtl w:val="true"/>
              </w:rPr>
              <w:tab/>
            </w:r>
            <w:r>
              <w:rPr>
                <w:rStyle w:val="IndexLink"/>
              </w:rPr>
              <w:t>431</w:t>
            </w:r>
          </w:hyperlink>
        </w:p>
        <w:p>
          <w:pPr>
            <w:pStyle w:val="Contents4"/>
            <w:tabs>
              <w:tab w:val="clear" w:pos="8176"/>
              <w:tab w:val="right" w:pos="9026" w:leader="dot"/>
            </w:tabs>
            <w:rPr/>
          </w:pPr>
          <w:hyperlink w:anchor="__RefHeading___Toc474679_1479056682">
            <w:r>
              <w:rPr>
                <w:webHidden/>
                <w:rStyle w:val="IndexLink"/>
                <w:rtl w:val="true"/>
              </w:rPr>
              <w:t xml:space="preserve">گفتار </w:t>
            </w:r>
            <w:r>
              <w:rPr>
                <w:rStyle w:val="IndexLink"/>
              </w:rPr>
              <w:t>3</w:t>
            </w:r>
            <w:r>
              <w:rPr>
                <w:rStyle w:val="IndexLink"/>
                <w:rtl w:val="true"/>
              </w:rPr>
              <w:t xml:space="preserve">- </w:t>
            </w:r>
            <w:r>
              <w:rPr>
                <w:rStyle w:val="IndexLink"/>
                <w:rtl w:val="true"/>
              </w:rPr>
              <w:t>گوشه‌هایی از موارد و جهات مصرف اوقاف</w:t>
            </w:r>
            <w:r>
              <w:rPr>
                <w:rStyle w:val="IndexLink"/>
                <w:rtl w:val="true"/>
              </w:rPr>
              <w:tab/>
            </w:r>
            <w:r>
              <w:rPr>
                <w:rStyle w:val="IndexLink"/>
              </w:rPr>
              <w:t>433</w:t>
            </w:r>
          </w:hyperlink>
        </w:p>
        <w:p>
          <w:pPr>
            <w:pStyle w:val="Contents5"/>
            <w:tabs>
              <w:tab w:val="clear" w:pos="7892"/>
              <w:tab w:val="right" w:pos="9026" w:leader="dot"/>
            </w:tabs>
            <w:rPr/>
          </w:pPr>
          <w:hyperlink w:anchor="__RefHeading___Toc474681_1479056682">
            <w:r>
              <w:rPr>
                <w:webHidden/>
                <w:rStyle w:val="IndexLink"/>
                <w:rtl w:val="true"/>
              </w:rPr>
              <w:t>اشاره</w:t>
            </w:r>
            <w:r>
              <w:rPr>
                <w:rStyle w:val="IndexLink"/>
                <w:rtl w:val="true"/>
              </w:rPr>
              <w:tab/>
            </w:r>
            <w:r>
              <w:rPr>
                <w:rStyle w:val="IndexLink"/>
              </w:rPr>
              <w:t>433</w:t>
            </w:r>
          </w:hyperlink>
        </w:p>
        <w:p>
          <w:pPr>
            <w:pStyle w:val="Contents5"/>
            <w:tabs>
              <w:tab w:val="clear" w:pos="7892"/>
              <w:tab w:val="right" w:pos="9026" w:leader="dot"/>
            </w:tabs>
            <w:rPr/>
          </w:pPr>
          <w:hyperlink w:anchor="__RefHeading___Toc474683_1479056682">
            <w:r>
              <w:rPr>
                <w:webHidden/>
                <w:rStyle w:val="IndexLink"/>
              </w:rPr>
              <w:t>1</w:t>
            </w:r>
            <w:r>
              <w:rPr>
                <w:rStyle w:val="IndexLink"/>
                <w:rtl w:val="true"/>
              </w:rPr>
              <w:t xml:space="preserve">- </w:t>
            </w:r>
            <w:r>
              <w:rPr>
                <w:rStyle w:val="IndexLink"/>
                <w:rtl w:val="true"/>
              </w:rPr>
              <w:t>مساجد</w:t>
            </w:r>
            <w:r>
              <w:rPr>
                <w:rStyle w:val="IndexLink"/>
                <w:rtl w:val="true"/>
              </w:rPr>
              <w:tab/>
            </w:r>
            <w:r>
              <w:rPr>
                <w:rStyle w:val="IndexLink"/>
              </w:rPr>
              <w:t>433</w:t>
            </w:r>
          </w:hyperlink>
        </w:p>
        <w:p>
          <w:pPr>
            <w:pStyle w:val="Contents5"/>
            <w:tabs>
              <w:tab w:val="clear" w:pos="7892"/>
              <w:tab w:val="right" w:pos="9026" w:leader="dot"/>
            </w:tabs>
            <w:rPr/>
          </w:pPr>
          <w:hyperlink w:anchor="__RefHeading___Toc474685_1479056682">
            <w:r>
              <w:rPr>
                <w:webHidden/>
                <w:rStyle w:val="IndexLink"/>
              </w:rPr>
              <w:t>2</w:t>
            </w:r>
            <w:r>
              <w:rPr>
                <w:rStyle w:val="IndexLink"/>
                <w:rtl w:val="true"/>
              </w:rPr>
              <w:t xml:space="preserve">- </w:t>
            </w:r>
            <w:r>
              <w:rPr>
                <w:rStyle w:val="IndexLink"/>
                <w:rtl w:val="true"/>
              </w:rPr>
              <w:t>مدارس</w:t>
            </w:r>
            <w:r>
              <w:rPr>
                <w:rStyle w:val="IndexLink"/>
                <w:rtl w:val="true"/>
              </w:rPr>
              <w:tab/>
            </w:r>
            <w:r>
              <w:rPr>
                <w:rStyle w:val="IndexLink"/>
              </w:rPr>
              <w:t>434</w:t>
            </w:r>
          </w:hyperlink>
        </w:p>
        <w:p>
          <w:pPr>
            <w:pStyle w:val="Contents5"/>
            <w:tabs>
              <w:tab w:val="clear" w:pos="7892"/>
              <w:tab w:val="right" w:pos="9026" w:leader="dot"/>
            </w:tabs>
            <w:rPr/>
          </w:pPr>
          <w:hyperlink w:anchor="__RefHeading___Toc474687_1479056682">
            <w:r>
              <w:rPr>
                <w:webHidden/>
                <w:rStyle w:val="IndexLink"/>
              </w:rPr>
              <w:t>3</w:t>
            </w:r>
            <w:r>
              <w:rPr>
                <w:rStyle w:val="IndexLink"/>
                <w:rtl w:val="true"/>
              </w:rPr>
              <w:t xml:space="preserve">- </w:t>
            </w:r>
            <w:r>
              <w:rPr>
                <w:rStyle w:val="IndexLink"/>
                <w:rtl w:val="true"/>
              </w:rPr>
              <w:t>کتابخانه</w:t>
            </w:r>
            <w:r>
              <w:rPr>
                <w:rStyle w:val="IndexLink"/>
                <w:rtl w:val="true"/>
              </w:rPr>
              <w:tab/>
            </w:r>
            <w:r>
              <w:rPr>
                <w:rStyle w:val="IndexLink"/>
              </w:rPr>
              <w:t>438</w:t>
            </w:r>
          </w:hyperlink>
        </w:p>
        <w:p>
          <w:pPr>
            <w:pStyle w:val="Contents5"/>
            <w:tabs>
              <w:tab w:val="clear" w:pos="7892"/>
              <w:tab w:val="right" w:pos="9026" w:leader="dot"/>
            </w:tabs>
            <w:rPr/>
          </w:pPr>
          <w:hyperlink w:anchor="__RefHeading___Toc474689_1479056682">
            <w:r>
              <w:rPr>
                <w:webHidden/>
                <w:rStyle w:val="IndexLink"/>
              </w:rPr>
              <w:t>4</w:t>
            </w:r>
            <w:r>
              <w:rPr>
                <w:rStyle w:val="IndexLink"/>
                <w:rtl w:val="true"/>
              </w:rPr>
              <w:t xml:space="preserve">- </w:t>
            </w:r>
            <w:r>
              <w:rPr>
                <w:rStyle w:val="IndexLink"/>
                <w:rtl w:val="true"/>
              </w:rPr>
              <w:t>بیمارستان</w:t>
            </w:r>
            <w:r>
              <w:rPr>
                <w:rStyle w:val="IndexLink"/>
                <w:rtl w:val="true"/>
              </w:rPr>
              <w:tab/>
            </w:r>
            <w:r>
              <w:rPr>
                <w:rStyle w:val="IndexLink"/>
              </w:rPr>
              <w:t>441</w:t>
            </w:r>
          </w:hyperlink>
        </w:p>
        <w:p>
          <w:pPr>
            <w:pStyle w:val="Contents5"/>
            <w:tabs>
              <w:tab w:val="clear" w:pos="7892"/>
              <w:tab w:val="right" w:pos="9026" w:leader="dot"/>
            </w:tabs>
            <w:rPr/>
          </w:pPr>
          <w:hyperlink w:anchor="__RefHeading___Toc474691_1479056682">
            <w:r>
              <w:rPr>
                <w:webHidden/>
                <w:rStyle w:val="IndexLink"/>
              </w:rPr>
              <w:t>5</w:t>
            </w:r>
            <w:r>
              <w:rPr>
                <w:rStyle w:val="IndexLink"/>
                <w:rtl w:val="true"/>
              </w:rPr>
              <w:t xml:space="preserve">- </w:t>
            </w:r>
            <w:r>
              <w:rPr>
                <w:rStyle w:val="IndexLink"/>
                <w:rtl w:val="true"/>
              </w:rPr>
              <w:t>دیگر موارد</w:t>
            </w:r>
            <w:r>
              <w:rPr>
                <w:rStyle w:val="IndexLink"/>
                <w:rtl w:val="true"/>
              </w:rPr>
              <w:tab/>
            </w:r>
            <w:r>
              <w:rPr>
                <w:rStyle w:val="IndexLink"/>
              </w:rPr>
              <w:t>442</w:t>
            </w:r>
          </w:hyperlink>
        </w:p>
        <w:p>
          <w:pPr>
            <w:pStyle w:val="Contents2"/>
            <w:tabs>
              <w:tab w:val="clear" w:pos="8743"/>
              <w:tab w:val="right" w:pos="9026" w:leader="dot"/>
            </w:tabs>
            <w:rPr/>
          </w:pPr>
          <w:hyperlink w:anchor="__RefHeading___Toc474693_1479056682">
            <w:r>
              <w:rPr>
                <w:webHidden/>
                <w:rStyle w:val="IndexLink"/>
                <w:rtl w:val="true"/>
              </w:rPr>
              <w:t>سخن آخر</w:t>
            </w:r>
            <w:r>
              <w:rPr>
                <w:rStyle w:val="IndexLink"/>
                <w:rtl w:val="true"/>
              </w:rPr>
              <w:t xml:space="preserve">: </w:t>
            </w:r>
            <w:r>
              <w:rPr>
                <w:rStyle w:val="IndexLink"/>
                <w:rtl w:val="true"/>
              </w:rPr>
              <w:t>چگونه از نو میراث جاویدان وقف را احیا کنیم؟</w:t>
            </w:r>
            <w:r>
              <w:rPr>
                <w:rStyle w:val="IndexLink"/>
                <w:rtl w:val="true"/>
              </w:rPr>
              <w:tab/>
            </w:r>
            <w:r>
              <w:rPr>
                <w:rStyle w:val="IndexLink"/>
              </w:rPr>
              <w:t>446</w:t>
            </w:r>
          </w:hyperlink>
        </w:p>
        <w:p>
          <w:pPr>
            <w:pStyle w:val="Contents3"/>
            <w:tabs>
              <w:tab w:val="clear" w:pos="8459"/>
              <w:tab w:val="right" w:pos="9026" w:leader="dot"/>
            </w:tabs>
            <w:rPr/>
          </w:pPr>
          <w:hyperlink w:anchor="__RefHeading___Toc474695_1479056682">
            <w:r>
              <w:rPr>
                <w:webHidden/>
                <w:rStyle w:val="IndexLink"/>
                <w:rtl w:val="true"/>
              </w:rPr>
              <w:t>اشاره</w:t>
            </w:r>
            <w:r>
              <w:rPr>
                <w:rStyle w:val="IndexLink"/>
                <w:rtl w:val="true"/>
              </w:rPr>
              <w:tab/>
            </w:r>
            <w:r>
              <w:rPr>
                <w:rStyle w:val="IndexLink"/>
              </w:rPr>
              <w:t>446</w:t>
            </w:r>
          </w:hyperlink>
        </w:p>
        <w:p>
          <w:pPr>
            <w:pStyle w:val="Contents3"/>
            <w:tabs>
              <w:tab w:val="clear" w:pos="8459"/>
              <w:tab w:val="right" w:pos="9026" w:leader="dot"/>
            </w:tabs>
            <w:rPr/>
          </w:pPr>
          <w:hyperlink w:anchor="__RefHeading___Toc474697_1479056682">
            <w:r>
              <w:rPr>
                <w:webHidden/>
                <w:rStyle w:val="IndexLink"/>
              </w:rPr>
              <w:t>1</w:t>
            </w:r>
            <w:r>
              <w:rPr>
                <w:rStyle w:val="IndexLink"/>
                <w:rtl w:val="true"/>
              </w:rPr>
              <w:t xml:space="preserve">- </w:t>
            </w:r>
            <w:r>
              <w:rPr>
                <w:rStyle w:val="IndexLink"/>
                <w:rtl w:val="true"/>
              </w:rPr>
              <w:t>مبارزه با عوامل رکود</w:t>
            </w:r>
            <w:r>
              <w:rPr>
                <w:rStyle w:val="IndexLink"/>
                <w:rtl w:val="true"/>
              </w:rPr>
              <w:tab/>
            </w:r>
            <w:r>
              <w:rPr>
                <w:rStyle w:val="IndexLink"/>
              </w:rPr>
              <w:t>449</w:t>
            </w:r>
          </w:hyperlink>
        </w:p>
        <w:p>
          <w:pPr>
            <w:pStyle w:val="Contents3"/>
            <w:tabs>
              <w:tab w:val="clear" w:pos="8459"/>
              <w:tab w:val="right" w:pos="9026" w:leader="dot"/>
            </w:tabs>
            <w:rPr/>
          </w:pPr>
          <w:hyperlink w:anchor="__RefHeading___Toc474699_1479056682">
            <w:r>
              <w:rPr>
                <w:webHidden/>
                <w:rStyle w:val="IndexLink"/>
              </w:rPr>
              <w:t>2</w:t>
            </w:r>
            <w:r>
              <w:rPr>
                <w:rStyle w:val="IndexLink"/>
                <w:rtl w:val="true"/>
              </w:rPr>
              <w:t xml:space="preserve">- </w:t>
            </w:r>
            <w:r>
              <w:rPr>
                <w:rStyle w:val="IndexLink"/>
                <w:rtl w:val="true"/>
              </w:rPr>
              <w:t>تبلیغات صحیح و مستمرّ در سطوح گوناگون</w:t>
            </w:r>
            <w:r>
              <w:rPr>
                <w:rStyle w:val="IndexLink"/>
                <w:rtl w:val="true"/>
              </w:rPr>
              <w:tab/>
            </w:r>
            <w:r>
              <w:rPr>
                <w:rStyle w:val="IndexLink"/>
              </w:rPr>
              <w:t>453</w:t>
            </w:r>
          </w:hyperlink>
        </w:p>
        <w:p>
          <w:pPr>
            <w:pStyle w:val="Contents3"/>
            <w:tabs>
              <w:tab w:val="clear" w:pos="8459"/>
              <w:tab w:val="right" w:pos="9026" w:leader="dot"/>
            </w:tabs>
            <w:rPr/>
          </w:pPr>
          <w:hyperlink w:anchor="__RefHeading___Toc474701_1479056682">
            <w:r>
              <w:rPr>
                <w:webHidden/>
                <w:rStyle w:val="IndexLink"/>
              </w:rPr>
              <w:t>3</w:t>
            </w:r>
            <w:r>
              <w:rPr>
                <w:rStyle w:val="IndexLink"/>
                <w:rtl w:val="true"/>
              </w:rPr>
              <w:t xml:space="preserve">- </w:t>
            </w:r>
            <w:r>
              <w:rPr>
                <w:rStyle w:val="IndexLink"/>
                <w:rtl w:val="true"/>
              </w:rPr>
              <w:t>حمایت قانونی از اوقاف</w:t>
            </w:r>
            <w:r>
              <w:rPr>
                <w:rStyle w:val="IndexLink"/>
                <w:rtl w:val="true"/>
              </w:rPr>
              <w:tab/>
            </w:r>
            <w:r>
              <w:rPr>
                <w:rStyle w:val="IndexLink"/>
              </w:rPr>
              <w:t>455</w:t>
            </w:r>
          </w:hyperlink>
        </w:p>
        <w:p>
          <w:pPr>
            <w:pStyle w:val="Contents2"/>
            <w:tabs>
              <w:tab w:val="clear" w:pos="8743"/>
              <w:tab w:val="right" w:pos="9026" w:leader="dot"/>
            </w:tabs>
            <w:rPr/>
          </w:pPr>
          <w:hyperlink w:anchor="__RefHeading___Toc474703_1479056682">
            <w:r>
              <w:rPr>
                <w:webHidden/>
                <w:rStyle w:val="IndexLink"/>
                <w:rtl w:val="true"/>
              </w:rPr>
              <w:t>منابع و مآخذ</w:t>
            </w:r>
            <w:r>
              <w:rPr>
                <w:rStyle w:val="IndexLink"/>
                <w:rtl w:val="true"/>
              </w:rPr>
              <w:tab/>
            </w:r>
            <w:r>
              <w:rPr>
                <w:rStyle w:val="IndexLink"/>
              </w:rPr>
              <w:t>458</w:t>
            </w:r>
          </w:hyperlink>
        </w:p>
        <w:p>
          <w:pPr>
            <w:pStyle w:val="Contents2"/>
            <w:tabs>
              <w:tab w:val="clear" w:pos="8743"/>
              <w:tab w:val="right" w:pos="9026" w:leader="dot"/>
            </w:tabs>
            <w:rPr/>
          </w:pPr>
          <w:hyperlink w:anchor="__RefHeading___Toc474705_1479056682">
            <w:r>
              <w:rPr>
                <w:webHidden/>
                <w:rStyle w:val="IndexLink"/>
                <w:rtl w:val="true"/>
              </w:rPr>
              <w:t>نمایه</w:t>
            </w:r>
            <w:r>
              <w:rPr>
                <w:rStyle w:val="IndexLink"/>
                <w:rtl w:val="true"/>
              </w:rPr>
              <w:tab/>
            </w:r>
            <w:r>
              <w:rPr>
                <w:rStyle w:val="IndexLink"/>
              </w:rPr>
              <w:t>468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267_21734"/>
      <w:bookmarkStart w:id="1" w:name="pg4267_21734"/>
      <w:bookmarkEnd w:id="1"/>
    </w:p>
    <w:p>
      <w:pPr>
        <w:pStyle w:val="Heading2"/>
        <w:numPr>
          <w:ilvl w:val="1"/>
          <w:numId w:val="1"/>
        </w:numPr>
        <w:rPr/>
      </w:pPr>
      <w:bookmarkStart w:id="2" w:name="pg4267_21734"/>
      <w:bookmarkStart w:id="3" w:name="__RefHeading___Toc473877_147905668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یزدی، محمدحسن،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۱۳۳۴</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فقه اسلامی و نقش آن در شکوفایی 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محمدحسن حائری یزدی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۴۹۴</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۴۴۷</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۴۵۶</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اقتصاد</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۱۹۳</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‌۷۹۱۴۴۲۹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3879_147905668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4267_21738"/>
      <w:bookmarkStart w:id="8" w:name="pg4267_21738"/>
      <w:bookmarkEnd w:id="8"/>
    </w:p>
    <w:p>
      <w:pPr>
        <w:pStyle w:val="Heading2"/>
        <w:numPr>
          <w:ilvl w:val="1"/>
          <w:numId w:val="1"/>
        </w:numPr>
        <w:rPr/>
      </w:pPr>
      <w:bookmarkStart w:id="9" w:name="pg4267_21738"/>
      <w:bookmarkStart w:id="10" w:name="__RefHeading___Toc473881_1479056682"/>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کلیات</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وقف و صدقه</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صدقه در لغت و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صدقه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اصطلاح فقها</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مفردات تعریف</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 جایگاه وقف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وقف</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فقه امامیّه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فقه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منکران مشروعیّت</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جایگاه وقف</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تفاسیر و روایات شیعه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تفاسیر و روایات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تفاسیر</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تاریخچه وقف</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قبل از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میان ملل غیرمسلمان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میان رومیان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میان مصریان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میان عراقیهای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میان ایرانیان قدیم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میان آلمانیها</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کشور سوئیس </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وقف در کشور فرانسه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حقوق قدیم انگلستان و آمریکا</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جوامع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موقوفات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حوائط هفت‌گانه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بررسی مسأله فدک از نظر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ادله نحله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فدک</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موارد هشتگانه صدقات رسول خدا صلی‌الله‌علیه‌و‌آله</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سیره معصومین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حضرت علی علیه‌السلام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حضرت زهرا علیهاالسلام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اوقاف و صدقات برخی دیگر از امامان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در سیره صحابه و تابعین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وقف در فقه اسلامی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شرط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قُربت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دیدگاه 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دلایل کسانی که قربت را معتبر نمی‌دانند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دلایل کسانی که قربت را معتبر می‌دانند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معنای لغوی و اصطلاحی صیغه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معاطات در وقف</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وقف عقد است یا ایقاع ؟</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دیدگاه دیگر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وقف از عقود لازم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الفاظ صیغه وقف</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دیدگاه 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معنای تنجیز</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دیدگاه فقهای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ascii="Amiri" w:hAnsi="Amiri" w:eastAsia="Amiri" w:cs="Amiri"/>
          <w:color w:val="111111"/>
          <w:sz w:val="28"/>
          <w:sz w:val="28"/>
          <w:szCs w:val="28"/>
          <w:rtl w:val="true"/>
          <w:lang w:bidi="ar-SA"/>
        </w:rPr>
        <w:t>فقه امامیّه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وقف منقطع</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احکام این اقسام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وقف منقطع‌الاوّل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دیدگاه فقهای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وقف منقطع‌الوسط</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از نفس</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دیدگاه فقهای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انتفاع واقف از وقف خویش</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معنای لغوی و اصطلاحی قبض</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دیدگاه فقهای مذاهب در باره قبض در وقف</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دیدگاه 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شرط اوّل تا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عقل،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حَجْر</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و قصد</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دیگر مذاهب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بودن</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دیدگاه 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دیدگاه فقهای اهل سنّت</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قابل انتفاع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فروع مترتّب بر این شرط</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قسمت وقف از طِلق</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تملّک</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فقه امامیّه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علیه؛ شرایط و </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و عام</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وقف بدون ذکر مصرف</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موارد غیرمحصور</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مجهول‌المصرف</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اوقافی که رسم آنها باطل 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صورت انقراض موقوفٌ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شرط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تملّک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کافر ذمّی</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کافر حربی</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بِیَع، کنایس، تورات و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مشروعیت وقف بر 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دخول یا عدم دخول اولادِ اولاد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دختران در وقف اولادی</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ذریه، عقب، نسل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فرع</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مصادیق واژه‌ها و اصطلاحات</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رسول علیهم‌السلام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سبیل‌الخیر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مصرف درآمد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تفضیل، تساوی و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نگهداری و هزینه مال 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نگهداری مال 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هزینه مال موقوف</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در وقف</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 xml:space="preserve">گفتتار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مالک رَقَبه اموالِ موقوفه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دیدگاه فقهای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مالکیت 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اجاره وقف توسط 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شخصیّت حقوقی وقف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واقف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شرط</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اهمّیّت شروط واقف</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صحّت شروط</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مقتضای عقد</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اقتران به‌انشای وقف</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مخالفت با کتاب و سنت</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شرط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جهالت</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نفس شرط</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بعضی از مصادیق شروط واقف</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عَوْدِ مال موقوف به‌واقف در صورت نیاز</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خیار</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اخراج 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ادخال موقوفٌ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فقه اهل سنّت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شرط فاسد</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p>
    <w:p>
      <w:pPr>
        <w:pStyle w:val="BookText"/>
        <w:rPr/>
      </w:pP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و نظارت بر وقف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تولیت و نظارت بر وقف</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نظارت در لغت</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نظارت در اصطلاح</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اقسام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عامه، خاصه و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ولایت واقف و</w:t>
      </w:r>
      <w:r>
        <w:rPr>
          <w:rFonts w:eastAsia="IRNazanin" w:cs="IRNazanin"/>
          <w:color w:val="111111"/>
          <w:sz w:val="28"/>
          <w:szCs w:val="28"/>
          <w:rtl w:val="true"/>
          <w:lang w:bidi="fa-IR"/>
        </w:rPr>
        <w:t xml:space="preserve">... ···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نکته‌هایی از قانون مدنی</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 متولّی</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عزل متولّی در صورت سلب صلاحیت و </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ولایت برای تعیین و گزینش نگهبانان، کارگران و </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نظارت بر متولی</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حدود وظایف و اختیارات متولّی</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تفویض و توکیل در تولیت</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اجاره مال موقوف توسط متولّی</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اجرت متولّی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دیدگاه امامیّه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متولّی امین است</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مبحث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استبدال وقف</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ادلّه عدم جواز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فی‌الجمله</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وقف با بیع باطل می‌شود یا با جواز بیع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اقسام وقف و حکم بیع و استبدال آنها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 تصرف در اموال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دیدگاه دیگر مذاهب در باره 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بیع و استبدال در وقف خاصّ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IRNazanin" w:hAnsi="IRNazanin" w:eastAsia="IRNazanin"/>
          <w:color w:val="111111"/>
          <w:sz w:val="28"/>
          <w:sz w:val="28"/>
          <w:szCs w:val="28"/>
          <w:rtl w:val="true"/>
          <w:lang w:bidi="fa-IR"/>
        </w:rPr>
        <w:t>صور دهگانه جواز بیع</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نکته‌ای از صاحب عروه</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حکم ثمن مال وقف در صورت بیع</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یاد آوری چند نکته </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متصدی بیع وقف کیست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نکته پایانی این مبحث</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مبحث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اثبات وقف</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بیان راههای اثبات در فقه فریقین</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اشاره به دو نکته</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توضیح نکته‌ای بسیار مهمّ</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مبحث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مرض موت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مرض موت</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تَبَرُّع</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Amiri" w:hAnsi="Amiri" w:eastAsia="Amiri" w:cs="Amiri"/>
          <w:color w:val="111111"/>
          <w:sz w:val="28"/>
          <w:sz w:val="28"/>
          <w:szCs w:val="28"/>
          <w:rtl w:val="true"/>
          <w:lang w:bidi="ar-SA"/>
        </w:rPr>
        <w:t>تبرّعات منجَّزه و مُؤَجَّله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مسأله</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ادله قول اوّل</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ادله قول دوم</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Amiri" w:hAnsi="Amiri" w:eastAsia="Amiri" w:cs="Amiri"/>
          <w:color w:val="111111"/>
          <w:sz w:val="28"/>
          <w:sz w:val="28"/>
          <w:szCs w:val="28"/>
          <w:rtl w:val="true"/>
          <w:lang w:bidi="ar-SA"/>
        </w:rPr>
        <w:t>وصیّت به‌وقف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چند نکته</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فصل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سُکنی، عُمری، رُقبی و 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IRNazanin" w:hAnsi="IRNazanin" w:eastAsia="IRNazanin"/>
          <w:color w:val="111111"/>
          <w:sz w:val="28"/>
          <w:sz w:val="28"/>
          <w:szCs w:val="28"/>
          <w:rtl w:val="true"/>
          <w:lang w:bidi="fa-IR"/>
        </w:rPr>
        <w:t>مبحث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عُمری و رُقبی از 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معانی این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شرط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عقد</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شرط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شرط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و فایده این عقود، نقل منفعت است</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مواردی که متعَلَّقِ سکنی، عمری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و رقبی قرار می‌گیرند</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گقتار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قلمرو استفاده ساکن، مُعمَر</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قبل از انقضای مدّت مقرّر، مالک، حقّ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این عقود در صورت مرگ یکی از متعاقدَیْن</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مبحث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از دیدگاه امامیّه</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موارد و معنای حبس</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لزوم یا عدم لزوم ؟</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مبحث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رُقبی و سُکنی از دیدگاه دیگر مذاهب</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این عناوین</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عُمری</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رُقبی</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حکم سُکنی</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بخش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نقش وقف در شکوفایی اقتصاد و فرهنگ اسلامی</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کلّیاتی پیرامون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زندگی است</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در مقایسه با دیگر مکتبهای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تفاوت مکتب اقتصادی و علم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وظیفه و کار اصلی محقق در مکتب اقتصادی اسلام، کشف است</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و علم اقتصاد</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هدف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اصلی</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هدفهای فرعی و ثانوی</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سیاسی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ارزشهای معنوی و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عدالت اجتماعی</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اقتصادی</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و رشد</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رفاه عمومی</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وقف در تحقق اهداف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وقف در تحقّق هدف اصلی و اوّلی</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وقف در تحقّق اهداف فرعی اقتصاد اسلامی</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نقش وقف</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گفتار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گوشه‌هایی از موارد و جهات مصرف اوقاف</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بیمارستان</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موارد</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از نو میراث جاویدان وقف را احیا کنیم ؟</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عوامل رکود</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تبلیغات صحیح و مستمر در سطوح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قانونی از اوقاف</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منابع و مآخذ</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bookmarkStart w:id="12" w:name="pg4267_21750"/>
    </w:p>
    <w:p>
      <w:pPr>
        <w:pStyle w:val="Heading2"/>
        <w:numPr>
          <w:ilvl w:val="1"/>
          <w:numId w:val="1"/>
        </w:numPr>
        <w:rPr/>
      </w:pPr>
      <w:bookmarkStart w:id="13" w:name="__RefHeading___Toc473883_1479056682"/>
      <w:bookmarkStart w:id="14" w:name="_Toc4"/>
      <w:bookmarkEnd w:id="12"/>
      <w:bookmarkEnd w:id="13"/>
      <w:r>
        <w:rPr>
          <w:rtl w:val="true"/>
        </w:rPr>
        <w:t>پیشگفتار</w:t>
      </w:r>
      <w:bookmarkEnd w:id="14"/>
    </w:p>
    <w:p>
      <w:pPr>
        <w:pStyle w:val="BookText"/>
        <w:rPr/>
      </w:pPr>
      <w:r>
        <w:rPr>
          <w:rFonts w:ascii="Amiri" w:hAnsi="Amiri" w:eastAsia="Amiri" w:cs="Amiri"/>
          <w:color w:val="111111"/>
          <w:sz w:val="28"/>
          <w:sz w:val="28"/>
          <w:szCs w:val="28"/>
          <w:rtl w:val="true"/>
          <w:lang w:bidi="ar-SA"/>
        </w:rPr>
        <w:t>لَنْ تَنالُواالْبِرَّ حَتّی تُنْفِقُوا مِمّا تُحِبُّونَ</w:t>
      </w:r>
      <w:r>
        <w:rPr>
          <w:rStyle w:val="FootnoteAnchor"/>
          <w:rtl w:val="true"/>
        </w:rPr>
        <w:footnoteReference w:id="2"/>
      </w:r>
      <w:r>
        <w:rPr>
          <w:rFonts w:ascii="IRNazanin" w:hAnsi="IRNazanin" w:eastAsia="IRNazanin"/>
          <w:color w:val="111111"/>
          <w:sz w:val="28"/>
          <w:sz w:val="28"/>
          <w:szCs w:val="28"/>
          <w:rtl w:val="true"/>
          <w:lang w:bidi="fa-IR"/>
        </w:rPr>
        <w:t>چنان که در متن اثر حاضر اشاره شده، سنّتِ دیرپای وقف،هم در سیره رسول خدا صلی‌الله‌علیه‌و‌آله و معصومین علیهم‌السلام و هم در سیره صحابه و تابعین از جایگاهی والا و ارجمند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صدر اوّل نیز مسلمانان، به‌سهم خود، در همه اعصار و امصار به‌عنوان یک سنّت حسنه و صدقه جاریه به‌آن نگریسته‌اند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روند، به‌رغم همه نشیب و فرازها و عوامل متعدد بازدارنده در طول تاریخ، استمرار یافت تا آن‌جا که در مقاطع متعدّد تاریخی، در بسیاری از بلاد اسلامی، آمار رَقَبات موقوفه به‌ارقامی نجومی و شگفت‌آور رسید که در مبحث پایانی این کتاب به‌گوشه‌هایی از آنها اشاره‌هایی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از ذکر این نکته، بیان این واقعیت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وقف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بعضی از 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مسأله اصلی و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یک مسأله فرعی و حاشیه‌ای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جامعه اسلامی مطرح بوده است و مسلمانان برای آن حساب ویژه‌ای باز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ابعاد گوناگون فقهی، فرهنگی، اقتصادی، اجتماعی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زمینه‌های</w:t>
      </w:r>
    </w:p>
    <w:p>
      <w:pPr>
        <w:pStyle w:val="BookText"/>
        <w:rPr/>
      </w:pPr>
      <w:r>
        <w:rPr>
          <w:rFonts w:ascii="IRNazanin" w:hAnsi="IRNazanin" w:eastAsia="IRNazanin"/>
          <w:color w:val="111111"/>
          <w:sz w:val="28"/>
          <w:sz w:val="28"/>
          <w:szCs w:val="28"/>
          <w:rtl w:val="true"/>
          <w:lang w:bidi="fa-IR"/>
        </w:rPr>
        <w:t xml:space="preserve">پژوهش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سالهای اخیر و پس از پیروزی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بس ارزنده و قابل توجهی در این مورد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تا آن‌جا که نگارنده استقصا کرده، این موضوع ازنظر فقهی و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مورد توجه قرار گرفته و جای کتابی مستقل در موضوع وقف با محوریت فقه امامیه، که در آن دیدگاه دیگر مذاهب اسلامی نیز مورد بحث و بررسی قرار گرفته باشد، خالی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نگارنده به‌هیچ وجه مدّعی نیست که این خلأ را پر کرده و یا در این زمینه کاری درخور انجام داده، اما به‌هرحال گامی است که برداشته و کاری است که با راهنماییهای ارزشمند اساتیدی بزرگوار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 است محقّقان و پژوهشگران ارجمند با عنایت به اهمّیّت ویژه این موضوع، گامهای </w:t>
      </w:r>
    </w:p>
    <w:p>
      <w:pPr>
        <w:pStyle w:val="BookText"/>
        <w:rPr/>
      </w:pPr>
      <w:r>
        <w:rPr>
          <w:rFonts w:ascii="IRNazanin" w:hAnsi="IRNazanin" w:eastAsia="IRNazanin"/>
          <w:color w:val="111111"/>
          <w:sz w:val="28"/>
          <w:sz w:val="28"/>
          <w:szCs w:val="28"/>
          <w:rtl w:val="true"/>
          <w:lang w:bidi="fa-IR"/>
        </w:rPr>
        <w:t>بلندتری را بردارند و کارهای ارزشمندتری را در این زمینه‌ها ارائه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اثر، بجز فهرستها و پیشگفتار، سه بخش ا صلی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می‌گیرد؛بخش اوّل با</w:t>
      </w:r>
    </w:p>
    <w:p>
      <w:pPr>
        <w:pStyle w:val="BookText"/>
        <w:rPr/>
      </w:pP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واژه وقف و صدقه، مشروعیّت و جایگاه وقف و تاریخچه آن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در فقه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در آن، شرایط وقف، واقف، مال موقوف و موقوفٌ علیه بررسی شده، سپس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مباحث ملکیت در وقف، تولیت و نظارت بر وقف، شروط واقف، بیع و استبدال وقف، راههای اثبات وقف و وقف در مرض مَوْت، مطرح و بررسی</w:t>
      </w:r>
    </w:p>
    <w:p>
      <w:pPr>
        <w:pStyle w:val="BookText"/>
        <w:rPr/>
      </w:pPr>
      <w:r>
        <w:rPr>
          <w:rFonts w:ascii="IRNazanin" w:hAnsi="IRNazanin" w:eastAsia="IRNazanin"/>
          <w:color w:val="111111"/>
          <w:sz w:val="28"/>
          <w:sz w:val="28"/>
          <w:szCs w:val="28"/>
          <w:rtl w:val="true"/>
          <w:lang w:bidi="fa-IR"/>
        </w:rPr>
        <w:t>شده و در پایان، مطالبی دربارة سُکنی، عُمری، رُقبی و حبس آمده و مورد تحقیق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 سوم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وقف در شکوفایی اقتصاد و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کلّیّاتی پیرامون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سپس در ادامه، اهدافِ اقتصاد اسلامی ونقش مثبت وقف در تحقّق آن اهداف، به اختصار مورد بررسی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پیشنهادهایی است در مورد احیای مجدّد و رونق دوباره سنّتِ وقف، به این امید که این سنّت دیرینه اسلامی جایگاه راستین خود را باز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نگارنده در این اثر از راهنمایی‌های ارزشمند اساتید بزرگوار و حجج اسلام استاد محمد واعظ‌زاده</w:t>
      </w:r>
    </w:p>
    <w:p>
      <w:pPr>
        <w:pStyle w:val="BookText"/>
        <w:rPr/>
      </w:pPr>
      <w:r>
        <w:rPr>
          <w:rFonts w:ascii="IRNazanin" w:hAnsi="IRNazanin" w:eastAsia="IRNazanin"/>
          <w:color w:val="111111"/>
          <w:sz w:val="28"/>
          <w:sz w:val="28"/>
          <w:szCs w:val="28"/>
          <w:rtl w:val="true"/>
          <w:lang w:bidi="fa-IR"/>
        </w:rPr>
        <w:t>خراسانی، استاد عبدالکریم عبداللّهی نژاد و استاد کاظم مدیر شانه‌چی، استادان گرانقدر دانشکده الهیاتِ دانشگاه فردوسی و نیز حجه‌الاسلام والمسلمین استاد الهی خراسانی، مدیر عامل محترم بنیاد پژوهشهای اسلامی آستان قدس رضوی، بهره جسته و در ویرایش اثر از همراهی فاضل ارجمند جعفر</w:t>
      </w:r>
    </w:p>
    <w:p>
      <w:pPr>
        <w:pStyle w:val="BookText"/>
        <w:rPr/>
      </w:pPr>
      <w:r>
        <w:rPr>
          <w:rFonts w:ascii="IRNazanin" w:hAnsi="IRNazanin" w:eastAsia="IRNazanin"/>
          <w:color w:val="111111"/>
          <w:sz w:val="28"/>
          <w:sz w:val="28"/>
          <w:szCs w:val="28"/>
          <w:rtl w:val="true"/>
          <w:lang w:bidi="fa-IR"/>
        </w:rPr>
        <w:t>شریعتمداری برخوردار شده و زحمت آماده سازی را به دوش آقای رضا ارغیانی و رنج حروف چینی را بر دستان آقای احمد پهلوان‌زاده نهاده و همچنین از همان آغاز از همراهی بیدریغ برادر ارجمند مصطفی کدکنی استفاده کرده است و اینک وظیفه خود می‌داند از همه این عزیزان بویژه استادان</w:t>
      </w:r>
    </w:p>
    <w:p>
      <w:pPr>
        <w:pStyle w:val="BookText"/>
        <w:rPr/>
      </w:pPr>
      <w:r>
        <w:rPr>
          <w:rFonts w:ascii="IRNazanin" w:hAnsi="IRNazanin" w:eastAsia="IRNazanin"/>
          <w:color w:val="111111"/>
          <w:sz w:val="28"/>
          <w:sz w:val="28"/>
          <w:szCs w:val="28"/>
          <w:rtl w:val="true"/>
          <w:lang w:bidi="fa-IR"/>
        </w:rPr>
        <w:t>گرانقدر و برادران عزیز در واحد نشر بنیاد پژوهشهای اسلامی تقدیر و سپاسگزاری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نگاره همچنین ضمن اعتراف به پیراسته نبودن این اثر از اشکال، آمادگی خود را برای استقبال از</w:t>
      </w:r>
    </w:p>
    <w:p>
      <w:pPr>
        <w:pStyle w:val="BookText"/>
        <w:rPr/>
      </w:pPr>
      <w:r>
        <w:rPr>
          <w:rFonts w:ascii="IRNazanin" w:hAnsi="IRNazanin" w:eastAsia="IRNazanin"/>
          <w:color w:val="111111"/>
          <w:sz w:val="28"/>
          <w:sz w:val="28"/>
          <w:szCs w:val="28"/>
          <w:rtl w:val="true"/>
          <w:lang w:bidi="fa-IR"/>
        </w:rPr>
        <w:t>هر نقد خیرخواهانه و راهنمایی دلسوزانه اعلام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فردوسی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حسن حائری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4267_21754"/>
      <w:bookmarkStart w:id="16" w:name="pg4267_21754"/>
      <w:bookmarkEnd w:id="16"/>
    </w:p>
    <w:p>
      <w:pPr>
        <w:pStyle w:val="Heading2"/>
        <w:numPr>
          <w:ilvl w:val="1"/>
          <w:numId w:val="1"/>
        </w:numPr>
        <w:rPr/>
      </w:pPr>
      <w:bookmarkStart w:id="17" w:name="pg4267_21754"/>
      <w:bookmarkStart w:id="18" w:name="__RefHeading___Toc473885_1479056682"/>
      <w:bookmarkStart w:id="19" w:name="_Toc5"/>
      <w:bookmarkEnd w:id="17"/>
      <w:bookmarkEnd w:id="18"/>
      <w:r>
        <w:rPr>
          <w:rtl w:val="true"/>
        </w:rPr>
        <w:t xml:space="preserve">بخش </w:t>
      </w:r>
      <w:r>
        <w:rPr/>
        <w:t>1</w:t>
      </w:r>
      <w:r>
        <w:rPr>
          <w:rtl w:val="true"/>
        </w:rPr>
        <w:t xml:space="preserve">: </w:t>
      </w:r>
      <w:r>
        <w:rPr>
          <w:rtl w:val="true"/>
        </w:rPr>
        <w:t>کلیات</w:t>
      </w:r>
      <w:bookmarkEnd w:id="1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0" w:name="__RefHeading___Toc473887_1479056682"/>
      <w:bookmarkStart w:id="21" w:name="_Toc6"/>
      <w:bookmarkEnd w:id="20"/>
      <w:r>
        <w:rPr>
          <w:rtl w:val="true"/>
        </w:rPr>
        <w:t>اشاره</w:t>
      </w:r>
      <w:bookmarkEnd w:id="21"/>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 w:name="pg4267_21756"/>
      <w:bookmarkStart w:id="23" w:name="pg4267_21756"/>
      <w:bookmarkEnd w:id="23"/>
    </w:p>
    <w:p>
      <w:pPr>
        <w:pStyle w:val="Heading3"/>
        <w:numPr>
          <w:ilvl w:val="2"/>
          <w:numId w:val="1"/>
        </w:numPr>
        <w:rPr/>
      </w:pPr>
      <w:bookmarkStart w:id="24" w:name="pg4267_21756"/>
      <w:bookmarkStart w:id="25" w:name="__RefHeading___Toc473889_1479056682"/>
      <w:bookmarkStart w:id="26" w:name="_Toc7"/>
      <w:bookmarkEnd w:id="24"/>
      <w:bookmarkEnd w:id="25"/>
      <w:r>
        <w:rPr>
          <w:rtl w:val="true"/>
        </w:rPr>
        <w:t>فصل اول</w:t>
      </w:r>
      <w:r>
        <w:rPr>
          <w:rtl w:val="true"/>
        </w:rPr>
        <w:t xml:space="preserve">: </w:t>
      </w:r>
      <w:r>
        <w:rPr>
          <w:rtl w:val="true"/>
        </w:rPr>
        <w:t>واژه وقف و صدقه</w:t>
      </w:r>
      <w:bookmarkEnd w:id="26"/>
    </w:p>
    <w:p>
      <w:pPr>
        <w:pStyle w:val="Heading4"/>
        <w:numPr>
          <w:ilvl w:val="3"/>
          <w:numId w:val="1"/>
        </w:numPr>
        <w:rPr/>
      </w:pPr>
      <w:bookmarkStart w:id="27" w:name="__RefHeading___Toc473891_1479056682"/>
      <w:bookmarkStart w:id="28" w:name="_Toc8"/>
      <w:bookmarkEnd w:id="27"/>
      <w:r>
        <w:rPr>
          <w:rtl w:val="true"/>
        </w:rPr>
        <w:t>مبحث اوّل</w:t>
      </w:r>
      <w:r>
        <w:rPr>
          <w:rtl w:val="true"/>
        </w:rPr>
        <w:t xml:space="preserve">: </w:t>
      </w:r>
      <w:r>
        <w:rPr>
          <w:rtl w:val="true"/>
        </w:rPr>
        <w:t>وقف و صدقه در لغت و اصطلاح</w:t>
      </w:r>
      <w:bookmarkEnd w:id="28"/>
    </w:p>
    <w:p>
      <w:pPr>
        <w:pStyle w:val="Heading5"/>
        <w:numPr>
          <w:ilvl w:val="4"/>
          <w:numId w:val="1"/>
        </w:numPr>
        <w:rPr/>
      </w:pPr>
      <w:bookmarkStart w:id="29" w:name="__RefHeading___Toc473893_1479056682"/>
      <w:bookmarkStart w:id="30" w:name="_Toc9"/>
      <w:bookmarkEnd w:id="29"/>
      <w:r>
        <w:rPr>
          <w:rtl w:val="true"/>
        </w:rPr>
        <w:t xml:space="preserve">گفتار </w:t>
      </w:r>
      <w:r>
        <w:rPr/>
        <w:t>1</w:t>
      </w:r>
      <w:r>
        <w:rPr>
          <w:rtl w:val="true"/>
        </w:rPr>
        <w:t xml:space="preserve">- </w:t>
      </w:r>
      <w:r>
        <w:rPr>
          <w:rtl w:val="true"/>
        </w:rPr>
        <w:t>وقف در لغت</w:t>
      </w:r>
      <w:bookmarkEnd w:id="30"/>
    </w:p>
    <w:p>
      <w:pPr>
        <w:pStyle w:val="BookText"/>
        <w:rPr/>
      </w:pPr>
      <w:r>
        <w:rPr>
          <w:rFonts w:ascii="IRNazanin" w:hAnsi="IRNazanin" w:eastAsia="IRNazanin"/>
          <w:color w:val="111111"/>
          <w:sz w:val="28"/>
          <w:sz w:val="28"/>
          <w:szCs w:val="28"/>
          <w:rtl w:val="true"/>
          <w:lang w:bidi="fa-IR"/>
        </w:rPr>
        <w:t>وقف در لغت به معنای ایستادن و درنگ کردن است</w:t>
      </w:r>
      <w:r>
        <w:rPr>
          <w:rStyle w:val="FootnoteAnchor"/>
          <w:rtl w:val="true"/>
        </w:rPr>
        <w:footnoteReference w:id="3"/>
      </w:r>
      <w:r>
        <w:rPr>
          <w:rFonts w:ascii="IRNazanin" w:hAnsi="IRNazanin" w:eastAsia="IRNazanin"/>
          <w:color w:val="111111"/>
          <w:sz w:val="28"/>
          <w:sz w:val="28"/>
          <w:szCs w:val="28"/>
          <w:rtl w:val="true"/>
          <w:lang w:bidi="fa-IR"/>
        </w:rPr>
        <w:t xml:space="preserve">در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ضدّ جلوس است، هر گاه کسی در مکانی بایستد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آن وقوف است و به صورت متعدّی نیز به کار می‌رود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وَقَفْتُها اَنَا وَقَفًا وَ وَقَفَ الدّابَّةَ،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وَقَفَ الاَرْضَ عَلی الْمَساکینِ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لِلْمَساکینِ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حبس خواهد بود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خلیل بن احمد در توضیح این واژه می‌نویسد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الْکَلِمة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و این کلمه متعدّی است که گاهی لازم هم به کار می‌رود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بجز در معنای کندن و انتزاع کردن به کار </w:t>
      </w:r>
      <w:bookmarkStart w:id="31" w:name="pg4267_21757"/>
    </w:p>
    <w:p>
      <w:pPr>
        <w:pStyle w:val="BookText"/>
        <w:rPr/>
      </w:pPr>
      <w:bookmarkEnd w:id="31"/>
      <w:r>
        <w:rPr>
          <w:rFonts w:ascii="IRNazanin" w:hAnsi="IRNazanin" w:eastAsia="IRNazanin"/>
          <w:color w:val="111111"/>
          <w:sz w:val="28"/>
          <w:sz w:val="28"/>
          <w:szCs w:val="28"/>
          <w:rtl w:val="true"/>
          <w:lang w:bidi="fa-IR"/>
        </w:rPr>
        <w:t>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نوعی زیور که از عاج و یا شاخ حیوانات ساخته می‌شود،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سخن جوهری در صحاح اللّغة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به معنای زیوری ساخته شده از عاج نیز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المرأة توقیفا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آن زن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 آن ایستادن است و به معنای آگاه ساختن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وقَفتُه عَلی ذَنْبِه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بر گناهش آگاه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لغتی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البتّه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موردی که به معنای کندن و انتراع کردن به کار رود، و نیز اگر به کسی که ایستاده است،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مااَوْقَفَک</w:t>
      </w:r>
    </w:p>
    <w:p>
      <w:pPr>
        <w:pStyle w:val="BookText"/>
        <w:rPr/>
      </w:pPr>
      <w:r>
        <w:rPr>
          <w:rFonts w:ascii="IRNazanin" w:hAnsi="IRNazanin" w:eastAsia="IRNazanin"/>
          <w:color w:val="111111"/>
          <w:sz w:val="28"/>
          <w:sz w:val="28"/>
          <w:szCs w:val="28"/>
          <w:rtl w:val="true"/>
          <w:lang w:bidi="fa-IR"/>
        </w:rPr>
        <w:t>هیهُنا؟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نیکوست و قبحی ندارد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در مُعْجَم مَقاییس اللُّغَه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در مجمع البحرین نیز برای بیان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لَوْتَری اِذْ وُقِفوُا عَلیَ النّارِ</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 xml:space="preserve">شاهد آورده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مکث و درنگ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البتّه به شکل متعدّی، فهمیده می‌شود</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از مجموع آنچه در معنای لغوی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به دست می‌آید که این واژه به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ایستادن و درنگ کردن، سرپا نگه داشتن، آگاه شدن و آگاه ساختن، کندن و انتزاع کردن، منع و نوعی زیور و احیانا بعضی معانی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مباحث آینده</w:t>
      </w:r>
    </w:p>
    <w:p>
      <w:pPr>
        <w:pStyle w:val="BookText"/>
        <w:rPr/>
      </w:pPr>
      <w:r>
        <w:rPr>
          <w:rFonts w:ascii="IRNazanin" w:hAnsi="IRNazanin" w:eastAsia="IRNazanin"/>
          <w:color w:val="111111"/>
          <w:sz w:val="28"/>
          <w:sz w:val="28"/>
          <w:szCs w:val="28"/>
          <w:rtl w:val="true"/>
          <w:lang w:bidi="fa-IR"/>
        </w:rPr>
        <w:t>روشن خواهد شد که همه این معانی لغوی به شکلی با معنای اصطلاحی آن در فقه اسلامی تناسب و ارتباط اساسی دارند</w:t>
      </w:r>
      <w:r>
        <w:rPr>
          <w:rFonts w:eastAsia="IRNazanin" w:cs="IRNazanin"/>
          <w:color w:val="111111"/>
          <w:sz w:val="28"/>
          <w:szCs w:val="28"/>
          <w:rtl w:val="true"/>
          <w:lang w:bidi="fa-IR"/>
        </w:rPr>
        <w:t>.</w:t>
      </w:r>
    </w:p>
    <w:p>
      <w:pPr>
        <w:pStyle w:val="Heading5"/>
        <w:numPr>
          <w:ilvl w:val="4"/>
          <w:numId w:val="1"/>
        </w:numPr>
        <w:rPr/>
      </w:pPr>
      <w:bookmarkStart w:id="32" w:name="__RefHeading___Toc473895_1479056682"/>
      <w:bookmarkStart w:id="33" w:name="_Toc10"/>
      <w:bookmarkEnd w:id="32"/>
      <w:r>
        <w:rPr>
          <w:rtl w:val="true"/>
        </w:rPr>
        <w:t xml:space="preserve">گفتار </w:t>
      </w:r>
      <w:r>
        <w:rPr/>
        <w:t>2</w:t>
      </w:r>
      <w:r>
        <w:rPr>
          <w:rtl w:val="true"/>
        </w:rPr>
        <w:t xml:space="preserve">- </w:t>
      </w:r>
      <w:r>
        <w:rPr>
          <w:rtl w:val="true"/>
        </w:rPr>
        <w:t>صدقه در لغت</w:t>
      </w:r>
      <w:bookmarkEnd w:id="33"/>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مُعْجَمُ مَقاییس اللُغَة در توضیح ریشه معنای صدقه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یعنی آنچه انسان از طرف خود و مالش تصدّق می‌کند و این واژه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که به معنای شی‌ء قوی است؛ قول و یا غیر آن و راستگویی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نامیده‌اند، برای این که </w:t>
      </w:r>
    </w:p>
    <w:p>
      <w:pPr>
        <w:pStyle w:val="BookText"/>
        <w:rPr/>
      </w:pPr>
      <w:r>
        <w:rPr>
          <w:rFonts w:ascii="IRNazanin" w:hAnsi="IRNazanin" w:eastAsia="IRNazanin"/>
          <w:color w:val="111111"/>
          <w:sz w:val="28"/>
          <w:sz w:val="28"/>
          <w:szCs w:val="28"/>
          <w:rtl w:val="true"/>
          <w:lang w:bidi="fa-IR"/>
        </w:rPr>
        <w:t xml:space="preserve">در ذات خود قوی و ابطال‌ناپذیر است،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ضعیف و متزلزل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شَی‌ءٌ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صُلب و محکم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رُمْحٌ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نیزه محکم و این که به مهریه زن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برای قوّت حقّانیّت آن است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در لسان العرب از خلیل نقل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کامل از هر چیز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امرأةٌ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 و زن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چیزی است که انسان آن را در راه خدا به فقرا انفاق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مصدّق،</w:t>
      </w:r>
    </w:p>
    <w:p>
      <w:pPr>
        <w:pStyle w:val="BookText"/>
        <w:rPr/>
      </w:pPr>
      <w:r>
        <w:rPr>
          <w:rFonts w:ascii="IRNazanin" w:hAnsi="IRNazanin" w:eastAsia="IRNazanin"/>
          <w:color w:val="111111"/>
          <w:sz w:val="28"/>
          <w:sz w:val="28"/>
          <w:szCs w:val="28"/>
          <w:rtl w:val="true"/>
          <w:lang w:bidi="fa-IR"/>
        </w:rPr>
        <w:t>کسی است که صدقاتِ اَنعام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جمع‌آوری می‌کند و به مُعطی صدقات و گیرنده و درخواست کننده آنها یعنی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در صحاح اللّغة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عموم مردم به سائل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امّا</w:t>
      </w:r>
    </w:p>
    <w:p>
      <w:pPr>
        <w:pStyle w:val="BookText"/>
        <w:rPr/>
      </w:pPr>
      <w:r>
        <w:rPr>
          <w:rFonts w:ascii="IRNazanin" w:hAnsi="IRNazanin" w:eastAsia="IRNazanin"/>
          <w:color w:val="111111"/>
          <w:sz w:val="28"/>
          <w:sz w:val="28"/>
          <w:szCs w:val="28"/>
          <w:rtl w:val="true"/>
          <w:lang w:bidi="fa-IR"/>
        </w:rPr>
        <w:t xml:space="preserve">این واژه به معنای معطی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واقع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تبدیل</w:t>
      </w:r>
    </w:p>
    <w:p>
      <w:pPr>
        <w:pStyle w:val="BookText"/>
        <w:rPr/>
      </w:pPr>
      <w:r>
        <w:rPr>
          <w:rFonts w:ascii="Amiri" w:hAnsi="Amiri" w:eastAsia="Amiri" w:cs="Amiri"/>
          <w:color w:val="111111"/>
          <w:sz w:val="28"/>
          <w:sz w:val="28"/>
          <w:szCs w:val="28"/>
          <w:rtl w:val="true"/>
          <w:lang w:bidi="ar-SA"/>
        </w:rPr>
        <w:t xml:space="preserve">و ادغام به این صورت در آمده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معنای خُلَّت و دوستی</w:t>
      </w:r>
    </w:p>
    <w:p>
      <w:pPr>
        <w:pStyle w:val="BookText"/>
        <w:rPr/>
      </w:pP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می‌گویند که گفتارش، کردارش را تأیید و تصدیق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نیزه مستحکم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چیزی است که به فقرا انفاق</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ابن اثیر در ذیل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را ذکر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آن گاه که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ولْتَنْظُرْ نَفْسٌ ما قَدَّمَتْ لِغَدٍ</w:t>
      </w:r>
      <w:r>
        <w:rPr>
          <w:rFonts w:eastAsia="IRNazanin" w:cs="IRNazanin"/>
          <w:color w:val="111111"/>
          <w:sz w:val="28"/>
          <w:szCs w:val="28"/>
          <w:rtl w:val="true"/>
          <w:lang w:bidi="fa-IR"/>
        </w:rPr>
        <w:t>»</w:t>
      </w:r>
      <w:r>
        <w:rPr>
          <w:rStyle w:val="FootnoteAnchor"/>
          <w:rtl w:val="true"/>
        </w:rPr>
        <w:footnoteReference w:id="12"/>
      </w:r>
      <w:r>
        <w:rPr>
          <w:rFonts w:ascii="IRNazanin" w:hAnsi="IRNazanin" w:eastAsia="IRNazanin"/>
          <w:color w:val="111111"/>
          <w:sz w:val="28"/>
          <w:sz w:val="28"/>
          <w:szCs w:val="28"/>
          <w:rtl w:val="true"/>
          <w:lang w:bidi="fa-IR"/>
        </w:rPr>
        <w:t>را قراءت کرد،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رَجُلٌ مِنْ دینارِهِ وَ مِنْ دِرْهَمهِ وَ ثَوْبِهِ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آیه مربوط به کسی است که از دینار و درهم و پوشاک خود تصدّق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هر چند ظاهر خبری دارد اما در معنای انشاء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اَنْجَزَ حُرٌّ ما 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لِیُنْجِزْ</w:t>
      </w:r>
      <w:r>
        <w:rPr>
          <w:rFonts w:eastAsia="IRNazanin" w:cs="IRNazanin"/>
          <w:color w:val="111111"/>
          <w:sz w:val="28"/>
          <w:szCs w:val="28"/>
          <w:rtl w:val="true"/>
          <w:lang w:bidi="fa-IR"/>
        </w:rPr>
        <w:t>».</w:t>
      </w:r>
      <w:r>
        <w:rPr>
          <w:rStyle w:val="FootnoteAnchor"/>
          <w:rtl w:val="true"/>
        </w:rPr>
        <w:footnoteReference w:id="13"/>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طُرَیحی نیز در مجمع البحرین ضمن بیان این مطلب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صِدِّیق یعنی انسانی که بر تصدیق به حقّ و حقیقت مداومت دارد، معنای اصطلاحی صدقه را ذکر کرده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 به طور تبرّعی و بلاعوض با قصد قربت به دیگری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می‌دارد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کفّاره و اَمثال آن در این تعریف داخلند</w:t>
      </w:r>
      <w:r>
        <w:rPr>
          <w:rFonts w:eastAsia="IRNazanin" w:cs="IRNazanin"/>
          <w:color w:val="111111"/>
          <w:sz w:val="28"/>
          <w:szCs w:val="28"/>
          <w:rtl w:val="true"/>
          <w:lang w:bidi="fa-IR"/>
        </w:rPr>
        <w:t>.</w:t>
      </w:r>
      <w:r>
        <w:rPr>
          <w:rStyle w:val="FootnoteAnchor"/>
          <w:rtl w:val="true"/>
        </w:rPr>
        <w:footnoteReference w:id="14"/>
      </w:r>
      <w:bookmarkStart w:id="34" w:name="pg4267_21759"/>
    </w:p>
    <w:p>
      <w:pPr>
        <w:pStyle w:val="BookText"/>
        <w:rPr/>
      </w:pPr>
      <w:bookmarkEnd w:id="34"/>
      <w:r>
        <w:rPr>
          <w:rFonts w:ascii="IRNazanin" w:hAnsi="IRNazanin" w:eastAsia="IRNazanin"/>
          <w:color w:val="111111"/>
          <w:sz w:val="28"/>
          <w:sz w:val="28"/>
          <w:szCs w:val="28"/>
          <w:rtl w:val="true"/>
          <w:lang w:bidi="fa-IR"/>
        </w:rPr>
        <w:t xml:space="preserve">بنابراین، صدقه در لغت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درستی، دوستی، استحکام و مانند اینهاست و تناسب و ارتباط آن با معنای اصطلاحی‌اش، که به آن اشاره شد و توضیح بیشتر آن خواهد آمد، روشن است</w:t>
      </w:r>
      <w:r>
        <w:rPr>
          <w:rFonts w:eastAsia="IRNazanin" w:cs="IRNazanin"/>
          <w:color w:val="111111"/>
          <w:sz w:val="28"/>
          <w:szCs w:val="28"/>
          <w:rtl w:val="true"/>
          <w:lang w:bidi="fa-IR"/>
        </w:rPr>
        <w:t>.</w:t>
      </w:r>
    </w:p>
    <w:p>
      <w:pPr>
        <w:pStyle w:val="Heading5"/>
        <w:numPr>
          <w:ilvl w:val="4"/>
          <w:numId w:val="1"/>
        </w:numPr>
        <w:rPr/>
      </w:pPr>
      <w:bookmarkStart w:id="35" w:name="__RefHeading___Toc473897_1479056682"/>
      <w:bookmarkStart w:id="36" w:name="_Toc11"/>
      <w:bookmarkEnd w:id="35"/>
      <w:r>
        <w:rPr>
          <w:rtl w:val="true"/>
        </w:rPr>
        <w:t xml:space="preserve">گفتار </w:t>
      </w:r>
      <w:r>
        <w:rPr/>
        <w:t>3</w:t>
      </w:r>
      <w:r>
        <w:rPr>
          <w:rtl w:val="true"/>
        </w:rPr>
        <w:t xml:space="preserve">- </w:t>
      </w:r>
      <w:r>
        <w:rPr>
          <w:rtl w:val="true"/>
        </w:rPr>
        <w:t>وقف در اصطلاح فقها</w:t>
      </w:r>
      <w:bookmarkEnd w:id="36"/>
    </w:p>
    <w:p>
      <w:pPr>
        <w:pStyle w:val="BookText"/>
        <w:rPr/>
      </w:pPr>
      <w:r>
        <w:rPr>
          <w:rFonts w:ascii="IRNazanin" w:hAnsi="IRNazanin" w:eastAsia="IRNazanin"/>
          <w:color w:val="111111"/>
          <w:sz w:val="28"/>
          <w:sz w:val="28"/>
          <w:szCs w:val="28"/>
          <w:rtl w:val="true"/>
          <w:lang w:bidi="fa-IR"/>
        </w:rPr>
        <w:t>شیخ طوسی در مبسوط قبل از تعریف وقف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عطایا بر سه دسته‌اند که دوتای آنها در زندگی دنیا و یکی مربوط به جهان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به آخرت مربوط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بحث مستقل دارد، و امّا آن دو که به زندگی دنیا ارتباط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سپس در مقام تعریف وقف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 و نادر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محقّق در شرایع، وقف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مقداری 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تعریف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اَلْوقفُ عَقدٌ ثَمَرتُهُ تَحبیسُ الاصلِ و اِطْلاقُ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حالی که در المختصر النّافع</w:t>
      </w:r>
    </w:p>
    <w:p>
      <w:pPr>
        <w:pStyle w:val="BookText"/>
        <w:rPr/>
      </w:pPr>
      <w:r>
        <w:rPr>
          <w:rFonts w:ascii="IRNazanin" w:hAnsi="IRNazanin" w:eastAsia="IRNazanin"/>
          <w:color w:val="111111"/>
          <w:sz w:val="28"/>
          <w:sz w:val="28"/>
          <w:szCs w:val="28"/>
          <w:rtl w:val="true"/>
          <w:lang w:bidi="fa-IR"/>
        </w:rPr>
        <w:t xml:space="preserve">تفاوت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تعریف شیخ در مبسوط تنها در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تعریف شهید در لمعه نیز دقیقا همان تعریف محقّق در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علاّمه در قواعد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الوقفُ عَقدٌ یُفیدُ تَحْبیسَ الاَْصلِ وَ اِطلاقَ الْمَنفعةِ</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ابن ادریس در سرائر با عباراتی تقریبا همانند عبارات شیخ طوسی در مبسوط، وقف</w:t>
      </w:r>
    </w:p>
    <w:p>
      <w:pPr>
        <w:pStyle w:val="BookText"/>
        <w:rPr/>
      </w:pPr>
      <w:r>
        <w:rPr>
          <w:rFonts w:ascii="IRNazanin" w:hAnsi="IRNazanin" w:eastAsia="IRNazanin"/>
          <w:color w:val="111111"/>
          <w:sz w:val="28"/>
          <w:sz w:val="28"/>
          <w:szCs w:val="28"/>
          <w:rtl w:val="true"/>
          <w:lang w:bidi="fa-IR"/>
        </w:rPr>
        <w:t>را دقیقا همانند شیخ تعریف کرده است</w:t>
      </w:r>
      <w:r>
        <w:rPr>
          <w:rFonts w:eastAsia="IRNazanin" w:cs="IRNazanin"/>
          <w:color w:val="111111"/>
          <w:sz w:val="28"/>
          <w:szCs w:val="28"/>
          <w:rtl w:val="true"/>
          <w:lang w:bidi="fa-IR"/>
        </w:rPr>
        <w:t>.</w:t>
      </w:r>
      <w:r>
        <w:rPr>
          <w:rStyle w:val="FootnoteAnchor"/>
          <w:rtl w:val="true"/>
        </w:rPr>
        <w:footnoteReference w:id="18"/>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ثانی در ذیل تعریف شرایع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وقف به بعضی از خواص آن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تعریف حقیقی نیست، این دو از ویژگیهای وقف هستند وگرنه حبس، سُکنی، عمری و رُقبی</w:t>
      </w:r>
      <w:r>
        <w:rPr>
          <w:rStyle w:val="FootnoteAnchor"/>
          <w:rtl w:val="true"/>
        </w:rPr>
        <w:footnoteReference w:id="19"/>
      </w:r>
      <w:r>
        <w:rPr>
          <w:rFonts w:ascii="IRNazanin" w:hAnsi="IRNazanin" w:eastAsia="IRNazanin"/>
          <w:color w:val="111111"/>
          <w:sz w:val="28"/>
          <w:sz w:val="28"/>
          <w:szCs w:val="28"/>
          <w:rtl w:val="true"/>
          <w:lang w:bidi="fa-IR"/>
        </w:rPr>
        <w:t xml:space="preserve">نیز همین دو ویژگی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تَحبیسِ اصل و اطلاقِ </w:t>
      </w:r>
    </w:p>
    <w:p>
      <w:pPr>
        <w:pStyle w:val="BookText"/>
        <w:rPr/>
      </w:pP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تحبیسِ اصل به طور دائم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قید 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باشد تا عناوین نامبرده از تعریف خارج گردند؛ هرچند ممکن است باز این تعریف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شود، زیرا وقفی‌است صحیح، بدون این که دارای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که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ردّ این 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منقطع الآخِر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وقف، همچنان که کسانی گفته‌اند امّا قابل قبول نیست، هرچند این وقف از جهت مفاد و مصداق تفاوت چندانی با حبس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شهید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از حدیثِ رسیده از رسول خدا صلی‌الله‌علیه‌و‌آله گرفته شده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الاْصلَ و سَبِّلِ الثَّمَرةَ</w:t>
      </w:r>
      <w:r>
        <w:rPr>
          <w:rFonts w:eastAsia="IRNazanin" w:cs="IRNazanin"/>
          <w:color w:val="111111"/>
          <w:sz w:val="28"/>
          <w:szCs w:val="28"/>
          <w:rtl w:val="true"/>
          <w:lang w:bidi="fa-IR"/>
        </w:rPr>
        <w:t>»</w:t>
      </w:r>
      <w:r>
        <w:rPr>
          <w:rStyle w:val="FootnoteAnchor"/>
          <w:rtl w:val="true"/>
        </w:rPr>
        <w:footnoteReference w:id="2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حبس و ثمره‌اش را در راه خدا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21"/>
      </w:r>
      <w:r>
        <w:rPr>
          <w:rFonts w:ascii="IRNazanin" w:hAnsi="IRNazanin" w:eastAsia="IRNazanin"/>
          <w:color w:val="111111"/>
          <w:sz w:val="28"/>
          <w:sz w:val="28"/>
          <w:szCs w:val="28"/>
          <w:rtl w:val="true"/>
          <w:lang w:bidi="fa-IR"/>
        </w:rPr>
        <w:t xml:space="preserve">در ذیل تعریف شرایع، دلیل عدول متأخّران را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حدیث نبوی آمده است،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تسبیل، همان اِباحه تصرّف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هرطور بخواهد، همانند تصرّف درملک طِلق، تصرّف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محدودیتهایی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این که آزادی در تصرّف از تعریف، فهمیده شود، به جای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امّا در</w:t>
      </w:r>
    </w:p>
    <w:p>
      <w:pPr>
        <w:pStyle w:val="BookText"/>
        <w:rPr/>
      </w:pPr>
      <w:r>
        <w:rPr>
          <w:rFonts w:ascii="IRNazanin" w:hAnsi="IRNazanin" w:eastAsia="IRNazanin"/>
          <w:color w:val="111111"/>
          <w:sz w:val="28"/>
          <w:sz w:val="28"/>
          <w:szCs w:val="28"/>
          <w:rtl w:val="true"/>
          <w:lang w:bidi="fa-IR"/>
        </w:rPr>
        <w:t>صحاح تسبیل را چنین معنا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سَبَّل فلانُ ضَیْعَتَهُ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در راه خدای متعال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فی‌سبیل‌اللّه و قربت فهمیده می‌شود و چون وقف از صدقات است</w:t>
      </w:r>
      <w:r>
        <w:rPr>
          <w:rStyle w:val="FootnoteAnchor"/>
          <w:rtl w:val="true"/>
        </w:rPr>
        <w:footnoteReference w:id="2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نزد بسیاری از اَعاظم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در آن معتبر است، همان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حدیث نیز آمده است سزاوارتر و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هم که صاحب جواهر برای عدول متأخّران از این واژه ذکر کرد، روشن نیست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w:t>
      </w:r>
      <w:r>
        <w:rPr>
          <w:rStyle w:val="FootnoteAnchor"/>
          <w:rtl w:val="true"/>
        </w:rPr>
        <w:footnoteReference w:id="23"/>
      </w:r>
      <w:r>
        <w:rPr>
          <w:rFonts w:ascii="IRNazanin" w:hAnsi="IRNazanin" w:eastAsia="IRNazanin"/>
          <w:color w:val="111111"/>
          <w:sz w:val="28"/>
          <w:sz w:val="28"/>
          <w:szCs w:val="28"/>
          <w:rtl w:val="true"/>
          <w:lang w:bidi="fa-IR"/>
        </w:rPr>
        <w:t>برای رهایی از ایرادات و نقضهایی که اشاره شد،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حقیقت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عقدی که بر تحبیس اصل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وقف عبارت از این دو ویژگی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برگزیده فخرالمحقّقین در </w:t>
      </w:r>
      <w:bookmarkStart w:id="37" w:name="pg4267_21761"/>
    </w:p>
    <w:p>
      <w:pPr>
        <w:pStyle w:val="BookText"/>
        <w:rPr/>
      </w:pPr>
      <w:bookmarkEnd w:id="37"/>
      <w:r>
        <w:rPr>
          <w:rFonts w:ascii="IRNazanin" w:hAnsi="IRNazanin" w:eastAsia="IRNazanin"/>
          <w:color w:val="111111"/>
          <w:sz w:val="28"/>
          <w:sz w:val="28"/>
          <w:szCs w:val="28"/>
          <w:rtl w:val="true"/>
          <w:lang w:bidi="fa-IR"/>
        </w:rPr>
        <w:t>ایضاح نیز همین است</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کاشف الغطاء حقیقت وقف را حبس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منشألغوی آن همان وقوف به معنای قیام بدون حرکت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این عقد صاحب آن را از تصرّف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که درشرع به طور حقیقی یا مجازی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علاقه کلّ و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عقد وقف اطلاق شده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به نظر می‌رسد بیان کاشف الغطاء بیشتر از بیان فاضل مقداد و فخر قابل دفاع باشد، مخصوصا اگر در باب وقف، عقد را شرط ندانیم و معاطات را کافی بدانیم</w:t>
      </w:r>
      <w:r>
        <w:rPr>
          <w:rFonts w:eastAsia="IRNazanin" w:cs="IRNazanin"/>
          <w:color w:val="111111"/>
          <w:sz w:val="28"/>
          <w:szCs w:val="28"/>
          <w:rtl w:val="true"/>
          <w:lang w:bidi="fa-IR"/>
        </w:rPr>
        <w:t>.</w:t>
      </w:r>
    </w:p>
    <w:p>
      <w:pPr>
        <w:pStyle w:val="Heading5"/>
        <w:numPr>
          <w:ilvl w:val="4"/>
          <w:numId w:val="1"/>
        </w:numPr>
        <w:rPr/>
      </w:pPr>
      <w:bookmarkStart w:id="38" w:name="__RefHeading___Toc473899_1479056682"/>
      <w:bookmarkStart w:id="39" w:name="_Toc12"/>
      <w:bookmarkEnd w:id="38"/>
      <w:r>
        <w:rPr>
          <w:rtl w:val="true"/>
        </w:rPr>
        <w:t xml:space="preserve">گفتار </w:t>
      </w:r>
      <w:r>
        <w:rPr/>
        <w:t>4</w:t>
      </w:r>
      <w:r>
        <w:rPr>
          <w:rtl w:val="true"/>
        </w:rPr>
        <w:t xml:space="preserve">- </w:t>
      </w:r>
      <w:r>
        <w:rPr>
          <w:rtl w:val="true"/>
        </w:rPr>
        <w:t>توضیح مفرداتِ تعریف</w:t>
      </w:r>
      <w:bookmarkEnd w:id="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تحبیسُ الاصل و اطلاقُ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کَرَکی</w:t>
      </w:r>
      <w:r>
        <w:rPr>
          <w:rStyle w:val="FootnoteAnchor"/>
          <w:rtl w:val="true"/>
        </w:rPr>
        <w:footnoteReference w:id="26"/>
      </w:r>
      <w:r>
        <w:rPr>
          <w:rFonts w:ascii="IRNazanin" w:hAnsi="IRNazanin" w:eastAsia="IRNazanin"/>
          <w:color w:val="111111"/>
          <w:sz w:val="28"/>
          <w:sz w:val="28"/>
          <w:szCs w:val="28"/>
          <w:rtl w:val="true"/>
          <w:lang w:bidi="fa-IR"/>
        </w:rPr>
        <w:t>در توضیح مفردات این عبارت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تحبیس اصل، منع از تصرّف به معنای نقل و انتقال از قبیل بیع، هبه</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نیز در توضیح عبارت مذکور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تحبیسِ اصل، جلوگیری از نقل آن است از جهت خودش،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المنفعه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اباحه هرگونه تصرّف برای مستحقّ آن است</w:t>
      </w:r>
      <w:r>
        <w:rPr>
          <w:rFonts w:eastAsia="IRNazanin" w:cs="IRNazanin"/>
          <w:color w:val="111111"/>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 xml:space="preserve">و شهید ثانی در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تفسیر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تحبیسُ الاصل یعنی اصل ملک را در حالتی قرار دادن که بجز در موارد استثنا شده، تصرّفاتی که موجب نقل و انتقال آن می‌شود جایز نباشد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ابوالصّلاح حلبی در کافی در مقام بیان ویژگی مطلق صدقه چنین توضیح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صدقه وجهی است برای حرمت تصرّف بر متصدّق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اباحه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 علیه</w:t>
      </w:r>
      <w:r>
        <w:rPr>
          <w:rFonts w:eastAsia="IRNazanin" w:cs="IRNazanin"/>
          <w:color w:val="111111"/>
          <w:sz w:val="28"/>
          <w:szCs w:val="28"/>
          <w:rtl w:val="true"/>
          <w:lang w:bidi="fa-IR"/>
        </w:rPr>
        <w:t>».... .</w:t>
      </w:r>
      <w:r>
        <w:rPr>
          <w:rStyle w:val="FootnoteAnchor"/>
          <w:rtl w:val="true"/>
        </w:rPr>
        <w:footnoteReference w:id="29"/>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این است که منظور از تحبیس اصل، جلوگیری از نقل و انتقال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واقف، موقوف علیه و هرکس دیگر است، چنان که از اطلاق عبارات محقّق کرکی، فاضل مقداد و شهید ثانی استفاده می‌شود نه آنچه حلبی اظهار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حرمت تصرّف متصدّق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فقه حنفی</w:t>
      </w:r>
    </w:p>
    <w:p>
      <w:pPr>
        <w:pStyle w:val="BookText"/>
        <w:rPr/>
      </w:pPr>
      <w:r>
        <w:rPr>
          <w:rFonts w:ascii="IRNazanin" w:hAnsi="IRNazanin" w:eastAsia="IRNazanin"/>
          <w:color w:val="111111"/>
          <w:sz w:val="28"/>
          <w:sz w:val="28"/>
          <w:szCs w:val="28"/>
          <w:rtl w:val="true"/>
          <w:lang w:bidi="fa-IR"/>
        </w:rPr>
        <w:t>در فقه حنفی وقف عبارت است از محبوس کردن عین ملک واقف و تصدّق کردن منفعت آن در جهت خیر</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 xml:space="preserve">تعریف مختصر شمس الدین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حبسُ المملوکِ عن التملیک من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همان معنای بخش اوّل تعریف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مالکی</w:t>
      </w:r>
    </w:p>
    <w:p>
      <w:pPr>
        <w:pStyle w:val="BookText"/>
        <w:rPr/>
      </w:pPr>
      <w:r>
        <w:rPr>
          <w:rFonts w:ascii="IRNazanin" w:hAnsi="IRNazanin" w:eastAsia="IRNazanin"/>
          <w:color w:val="111111"/>
          <w:sz w:val="28"/>
          <w:sz w:val="28"/>
          <w:szCs w:val="28"/>
          <w:rtl w:val="true"/>
          <w:lang w:bidi="fa-IR"/>
        </w:rPr>
        <w:t xml:space="preserve">وقف آن است که مالک، ملکی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 اجرت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مملوک اوست یا در آمد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صیغه مخصوص و با مدّتی معلوم، طبق نظر واقف، برای مستحقّی قرار دهد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از این تعریف کاملاً هویداست که مالکیه، دوام را در وقف شرط نمی‌دانند همچنین عین موقوفه را بر ملکیّت واقف باقی می‌دانند، بر خلاف تعریف قبلی که خروج عین از ملک واقف از آن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است که هر دو طرف به حدیث معروف نبوی صلی‌الله‌علیه‌و‌آله استناد و استدلال کرده‌اند که به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درباره ملک خود در خیبر کسب تکلیف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شِئتَ حَبَّستَ اَصلَها و تَصدَّقتَ بِها</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اصل این حدیث و مطالبی پیرامون آن در مباحث آینده</w:t>
      </w:r>
      <w:r>
        <w:rPr>
          <w:rStyle w:val="FootnoteAnchor"/>
          <w:rtl w:val="true"/>
        </w:rPr>
        <w:footnoteReference w:id="33"/>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شافعی</w:t>
      </w:r>
    </w:p>
    <w:p>
      <w:pPr>
        <w:pStyle w:val="BookText"/>
        <w:rPr/>
      </w:pPr>
      <w:r>
        <w:rPr>
          <w:rFonts w:ascii="IRNazanin" w:hAnsi="IRNazanin" w:eastAsia="IRNazanin"/>
          <w:color w:val="111111"/>
          <w:sz w:val="28"/>
          <w:sz w:val="28"/>
          <w:szCs w:val="28"/>
          <w:rtl w:val="true"/>
          <w:lang w:bidi="fa-IR"/>
        </w:rPr>
        <w:t>تعریف زیر، مورد نظر شافعیّه و نیز حنفیّه و حنابله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محبوس کردن مالی که استفاده از آن با بقای عین آن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قطع تصرّف در رقبه آن از جانب واقف و</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او برای صرف در مورد یا موارد مباحِ موجود</w:t>
      </w:r>
      <w:r>
        <w:rPr>
          <w:rFonts w:eastAsia="IRNazanin" w:cs="IRNazanin"/>
          <w:color w:val="111111"/>
          <w:sz w:val="28"/>
          <w:szCs w:val="28"/>
          <w:rtl w:val="true"/>
          <w:lang w:bidi="fa-IR"/>
        </w:rPr>
        <w:t>.</w:t>
      </w:r>
      <w:r>
        <w:rPr>
          <w:rStyle w:val="FootnoteAnchor"/>
          <w:rtl w:val="true"/>
        </w:rPr>
        <w:footnoteReference w:id="34"/>
      </w:r>
      <w:bookmarkStart w:id="40" w:name="pg4267_21763"/>
    </w:p>
    <w:p>
      <w:pPr>
        <w:pStyle w:val="BookText"/>
        <w:rPr/>
      </w:pPr>
      <w:bookmarkEnd w:id="40"/>
      <w:r>
        <w:rPr>
          <w:rFonts w:ascii="IRNazanin" w:hAnsi="IRNazanin" w:eastAsia="IRNazanin"/>
          <w:color w:val="111111"/>
          <w:sz w:val="28"/>
          <w:sz w:val="28"/>
          <w:szCs w:val="28"/>
          <w:rtl w:val="true"/>
          <w:lang w:bidi="fa-IR"/>
        </w:rPr>
        <w:t>فقه حنبلی</w:t>
      </w:r>
    </w:p>
    <w:p>
      <w:pPr>
        <w:pStyle w:val="BookText"/>
        <w:rPr/>
      </w:pPr>
      <w:r>
        <w:rPr>
          <w:rFonts w:ascii="IRNazanin" w:hAnsi="IRNazanin" w:eastAsia="IRNazanin"/>
          <w:color w:val="111111"/>
          <w:sz w:val="28"/>
          <w:sz w:val="28"/>
          <w:szCs w:val="28"/>
          <w:rtl w:val="true"/>
          <w:lang w:bidi="fa-IR"/>
        </w:rPr>
        <w:t>ابن قدامه بعد از توضیح مختصر معنای لغوی وقف و اشاره به حدیث معروف نبوی صلی‌الله‌علیه‌و‌آله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مستحب است و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تحبیسُ الاَصلِ و تَسبیلُ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فقه ظاهری</w:t>
      </w:r>
    </w:p>
    <w:p>
      <w:pPr>
        <w:pStyle w:val="BookText"/>
        <w:rPr/>
      </w:pPr>
      <w:r>
        <w:rPr>
          <w:rFonts w:ascii="IRNazanin" w:hAnsi="IRNazanin" w:eastAsia="IRNazanin"/>
          <w:color w:val="111111"/>
          <w:sz w:val="28"/>
          <w:sz w:val="28"/>
          <w:szCs w:val="28"/>
          <w:rtl w:val="true"/>
          <w:lang w:bidi="fa-IR"/>
        </w:rPr>
        <w:t>ابن حَزْم اندلسی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نصّ رسول خدا صلی‌الله‌علیه‌و‌آله در وقف دو فعل متغایر باید صورت پذیرد؛ یکی محبوس کردن عین ملک برای خدای متعال و جداساختن آن از مال واقف و مُحبِس و دیگری تسبیل و صدقه آن برای موقوفٌ عَلَیْه</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به گفته محمّد ابو 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و اساس وقف در همه این تعاریف متقارب، محبوس کردن 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تصرّفاتی چون، خرید و فروش، رهن و هبه در آن ممنوع است، به ارث هم برده نمی‌شود و منفعت و درآمد آن در جهات وقف، مطابق شروط واقف به مصرف می‌رسد</w:t>
      </w:r>
      <w:r>
        <w:rPr>
          <w:rFonts w:eastAsia="IRNazanin" w:cs="IRNazanin"/>
          <w:color w:val="111111"/>
          <w:sz w:val="28"/>
          <w:szCs w:val="28"/>
          <w:rtl w:val="true"/>
          <w:lang w:bidi="fa-IR"/>
        </w:rPr>
        <w:t>.</w:t>
      </w:r>
      <w:r>
        <w:rPr>
          <w:rStyle w:val="FootnoteAnchor"/>
          <w:rtl w:val="true"/>
        </w:rPr>
        <w:footnoteReference w:id="37"/>
      </w:r>
    </w:p>
    <w:p>
      <w:pPr>
        <w:pStyle w:val="Heading4"/>
        <w:numPr>
          <w:ilvl w:val="3"/>
          <w:numId w:val="1"/>
        </w:numPr>
        <w:rPr/>
      </w:pPr>
      <w:bookmarkStart w:id="41" w:name="__RefHeading___Toc473901_1479056682"/>
      <w:bookmarkStart w:id="42" w:name="_Toc13"/>
      <w:bookmarkEnd w:id="41"/>
      <w:r>
        <w:rPr>
          <w:rtl w:val="true"/>
        </w:rPr>
        <w:t>مبحث دوم</w:t>
      </w:r>
      <w:r>
        <w:rPr>
          <w:rtl w:val="true"/>
        </w:rPr>
        <w:t xml:space="preserve">: </w:t>
      </w:r>
      <w:r>
        <w:rPr>
          <w:rtl w:val="true"/>
        </w:rPr>
        <w:t xml:space="preserve">رابطه واژه </w:t>
      </w:r>
      <w:r>
        <w:rPr>
          <w:rtl w:val="true"/>
        </w:rPr>
        <w:t>«</w:t>
      </w:r>
      <w:r>
        <w:rPr>
          <w:rtl w:val="true"/>
        </w:rPr>
        <w:t>وقف</w:t>
      </w:r>
      <w:r>
        <w:rPr>
          <w:rtl w:val="true"/>
        </w:rPr>
        <w:t xml:space="preserve">» </w:t>
      </w:r>
      <w:r>
        <w:rPr>
          <w:rtl w:val="true"/>
        </w:rPr>
        <w:t xml:space="preserve">و </w:t>
      </w:r>
      <w:r>
        <w:rPr>
          <w:rtl w:val="true"/>
        </w:rPr>
        <w:t>«</w:t>
      </w:r>
      <w:r>
        <w:rPr>
          <w:rtl w:val="true"/>
        </w:rPr>
        <w:t>صدقه</w:t>
      </w:r>
      <w:r>
        <w:rPr>
          <w:rtl w:val="true"/>
        </w:rPr>
        <w:t>»</w:t>
      </w:r>
      <w:bookmarkEnd w:id="42"/>
    </w:p>
    <w:p>
      <w:pPr>
        <w:pStyle w:val="BookText"/>
        <w:rPr/>
      </w:pPr>
      <w:r>
        <w:rPr>
          <w:rFonts w:ascii="IRNazanin" w:hAnsi="IRNazanin" w:eastAsia="IRNazanin"/>
          <w:color w:val="111111"/>
          <w:sz w:val="28"/>
          <w:sz w:val="28"/>
          <w:szCs w:val="28"/>
          <w:rtl w:val="true"/>
          <w:lang w:bidi="fa-IR"/>
        </w:rPr>
        <w:t xml:space="preserve">نگاهی گذرا به اوقاف و صدقات رسول خدا صلی‌الله‌علیه‌و‌آله، صحابه و تابعین برای اثبات و روشن شدن این مطلب که از وقف در سیره و لسان آن بزرگان، اغلب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می‌شده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وقف هرچند در کلمات بعضی از امامان علیهم‌السلام نیز آمده است، امّا به هرحال واژه‌ای جدید و مُحدَث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دلیل بزرگانی چون شهید اوّل در دروس، وقف را به پیروی از حدیث نبوی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ابْنُ آدَمَ انْقَطَعَ عَمَلُهُ اِلاّمِنْ ثَلاثٍ، صَدَقةٍ جارِیَةٍ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نهایه و مراسم سلاربن عبدالعزیر نیز وقف و صدقه را یک چیز دانسته و وقف را 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کرده‌اند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ابوالصّلاح حلبی نیز مبحث وقف را زیر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فِی 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است و در مقدمه آن ضمن بحثی نسبتا مفصّل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صدقه بر دو قسم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صدقه‌ای که در آن متصدّق، رقبه مالی را به دیگری تملیک می‌کند به طوری که کاملاً از ملک متصدّق خارج و وارد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او نسبت به هرگونه تصرّفی از جمله بیع،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نیز</w:t>
      </w:r>
    </w:p>
    <w:p>
      <w:pPr>
        <w:pStyle w:val="BookText"/>
        <w:rPr/>
      </w:pPr>
      <w:r>
        <w:rPr>
          <w:rFonts w:ascii="IRNazanin" w:hAnsi="IRNazanin" w:eastAsia="IRNazanin"/>
          <w:color w:val="111111"/>
          <w:sz w:val="28"/>
          <w:sz w:val="28"/>
          <w:szCs w:val="28"/>
          <w:rtl w:val="true"/>
          <w:lang w:bidi="fa-IR"/>
        </w:rPr>
        <w:t xml:space="preserve">خود بر دو قسم است، مُشترَط و مؤبَّد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بعد از ذکر و توضیح اقسامی برای مُشترَط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صدقه مؤبَّد آن است که رقبه عینی محبوس و منافع آن برای موجودی معیّن از نسل خود یا دیگران، از اَقارب یا اجانب و کسانی که نسل اندر نسل به عرصه وجود می‌آیند، قرار داده شود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محقّق اردبیلی</w:t>
      </w:r>
      <w:r>
        <w:rPr>
          <w:rStyle w:val="FootnoteAnchor"/>
          <w:rtl w:val="true"/>
        </w:rPr>
        <w:footnoteReference w:id="40"/>
      </w:r>
      <w:r>
        <w:rPr>
          <w:rFonts w:ascii="IRNazanin" w:hAnsi="IRNazanin" w:eastAsia="IRNazanin"/>
          <w:color w:val="111111"/>
          <w:sz w:val="28"/>
          <w:sz w:val="28"/>
          <w:szCs w:val="28"/>
          <w:rtl w:val="true"/>
          <w:lang w:bidi="fa-IR"/>
        </w:rPr>
        <w:t>این مطلب را این چنین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صدقه دو اطلاق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صدقه با اطلاق عام همان اِعطا و انفاق برای خدای متعال است که زکات واجب و مستحب، وقف و ابراء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اطلاق داخل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مفید نیز وقوف را در اصل، صدقات می‌داند و متفرّع بر آن، رجوع در آنها را جایز نمی‌داند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فاضل مقداد این مطلب را به علما نسبت داده است</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و ابن ادریس از قول شیخ طوسی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صدقه یک چیزند و هیچ یک از آن دو جز با قصد تَقَرُّب الی اللّه صحیح نیست و فرقشان این است که در وقف، دوام و تأبید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بیع و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صحیح نیست، امّا در صدقه متعارف چنین شرطی نیست</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صاحب العروه‌الوثقی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خود نوعی از صدقات است و گاهی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آن اطلاق می‌شود، بلکه در اخبار از وقف به صدقه تعبیر شده است و از این فراتر، این عقد دراخبار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گاهی واژه صدقه بر اعمّ از</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و اخوات آن یعنی حبس، سُکنی، عُمری و رُقبی اطلاق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وقف همان صدقه جاریه است، یعنی صدقه‌ای که همچنان جاری و مستمر است بر خلاف صدقاتی که چنین نیستند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این جا برای تأیید این مطلب به چند حدیث استشهاد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صحیح، زراره از امام صادق علیه‌السلام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متعارف غیر 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جدید و مُحدَث است و مردم در دوران رسول خدا صلی‌الله‌علیه‌و‌آله می‌بخشیدند و هبه می‌کردند و برای کسی که چیزی را برای خدا و به قصد قربت اعطا کرده جایز نیست از آن برگردد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موثّقه عُبَیدبن زراره، 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امری جدید و مُحدَث است و آنچه قبلاً متعارف بوده هبه و نِحله بوده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صاحب مفتاح الکرامه بعد از نقل این دو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صدقه‌ای که در این دو خبر، جدید و محدث تلقّی شده است، صدقه متعارف یعنی غیر از وقف است و منظور امام علیه‌السلام این است که در گذشته،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به کار می‌رفته، همچنان که در صدقاتِ امیر مؤمنان علیه‌السلام، فاطمه علیهاالسلامو امام کاظم علیه‌السلام مشهود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شایان یادآوری است که این امر اختصاص به اعلام شیعه ندارد و از کلمات اعلام اهل سنّت نیز کاملاً مشهود است؛</w:t>
      </w:r>
    </w:p>
    <w:p>
      <w:pPr>
        <w:pStyle w:val="BookText"/>
        <w:rPr/>
      </w:pPr>
      <w:r>
        <w:rPr>
          <w:rFonts w:ascii="IRNazanin" w:hAnsi="IRNazanin" w:eastAsia="IRNazanin"/>
          <w:color w:val="111111"/>
          <w:sz w:val="28"/>
          <w:sz w:val="28"/>
          <w:szCs w:val="28"/>
          <w:rtl w:val="true"/>
          <w:lang w:bidi="fa-IR"/>
        </w:rPr>
        <w:t>مزنی در مختصر خود از شافعی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عطایای مردم بر سه دسته‌اند که دو دسته به قبل از مرگ و یک دسته به بعد از مرگ مربوط است و از دو دسته‌ای که به دوران زندگی مربوط است یکی صدقات است و دلیل آن وقف و تصدّق عمربن خطّاب است که صد سهم از ملک خود را در خیبر با ارشاد رسول خدا صلی‌الله‌علیه‌و‌آلهوقف کرد</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اطلاق واژه صدقه بر وقف از دیگر منابع اهل سنّت از جمله، موَطّأ مالک نیز روشن است</w:t>
      </w:r>
      <w:r>
        <w:rPr>
          <w:rFonts w:eastAsia="IRNazanin" w:cs="IRNazanin"/>
          <w:color w:val="111111"/>
          <w:sz w:val="28"/>
          <w:szCs w:val="28"/>
          <w:rtl w:val="true"/>
          <w:lang w:bidi="fa-IR"/>
        </w:rPr>
        <w:t>.</w:t>
      </w:r>
      <w:r>
        <w:rPr>
          <w:rStyle w:val="FootnoteAnchor"/>
          <w:rtl w:val="true"/>
        </w:rPr>
        <w:footnoteReference w:id="49"/>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خالی از فایده نیست که روشن شدن این که درصدر اسلام واژه صدقه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می‌رفته است در مباحث آینده از جمله بحث اعتبار و عدم اعتبار قصد قربت در وقف مورد استناد قرار خواهد گرفت</w:t>
      </w:r>
      <w:r>
        <w:rPr>
          <w:rFonts w:eastAsia="IRNazanin" w:cs="IRNazanin"/>
          <w:color w:val="111111"/>
          <w:sz w:val="28"/>
          <w:szCs w:val="28"/>
          <w:rtl w:val="true"/>
          <w:lang w:bidi="fa-IR"/>
        </w:rPr>
        <w:t xml:space="preserve">. </w:t>
      </w:r>
      <w:bookmarkStart w:id="43" w:name="pg4267_21766"/>
    </w:p>
    <w:p>
      <w:pPr>
        <w:pStyle w:val="Heading3"/>
        <w:numPr>
          <w:ilvl w:val="2"/>
          <w:numId w:val="1"/>
        </w:numPr>
        <w:rPr/>
      </w:pPr>
      <w:bookmarkStart w:id="44" w:name="__RefHeading___Toc473903_1479056682"/>
      <w:bookmarkStart w:id="45" w:name="_Toc14"/>
      <w:bookmarkEnd w:id="43"/>
      <w:bookmarkEnd w:id="44"/>
      <w:r>
        <w:rPr>
          <w:rtl w:val="true"/>
        </w:rPr>
        <w:t>فصل دوم</w:t>
      </w:r>
      <w:r>
        <w:rPr>
          <w:rtl w:val="true"/>
        </w:rPr>
        <w:t xml:space="preserve">: </w:t>
      </w:r>
      <w:r>
        <w:rPr>
          <w:rtl w:val="true"/>
        </w:rPr>
        <w:t>مشروعیّت و جایگاه وقف</w:t>
      </w:r>
      <w:bookmarkEnd w:id="45"/>
    </w:p>
    <w:p>
      <w:pPr>
        <w:pStyle w:val="Heading4"/>
        <w:numPr>
          <w:ilvl w:val="3"/>
          <w:numId w:val="1"/>
        </w:numPr>
        <w:rPr/>
      </w:pPr>
      <w:bookmarkStart w:id="46" w:name="__RefHeading___Toc473905_1479056682"/>
      <w:bookmarkStart w:id="47" w:name="_Toc15"/>
      <w:bookmarkEnd w:id="46"/>
      <w:r>
        <w:rPr>
          <w:rtl w:val="true"/>
        </w:rPr>
        <w:t>مبحث اوّل</w:t>
      </w:r>
      <w:r>
        <w:rPr>
          <w:rtl w:val="true"/>
        </w:rPr>
        <w:t xml:space="preserve">: </w:t>
      </w:r>
      <w:r>
        <w:rPr>
          <w:rtl w:val="true"/>
        </w:rPr>
        <w:t>مشروعیّت وقف</w:t>
      </w:r>
      <w:bookmarkEnd w:id="47"/>
    </w:p>
    <w:p>
      <w:pPr>
        <w:pStyle w:val="Heading5"/>
        <w:numPr>
          <w:ilvl w:val="4"/>
          <w:numId w:val="1"/>
        </w:numPr>
        <w:rPr/>
      </w:pPr>
      <w:bookmarkStart w:id="48" w:name="__RefHeading___Toc473907_1479056682"/>
      <w:bookmarkStart w:id="49" w:name="_Toc16"/>
      <w:bookmarkEnd w:id="48"/>
      <w:r>
        <w:rPr>
          <w:rtl w:val="true"/>
        </w:rPr>
        <w:t>فقه امامیّه</w:t>
      </w:r>
      <w:bookmarkEnd w:id="49"/>
    </w:p>
    <w:p>
      <w:pPr>
        <w:pStyle w:val="BookText"/>
        <w:rPr/>
      </w:pPr>
      <w:r>
        <w:rPr>
          <w:rFonts w:ascii="IRNazanin" w:hAnsi="IRNazanin" w:eastAsia="IRNazanin"/>
          <w:color w:val="111111"/>
          <w:sz w:val="28"/>
          <w:sz w:val="28"/>
          <w:szCs w:val="28"/>
          <w:rtl w:val="true"/>
          <w:lang w:bidi="fa-IR"/>
        </w:rPr>
        <w:t>مشروعیّت وقف در نزد فقهای امامیّه امری مسلّم و مفروغ عنه بوده و کسی با آن مخالفت نکرده است و اگر بسیاری از اعلام امامیّه در مشروعیّت آن بحثی نکرده‌اند، دلیلش همین مفروغ عنه بودن آن بوده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w:t>
      </w:r>
      <w:r>
        <w:rPr>
          <w:rStyle w:val="FootnoteAnchor"/>
          <w:rtl w:val="true"/>
        </w:rPr>
        <w:footnoteReference w:id="50"/>
      </w:r>
      <w:r>
        <w:rPr>
          <w:rFonts w:ascii="IRNazanin" w:hAnsi="IRNazanin" w:eastAsia="IRNazanin"/>
          <w:color w:val="111111"/>
          <w:sz w:val="28"/>
          <w:sz w:val="28"/>
          <w:szCs w:val="28"/>
          <w:rtl w:val="true"/>
          <w:lang w:bidi="fa-IR"/>
        </w:rPr>
        <w:t>و فیض کاشانی</w:t>
      </w:r>
      <w:r>
        <w:rPr>
          <w:rStyle w:val="FootnoteAnchor"/>
          <w:rtl w:val="true"/>
        </w:rPr>
        <w:footnoteReference w:id="51"/>
      </w:r>
      <w:r>
        <w:rPr>
          <w:rFonts w:ascii="IRNazanin" w:hAnsi="IRNazanin" w:eastAsia="IRNazanin"/>
          <w:color w:val="111111"/>
          <w:sz w:val="28"/>
          <w:sz w:val="28"/>
          <w:szCs w:val="28"/>
          <w:rtl w:val="true"/>
          <w:lang w:bidi="fa-IR"/>
        </w:rPr>
        <w:t>تعبیرشان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نصّ و اجماع ثابت است و در اخبار نسبت به آن فراوان ترغیب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تعابیر در اخبار با لفظ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امر، یعنی تعبیر به صدقه به جای وقف، در صدر اوّل شایع بوده است</w:t>
      </w:r>
      <w:r>
        <w:rPr>
          <w:rFonts w:eastAsia="IRNazanin" w:cs="IRNazanin"/>
          <w:color w:val="111111"/>
          <w:sz w:val="28"/>
          <w:szCs w:val="28"/>
          <w:rtl w:val="true"/>
          <w:lang w:bidi="fa-IR"/>
        </w:rPr>
        <w:t>.</w:t>
      </w:r>
      <w:r>
        <w:rPr>
          <w:rStyle w:val="FootnoteAnchor"/>
          <w:rtl w:val="true"/>
        </w:rPr>
        <w:footnoteReference w:id="52"/>
      </w:r>
      <w:r>
        <w:rPr>
          <w:rFonts w:ascii="IRNazanin" w:hAnsi="IRNazanin" w:eastAsia="IRNazanin"/>
          <w:color w:val="111111"/>
          <w:sz w:val="28"/>
          <w:sz w:val="28"/>
          <w:szCs w:val="28"/>
          <w:rtl w:val="true"/>
          <w:lang w:bidi="fa-IR"/>
        </w:rPr>
        <w:t>شیخ طوسی</w:t>
      </w:r>
      <w:r>
        <w:rPr>
          <w:rStyle w:val="FootnoteAnchor"/>
          <w:rtl w:val="true"/>
        </w:rPr>
        <w:footnoteReference w:id="53"/>
      </w:r>
      <w:r>
        <w:rPr>
          <w:rFonts w:ascii="IRNazanin" w:hAnsi="IRNazanin" w:eastAsia="IRNazanin"/>
          <w:color w:val="111111"/>
          <w:sz w:val="28"/>
          <w:sz w:val="28"/>
          <w:szCs w:val="28"/>
          <w:rtl w:val="true"/>
          <w:lang w:bidi="fa-IR"/>
        </w:rPr>
        <w:t>ضمن مسلّم و مفروغ عنه شمردن مسأله وقف به توضیح و توجیه روایاتی پرداخته است که از آنها عدم مشروعیّت وقف فهمیده می‌شود، از جمله در توجیه حدیثی که از پیامبر صلی‌الله‌علیه‌و‌آله روایت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حَبْسَ بعدَ سورةِ النساء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نزول سوره نساء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آیات ارث رادر خود جای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دیگر جایگاه و مشروعیتی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bookmarkStart w:id="50" w:name="pg4267_21767"/>
    </w:p>
    <w:p>
      <w:pPr>
        <w:pStyle w:val="BookText"/>
        <w:rPr/>
      </w:pPr>
      <w:bookmarkEnd w:id="50"/>
      <w:r>
        <w:rPr>
          <w:rFonts w:ascii="IRNazanin" w:hAnsi="IRNazanin" w:eastAsia="IRNazanin"/>
          <w:color w:val="111111"/>
          <w:sz w:val="28"/>
          <w:sz w:val="28"/>
          <w:szCs w:val="28"/>
          <w:rtl w:val="true"/>
          <w:lang w:bidi="fa-IR"/>
        </w:rPr>
        <w:t>حدیثی که از شُرَیْح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محمّد بِاِطلاقِ 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توضیح می‌دهد که معنا و منظور در این جا یکی از 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نفی حبس است که درباره زنان زناکار بر اساس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را در خانه نگه دارید تا مرگ آنها را دریابد یا خدا برایشان راهی قرار دهد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 xml:space="preserve">معمول بوده است؛ یعنی از این به بعد در صورت انجام این عمل شنیع، حدّ الهی از قبیل تازیانه، رجم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آنان جاری کنید نه این که آنان را محبوس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نفی حبس است که در جاهلیّت داشته‌اند، یعنی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وصیله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در آیه کریمه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بَحیرَهٍ وَ لا سائِبَةٍ وَ لا وَصیلَةٍ وَ لا حامٍ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مقرر نفرموده است</w:t>
      </w:r>
      <w:r>
        <w:rPr>
          <w:rFonts w:eastAsia="IRNazanin" w:cs="IRNazanin"/>
          <w:color w:val="111111"/>
          <w:sz w:val="28"/>
          <w:szCs w:val="28"/>
          <w:rtl w:val="true"/>
          <w:lang w:bidi="fa-IR"/>
        </w:rPr>
        <w:t>»</w:t>
      </w:r>
      <w:r>
        <w:rPr>
          <w:rStyle w:val="FootnoteAnchor"/>
          <w:rtl w:val="true"/>
        </w:rPr>
        <w:footnoteReference w:id="56"/>
      </w:r>
      <w:r>
        <w:rPr>
          <w:rFonts w:ascii="IRNazanin" w:hAnsi="IRNazanin" w:eastAsia="IRNazanin"/>
          <w:color w:val="111111"/>
          <w:sz w:val="28"/>
          <w:sz w:val="28"/>
          <w:szCs w:val="28"/>
          <w:rtl w:val="true"/>
          <w:lang w:bidi="fa-IR"/>
        </w:rPr>
        <w:t>آمده که اینها از احکام جاهلی هستند و نفی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دأب شیخ طوسی است که روایات را از طریق غیرامامیه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آن‌جا که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می‌کند، در حالی که روایات این‌چنینی، توان مقاومت در برابر نصّ و اجماع امّت</w:t>
      </w:r>
    </w:p>
    <w:p>
      <w:pPr>
        <w:pStyle w:val="BookText"/>
        <w:rPr/>
      </w:pPr>
      <w:r>
        <w:rPr>
          <w:rFonts w:ascii="IRNazanin" w:hAnsi="IRNazanin" w:eastAsia="IRNazanin"/>
          <w:color w:val="111111"/>
          <w:sz w:val="28"/>
          <w:sz w:val="28"/>
          <w:szCs w:val="28"/>
          <w:rtl w:val="true"/>
          <w:lang w:bidi="fa-IR"/>
        </w:rPr>
        <w:t>اسلامی را ندارند و از اعتبار ساقطند</w:t>
      </w:r>
      <w:r>
        <w:rPr>
          <w:rFonts w:eastAsia="IRNazanin" w:cs="IRNazanin"/>
          <w:color w:val="111111"/>
          <w:sz w:val="28"/>
          <w:szCs w:val="28"/>
          <w:rtl w:val="true"/>
          <w:lang w:bidi="fa-IR"/>
        </w:rPr>
        <w:t>.</w:t>
      </w:r>
    </w:p>
    <w:p>
      <w:pPr>
        <w:pStyle w:val="Heading5"/>
        <w:numPr>
          <w:ilvl w:val="4"/>
          <w:numId w:val="1"/>
        </w:numPr>
        <w:rPr/>
      </w:pPr>
      <w:bookmarkStart w:id="51" w:name="__RefHeading___Toc473909_1479056682"/>
      <w:bookmarkStart w:id="52" w:name="_Toc17"/>
      <w:bookmarkEnd w:id="51"/>
      <w:r>
        <w:rPr>
          <w:rtl w:val="true"/>
        </w:rPr>
        <w:t>فقه اهل سنّت</w:t>
      </w:r>
      <w:bookmarkEnd w:id="5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در باب مشروعیّت وقف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در مورد صدقاتِ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وی اوقاف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مخالفند و اینها را باطل می‌دانند و معتقدند که این صدقات در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می‌مانند و بعد از مرگ وی به ورثه‌اش منتقل می‌شوند،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کرده باشدیا قبض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پاسخ و توضیح حدیث 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مُحَمَّدٌ صلی‌الله‌علیه‌و‌آلهبِاِطْلاقِ‌الحَبسِ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حبسهای جاهلیّت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بحیره، سائبه، و صیله و 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معتقد است که مردم در </w:t>
      </w:r>
    </w:p>
    <w:p>
      <w:pPr>
        <w:pStyle w:val="BookText"/>
        <w:rPr/>
      </w:pPr>
      <w:r>
        <w:rPr>
          <w:rFonts w:ascii="IRNazanin" w:hAnsi="IRNazanin" w:eastAsia="IRNazanin"/>
          <w:color w:val="111111"/>
          <w:sz w:val="28"/>
          <w:sz w:val="28"/>
          <w:szCs w:val="28"/>
          <w:rtl w:val="true"/>
          <w:lang w:bidi="fa-IR"/>
        </w:rPr>
        <w:t>جاهلیّت حبس خانه، زمین و املاک نداشته‌اند و این امر مخصوص مسلمانان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شافعی در توجیه حدیث دیگر شریح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حَبْسَ عَن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برای منکران مشروعیّت وقف دلیل نمی‌شود؛ زیرا اوّلاً، این سخن تنها از شریح</w:t>
      </w:r>
    </w:p>
    <w:p>
      <w:pPr>
        <w:pStyle w:val="BookText"/>
        <w:rPr/>
      </w:pPr>
      <w:r>
        <w:rPr>
          <w:rFonts w:ascii="IRNazanin" w:hAnsi="IRNazanin" w:eastAsia="IRNazanin"/>
          <w:color w:val="111111"/>
          <w:sz w:val="28"/>
          <w:sz w:val="28"/>
          <w:szCs w:val="28"/>
          <w:rtl w:val="true"/>
          <w:lang w:bidi="fa-IR"/>
        </w:rPr>
        <w:t>است و حجّت نیست و ثانیا اگر هم حجّت باشد در پاسخ او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حبس، از فرائض اللّه نیست، زیرا انسانِ سویّ و صحیح با این کار اموالی را از ملک خودش خارج</w:t>
      </w:r>
    </w:p>
    <w:p>
      <w:pPr>
        <w:pStyle w:val="BookText"/>
        <w:rPr/>
      </w:pPr>
      <w:r>
        <w:rPr>
          <w:rFonts w:ascii="IRNazanin" w:hAnsi="IRNazanin" w:eastAsia="IRNazanin"/>
          <w:color w:val="111111"/>
          <w:sz w:val="28"/>
          <w:sz w:val="28"/>
          <w:szCs w:val="28"/>
          <w:rtl w:val="true"/>
          <w:lang w:bidi="fa-IR"/>
        </w:rPr>
        <w:t>کرده و خداوند هم چنین حقّی را به او داده است، همچنان که اجازه، بیع،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بیع و هبه و مانند آنها حبس از فرائض خداوند نیستند وقف نیز حبس از فرائض اللّه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همانند بیع و هبه قبل از</w:t>
      </w:r>
    </w:p>
    <w:p>
      <w:pPr>
        <w:pStyle w:val="BookText"/>
        <w:rPr/>
      </w:pPr>
      <w:r>
        <w:rPr>
          <w:rFonts w:ascii="IRNazanin" w:hAnsi="IRNazanin" w:eastAsia="IRNazanin"/>
          <w:color w:val="111111"/>
          <w:sz w:val="28"/>
          <w:sz w:val="28"/>
          <w:szCs w:val="28"/>
          <w:rtl w:val="true"/>
          <w:lang w:bidi="fa-IR"/>
        </w:rPr>
        <w:t>وقوع فرائض اللّه تحقّق یافته است چرا، که فرائض مربوط به بعد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w:t>
      </w:r>
    </w:p>
    <w:p>
      <w:pPr>
        <w:pStyle w:val="BookText"/>
        <w:rPr/>
      </w:pPr>
      <w:r>
        <w:rPr>
          <w:rFonts w:ascii="IRNazanin" w:hAnsi="IRNazanin" w:eastAsia="IRNazanin"/>
          <w:color w:val="111111"/>
          <w:sz w:val="28"/>
          <w:sz w:val="28"/>
          <w:szCs w:val="28"/>
          <w:rtl w:val="true"/>
          <w:lang w:bidi="fa-IR"/>
        </w:rPr>
        <w:t>فرائض در این‌جا میراث 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شافعی برای مشروعیّت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تعبیر خودش، صدقاتِ 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رسول خدا صلی‌الله‌علیه‌و‌آله اجازه داد که اصل مالی حبس و ثمره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مَوْقوفٌ‌علیه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رها شود این امر خود دلالت بر این دارد که حضرت اجازه داده است مالک مال، آن را از ملک خود اخراج کند، با این شرط که مال، محبوس باشد و مالک آن حقّ بیع و نقل آن را نداشته باشد، و به هیچ وجهی به ملک وی باز نگردد، همچنان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حقّ بیعِ اصل و ارث بردن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مال موقوف، مالی</w:t>
      </w:r>
    </w:p>
    <w:p>
      <w:pPr>
        <w:pStyle w:val="BookText"/>
        <w:rPr/>
      </w:pPr>
      <w:r>
        <w:rPr>
          <w:rFonts w:ascii="IRNazanin" w:hAnsi="IRNazanin" w:eastAsia="IRNazanin"/>
          <w:color w:val="111111"/>
          <w:sz w:val="28"/>
          <w:sz w:val="28"/>
          <w:szCs w:val="28"/>
          <w:rtl w:val="true"/>
          <w:lang w:bidi="fa-IR"/>
        </w:rPr>
        <w:t>است که با دیگر اموال فرق دارد</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توضیح این که؛ بعضی از این مباحث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توضیح بیشتر خواهد آمد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شربینی</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فقهای 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اصل و دلیل مشروعیّت وقف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 و ریشه وقف،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با نزول این آیه ابوطلحه انصاری، بستان محبوب و مورد علاقه خویش را در راه خدا </w:t>
      </w:r>
    </w:p>
    <w:p>
      <w:pPr>
        <w:pStyle w:val="BookText"/>
        <w:rPr/>
      </w:pPr>
      <w:r>
        <w:rPr>
          <w:rFonts w:ascii="IRNazanin" w:hAnsi="IRNazanin" w:eastAsia="IRNazanin"/>
          <w:color w:val="111111"/>
          <w:sz w:val="28"/>
          <w:sz w:val="28"/>
          <w:szCs w:val="28"/>
          <w:rtl w:val="true"/>
          <w:lang w:bidi="fa-IR"/>
        </w:rPr>
        <w:t>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روایتی است که مُسلم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ابنُ آدَمَ انْقَطَع عَمَلُهُ اِلاّ</w:t>
      </w:r>
    </w:p>
    <w:p>
      <w:pPr>
        <w:pStyle w:val="BookText"/>
        <w:rPr/>
      </w:pPr>
      <w:r>
        <w:rPr>
          <w:rFonts w:ascii="IRNazanin" w:hAnsi="IRNazanin" w:eastAsia="IRNazanin"/>
          <w:color w:val="111111"/>
          <w:sz w:val="28"/>
          <w:sz w:val="28"/>
          <w:szCs w:val="28"/>
          <w:rtl w:val="true"/>
          <w:lang w:bidi="fa-IR"/>
        </w:rPr>
        <w:t>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او علمٌ یُنْتَفَعُ بِهِ اَوْ وَلَدٌ صالحٌ یَدعوُ 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عمل انسان، جز از سه راه، با مرگش قطع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جاریه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که مورد استفاده قرار گیرد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شایسته‌ای که برای او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صدقاتِ غیر ازوقف، جاریه نیستند برای این</w:t>
      </w:r>
    </w:p>
    <w:p>
      <w:pPr>
        <w:pStyle w:val="BookText"/>
        <w:rPr/>
      </w:pP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متصدّق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قطعی مالک اعیان و منافع آنها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به‌منافع هم هرچند صدقه جاریه را شامل می‌شود، امّا موارد آن بسیار اندک است؛ لذا حمل صدقه جاریه در حدیث بر وقف سزاوارتر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صحیحین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بخاری و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مورد زمینی که در خیبر به او رسیده بود از رسول خدا صلی‌الله‌علیه‌و‌آله کسب دستور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باشی اصل آن را حبس کن وآن را تصدّق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بااین شرط آن را صدقه قرارداد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فروخته نشود، به ارث برده نشود، بخشیده نشود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وَهبة الزُحَیْلی در کتاب خود که در فقه تطبیقی است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اهل علم از سلف و غیر آنها به صحت و مشروعیّت وقف قائلند، وقف صد سهم از خیبر توسّط عمر، طبق مشهور، اوّلین وقف در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 محل تأمل و غیر قابل قبول است که در جای خود به آن پرداخته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احکام وقف با سنّت ثابت است و مُعْظم احکام آن با اجتهاد فقها و اعتماد بر استحسان و</w:t>
      </w:r>
    </w:p>
    <w:p>
      <w:pPr>
        <w:pStyle w:val="BookText"/>
        <w:rPr/>
      </w:pPr>
      <w:r>
        <w:rPr>
          <w:rFonts w:ascii="IRNazanin" w:hAnsi="IRNazanin" w:eastAsia="IRNazanin"/>
          <w:color w:val="111111"/>
          <w:sz w:val="28"/>
          <w:sz w:val="28"/>
          <w:szCs w:val="28"/>
          <w:rtl w:val="true"/>
          <w:lang w:bidi="fa-IR"/>
        </w:rPr>
        <w:t>استصلاح و عرف ثابت است</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فقه شیعه چنین نیست، بلکه احکام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اصل وقف را امضایی بدانیم نه تأسیسی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سنّت رسول خدا صلی‌الله‌علیه‌و‌آله و امامان از عترت علیهم‌السلامثابت است، یعنی از روی اجتهادی که در طول سنّت است نه در عرض آن</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قدامه حنبلی نیز ضمن پذیرفتن و مفروغ عنه گرفتن مشروعیّت وقف، اصل و اساس آن را وقف بعضی از اراضی خیبر توسّط عمر می‌داند که از طریق عبداللّه‌بن عمر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وی به اجماع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اجماع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استدلال کرده است</w:t>
      </w:r>
      <w:r>
        <w:rPr>
          <w:rFonts w:eastAsia="IRNazanin" w:cs="IRNazanin"/>
          <w:color w:val="111111"/>
          <w:sz w:val="28"/>
          <w:szCs w:val="28"/>
          <w:rtl w:val="true"/>
          <w:lang w:bidi="fa-IR"/>
        </w:rPr>
        <w:t>.</w:t>
      </w:r>
      <w:r>
        <w:rPr>
          <w:rStyle w:val="FootnoteAnchor"/>
          <w:rtl w:val="true"/>
        </w:rPr>
        <w:footnoteReference w:id="63"/>
      </w:r>
      <w:bookmarkStart w:id="53" w:name="pg4267_21770"/>
    </w:p>
    <w:p>
      <w:pPr>
        <w:pStyle w:val="BookText"/>
        <w:rPr/>
      </w:pPr>
      <w:bookmarkEnd w:id="53"/>
      <w:r>
        <w:rPr>
          <w:rFonts w:ascii="IRNazanin" w:hAnsi="IRNazanin" w:eastAsia="IRNazanin"/>
          <w:color w:val="111111"/>
          <w:sz w:val="28"/>
          <w:sz w:val="28"/>
          <w:szCs w:val="28"/>
          <w:rtl w:val="true"/>
          <w:lang w:bidi="fa-IR"/>
        </w:rPr>
        <w:t xml:space="preserve">همچنین اوّلین و اصلی‌ترین دلیل ابن حَزْم اندلسی ظاهری نیز همین حدیث تصدّق عمربن خطّاب است که آن را از طریق بخاری از نافع از ابن عمر نقل کرده است و سپس به اوقاف و صدقاتِ عثمان، علی علیه‌السلام، طلحه، زبیر، فاطمه علیهاالسلام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ابن حَزْم روایاتی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مِنْ اَحَدٍ مِنْ اَصْحابِ رَسول اللّهِ صلی‌الله‌علیه‌و‌آله اِلاّ وَقَدْ وَقَفَ وَ حَبَسَ اَرْضا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 ماتَ ابْنُ آدَمَ انقَطَعَ عَمَلُهُ اِلا مِنْ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دلیل مشروعیّت وقف رد می‌کند؛ حدیث اوّل را سندا ضعیف می‌داند و در دلالت حدیث دوم خدشه وارد می‌کند</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54" w:name="__RefHeading___Toc473911_1479056682"/>
      <w:bookmarkStart w:id="55" w:name="_Toc18"/>
      <w:bookmarkEnd w:id="54"/>
      <w:r>
        <w:rPr>
          <w:rtl w:val="true"/>
        </w:rPr>
        <w:t>منکران مشروعیّت</w:t>
      </w:r>
      <w:bookmarkEnd w:id="55"/>
    </w:p>
    <w:p>
      <w:pPr>
        <w:pStyle w:val="BookText"/>
        <w:rPr/>
      </w:pPr>
      <w:r>
        <w:rPr>
          <w:rFonts w:ascii="Amiri" w:hAnsi="Amiri" w:eastAsia="Amiri" w:cs="Amiri"/>
          <w:color w:val="111111"/>
          <w:sz w:val="28"/>
          <w:sz w:val="28"/>
          <w:szCs w:val="28"/>
          <w:rtl w:val="true"/>
          <w:lang w:bidi="ar-SA"/>
        </w:rPr>
        <w:t>محمّد ابوزُهره</w:t>
      </w:r>
      <w:r>
        <w:rPr>
          <w:rStyle w:val="FootnoteAnchor"/>
          <w:rtl w:val="true"/>
        </w:rPr>
        <w:footnoteReference w:id="6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مشروعیّت وقف را منکر شده‌اند شریح، اسماعیل بن یَسَع کندی، ابوحنیفه و زُفَر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رُوات این عدم مشروعیّت را</w:t>
      </w:r>
    </w:p>
    <w:p>
      <w:pPr>
        <w:pStyle w:val="BookText"/>
        <w:rPr/>
      </w:pPr>
      <w:r>
        <w:rPr>
          <w:rFonts w:ascii="IRNazanin" w:hAnsi="IRNazanin" w:eastAsia="IRNazanin"/>
          <w:color w:val="111111"/>
          <w:sz w:val="28"/>
          <w:sz w:val="28"/>
          <w:szCs w:val="28"/>
          <w:rtl w:val="true"/>
          <w:lang w:bidi="fa-IR"/>
        </w:rPr>
        <w:t>از ابن مسعود، ابن عباس، عطاءبن سائب، و شعبی نیز نقل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علما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بزرگان از عدم مشروعیّت وقف این است که ممنوع‌التّصرف بودن واقف از بیع و هبه وقف و عدم انتقال آن به ورثه او بعد از مرگ،</w:t>
      </w:r>
    </w:p>
    <w:p>
      <w:pPr>
        <w:pStyle w:val="BookText"/>
        <w:rPr/>
      </w:pPr>
      <w:r>
        <w:rPr>
          <w:rFonts w:ascii="IRNazanin" w:hAnsi="IRNazanin" w:eastAsia="IRNazanin"/>
          <w:color w:val="111111"/>
          <w:sz w:val="28"/>
          <w:sz w:val="28"/>
          <w:szCs w:val="28"/>
          <w:rtl w:val="true"/>
          <w:lang w:bidi="fa-IR"/>
        </w:rPr>
        <w:t>قابل قبول نیست و گرنه صرف منفعت آن در جهتی که واقف در نظر گرفته، نافذ است؛ لذا در عمدة القاری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وقف، به معنای وجوب تصدّق درآمد وقف</w:t>
      </w:r>
    </w:p>
    <w:p>
      <w:pPr>
        <w:pStyle w:val="BookText"/>
        <w:rPr/>
      </w:pPr>
      <w:r>
        <w:rPr>
          <w:rFonts w:ascii="IRNazanin" w:hAnsi="IRNazanin" w:eastAsia="IRNazanin"/>
          <w:color w:val="111111"/>
          <w:sz w:val="28"/>
          <w:sz w:val="28"/>
          <w:szCs w:val="28"/>
          <w:rtl w:val="true"/>
          <w:lang w:bidi="fa-IR"/>
        </w:rPr>
        <w:t>در جهت مورد نظر واقف تا زمانی که زنده است، بین اعلام خلافی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سَرخسی از فقها و اعلام حنفیّه نیز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گمان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قایل به عدم جواز وقف است، در حالی که حقیقت غیر از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اصل جواز وقف را پذیرفته است، مطلبی که هست این است که وی معتقد است واقف با</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وقف، عین را بر ملک خود محبوس می‌نماید و منفعت را در جهتی که خود در نظر گرفته، هدایت می‌کند، لذا وقف در نزد وی به منزله عاریه است که عقدی جایز و غیر </w:t>
      </w:r>
      <w:bookmarkStart w:id="56" w:name="pg4267_21771"/>
    </w:p>
    <w:p>
      <w:pPr>
        <w:pStyle w:val="BookText"/>
        <w:rPr/>
      </w:pPr>
      <w:bookmarkEnd w:id="56"/>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ظاهری اندلسی نیز در پاسخ به حدیث شریح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مُحَمّدٌ بِاِطْلاقِ الْحَبْسِ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ثابت خواهیم کرد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مُحَمَّدٌ بِاِثْباتِ الْحَبْس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ادلّه فراوان مشروعیّت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مفهوم این جمله، اثبات وقف در جاهلیت است در حالی که این مفهوم یقینا باطل است، زیرا اعراب در جاهلیت حبس را به معنایی که محل نظر و اختلاف ماست، نمی‌شناختند و حبس به این معنا، امری است که پیامبر اسلام صلی‌الله‌علیه‌و‌آلهآن را بنیان نهاده است همانند نماز، زکات و روزه و اگر آن حضرت نبود هیچ یک از ما این شرایع و غیر اینها را نمی‌شناختیم</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وی دلیل دیگر منکران این مطلب را این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تنها بعد از قبض نافذ و جایز هستند و چون حبس، مالکی برای قبض ندارد، لذا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پاسخ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قبول نداریم که صدقه جز با قبض صحیح نباشد، و ثانیا قابض در</w:t>
      </w:r>
    </w:p>
    <w:p>
      <w:pPr>
        <w:pStyle w:val="BookText"/>
        <w:rPr/>
      </w:pPr>
      <w:r>
        <w:rPr>
          <w:rFonts w:ascii="IRNazanin" w:hAnsi="IRNazanin" w:eastAsia="IRNazanin"/>
          <w:color w:val="111111"/>
          <w:sz w:val="28"/>
          <w:sz w:val="28"/>
          <w:szCs w:val="28"/>
          <w:rtl w:val="true"/>
          <w:lang w:bidi="fa-IR"/>
        </w:rPr>
        <w:t xml:space="preserve">حبس خداوند متعال است که وارث زمین است و همه اشیاء در قبض و قبضه اوست و رسول خدا صلی‌الله‌علیه‌و‌آله صدقه ابوطلحه را، بدون این که نامی از متصدّق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را قبض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باشد، اجازه و تنفیذ کرد و سپس دستور داد آن را بین اقارب و پسرعموهایش قرار دهد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ابن حَزْم در این مبحث مطالب مفصّلتری دارد که چون در مباحث گذشته آمده بود از طرح آنها خودداری شد</w:t>
      </w:r>
      <w:r>
        <w:rPr>
          <w:rFonts w:eastAsia="IRNazanin" w:cs="IRNazanin"/>
          <w:color w:val="111111"/>
          <w:sz w:val="28"/>
          <w:szCs w:val="28"/>
          <w:rtl w:val="true"/>
          <w:lang w:bidi="fa-IR"/>
        </w:rPr>
        <w:t>.</w:t>
      </w:r>
    </w:p>
    <w:p>
      <w:pPr>
        <w:pStyle w:val="Heading4"/>
        <w:numPr>
          <w:ilvl w:val="3"/>
          <w:numId w:val="1"/>
        </w:numPr>
        <w:rPr/>
      </w:pPr>
      <w:bookmarkStart w:id="57" w:name="__RefHeading___Toc473913_1479056682"/>
      <w:bookmarkStart w:id="58" w:name="_Toc19"/>
      <w:bookmarkEnd w:id="57"/>
      <w:r>
        <w:rPr>
          <w:rtl w:val="true"/>
        </w:rPr>
        <w:t>مبحث دوم</w:t>
      </w:r>
      <w:r>
        <w:rPr>
          <w:rtl w:val="true"/>
        </w:rPr>
        <w:t xml:space="preserve">: </w:t>
      </w:r>
      <w:r>
        <w:rPr>
          <w:rtl w:val="true"/>
        </w:rPr>
        <w:t>اهمیّت و جایگاه وقف</w:t>
      </w:r>
      <w:bookmarkEnd w:id="58"/>
    </w:p>
    <w:p>
      <w:pPr>
        <w:pStyle w:val="Heading5"/>
        <w:numPr>
          <w:ilvl w:val="4"/>
          <w:numId w:val="1"/>
        </w:numPr>
        <w:rPr/>
      </w:pPr>
      <w:bookmarkStart w:id="59" w:name="__RefHeading___Toc473915_1479056682"/>
      <w:bookmarkStart w:id="60" w:name="_Toc20"/>
      <w:bookmarkEnd w:id="59"/>
      <w:r>
        <w:rPr>
          <w:rtl w:val="true"/>
        </w:rPr>
        <w:t>اشاره</w:t>
      </w:r>
      <w:bookmarkEnd w:id="6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مباحث آینده از جمله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اهمّیّت و جایگاه وقف به تناسب و به طور ضمنی مطالب و توضیحات لازم خواهد آمد؛ در این جا به جایگاه وقف در تفاسیر و روایات شیعه و اهل سنّت به اختصار و گذرا می‌پردازیم</w:t>
      </w:r>
      <w:r>
        <w:rPr>
          <w:rFonts w:eastAsia="IRNazanin" w:cs="IRNazanin"/>
          <w:color w:val="111111"/>
          <w:sz w:val="28"/>
          <w:szCs w:val="28"/>
          <w:rtl w:val="true"/>
          <w:lang w:bidi="fa-IR"/>
        </w:rPr>
        <w:t xml:space="preserve">: </w:t>
      </w:r>
      <w:bookmarkStart w:id="61" w:name="pg4267_21772"/>
    </w:p>
    <w:p>
      <w:pPr>
        <w:pStyle w:val="Heading5"/>
        <w:numPr>
          <w:ilvl w:val="4"/>
          <w:numId w:val="1"/>
        </w:numPr>
        <w:rPr/>
      </w:pPr>
      <w:bookmarkStart w:id="62" w:name="__RefHeading___Toc473917_1479056682"/>
      <w:bookmarkStart w:id="63" w:name="_Toc21"/>
      <w:bookmarkEnd w:id="61"/>
      <w:bookmarkEnd w:id="62"/>
      <w:r>
        <w:rPr>
          <w:rtl w:val="true"/>
        </w:rPr>
        <w:t>تفاسیر و روایات شیعه</w:t>
      </w:r>
      <w:bookmarkEnd w:id="63"/>
    </w:p>
    <w:p>
      <w:pPr>
        <w:pStyle w:val="Heading6"/>
        <w:numPr>
          <w:ilvl w:val="5"/>
          <w:numId w:val="1"/>
        </w:numPr>
        <w:rPr/>
      </w:pPr>
      <w:bookmarkStart w:id="64" w:name="__RefHeading___Toc473919_1479056682"/>
      <w:bookmarkStart w:id="65" w:name="_Toc22"/>
      <w:bookmarkEnd w:id="64"/>
      <w:r>
        <w:rPr>
          <w:rtl w:val="true"/>
        </w:rPr>
        <w:t xml:space="preserve">الف </w:t>
      </w:r>
      <w:r>
        <w:rPr>
          <w:rtl w:val="true"/>
        </w:rPr>
        <w:t xml:space="preserve">- </w:t>
      </w:r>
      <w:r>
        <w:rPr>
          <w:rtl w:val="true"/>
        </w:rPr>
        <w:t>تفاسیر</w:t>
      </w:r>
      <w:bookmarkEnd w:id="65"/>
    </w:p>
    <w:p>
      <w:pPr>
        <w:pStyle w:val="BookText"/>
        <w:rPr/>
      </w:pPr>
      <w:r>
        <w:rPr>
          <w:rFonts w:ascii="Amiri" w:hAnsi="Amiri" w:eastAsia="Amiri" w:cs="Amiri"/>
          <w:color w:val="111111"/>
          <w:sz w:val="28"/>
          <w:sz w:val="28"/>
          <w:szCs w:val="28"/>
          <w:rtl w:val="true"/>
          <w:lang w:bidi="ar-SA"/>
        </w:rPr>
        <w:t xml:space="preserve">طبرسی در ذیل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سِعه و گستردگی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خشکی نیز از همین مادّه است و فرق آن با خَیْر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نفعی است که با قصد واراده به دیگری برسد، امّا خیر،</w:t>
      </w:r>
    </w:p>
    <w:p>
      <w:pPr>
        <w:pStyle w:val="BookText"/>
        <w:rPr/>
      </w:pPr>
      <w:r>
        <w:rPr>
          <w:rFonts w:ascii="IRNazanin" w:hAnsi="IRNazanin" w:eastAsia="IRNazanin"/>
          <w:color w:val="111111"/>
          <w:sz w:val="28"/>
          <w:sz w:val="28"/>
          <w:szCs w:val="28"/>
          <w:rtl w:val="true"/>
          <w:lang w:bidi="fa-IR"/>
        </w:rPr>
        <w:t>نفع واصل به دیگری است هر چند از روی سهو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انفاق را در آیه کریمه دارای معنایی عام و گسترده می‌داند که شامل وقف هم می‌شود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قضیّه وقف ابوطلحه انصاری بوستانش را و تصدّق زیدبن حارثه اسب مورد علاقه‌اش 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نزول این آیه کریمه رخ داده است</w:t>
      </w:r>
      <w:r>
        <w:rPr>
          <w:rFonts w:eastAsia="IRNazanin" w:cs="IRNazanin"/>
          <w:color w:val="111111"/>
          <w:sz w:val="28"/>
          <w:szCs w:val="28"/>
          <w:rtl w:val="true"/>
          <w:lang w:bidi="fa-IR"/>
        </w:rPr>
        <w:t>.</w:t>
      </w:r>
      <w:r>
        <w:rPr>
          <w:rStyle w:val="FootnoteAnchor"/>
          <w:rtl w:val="true"/>
        </w:rPr>
        <w:footnoteReference w:id="70"/>
      </w:r>
    </w:p>
    <w:p>
      <w:pPr>
        <w:pStyle w:val="Heading6"/>
        <w:numPr>
          <w:ilvl w:val="5"/>
          <w:numId w:val="1"/>
        </w:numPr>
        <w:rPr/>
      </w:pPr>
      <w:bookmarkStart w:id="66" w:name="__RefHeading___Toc473921_1479056682"/>
      <w:bookmarkStart w:id="67" w:name="_Toc23"/>
      <w:bookmarkEnd w:id="66"/>
      <w:r>
        <w:rPr>
          <w:rtl w:val="true"/>
        </w:rPr>
        <w:t xml:space="preserve">ب </w:t>
      </w:r>
      <w:r>
        <w:rPr>
          <w:rtl w:val="true"/>
        </w:rPr>
        <w:t xml:space="preserve">- </w:t>
      </w:r>
      <w:r>
        <w:rPr>
          <w:rtl w:val="true"/>
        </w:rPr>
        <w:t>روایات</w:t>
      </w:r>
      <w:bookmarkEnd w:id="6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سِتّ خِصالٍ یَنْتَفِعُ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یَسْتَغْفِرُلَهُ وَ مُصْحَفٌ یُقْرأ فیهِ وَ قَلیبٌ یَحْفِرُهُ وَ غَرْسٌ یَغْرِسُهُ وَ صَدَقَةُ ماءٍ یَجْرِیها</w:t>
      </w:r>
      <w:r>
        <w:rPr>
          <w:rFonts w:eastAsia="Amiri" w:cs="Amiri" w:ascii="Amiri" w:hAnsi="Amiri"/>
          <w:color w:val="111111"/>
          <w:sz w:val="28"/>
          <w:szCs w:val="28"/>
          <w:rtl w:val="true"/>
          <w:lang w:bidi="ar-SA"/>
        </w:rPr>
        <w:t>...».</w:t>
      </w:r>
      <w:r>
        <w:rPr>
          <w:rStyle w:val="FootnoteAnchor"/>
          <w:rtl w:val="true"/>
        </w:rPr>
        <w:footnoteReference w:id="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شش خصلت است که انسان بعد از مرگش از آنها بهره می‌برد؛ فرزند صالحی که برایش استغفار کند، قرآنی که قرائت شود، چاهی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استفاده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کند، درختی که بنشاند،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قنات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 که جاری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خَیْرَ ما یُخْلِفُهُ الرَّجُلُ بَعْدَهُ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بارٌ یَسْتَغْفِرُ لَهُ وَ سُنَّةُ خیرٍ یُقتدی بِهِ‌فیها وَ صَدَقَةٌ تَجْری مِنْ بَعْدِهِ</w:t>
      </w:r>
      <w:r>
        <w:rPr>
          <w:rFonts w:eastAsia="Amiri" w:cs="Amiri" w:ascii="Amiri" w:hAnsi="Amiri"/>
          <w:color w:val="111111"/>
          <w:sz w:val="28"/>
          <w:szCs w:val="28"/>
          <w:rtl w:val="true"/>
          <w:lang w:bidi="ar-SA"/>
        </w:rPr>
        <w:t>»</w:t>
      </w:r>
      <w:r>
        <w:rPr>
          <w:rStyle w:val="FootnoteAnchor"/>
          <w:rtl w:val="true"/>
        </w:rPr>
        <w:footnoteReference w:id="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بازمانده‌های انسان پس از او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نیکوکاری که برایش آمرزش بخواهد، شیوه نیکویی که از آن پیروی شود و صدقه جاریه‌ای که از او بازماند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یَتْبَعُ الرَّجُلَ بَعْدَ مَوْتِهِ مِنَ الاَجْرِ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w:t>
      </w:r>
      <w:bookmarkStart w:id="68" w:name="pg4267_21773"/>
    </w:p>
    <w:p>
      <w:pPr>
        <w:pStyle w:val="BookText"/>
        <w:rPr/>
      </w:pPr>
      <w:bookmarkEnd w:id="68"/>
      <w:r>
        <w:rPr>
          <w:rFonts w:ascii="Amiri" w:hAnsi="Amiri" w:eastAsia="Amiri" w:cs="Amiri"/>
          <w:color w:val="111111"/>
          <w:sz w:val="28"/>
          <w:sz w:val="28"/>
          <w:szCs w:val="28"/>
          <w:rtl w:val="true"/>
          <w:lang w:bidi="ar-SA"/>
        </w:rPr>
        <w:t>اَجْراها فی حَیاتِهِ فَهِیَ تَجْری بَعْدَ مَوْتِهِ اِلی یَوْمِ القِیامَة وَ صَدَقَةٌ مَوقُوفَةٌ لا تُورَثُ</w:t>
      </w:r>
      <w:r>
        <w:rPr>
          <w:rFonts w:eastAsia="Amiri" w:cs="Amiri" w:ascii="Amiri" w:hAnsi="Amiri"/>
          <w:color w:val="111111"/>
          <w:sz w:val="28"/>
          <w:szCs w:val="28"/>
          <w:rtl w:val="true"/>
          <w:lang w:bidi="ar-SA"/>
        </w:rPr>
        <w:t>... .»</w:t>
      </w:r>
      <w:r>
        <w:rPr>
          <w:rStyle w:val="FootnoteAnchor"/>
          <w:rtl w:val="true"/>
        </w:rPr>
        <w:footnoteReference w:id="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مرگ انسان، بجز سه خصلت، هیچ پاداشی در پی او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برایش سود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صدقه‌ای که در زمان حیاتش جاری ساخته است که تاروز قیامت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موقوفه‌ای که ارث برده نمی‌شود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آبای بزرگوارش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صلی‌الله‌علیه‌و‌آلهبه مردی برخوردند که در باغی برای خود درختی می‌کاشت، حضرت ایستاد 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نداری تو را به درختی راهنمایی کنم که ازحیث پاکیزگی میوه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مستحکمتر و با</w:t>
      </w:r>
    </w:p>
    <w:p>
      <w:pPr>
        <w:pStyle w:val="BookText"/>
        <w:rPr/>
      </w:pPr>
      <w:r>
        <w:rPr>
          <w:rFonts w:ascii="IRNazanin" w:hAnsi="IRNazanin" w:eastAsia="IRNazanin"/>
          <w:color w:val="111111"/>
          <w:sz w:val="28"/>
          <w:sz w:val="28"/>
          <w:szCs w:val="28"/>
          <w:rtl w:val="true"/>
          <w:lang w:bidi="fa-IR"/>
        </w:rPr>
        <w:t>دوام‌تر از این درخت 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قربانت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والحمدللّه و لااله الااللّه واللّه اکبر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صلی‌الله‌علیه‌و‌آلهدر واقع بدین وسیله وی را به انفاق و تصدّق تشویق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من شما را گواه می‌گیرم که این باغ من از این به بعد به عنوان</w:t>
      </w:r>
    </w:p>
    <w:p>
      <w:pPr>
        <w:pStyle w:val="BookText"/>
        <w:rPr/>
      </w:pPr>
      <w:r>
        <w:rPr>
          <w:rFonts w:ascii="IRNazanin" w:hAnsi="IRNazanin" w:eastAsia="IRNazanin"/>
          <w:color w:val="111111"/>
          <w:sz w:val="28"/>
          <w:sz w:val="28"/>
          <w:szCs w:val="28"/>
          <w:rtl w:val="true"/>
          <w:lang w:bidi="fa-IR"/>
        </w:rPr>
        <w:t xml:space="preserve">صدقه مقبوضه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ناپذیر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فقیری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می‌کنند،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این عمل آیه کریمه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فاَمّا مَنْ اَعْطی وَ اتَّقی وَ صَدَّقَ بِالْحُسْنی فَسَنُیَسِّرُهُ لِلْیُسْری</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هر کس عطا و احسان کرد و خداترس شد و به نیکویی تصدیق کرد، ما هم البتّه کار او را سهل و آسان می‌گردانیم</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 xml:space="preserve">مسأله جایگاه و اهمّیّت وقف از دیدگاه امامیه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روشنتر خواهد شد</w:t>
      </w:r>
      <w:r>
        <w:rPr>
          <w:rFonts w:eastAsia="IRNazanin" w:cs="IRNazanin"/>
          <w:color w:val="111111"/>
          <w:sz w:val="28"/>
          <w:szCs w:val="28"/>
          <w:rtl w:val="true"/>
          <w:lang w:bidi="fa-IR"/>
        </w:rPr>
        <w:t>.</w:t>
      </w:r>
    </w:p>
    <w:p>
      <w:pPr>
        <w:pStyle w:val="Heading5"/>
        <w:numPr>
          <w:ilvl w:val="4"/>
          <w:numId w:val="1"/>
        </w:numPr>
        <w:rPr/>
      </w:pPr>
      <w:bookmarkStart w:id="69" w:name="__RefHeading___Toc473923_1479056682"/>
      <w:bookmarkStart w:id="70" w:name="_Toc24"/>
      <w:bookmarkEnd w:id="69"/>
      <w:r>
        <w:rPr>
          <w:rtl w:val="true"/>
        </w:rPr>
        <w:t>تفاسیر و روایات اهل سنّت</w:t>
      </w:r>
      <w:bookmarkEnd w:id="70"/>
    </w:p>
    <w:p>
      <w:pPr>
        <w:pStyle w:val="Heading6"/>
        <w:numPr>
          <w:ilvl w:val="5"/>
          <w:numId w:val="1"/>
        </w:numPr>
        <w:rPr/>
      </w:pPr>
      <w:bookmarkStart w:id="71" w:name="__RefHeading___Toc473925_1479056682"/>
      <w:bookmarkStart w:id="72" w:name="_Toc25"/>
      <w:bookmarkEnd w:id="71"/>
      <w:r>
        <w:rPr>
          <w:rtl w:val="true"/>
        </w:rPr>
        <w:t xml:space="preserve">الف </w:t>
      </w:r>
      <w:r>
        <w:rPr>
          <w:rtl w:val="true"/>
        </w:rPr>
        <w:t xml:space="preserve">- </w:t>
      </w:r>
      <w:r>
        <w:rPr>
          <w:rtl w:val="true"/>
        </w:rPr>
        <w:t>تفاسیر</w:t>
      </w:r>
      <w:bookmarkEnd w:id="72"/>
    </w:p>
    <w:p>
      <w:pPr>
        <w:pStyle w:val="BookText"/>
        <w:rPr/>
      </w:pPr>
      <w:r>
        <w:rPr>
          <w:rFonts w:ascii="IRNazanin" w:hAnsi="IRNazanin" w:eastAsia="IRNazanin"/>
          <w:color w:val="111111"/>
          <w:sz w:val="28"/>
          <w:sz w:val="28"/>
          <w:szCs w:val="28"/>
          <w:rtl w:val="true"/>
          <w:lang w:bidi="fa-IR"/>
        </w:rPr>
        <w:t>غالب مفسّران از جمله قرطبی</w:t>
      </w:r>
      <w:r>
        <w:rPr>
          <w:rStyle w:val="FootnoteAnchor"/>
          <w:rtl w:val="true"/>
        </w:rPr>
        <w:footnoteReference w:id="76"/>
      </w:r>
      <w:r>
        <w:rPr>
          <w:rFonts w:ascii="IRNazanin" w:hAnsi="IRNazanin" w:eastAsia="IRNazanin"/>
          <w:color w:val="111111"/>
          <w:sz w:val="28"/>
          <w:sz w:val="28"/>
          <w:szCs w:val="28"/>
          <w:rtl w:val="true"/>
          <w:lang w:bidi="fa-IR"/>
        </w:rPr>
        <w:t>، سیوطی</w:t>
      </w:r>
      <w:r>
        <w:rPr>
          <w:rStyle w:val="FootnoteAnchor"/>
          <w:rtl w:val="true"/>
        </w:rPr>
        <w:footnoteReference w:id="77"/>
      </w:r>
      <w:r>
        <w:rPr>
          <w:rFonts w:ascii="IRNazanin" w:hAnsi="IRNazanin" w:eastAsia="IRNazanin"/>
          <w:color w:val="111111"/>
          <w:sz w:val="28"/>
          <w:sz w:val="28"/>
          <w:szCs w:val="28"/>
          <w:rtl w:val="true"/>
          <w:lang w:bidi="fa-IR"/>
        </w:rPr>
        <w:t>، فخر رازی</w:t>
      </w:r>
      <w:r>
        <w:rPr>
          <w:rStyle w:val="FootnoteAnchor"/>
          <w:rtl w:val="true"/>
        </w:rPr>
        <w:footnoteReference w:id="78"/>
      </w:r>
      <w:r>
        <w:rPr>
          <w:rFonts w:ascii="Amiri" w:hAnsi="Amiri" w:eastAsia="Amiri" w:cs="Amiri"/>
          <w:color w:val="111111"/>
          <w:sz w:val="28"/>
          <w:sz w:val="28"/>
          <w:szCs w:val="28"/>
          <w:rtl w:val="true"/>
          <w:lang w:bidi="ar-SA"/>
        </w:rPr>
        <w:t>، سیّد قطب</w:t>
      </w:r>
      <w:r>
        <w:rPr>
          <w:rStyle w:val="FootnoteAnchor"/>
          <w:rtl w:val="true"/>
        </w:rPr>
        <w:footnoteReference w:id="79"/>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w:t>
      </w:r>
      <w:bookmarkStart w:id="73" w:name="pg4267_21774"/>
    </w:p>
    <w:p>
      <w:pPr>
        <w:pStyle w:val="BookText"/>
        <w:rPr/>
      </w:pPr>
      <w:bookmarkEnd w:id="73"/>
      <w:r>
        <w:rPr>
          <w:rFonts w:ascii="Amiri" w:hAnsi="Amiri" w:eastAsia="Amiri" w:cs="Amiri"/>
          <w:color w:val="111111"/>
          <w:sz w:val="28"/>
          <w:sz w:val="28"/>
          <w:szCs w:val="28"/>
          <w:rtl w:val="true"/>
          <w:lang w:bidi="ar-SA"/>
        </w:rPr>
        <w:t>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80"/>
      </w:r>
      <w:r>
        <w:rPr>
          <w:rFonts w:ascii="IRNazanin" w:hAnsi="IRNazanin" w:eastAsia="IRNazanin"/>
          <w:color w:val="111111"/>
          <w:sz w:val="28"/>
          <w:sz w:val="28"/>
          <w:szCs w:val="28"/>
          <w:rtl w:val="true"/>
          <w:lang w:bidi="fa-IR"/>
        </w:rPr>
        <w:t>ضمن نقل داستان وقف و تصدّق ابوطلحه انصاری و زیدبن حارثه به بیان اهمّیّت مسأله وقف 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رشیدرضادر ذیل همین آیه کریمه بعد از ذکر داستان ابوطلحه و زیدبن حارثه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انفاق در این آیه، غیر از زکات است، زیرا در زکات شرط نیست که آنچه پرداخت می شود از چیزهایی باشد که مورد محبت و علاقه پرداخت کننده است، بلکه به عکس، از عاملان زکات خواسته شده تا از کرایم اموال مردم بپرهیزند و اموال مورد علاقه آنها را درخواست نکنند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قبل از وی، فخر رازی نیز در مقام بیان اختصاص آیه به غیر از زکات این چنین استدلال کرده است</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البتّه چون فخر رازی مقدم بر رشید رضا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رشیدرضا از وی گرفته باشد</w:t>
      </w:r>
      <w:r>
        <w:rPr>
          <w:rFonts w:eastAsia="IRNazanin" w:cs="IRNazanin"/>
          <w:color w:val="111111"/>
          <w:sz w:val="28"/>
          <w:szCs w:val="28"/>
          <w:rtl w:val="true"/>
          <w:lang w:bidi="fa-IR"/>
        </w:rPr>
        <w:t>.</w:t>
      </w:r>
    </w:p>
    <w:p>
      <w:pPr>
        <w:pStyle w:val="Heading6"/>
        <w:numPr>
          <w:ilvl w:val="5"/>
          <w:numId w:val="1"/>
        </w:numPr>
        <w:rPr/>
      </w:pPr>
      <w:bookmarkStart w:id="74" w:name="__RefHeading___Toc473927_1479056682"/>
      <w:bookmarkStart w:id="75" w:name="_Toc26"/>
      <w:bookmarkEnd w:id="74"/>
      <w:r>
        <w:rPr>
          <w:rtl w:val="true"/>
        </w:rPr>
        <w:t xml:space="preserve">ب </w:t>
      </w:r>
      <w:r>
        <w:rPr>
          <w:rtl w:val="true"/>
        </w:rPr>
        <w:t xml:space="preserve">- </w:t>
      </w:r>
      <w:r>
        <w:rPr>
          <w:rtl w:val="true"/>
        </w:rPr>
        <w:t>روایات</w:t>
      </w:r>
      <w:bookmarkEnd w:id="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اَبی هُرَیْرَة عَن النَبی صلی‌الله‌علیه‌و‌آله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ماتَ اْلاِنْسانُ انْقَطَعَ عَنْهُ عَمَلُهُ اِلاّ مِنْ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صَدَقَةٍ جارِیَةٍ اَوْ عِلْمٍ یُنْتَفَعُ بِهِ اَوْ وَلَدٍ صالحٍ یَدْعُو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بجز در صحیح بخاری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در دیگر صحاح اهل سنّت نیز آمده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عبداللّه روایت شده است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یَبْقَ اَحَدٌ مِنْ اَصْحابِ رَسولِ اللّه صلی‌الله‌علیه‌و‌آله مِمَّنْ لَهُ مَقْدُرَةٌ اِلاّ وَقَدْ وَقَفَ</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یک از</w:t>
      </w:r>
    </w:p>
    <w:p>
      <w:pPr>
        <w:pStyle w:val="BookText"/>
        <w:rPr/>
      </w:pPr>
      <w:r>
        <w:rPr>
          <w:rFonts w:ascii="IRNazanin" w:hAnsi="IRNazanin" w:eastAsia="IRNazanin"/>
          <w:color w:val="111111"/>
          <w:sz w:val="28"/>
          <w:sz w:val="28"/>
          <w:szCs w:val="28"/>
          <w:rtl w:val="true"/>
          <w:lang w:bidi="fa-IR"/>
        </w:rPr>
        <w:t xml:space="preserve">اصحاب رسول خدا صلی‌الله‌علیه‌و‌آله نبود که توانایی داشته باشد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حسام هندی در کنزالعمّال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خداوند روحیّه ایثارو انفاق و سخاوت رادوست دارد و وقف، خود شاخه‌ای مهمّ از سخاوت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حدیث زیر را از رسول خدا صلی‌الله‌علیه‌و‌آله نقل کرده است که در اوّلین خطبه خود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اسلام را به عنوان دین برای شما برگزیده است پس بیایید با سخاوت و حُسن خلق به نیکویی اسلام را همراهی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سخاوت درختی است از بهشت که شاخه‌هایش در دنیاست، و از شما هرکس سخاوتمند باشد همیشه به یکی از این شاخه‌ها متصّل است تا به بهشت درآید </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در ذیل حدیث نبوی صلی‌الله‌علیه‌و‌آله در صحیح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کُلِّ مُسْلِمٍ صَدَقَةٌ،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نَبِیَ‌اللّهِ فَمَنْ لَمْ یَجِدْ؟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 بِیَدِهِ فَیَنْفَعُ نَفْسَهُ و یَتَصَدَّقُ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یَجِدْ؟ قال یُعینُ ذَاالْحاجَةِ الْمَلْهُوفِ، 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لَمْ یَجِدْ؟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فَلْیَعْمَلْ بالمَعْروفِ وَلْیُمسِک عَنِ الشَّرِّ فانّها لَهُ صَدَقَةٌ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هر مسلمانی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مالی نیابد؟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 خود کارکند، خودش بهره برد و تصدّق هم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اگر نتواند؟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نیازمندِ گرفتاری را کمک</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نیکی رفتار کند و ازکارهای شرّ باز ایستد، که همین</w:t>
      </w:r>
    </w:p>
    <w:p>
      <w:pPr>
        <w:pStyle w:val="BookText"/>
        <w:rPr/>
      </w:pPr>
      <w:r>
        <w:rPr>
          <w:rFonts w:ascii="IRNazanin" w:hAnsi="IRNazanin" w:eastAsia="IRNazanin"/>
          <w:color w:val="111111"/>
          <w:sz w:val="28"/>
          <w:sz w:val="28"/>
          <w:szCs w:val="28"/>
          <w:rtl w:val="true"/>
          <w:lang w:bidi="fa-IR"/>
        </w:rPr>
        <w:t>برای او صدقه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حدیث برمی‌آید که باید با مال یاغیر آن با خلق خدا مهربان بود، و نیز این مطلب استفاده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و انفاق از کسانی که توانایی دارند از بقیه کارها در حقّ</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دیگران افضل است و مردم نیز از لفظ صدقه همان اعطا و انفاق رافهمیدند که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کند</w:t>
      </w:r>
      <w:r>
        <w:rPr>
          <w:rStyle w:val="FootnoteAnchor"/>
          <w:rtl w:val="true"/>
        </w:rPr>
        <w:footnoteReference w:id="8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6" w:name="pg4267_21776"/>
    </w:p>
    <w:p>
      <w:pPr>
        <w:pStyle w:val="Heading3"/>
        <w:numPr>
          <w:ilvl w:val="2"/>
          <w:numId w:val="1"/>
        </w:numPr>
        <w:rPr/>
      </w:pPr>
      <w:bookmarkStart w:id="77" w:name="__RefHeading___Toc473929_1479056682"/>
      <w:bookmarkStart w:id="78" w:name="_Toc27"/>
      <w:bookmarkEnd w:id="76"/>
      <w:bookmarkEnd w:id="77"/>
      <w:r>
        <w:rPr>
          <w:rtl w:val="true"/>
        </w:rPr>
        <w:t>فصل سوم</w:t>
      </w:r>
      <w:r>
        <w:rPr>
          <w:rtl w:val="true"/>
        </w:rPr>
        <w:t xml:space="preserve">: </w:t>
      </w:r>
      <w:r>
        <w:rPr>
          <w:rtl w:val="true"/>
        </w:rPr>
        <w:t>تاریخچه وقف</w:t>
      </w:r>
      <w:bookmarkEnd w:id="78"/>
    </w:p>
    <w:p>
      <w:pPr>
        <w:pStyle w:val="Heading4"/>
        <w:numPr>
          <w:ilvl w:val="3"/>
          <w:numId w:val="1"/>
        </w:numPr>
        <w:rPr/>
      </w:pPr>
      <w:bookmarkStart w:id="79" w:name="__RefHeading___Toc473931_1479056682"/>
      <w:bookmarkStart w:id="80" w:name="_Toc28"/>
      <w:bookmarkEnd w:id="79"/>
      <w:r>
        <w:rPr>
          <w:rtl w:val="true"/>
        </w:rPr>
        <w:t>مبحث اوّل</w:t>
      </w:r>
      <w:r>
        <w:rPr>
          <w:rtl w:val="true"/>
        </w:rPr>
        <w:t xml:space="preserve">: </w:t>
      </w:r>
      <w:r>
        <w:rPr>
          <w:rtl w:val="true"/>
        </w:rPr>
        <w:t>وقف در قبل از اسلام</w:t>
      </w:r>
      <w:bookmarkEnd w:id="80"/>
    </w:p>
    <w:p>
      <w:pPr>
        <w:pStyle w:val="BookText"/>
        <w:rPr/>
      </w:pPr>
      <w:r>
        <w:rPr>
          <w:rFonts w:ascii="IRNazanin" w:hAnsi="IRNazanin" w:eastAsia="IRNazanin"/>
          <w:color w:val="111111"/>
          <w:sz w:val="28"/>
          <w:sz w:val="28"/>
          <w:szCs w:val="28"/>
          <w:rtl w:val="true"/>
          <w:lang w:bidi="fa-IR"/>
        </w:rPr>
        <w:t>از جمله مباحثی که البتّه در بین فقها کمتر مورد توجّه قرار گرفته، این است که آیا وقف از احکام تأسیسی است که قبل از اسلام، سابقه‌ای نداشته و اسلام بنیان‌گذار آن است و در نتیجه در همه جزئیّات و شرایط و اجزای آن، مرجع، شارع مقدّس است و یا همانند بسیاری از عقود، از احکام امضایی و عقلایی است که قبل از اسلام در میان عقلا</w:t>
      </w:r>
    </w:p>
    <w:p>
      <w:pPr>
        <w:pStyle w:val="BookText"/>
        <w:rPr/>
      </w:pPr>
      <w:r>
        <w:rPr>
          <w:rFonts w:ascii="IRNazanin" w:hAnsi="IRNazanin" w:eastAsia="IRNazanin"/>
          <w:color w:val="111111"/>
          <w:sz w:val="28"/>
          <w:sz w:val="28"/>
          <w:szCs w:val="28"/>
          <w:rtl w:val="true"/>
          <w:lang w:bidi="fa-IR"/>
        </w:rPr>
        <w:t>متداول بوده و اسلام، البتّه با اضافه کردن حدود و قیود و شرایطی، آن را امضاء کرده</w:t>
      </w:r>
    </w:p>
    <w:p>
      <w:pPr>
        <w:pStyle w:val="BookText"/>
        <w:rPr/>
      </w:pPr>
      <w:r>
        <w:rPr>
          <w:rFonts w:ascii="IRNazanin" w:hAnsi="IRNazanin" w:eastAsia="IRNazanin"/>
          <w:color w:val="111111"/>
          <w:sz w:val="28"/>
          <w:sz w:val="28"/>
          <w:szCs w:val="28"/>
          <w:rtl w:val="true"/>
          <w:lang w:bidi="fa-IR"/>
        </w:rPr>
        <w:t>است، که در این صورت، عرف نیز در تحقّق بعضی از عناوین آن دخالت خواهدداشت، هر چند شارع نیز ممکن است حدود و شرایطی برای آن تعیین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از فقهایی است که وقف اراضی و عقار را از خصایص اسلام می‌داند وبرای آن در جاهلیّت سابقه‌ای سراغ ندارد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ابن‌حَزم اندلسی، از فقهای ظاهری، نیزدر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جاهلی حبسی را </w:t>
      </w:r>
    </w:p>
    <w:p>
      <w:pPr>
        <w:pStyle w:val="BookText"/>
        <w:rPr/>
      </w:pPr>
      <w:r>
        <w:rPr>
          <w:rFonts w:ascii="IRNazanin" w:hAnsi="IRNazanin" w:eastAsia="IRNazanin"/>
          <w:color w:val="111111"/>
          <w:sz w:val="28"/>
          <w:sz w:val="28"/>
          <w:szCs w:val="28"/>
          <w:rtl w:val="true"/>
          <w:lang w:bidi="fa-IR"/>
        </w:rPr>
        <w:t xml:space="preserve">که مورد بحث و اختلاف ماست نمی‌شناخته و این اسم و عنوانی است که شرع اسلام و رسول خدا صلی‌الله‌علیه‌و‌آله آن را آورده است، همانند نماز، زکات،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رسول خدا صلی‌الله‌علیه‌و‌آله نبود ما از این شرایع چیزی نمی‌دانستیم</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 xml:space="preserve">امّا ظاهرا حقّ همان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ابوزُهره در این باره بیان داشته‌اند که اصل وقف از خصایص اسلام نیست و از احکام عقلایی،به توضیحی که گذشت،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Style w:val="FootnoteAnchor"/>
          <w:rtl w:val="true"/>
        </w:rPr>
        <w:footnoteReference w:id="89"/>
      </w:r>
      <w:r>
        <w:rPr>
          <w:rFonts w:ascii="IRNazanin" w:hAnsi="IRNazanin" w:eastAsia="IRNazanin"/>
          <w:color w:val="111111"/>
          <w:sz w:val="28"/>
          <w:sz w:val="28"/>
          <w:szCs w:val="28"/>
          <w:rtl w:val="true"/>
          <w:lang w:bidi="fa-IR"/>
        </w:rPr>
        <w:t>این مطلب را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دارای حقیقت شرعیّه نیست، بلکه امری است عقلایی که میان دیگر ملل نیز رایج است و حتّی شاید در غیر ادیان نیز رایج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محمّد ابوزُهره نیز در کتاب وقف خود، که فقهی تطبیقی است،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قبل از اسلام، هر چند با نامی غیر از این نام،متداول بوده است؛ زیرا</w:t>
      </w:r>
    </w:p>
    <w:p>
      <w:pPr>
        <w:pStyle w:val="BookText"/>
        <w:rPr/>
      </w:pPr>
      <w:r>
        <w:rPr>
          <w:rFonts w:ascii="IRNazanin" w:hAnsi="IRNazanin" w:eastAsia="IRNazanin"/>
          <w:color w:val="111111"/>
          <w:sz w:val="28"/>
          <w:sz w:val="28"/>
          <w:szCs w:val="28"/>
          <w:rtl w:val="true"/>
          <w:lang w:bidi="fa-IR"/>
        </w:rPr>
        <w:t xml:space="preserve">می‌بینیم که در تاریخ قبل از اسلام، معابد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همانند کنایس،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مساجدی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مسجدالحرام و 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داشته‌اندکه اموال و اراضی فراوانی برای نگهداری و اداره آنها توسّط افراد خیّر و نیکوکار در نظر گرفته شده است و نمی‌توان تصوّر کرد که این اموال واملاک، ملک افرادی خاص بوده و تنها منافع آن به مصرف کسانی می‌رسیده است که دراین اماکن، عبادت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راهی جز اعتراف به این حقیقت وجود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قبل از اسلام نیز وجود داشته و از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اسلام آن را تأیید و تقریر کرده است</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ابوزُهره سپس با استناد به تاریخ قانونِ مصر قدیم، حتی وقف اولادی، در قبل از اسلام را اثبات می‌کند و توضیح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اعطا با هبه، فرق اساسی دارد</w:t>
      </w:r>
      <w:r>
        <w:rPr>
          <w:rFonts w:eastAsia="IRNazanin" w:cs="IRNazanin"/>
          <w:color w:val="111111"/>
          <w:sz w:val="28"/>
          <w:szCs w:val="28"/>
          <w:rtl w:val="true"/>
          <w:lang w:bidi="fa-IR"/>
        </w:rPr>
        <w:t>.</w:t>
      </w:r>
      <w:r>
        <w:rPr>
          <w:rStyle w:val="FootnoteAnchor"/>
          <w:rtl w:val="true"/>
        </w:rPr>
        <w:footnoteReference w:id="91"/>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شافعی و ابن حَزْم نیز مطلق وقف را در قبل از اسلام انکار نکرده‌اند و انکار آنان به اموری چون اراضی،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می‌شود</w:t>
      </w:r>
      <w:r>
        <w:rPr>
          <w:rFonts w:eastAsia="IRNazanin" w:cs="IRNazanin"/>
          <w:color w:val="111111"/>
          <w:sz w:val="28"/>
          <w:szCs w:val="28"/>
          <w:rtl w:val="true"/>
          <w:lang w:bidi="fa-IR"/>
        </w:rPr>
        <w:t xml:space="preserve">. </w:t>
      </w:r>
      <w:bookmarkStart w:id="81" w:name="pg4267_21778"/>
    </w:p>
    <w:p>
      <w:pPr>
        <w:pStyle w:val="Heading4"/>
        <w:numPr>
          <w:ilvl w:val="3"/>
          <w:numId w:val="1"/>
        </w:numPr>
        <w:rPr/>
      </w:pPr>
      <w:bookmarkStart w:id="82" w:name="__RefHeading___Toc473933_1479056682"/>
      <w:bookmarkStart w:id="83" w:name="_Toc29"/>
      <w:bookmarkEnd w:id="81"/>
      <w:bookmarkEnd w:id="82"/>
      <w:r>
        <w:rPr>
          <w:rtl w:val="true"/>
        </w:rPr>
        <w:t>مبحث دوم</w:t>
      </w:r>
      <w:r>
        <w:rPr>
          <w:rtl w:val="true"/>
        </w:rPr>
        <w:t xml:space="preserve">: </w:t>
      </w:r>
      <w:r>
        <w:rPr>
          <w:rtl w:val="true"/>
        </w:rPr>
        <w:t>وقف در میان ملل غیرمسلمان</w:t>
      </w:r>
      <w:bookmarkEnd w:id="83"/>
    </w:p>
    <w:p>
      <w:pPr>
        <w:pStyle w:val="Heading5"/>
        <w:numPr>
          <w:ilvl w:val="4"/>
          <w:numId w:val="1"/>
        </w:numPr>
        <w:rPr/>
      </w:pPr>
      <w:bookmarkStart w:id="84" w:name="__RefHeading___Toc473935_1479056682"/>
      <w:bookmarkStart w:id="85" w:name="_Toc30"/>
      <w:bookmarkEnd w:id="84"/>
      <w:r>
        <w:rPr/>
        <w:t>1</w:t>
      </w:r>
      <w:r>
        <w:rPr>
          <w:rtl w:val="true"/>
        </w:rPr>
        <w:t xml:space="preserve">- </w:t>
      </w:r>
      <w:r>
        <w:rPr>
          <w:rtl w:val="true"/>
        </w:rPr>
        <w:t>وقف درمیان رومیان</w:t>
      </w:r>
      <w:bookmarkEnd w:id="85"/>
    </w:p>
    <w:p>
      <w:pPr>
        <w:pStyle w:val="BookText"/>
        <w:rPr/>
      </w:pPr>
      <w:r>
        <w:rPr>
          <w:rFonts w:ascii="IRNazanin" w:hAnsi="IRNazanin" w:eastAsia="IRNazanin"/>
          <w:color w:val="111111"/>
          <w:sz w:val="28"/>
          <w:sz w:val="28"/>
          <w:szCs w:val="28"/>
          <w:rtl w:val="true"/>
          <w:lang w:bidi="fa-IR"/>
        </w:rPr>
        <w:t>کبیسی</w:t>
      </w:r>
      <w:r>
        <w:rPr>
          <w:rStyle w:val="FootnoteAnchor"/>
          <w:rtl w:val="true"/>
        </w:rPr>
        <w:footnoteReference w:id="92"/>
      </w:r>
      <w:r>
        <w:rPr>
          <w:rFonts w:ascii="IRNazanin" w:hAnsi="IRNazanin" w:eastAsia="IRNazanin"/>
          <w:color w:val="111111"/>
          <w:sz w:val="28"/>
          <w:sz w:val="28"/>
          <w:szCs w:val="28"/>
          <w:rtl w:val="true"/>
          <w:lang w:bidi="fa-IR"/>
        </w:rPr>
        <w:t>از کتاب بین الشریعة الاسلامیّه و القانون الرومانی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رومیان با نظام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مؤسّسات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مؤسّسات به اداره فقیران و</w:t>
      </w:r>
    </w:p>
    <w:p>
      <w:pPr>
        <w:pStyle w:val="BookText"/>
        <w:rPr/>
      </w:pPr>
      <w:r>
        <w:rPr>
          <w:rFonts w:ascii="IRNazanin" w:hAnsi="IRNazanin" w:eastAsia="IRNazanin"/>
          <w:color w:val="111111"/>
          <w:sz w:val="28"/>
          <w:sz w:val="28"/>
          <w:szCs w:val="28"/>
          <w:rtl w:val="true"/>
          <w:lang w:bidi="fa-IR"/>
        </w:rPr>
        <w:t>ناتوانان می‌پرداخت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به این مؤسّسه‌ها اختصاص می‌یافت تا به مصرف فقرا و ناتوانان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معتقد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اشیای مقدّس، معابد، نذور، هدایا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w:t>
      </w:r>
    </w:p>
    <w:p>
      <w:pPr>
        <w:pStyle w:val="BookText"/>
        <w:rPr/>
      </w:pPr>
      <w:r>
        <w:rPr>
          <w:rFonts w:ascii="IRNazanin" w:hAnsi="IRNazanin" w:eastAsia="IRNazanin"/>
          <w:color w:val="111111"/>
          <w:sz w:val="28"/>
          <w:sz w:val="28"/>
          <w:szCs w:val="28"/>
          <w:rtl w:val="true"/>
          <w:lang w:bidi="fa-IR"/>
        </w:rPr>
        <w:t>اختصاص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نوشته حستنیان</w:t>
      </w:r>
      <w:r>
        <w:rPr>
          <w:rStyle w:val="FootnoteAnchor"/>
          <w:rtl w:val="true"/>
        </w:rPr>
        <w:footnoteReference w:id="93"/>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اشیای دینی و اشیای حرام، مملوک کسی نمی‌شوند زیرا مملوک خدا مملوک انسان نمی‌شود و حتّی اگر مکان مقدّس خراب شود زمین آن مقدّس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مقدّس بودن زمین باید در آغاز طی مراسمی از طرف کاهنان اعلام شود و خود مردم قدرت و حقّ آن را ندارند که شخصا زمین خود را مقدّس اعلام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می‌بینیم که ، بجز در مواردی، نظام وقف در میان رومیان، کاملاً مشابه نظام وقف در میان مسلمانان بوده است</w:t>
      </w:r>
      <w:r>
        <w:rPr>
          <w:rFonts w:eastAsia="IRNazanin" w:cs="IRNazanin"/>
          <w:color w:val="111111"/>
          <w:sz w:val="28"/>
          <w:szCs w:val="28"/>
          <w:rtl w:val="true"/>
          <w:lang w:bidi="fa-IR"/>
        </w:rPr>
        <w:t>.</w:t>
      </w:r>
    </w:p>
    <w:p>
      <w:pPr>
        <w:pStyle w:val="Heading5"/>
        <w:numPr>
          <w:ilvl w:val="4"/>
          <w:numId w:val="1"/>
        </w:numPr>
        <w:rPr/>
      </w:pPr>
      <w:bookmarkStart w:id="86" w:name="__RefHeading___Toc473937_1479056682"/>
      <w:bookmarkStart w:id="87" w:name="_Toc31"/>
      <w:bookmarkEnd w:id="86"/>
      <w:r>
        <w:rPr/>
        <w:t>2</w:t>
      </w:r>
      <w:r>
        <w:rPr>
          <w:rtl w:val="true"/>
        </w:rPr>
        <w:t xml:space="preserve">- </w:t>
      </w:r>
      <w:r>
        <w:rPr>
          <w:rtl w:val="true"/>
        </w:rPr>
        <w:t>وقف در میان مصریان قدیم</w:t>
      </w:r>
      <w:bookmarkEnd w:id="87"/>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مصریان قدیم املاکی را برای خدایان، معابد، مقابر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می‌دادند تا درآمد آنهابه مصرف تعمیرات، نوسازی، اقامه مراسم و هزینه کاهنان و خادمان برسد و این کار به قصد تقرّب به خدایان انجام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در موزه مصر الواحی وجود دارد که مطالب فوق را تأیید می‌کند و از قدیمی‌ترین آنها لوحه شماره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نقوش آن از وقف املاک بر گروهی از کاهنان در خانواده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سلسله چهارم فراعنه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می‌کند</w:t>
      </w:r>
      <w:r>
        <w:rPr>
          <w:rFonts w:eastAsia="IRNazanin" w:cs="IRNazanin"/>
          <w:color w:val="111111"/>
          <w:sz w:val="28"/>
          <w:szCs w:val="28"/>
          <w:rtl w:val="true"/>
          <w:lang w:bidi="fa-IR"/>
        </w:rPr>
        <w:t>.</w:t>
      </w:r>
      <w:r>
        <w:rPr>
          <w:rStyle w:val="FootnoteAnchor"/>
          <w:rtl w:val="true"/>
        </w:rPr>
        <w:footnoteReference w:id="94"/>
      </w:r>
      <w:bookmarkStart w:id="88" w:name="pg4267_21779"/>
    </w:p>
    <w:p>
      <w:pPr>
        <w:pStyle w:val="BookText"/>
        <w:rPr/>
      </w:pPr>
      <w:bookmarkEnd w:id="88"/>
      <w:r>
        <w:rPr>
          <w:rFonts w:ascii="IRNazanin" w:hAnsi="IRNazanin" w:eastAsia="IRNazanin"/>
          <w:color w:val="111111"/>
          <w:sz w:val="28"/>
          <w:sz w:val="28"/>
          <w:szCs w:val="28"/>
          <w:rtl w:val="true"/>
          <w:lang w:bidi="fa-IR"/>
        </w:rPr>
        <w:t xml:space="preserve">دکتر محمّد ابوزُهره نیز از تاریخ القانون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شفیق شماته، ص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مصر با وقف اولادی و خانوادگی آشنایی کامل داشته‌اند و موردی را روایت کرده که فردی اموالی رادر اختیار پسر بزرگتر خویش قرارداده تا درآمد آنها را به مصرف برادرانش برساند، امّا اعیان و رقبه آن املاک قابل نقل وتصرّف نباشد</w:t>
      </w:r>
      <w:r>
        <w:rPr>
          <w:rFonts w:eastAsia="IRNazanin" w:cs="IRNazanin"/>
          <w:color w:val="111111"/>
          <w:sz w:val="28"/>
          <w:szCs w:val="28"/>
          <w:rtl w:val="true"/>
          <w:lang w:bidi="fa-IR"/>
        </w:rPr>
        <w:t>.</w:t>
      </w:r>
      <w:r>
        <w:rPr>
          <w:rStyle w:val="FootnoteAnchor"/>
          <w:rtl w:val="true"/>
        </w:rPr>
        <w:footnoteReference w:id="95"/>
      </w:r>
    </w:p>
    <w:p>
      <w:pPr>
        <w:pStyle w:val="Heading5"/>
        <w:numPr>
          <w:ilvl w:val="4"/>
          <w:numId w:val="1"/>
        </w:numPr>
        <w:rPr/>
      </w:pPr>
      <w:bookmarkStart w:id="89" w:name="__RefHeading___Toc473939_1479056682"/>
      <w:bookmarkStart w:id="90" w:name="_Toc32"/>
      <w:bookmarkEnd w:id="89"/>
      <w:r>
        <w:rPr/>
        <w:t>3</w:t>
      </w:r>
      <w:r>
        <w:rPr>
          <w:rtl w:val="true"/>
        </w:rPr>
        <w:t xml:space="preserve">- </w:t>
      </w:r>
      <w:r>
        <w:rPr>
          <w:rtl w:val="true"/>
        </w:rPr>
        <w:t>وقف درمیان عراقیهای قدیم</w:t>
      </w:r>
      <w:bookmarkEnd w:id="90"/>
    </w:p>
    <w:p>
      <w:pPr>
        <w:pStyle w:val="BookText"/>
        <w:rPr/>
      </w:pPr>
      <w:r>
        <w:rPr>
          <w:rFonts w:ascii="IRNazanin" w:hAnsi="IRNazanin" w:eastAsia="IRNazanin"/>
          <w:color w:val="111111"/>
          <w:sz w:val="28"/>
          <w:sz w:val="28"/>
          <w:szCs w:val="28"/>
          <w:rtl w:val="true"/>
          <w:lang w:bidi="fa-IR"/>
        </w:rPr>
        <w:t xml:space="preserve">کبیسی با استناد به تاریخ 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عراقیهای قدیم در تمدّنِ بابِل</w:t>
      </w:r>
    </w:p>
    <w:p>
      <w:pPr>
        <w:pStyle w:val="BookText"/>
        <w:rPr/>
      </w:pPr>
      <w:r>
        <w:rPr>
          <w:rFonts w:ascii="IRNazanin" w:hAnsi="IRNazanin" w:eastAsia="IRNazanin"/>
          <w:color w:val="111111"/>
          <w:sz w:val="28"/>
          <w:sz w:val="28"/>
          <w:szCs w:val="28"/>
          <w:rtl w:val="true"/>
          <w:lang w:bidi="fa-IR"/>
        </w:rPr>
        <w:t>با انواعی از تصرّفات مالی، شبیه وقف، آشنا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بعضی از املاک خویش را در اختیار بعضی از رعایای خویش می‌گذاشت 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آن که مالک زمین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آن بهره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به حکم قانون و به ترتیبی که قانون مقرّر می‌داشت، به</w:t>
      </w:r>
    </w:p>
    <w:p>
      <w:pPr>
        <w:pStyle w:val="BookText"/>
        <w:rPr/>
      </w:pPr>
      <w:r>
        <w:rPr>
          <w:rFonts w:ascii="Amiri" w:hAnsi="Amiri" w:eastAsia="Amiri" w:cs="Amiri"/>
          <w:color w:val="111111"/>
          <w:sz w:val="28"/>
          <w:sz w:val="28"/>
          <w:szCs w:val="28"/>
          <w:rtl w:val="true"/>
          <w:lang w:bidi="ar-SA"/>
        </w:rPr>
        <w:t xml:space="preserve">ورثه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منتقل می‌شد</w:t>
      </w:r>
      <w:r>
        <w:rPr>
          <w:rFonts w:eastAsia="Amiri" w:cs="Amiri" w:ascii="Amiri" w:hAnsi="Amiri"/>
          <w:color w:val="111111"/>
          <w:sz w:val="28"/>
          <w:szCs w:val="28"/>
          <w:rtl w:val="true"/>
          <w:lang w:bidi="ar-SA"/>
        </w:rPr>
        <w:t>.</w:t>
      </w:r>
      <w:r>
        <w:rPr>
          <w:rStyle w:val="FootnoteAnchor"/>
          <w:rtl w:val="true"/>
        </w:rPr>
        <w:footnoteReference w:id="96"/>
      </w:r>
    </w:p>
    <w:p>
      <w:pPr>
        <w:pStyle w:val="Heading5"/>
        <w:numPr>
          <w:ilvl w:val="4"/>
          <w:numId w:val="1"/>
        </w:numPr>
        <w:rPr/>
      </w:pPr>
      <w:bookmarkStart w:id="91" w:name="__RefHeading___Toc473941_1479056682"/>
      <w:bookmarkStart w:id="92" w:name="_Toc33"/>
      <w:bookmarkEnd w:id="91"/>
      <w:r>
        <w:rPr/>
        <w:t>4</w:t>
      </w:r>
      <w:r>
        <w:rPr>
          <w:rtl w:val="true"/>
        </w:rPr>
        <w:t xml:space="preserve">- </w:t>
      </w:r>
      <w:r>
        <w:rPr>
          <w:rtl w:val="true"/>
        </w:rPr>
        <w:t>وقف در میان ایرانیان قدیم</w:t>
      </w:r>
      <w:bookmarkEnd w:id="92"/>
    </w:p>
    <w:p>
      <w:pPr>
        <w:pStyle w:val="BookText"/>
        <w:rPr/>
      </w:pPr>
      <w:r>
        <w:rPr>
          <w:rFonts w:ascii="IRNazanin" w:hAnsi="IRNazanin" w:eastAsia="IRNazanin"/>
          <w:color w:val="111111"/>
          <w:sz w:val="28"/>
          <w:sz w:val="28"/>
          <w:szCs w:val="28"/>
          <w:rtl w:val="true"/>
          <w:lang w:bidi="fa-IR"/>
        </w:rPr>
        <w:t>اقوام آریایی، بویژه ایرانیان، به پیروی از آیین و کیش خود، دارای موقوفات و نذورات بسیاری برای نگهداری معابد و آتشکده‌های خود بوده‌اند که پاره‌ای از این موقوفات، هم اکنون نیز در نزد زرتشتیان برخی از شهرهای ایران، مثل یزد و کرمان باقی</w:t>
      </w:r>
    </w:p>
    <w:p>
      <w:pPr>
        <w:pStyle w:val="BookText"/>
        <w:rPr/>
      </w:pPr>
      <w:r>
        <w:rPr>
          <w:rFonts w:ascii="IRNazanin" w:hAnsi="IRNazanin" w:eastAsia="IRNazanin"/>
          <w:color w:val="111111"/>
          <w:sz w:val="28"/>
          <w:sz w:val="28"/>
          <w:szCs w:val="28"/>
          <w:rtl w:val="true"/>
          <w:lang w:bidi="fa-IR"/>
        </w:rPr>
        <w:t>و دایر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قراین می‌توان حدس زد که آتشکده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آذرگشسب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بلخ دارای موقوفات و نذورات بسیاری بوده است</w:t>
      </w:r>
      <w:r>
        <w:rPr>
          <w:rFonts w:eastAsia="IRNazanin" w:cs="IRNazanin"/>
          <w:color w:val="111111"/>
          <w:sz w:val="28"/>
          <w:szCs w:val="28"/>
          <w:rtl w:val="true"/>
          <w:lang w:bidi="fa-IR"/>
        </w:rPr>
        <w:t>.</w:t>
      </w:r>
      <w:r>
        <w:rPr>
          <w:rStyle w:val="FootnoteAnchor"/>
          <w:rtl w:val="true"/>
        </w:rPr>
        <w:footnoteReference w:id="97"/>
      </w:r>
    </w:p>
    <w:p>
      <w:pPr>
        <w:pStyle w:val="Heading5"/>
        <w:numPr>
          <w:ilvl w:val="4"/>
          <w:numId w:val="1"/>
        </w:numPr>
        <w:rPr/>
      </w:pPr>
      <w:bookmarkStart w:id="93" w:name="__RefHeading___Toc473943_1479056682"/>
      <w:bookmarkStart w:id="94" w:name="_Toc34"/>
      <w:bookmarkEnd w:id="93"/>
      <w:r>
        <w:rPr/>
        <w:t>5</w:t>
      </w:r>
      <w:r>
        <w:rPr>
          <w:rtl w:val="true"/>
        </w:rPr>
        <w:t xml:space="preserve">- </w:t>
      </w:r>
      <w:r>
        <w:rPr>
          <w:rtl w:val="true"/>
        </w:rPr>
        <w:t>وقف در میان آلمانیها</w:t>
      </w:r>
      <w:bookmarkEnd w:id="9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آلمان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پذیرفته شده است که مجموعه‌ای از اموال به دلیل اختصاص یافتن به هدفی معیّن ممکن است مستقل شود و زندگی حقوقی </w:t>
      </w:r>
      <w:bookmarkStart w:id="95" w:name="pg4267_21780"/>
    </w:p>
    <w:p>
      <w:pPr>
        <w:pStyle w:val="BookText"/>
        <w:rPr/>
      </w:pPr>
      <w:bookmarkEnd w:id="95"/>
      <w:r>
        <w:rPr>
          <w:rFonts w:ascii="IRNazanin" w:hAnsi="IRNazanin" w:eastAsia="IRNazanin"/>
          <w:color w:val="111111"/>
          <w:sz w:val="28"/>
          <w:sz w:val="28"/>
          <w:szCs w:val="28"/>
          <w:rtl w:val="true"/>
          <w:lang w:bidi="fa-IR"/>
        </w:rPr>
        <w:t xml:space="preserve">ویژه خود را آغاز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که در حقوق مدنی فرانسه 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بنیادها، وابسته و محدود به اذن مقامهای اداری است، لکن این اذن به گذشته سرایت می‌کند و در صورتی که وقف به موجب وصیّت انجام پذیرد، از روز فوت موصی به بنیاد، شخصیّت حقوقی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حقوقدانان آلمان بآسانی پذیرفته‌اند که برای ایجاد</w:t>
      </w:r>
    </w:p>
    <w:p>
      <w:pPr>
        <w:pStyle w:val="BookText"/>
        <w:rPr/>
      </w:pPr>
      <w:r>
        <w:rPr>
          <w:rFonts w:ascii="IRNazanin" w:hAnsi="IRNazanin" w:eastAsia="IRNazanin"/>
          <w:color w:val="111111"/>
          <w:sz w:val="28"/>
          <w:sz w:val="28"/>
          <w:szCs w:val="28"/>
          <w:rtl w:val="true"/>
          <w:lang w:bidi="fa-IR"/>
        </w:rPr>
        <w:t>یک مؤسسه مفید هیچ ضرورتی ندارد که داراییِ مؤسّس به شخص موجود تملیک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اختصاص، خود دلیل وجود است و نیازی به صورت‌سازی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اینان اموال وقف شده به عنوان دارایی یک شرکت تلقّی نمی‌شود، بلکه خود،مؤسّسه‌ای است مستقلّ بدون این که شخص،مالک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مفهوم وقف درحقوق آلمان و ایران بسیار به هم نزدیک است، چرا که در هردو، تکیه بر اصالت اموال است و این اموال به هیچ شخصی تعلّق ندارد، بااین تفاوت که درحقوق ما مال موقوف، حبس می‌شود و متولّی حقّ انتقال آن را به دیگری ندارد، امّا</w:t>
      </w:r>
    </w:p>
    <w:p>
      <w:pPr>
        <w:pStyle w:val="BookText"/>
        <w:rPr/>
      </w:pPr>
      <w:r>
        <w:rPr>
          <w:rFonts w:ascii="IRNazanin" w:hAnsi="IRNazanin" w:eastAsia="IRNazanin"/>
          <w:color w:val="111111"/>
          <w:sz w:val="28"/>
          <w:sz w:val="28"/>
          <w:szCs w:val="28"/>
          <w:rtl w:val="true"/>
          <w:lang w:bidi="fa-IR"/>
        </w:rPr>
        <w:t>در حقوق آلمان، امکان گسترش دارد، یعنی مؤسّسه وقف می‌تواند زندگی متحرّک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این امتیاز، وجود شخصیّت حقوقی برای وقف درحقوق آلمان، موکول به اذن دولت است، در حالی که در حقوق ما چنین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وقف بر غیر محصور ومصالح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باید وقف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مقامهای عمومی نیز درباره فایده ایجاد موقوفاتی که به سود جامعه تأسیس می‌شود، معمول خواهد شد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در مباحث فقهی آینده،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در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یا عدم اعتبار قبول 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خواهند گرفت</w:t>
      </w:r>
      <w:r>
        <w:rPr>
          <w:rFonts w:eastAsia="IRNazanin" w:cs="IRNazanin"/>
          <w:color w:val="111111"/>
          <w:sz w:val="28"/>
          <w:szCs w:val="28"/>
          <w:rtl w:val="true"/>
          <w:lang w:bidi="fa-IR"/>
        </w:rPr>
        <w:t>.</w:t>
      </w:r>
    </w:p>
    <w:p>
      <w:pPr>
        <w:pStyle w:val="Heading5"/>
        <w:numPr>
          <w:ilvl w:val="4"/>
          <w:numId w:val="1"/>
        </w:numPr>
        <w:rPr/>
      </w:pPr>
      <w:bookmarkStart w:id="96" w:name="__RefHeading___Toc473945_1479056682"/>
      <w:bookmarkStart w:id="97" w:name="_Toc35"/>
      <w:bookmarkEnd w:id="96"/>
      <w:r>
        <w:rPr/>
        <w:t>6</w:t>
      </w:r>
      <w:r>
        <w:rPr>
          <w:rtl w:val="true"/>
        </w:rPr>
        <w:t xml:space="preserve">- </w:t>
      </w:r>
      <w:r>
        <w:rPr>
          <w:rtl w:val="true"/>
        </w:rPr>
        <w:t>وقف در کشور سوئیس</w:t>
      </w:r>
      <w:bookmarkEnd w:id="97"/>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حقوق این کشور، وقف همانند حقوق آلمان است با این تفاوت که ایجاد بنیاد، </w:t>
      </w:r>
      <w:bookmarkStart w:id="98" w:name="pg4267_21781"/>
    </w:p>
    <w:p>
      <w:pPr>
        <w:pStyle w:val="BookText"/>
        <w:rPr/>
      </w:pPr>
      <w:bookmarkEnd w:id="98"/>
      <w:r>
        <w:rPr>
          <w:rFonts w:ascii="IRNazanin" w:hAnsi="IRNazanin" w:eastAsia="IRNazanin"/>
          <w:color w:val="111111"/>
          <w:sz w:val="28"/>
          <w:sz w:val="28"/>
          <w:szCs w:val="28"/>
          <w:rtl w:val="true"/>
          <w:lang w:bidi="fa-IR"/>
        </w:rPr>
        <w:t xml:space="preserve">موکول به اذن دولت نیست و دولت تنها بر اداره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صورت بنیادهای مذهبی و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حیث وقف درحقوق مدنی سوئیس به حقوق ایران خیلی نزدیکتر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 برزیل نیز از همین مبنا پیروی کرده است</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99" w:name="__RefHeading___Toc473947_1479056682"/>
      <w:bookmarkStart w:id="100" w:name="_Toc36"/>
      <w:bookmarkEnd w:id="99"/>
      <w:r>
        <w:rPr/>
        <w:t>7</w:t>
      </w:r>
      <w:r>
        <w:rPr>
          <w:rtl w:val="true"/>
        </w:rPr>
        <w:t xml:space="preserve">- </w:t>
      </w:r>
      <w:r>
        <w:rPr>
          <w:rtl w:val="true"/>
        </w:rPr>
        <w:t>وقف در کشور فرانسه</w:t>
      </w:r>
      <w:bookmarkEnd w:id="100"/>
    </w:p>
    <w:p>
      <w:pPr>
        <w:pStyle w:val="BookText"/>
        <w:rPr/>
      </w:pPr>
      <w:r>
        <w:rPr>
          <w:rFonts w:ascii="IRNazanin" w:hAnsi="IRNazanin" w:eastAsia="IRNazanin"/>
          <w:color w:val="111111"/>
          <w:sz w:val="28"/>
          <w:sz w:val="28"/>
          <w:szCs w:val="28"/>
          <w:rtl w:val="true"/>
          <w:lang w:bidi="fa-IR"/>
        </w:rPr>
        <w:t>در فرانسه نوعی از تصرّفات مالی وجود داردکه شبیه وقف اولادی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اجازه می‌دهد که؛ پدر، مالی را به فرزندش ببخشد ویا به نفع او وصیّت کند که خود درحال حیاتش از آن منتفع شود و بعد از مرگش به اولاد یا برادرش انتقال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w:t>
      </w:r>
    </w:p>
    <w:p>
      <w:pPr>
        <w:pStyle w:val="BookText"/>
        <w:rPr/>
      </w:pPr>
      <w:r>
        <w:rPr>
          <w:rFonts w:ascii="IRNazanin" w:hAnsi="IRNazanin" w:eastAsia="IRNazanin"/>
          <w:color w:val="111111"/>
          <w:sz w:val="28"/>
          <w:sz w:val="28"/>
          <w:szCs w:val="28"/>
          <w:rtl w:val="true"/>
          <w:lang w:bidi="fa-IR"/>
        </w:rPr>
        <w:t xml:space="preserve">حقوقی در قانون 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متنقّله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درقانون‌فرانسه به‌وقف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شده است، یعنی اختصاص دادن مالی معیّن برای همیشه به عمل خیر، اعم از آن که آن عمل خیر، عام باشد یا خاصّ برای اهدافی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مراسم‌دعا برای آرامش روح متوفا و یا تهیّه صندلی، ویژه معابد برای متوفّا و خانواده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خیر عمومی، چون احداث بیمارستان، نوان‌خانه، مدرسه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وقفهای عام، گاهی با اجازه قانون و توسّط یک شخصیّت حقوقی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دولت یامدیر یک مؤسّسه عام المنفعه نظیر بیمارستان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تنفیذ می‌شود و گاهی هم مالکی از دارایی خود، موسّسه خیریّه‌ای را به وجود می‌آورد و شخصا آن را اداره می‌کند و از مقامات ذی‌ربط برای آن درخواستِ شناساییِ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Style w:val="FootnoteAnchor"/>
          <w:rtl w:val="true"/>
        </w:rPr>
        <w:footnoteReference w:id="100"/>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کاتوزیان یادآور شده است که درحقوق فرانسه به خاطر دشمنی فردگرایانِ پس از انقلاب با وجود شخصیّتهای حقوقی، دارایی نمی‌تواند بدون انتساب به شخص، </w:t>
      </w:r>
      <w:bookmarkStart w:id="101" w:name="pg4267_21782"/>
    </w:p>
    <w:p>
      <w:pPr>
        <w:pStyle w:val="BookText"/>
        <w:rPr/>
      </w:pPr>
      <w:bookmarkEnd w:id="101"/>
      <w:r>
        <w:rPr>
          <w:rFonts w:ascii="IRNazanin" w:hAnsi="IRNazanin" w:eastAsia="IRNazanin"/>
          <w:color w:val="111111"/>
          <w:sz w:val="28"/>
          <w:sz w:val="28"/>
          <w:szCs w:val="28"/>
          <w:rtl w:val="true"/>
          <w:lang w:bidi="fa-IR"/>
        </w:rPr>
        <w:t>زندگی حقوقی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بهترین راه برای امور خیریّه وصیّت است، یعنی انتقال دارایی به افراد یا موارد مورد نظر از راه وصیّت، زیرا هبه بافوت واهب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مشکل این کار هم این است که رویه قضایی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را تنها در مواردی نافذ می‌داند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فوت موصی موجود باشد و اگر هنوز به دنیا نیامده باشد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شود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02" w:name="__RefHeading___Toc473949_1479056682"/>
      <w:bookmarkStart w:id="103" w:name="_Toc37"/>
      <w:bookmarkEnd w:id="102"/>
      <w:r>
        <w:rPr/>
        <w:t>8</w:t>
      </w:r>
      <w:r>
        <w:rPr>
          <w:rtl w:val="true"/>
        </w:rPr>
        <w:t xml:space="preserve">- </w:t>
      </w:r>
      <w:r>
        <w:rPr>
          <w:rtl w:val="true"/>
        </w:rPr>
        <w:t>وقف در حقوق قدیم انگلستان و آمریکا</w:t>
      </w:r>
      <w:bookmarkEnd w:id="103"/>
    </w:p>
    <w:p>
      <w:pPr>
        <w:pStyle w:val="BookText"/>
        <w:rPr/>
      </w:pPr>
      <w:r>
        <w:rPr>
          <w:rFonts w:ascii="IRNazanin" w:hAnsi="IRNazanin" w:eastAsia="IRNazanin"/>
          <w:color w:val="111111"/>
          <w:sz w:val="28"/>
          <w:sz w:val="28"/>
          <w:szCs w:val="28"/>
          <w:rtl w:val="true"/>
          <w:lang w:bidi="fa-IR"/>
        </w:rPr>
        <w:t xml:space="preserve">نظام انگلوساکسون نوعی از تصرّفات مالی را تحت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می‌شناسد که تعریف آن به طور خلاصه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گذاشتن مالی در اختیار شخص معیّنی تا آن را به مصرف شخص دیگری برساند، شخص صاحب اختیار را امین یا وصیّ و شخص دوم را مستفید یا مستحق 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رابطه شخص امین یا وصی با مال مورد امانت در ارتباط با مستحق،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که نه مالک آن است و نه حقّ تملیک آن رادارد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هدف از نهاد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از بیوه‌زنان و کودکان و نیز انجام کارهای عام‌المنفعه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تعیین شخص مستفید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بلکه تعیین آن به اوصاف و یا طبقات نیز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مؤسّس، فقرا، دانشجویان فلان دانشکده، احیای شعایر دینی، انفاق به یتیمان و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خیری می‌تواند مدّت‌دار و غیر مدّت دار باشد،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خیری همیشه موقّت است، به علاوه تنفیذ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از طریق دادستان کل کشور قابل مطالبه است، ولی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خیری دعوا تنها از مستحقّان آن پذیرفته می‌شود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 یا نهاد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آمریکا وانگلستان در برابر نهاد حقوقی </w:t>
      </w:r>
      <w:bookmarkStart w:id="104" w:name="pg4267_21783"/>
    </w:p>
    <w:p>
      <w:pPr>
        <w:pStyle w:val="BookText"/>
        <w:rPr/>
      </w:pPr>
      <w:bookmarkEnd w:id="1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المؤسّسه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نظام وقفی مخصوص کلیسا وامثال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آمده و این دو نهاد از جهاتی باهم فرق دارند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 xml:space="preserve">البتّه بر نظام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ایرادات و انتقاداتی وارد شده و حملاتی به آن صورت گرفته است که باید تأمّل و دقّت کرد تا روشن شود آیا عیب و ایراد متوجّه این نظام حقوقی است ویا این که این نظام حقوقی مشکلی ندارد و مشکل مربوط می‌شود به نحوه اجرا و استفاده از این نظام؟ همان‌طور که ما در نظام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کمترین نقص و ایرادی را وارد نمی‌دانیم، امّا اعتراف داریم که در طول زمان، با سوء استفاده‌های</w:t>
      </w:r>
    </w:p>
    <w:p>
      <w:pPr>
        <w:pStyle w:val="BookText"/>
        <w:rPr/>
      </w:pPr>
      <w:r>
        <w:rPr>
          <w:rFonts w:ascii="IRNazanin" w:hAnsi="IRNazanin" w:eastAsia="IRNazanin"/>
          <w:color w:val="111111"/>
          <w:sz w:val="28"/>
          <w:sz w:val="28"/>
          <w:szCs w:val="28"/>
          <w:rtl w:val="true"/>
          <w:lang w:bidi="fa-IR"/>
        </w:rPr>
        <w:t>فراوان از این نظام حقوقی مقدّس، حقوق بی‌شماری را ضایع کرده‌اند، ولی این کار باعث</w:t>
      </w:r>
    </w:p>
    <w:p>
      <w:pPr>
        <w:pStyle w:val="BookText"/>
        <w:rPr/>
      </w:pPr>
      <w:r>
        <w:rPr>
          <w:rFonts w:ascii="IRNazanin" w:hAnsi="IRNazanin" w:eastAsia="IRNazanin"/>
          <w:color w:val="111111"/>
          <w:sz w:val="28"/>
          <w:sz w:val="28"/>
          <w:szCs w:val="28"/>
          <w:rtl w:val="true"/>
          <w:lang w:bidi="fa-IR"/>
        </w:rPr>
        <w:t>نمی‌شود که به اصل این نظام ارزشمند حمله شود و زیرسؤال رود</w:t>
      </w:r>
      <w:r>
        <w:rPr>
          <w:rFonts w:eastAsia="IRNazanin" w:cs="IRNazanin"/>
          <w:color w:val="111111"/>
          <w:sz w:val="28"/>
          <w:szCs w:val="28"/>
          <w:rtl w:val="true"/>
          <w:lang w:bidi="fa-IR"/>
        </w:rPr>
        <w:t>.</w:t>
      </w:r>
    </w:p>
    <w:p>
      <w:pPr>
        <w:pStyle w:val="Heading4"/>
        <w:numPr>
          <w:ilvl w:val="3"/>
          <w:numId w:val="1"/>
        </w:numPr>
        <w:rPr/>
      </w:pPr>
      <w:bookmarkStart w:id="105" w:name="__RefHeading___Toc473951_1479056682"/>
      <w:bookmarkStart w:id="106" w:name="_Toc38"/>
      <w:bookmarkEnd w:id="105"/>
      <w:r>
        <w:rPr>
          <w:rtl w:val="true"/>
        </w:rPr>
        <w:t>مبحث سوم</w:t>
      </w:r>
      <w:r>
        <w:rPr>
          <w:rtl w:val="true"/>
        </w:rPr>
        <w:t xml:space="preserve">: </w:t>
      </w:r>
      <w:r>
        <w:rPr>
          <w:rtl w:val="true"/>
        </w:rPr>
        <w:t>وقف در جوامع اسلامی</w:t>
      </w:r>
      <w:bookmarkEnd w:id="106"/>
    </w:p>
    <w:p>
      <w:pPr>
        <w:pStyle w:val="Heading5"/>
        <w:numPr>
          <w:ilvl w:val="4"/>
          <w:numId w:val="1"/>
        </w:numPr>
        <w:rPr/>
      </w:pPr>
      <w:bookmarkStart w:id="107" w:name="__RefHeading___Toc473953_1479056682"/>
      <w:bookmarkStart w:id="108" w:name="_Toc39"/>
      <w:bookmarkEnd w:id="107"/>
      <w:r>
        <w:rPr>
          <w:rtl w:val="true"/>
        </w:rPr>
        <w:t xml:space="preserve">گفتار </w:t>
      </w:r>
      <w:r>
        <w:rPr/>
        <w:t>1</w:t>
      </w:r>
      <w:r>
        <w:rPr>
          <w:rtl w:val="true"/>
        </w:rPr>
        <w:t xml:space="preserve">- </w:t>
      </w:r>
      <w:r>
        <w:rPr>
          <w:rtl w:val="true"/>
        </w:rPr>
        <w:t xml:space="preserve">موقوفات یا </w:t>
      </w:r>
      <w:r>
        <w:rPr>
          <w:rtl w:val="true"/>
        </w:rPr>
        <w:t>«</w:t>
      </w:r>
      <w:r>
        <w:rPr>
          <w:rtl w:val="true"/>
        </w:rPr>
        <w:t>صدقات</w:t>
      </w:r>
      <w:r>
        <w:rPr>
          <w:rtl w:val="true"/>
        </w:rPr>
        <w:t xml:space="preserve">» </w:t>
      </w:r>
      <w:r>
        <w:rPr>
          <w:rtl w:val="true"/>
        </w:rPr>
        <w:t>رسول خدا صلی‌الله‌علیه‌و‌آله</w:t>
      </w:r>
      <w:bookmarkEnd w:id="108"/>
    </w:p>
    <w:p>
      <w:pPr>
        <w:pStyle w:val="Heading6"/>
        <w:numPr>
          <w:ilvl w:val="5"/>
          <w:numId w:val="1"/>
        </w:numPr>
        <w:rPr/>
      </w:pPr>
      <w:bookmarkStart w:id="109" w:name="__RefHeading___Toc473955_1479056682"/>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بلاذری در کتاب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خدعه و فریب یهود بنی‌نَضیر و محاصره پانزده روزه آنان توسّط رسول خدا صلی‌الله‌علیه‌و‌آله، بالاخره یهودیان با حضرت مصالحه کردند که بجز آنچه شترانشان می‌توانند حمل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غیر از سلاح و آلات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اموالشان از زمین، نخل و سلاحهای جنگی برای رسول خدا صلی‌الله‌علیه‌و‌آلهباشد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اموال</w:t>
      </w:r>
    </w:p>
    <w:p>
      <w:pPr>
        <w:pStyle w:val="BookText"/>
        <w:rPr/>
      </w:pPr>
      <w:r>
        <w:rPr>
          <w:rFonts w:ascii="IRNazanin" w:hAnsi="IRNazanin" w:eastAsia="IRNazanin"/>
          <w:color w:val="111111"/>
          <w:sz w:val="28"/>
          <w:sz w:val="28"/>
          <w:szCs w:val="28"/>
          <w:rtl w:val="true"/>
          <w:lang w:bidi="fa-IR"/>
        </w:rPr>
        <w:t>بنی‌نضیر جزء خالصه رسول خدا صلی‌الله‌علیه‌و‌آله بود که حضرت از درآمد آن هزینه خانواده و معیشت خود را تأمین می‌کرد و بقیه آن را برای تأمین زره و سلاح جنگی به مصرف می‌رسانید</w:t>
      </w:r>
      <w:r>
        <w:rPr>
          <w:rFonts w:eastAsia="IRNazanin" w:cs="IRNazanin"/>
          <w:color w:val="111111"/>
          <w:sz w:val="28"/>
          <w:szCs w:val="28"/>
          <w:rtl w:val="true"/>
          <w:lang w:bidi="fa-IR"/>
        </w:rPr>
        <w:t>.</w:t>
      </w:r>
      <w:r>
        <w:rPr>
          <w:rStyle w:val="FootnoteAnchor"/>
          <w:rtl w:val="true"/>
        </w:rPr>
        <w:footnoteReference w:id="103"/>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ازمحمّد بن اسحاق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اموال بنی‌نضیر را که خالصه آن حضرت بود بین مهاجران تقسیم کرد واز انصار به سَهل بن حُنَیف و </w:t>
      </w:r>
      <w:bookmarkStart w:id="111" w:name="pg4267_21784"/>
    </w:p>
    <w:p>
      <w:pPr>
        <w:pStyle w:val="BookText"/>
        <w:rPr/>
      </w:pPr>
      <w:bookmarkEnd w:id="111"/>
      <w:r>
        <w:rPr>
          <w:rFonts w:ascii="IRNazanin" w:hAnsi="IRNazanin" w:eastAsia="IRNazanin"/>
          <w:color w:val="111111"/>
          <w:sz w:val="28"/>
          <w:sz w:val="28"/>
          <w:szCs w:val="28"/>
          <w:rtl w:val="true"/>
          <w:lang w:bidi="fa-IR"/>
        </w:rPr>
        <w:t>ابودجانه نیز مقداری عطاکرد</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و نیز از عمر بن خطاب نقل کرده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صلی‌الله‌علیه‌و‌آله دارای سه گونه صفایابود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بنی‌نضیر که آنها را برای هزینه واداره زندگی خود حبس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که آن را برای ابناءالسّبیل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خیبر که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میان مسلمانان تقسیم کرد و ثلث دیگر را برای خود و نفقه خانواده‌اش حبس فرمود و مازاد آن را به فقرای مهاجرین‌انفاق 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این مطلب را واقدی نیز از عمربن خطّاب نقل کرده است</w:t>
      </w:r>
      <w:r>
        <w:rPr>
          <w:rFonts w:eastAsia="IRNazanin" w:cs="IRNazanin"/>
          <w:color w:val="111111"/>
          <w:sz w:val="28"/>
          <w:szCs w:val="28"/>
          <w:rtl w:val="true"/>
          <w:lang w:bidi="fa-IR"/>
        </w:rPr>
        <w:t>.</w:t>
      </w:r>
      <w:r>
        <w:rPr>
          <w:rStyle w:val="FootnoteAnchor"/>
          <w:rtl w:val="true"/>
        </w:rPr>
        <w:footnoteReference w:id="107"/>
      </w:r>
    </w:p>
    <w:p>
      <w:pPr>
        <w:pStyle w:val="Heading6"/>
        <w:numPr>
          <w:ilvl w:val="5"/>
          <w:numId w:val="1"/>
        </w:numPr>
        <w:rPr/>
      </w:pPr>
      <w:bookmarkStart w:id="112" w:name="__RefHeading___Toc473957_1479056682"/>
      <w:bookmarkStart w:id="113" w:name="_Toc41"/>
      <w:bookmarkEnd w:id="112"/>
      <w:r>
        <w:rPr>
          <w:rtl w:val="true"/>
        </w:rPr>
        <w:t>حوائط هفت‌گانه</w:t>
      </w:r>
      <w:bookmarkEnd w:id="113"/>
    </w:p>
    <w:p>
      <w:pPr>
        <w:pStyle w:val="BookText"/>
        <w:rPr/>
      </w:pPr>
      <w:r>
        <w:rPr>
          <w:rFonts w:ascii="IRNazanin" w:hAnsi="IRNazanin" w:eastAsia="IRNazanin"/>
          <w:color w:val="111111"/>
          <w:sz w:val="28"/>
          <w:sz w:val="28"/>
          <w:szCs w:val="28"/>
          <w:rtl w:val="true"/>
          <w:lang w:bidi="fa-IR"/>
        </w:rPr>
        <w:t>واقدی،ابن سعد ودیگران روایت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اَحبار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 بنی‌نضیر مردی بود به نام مُخَیْریقْ؛ وی در روز شنبه که رسول خدا صلی‌الله‌علیه‌و‌آله در اُحد بود به مردم یهود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می‌دانید که محمّد صلی‌الله‌علیه‌و‌آله پیامبر خداست و یاری کردن او بر شما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روز شنبه دست به هیچ‌کاری نمی‌زنیم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سَبْتَ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شنبه حکم خاصّی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سلاحش را برگرفت و در احد به حضور رسول خدا صلی‌الله‌علیه‌و‌آله رسید و در آن جا جنگید تا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درباره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مخیریق بهترین یهودی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مخیریق هنگامی که به احد می‌رفت وصیّت کرد که اگر کشته شدم اموالم متعلق به محمّد صلی‌الله‌علیه‌و‌آلهاست، او هر طور که صلاح می‌داند با آنها رفتار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بوستانهای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گانه‌ای که او طبق وصیّت به رسول خدا صلی‌الله‌علیه‌و‌آله واگذار کرد به نامهای، مَیثَبْ ، الصّافیة، الدَّلال، حُسنی، بُرْقَة، اَعْوافْ و مَشْربه‌ام ابراهیم معروف بودند که، عامّه صدقات رسول خدا صلی‌الله‌علیه‌و‌آله را تشکیل می‌دادند</w:t>
      </w:r>
      <w:r>
        <w:rPr>
          <w:rFonts w:eastAsia="IRNazanin" w:cs="IRNazanin"/>
          <w:color w:val="111111"/>
          <w:sz w:val="28"/>
          <w:szCs w:val="28"/>
          <w:rtl w:val="true"/>
          <w:lang w:bidi="fa-IR"/>
        </w:rPr>
        <w:t>.</w:t>
      </w:r>
      <w:r>
        <w:rPr>
          <w:rStyle w:val="FootnoteAnchor"/>
          <w:rtl w:val="true"/>
        </w:rPr>
        <w:footnoteReference w:id="108"/>
      </w:r>
      <w:bookmarkStart w:id="114" w:name="pg4267_21785"/>
    </w:p>
    <w:p>
      <w:pPr>
        <w:pStyle w:val="BookText"/>
        <w:rPr/>
      </w:pPr>
      <w:bookmarkEnd w:id="114"/>
      <w:r>
        <w:rPr>
          <w:rFonts w:ascii="IRNazanin" w:hAnsi="IRNazanin" w:eastAsia="IRNazanin"/>
          <w:color w:val="111111"/>
          <w:sz w:val="28"/>
          <w:sz w:val="28"/>
          <w:szCs w:val="28"/>
          <w:rtl w:val="true"/>
          <w:lang w:bidi="fa-IR"/>
        </w:rPr>
        <w:t>با توجّه به مطالب گذشته، این مطلب نیز روشن می‌شود که اوّلین وقف و صدقه در اسلام همین وقف رسول خدا صلی‌الله‌علیه‌و‌آله بوده که حوائط سبعه نام داشته است و حتّی اگر مسجد قبا و مسجدالنّبی صلی‌الله‌علیه‌و‌آله از موقوفات رسول خدا صلی‌الله‌علیه‌و‌آله به شمار نیایند باز هم به خلاف آنچه که بعضی پنداشته‌اند نمی‌توان گفت که اوّلین وقف از اراضی خیبر توسط عمربن‌الخطّاب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نیز در طبقات، قبل از آن که داستان مخیریق یهودی و بوستانهای هفت‌گانه را از طرق متعدّد نقل 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وقف در اسلام، وقف رسول خدا صلی‌الله‌علیه‌و‌آله بود که بستانهای هفت‌گانه را وقف کرد</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 xml:space="preserve">نکته دیگر این که از مطالب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صدقات 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برمی‌آید که رسول خدا صلی‌الله‌علیه‌و‌آله این حوائط هفت‌گانه را بر حضرت زهرا علیهاالسلام و اولاد وی وقف کرده و امر ولایت و نظارت آنها را به دست یگانه دخترش سپرده است</w:t>
      </w:r>
      <w:r>
        <w:rPr>
          <w:rFonts w:eastAsia="IRNazanin" w:cs="IRNazanin"/>
          <w:color w:val="111111"/>
          <w:sz w:val="28"/>
          <w:szCs w:val="28"/>
          <w:rtl w:val="true"/>
          <w:lang w:bidi="fa-IR"/>
        </w:rPr>
        <w:t>.</w:t>
      </w:r>
    </w:p>
    <w:p>
      <w:pPr>
        <w:pStyle w:val="Heading6"/>
        <w:numPr>
          <w:ilvl w:val="5"/>
          <w:numId w:val="1"/>
        </w:numPr>
        <w:rPr/>
      </w:pPr>
      <w:bookmarkStart w:id="115" w:name="__RefHeading___Toc473959_1479056682"/>
      <w:bookmarkStart w:id="116" w:name="_Toc42"/>
      <w:bookmarkEnd w:id="115"/>
      <w:r>
        <w:rPr>
          <w:rtl w:val="true"/>
        </w:rPr>
        <w:t>فدک</w:t>
      </w:r>
      <w:bookmarkEnd w:id="116"/>
    </w:p>
    <w:p>
      <w:pPr>
        <w:pStyle w:val="BookText"/>
        <w:rPr/>
      </w:pPr>
      <w:r>
        <w:rPr>
          <w:rFonts w:ascii="IRNazanin" w:hAnsi="IRNazanin" w:eastAsia="IRNazanin"/>
          <w:color w:val="111111"/>
          <w:sz w:val="28"/>
          <w:sz w:val="28"/>
          <w:szCs w:val="28"/>
          <w:rtl w:val="true"/>
          <w:lang w:bidi="fa-IR"/>
        </w:rPr>
        <w:t>یاقوت در معجم البلدان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قریه‌ای است در حجاز که با مدینه دو یا سه روز فاصله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چشمه‌ای جوشان و درختان نخل فراوان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در ادامه، ضمن اعتراف به این که حضرت زهرا علیهاالسلام در برابر خلیفه ادّعای نحله بودن آن را کرد و بر ادّعای خود، علی علیه‌السلام و ام‌ایمن را گواه آورد؛ اما خودش دیدگاه بلادزی در فتوح‌البلدان را برگزیده است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هر چند بحث ما یک بحث فقهی است و نمی‌خواهیم مسأله فدک را از نظر تاریخی بررسی کنیم، امّا، نظر به این که برخی از مورّخان و نویسندگان اهل سنّت ، فدک رااز صدقات و موقوفات رسول خدا صلی‌الله‌علیه‌و‌آله بر شمرده‌اند، لازم است که به پاره‌ای از این نظریّات به اختصار اشاره کنیم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گذشت که واقدی و بلاذری از عمربن خطّاب روایت کرده‌اند که رسول خدا صلی‌الله‌علیه‌و‌آله </w:t>
      </w:r>
    </w:p>
    <w:p>
      <w:pPr>
        <w:pStyle w:val="BookText"/>
        <w:rPr/>
      </w:pPr>
      <w:r>
        <w:rPr>
          <w:rFonts w:ascii="IRNazanin" w:hAnsi="IRNazanin" w:eastAsia="IRNazanin"/>
          <w:color w:val="111111"/>
          <w:sz w:val="28"/>
          <w:sz w:val="28"/>
          <w:szCs w:val="28"/>
          <w:rtl w:val="true"/>
          <w:lang w:bidi="fa-IR"/>
        </w:rPr>
        <w:t>فدک را برای ابن السبیل قرارداده بود</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درجای دیگر واقدی به این نظریه می‌رسد که رسول خدا صلی‌الله‌علیه‌و‌آله با اهل فدک مصالحه کرد، با این شرط که نصف اراضی فدک از آنِ خود آنها باشد ونصف دیگر برای رسول خدا صلی‌الله‌علیه‌و‌آله، و پیامبر صلی‌الله‌علیه‌و‌آله یهود را از فدک اخراج نکرد تا آن که خلافت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پرداخت نصف بهای فدک به آنان، که مبلغ پنجاه‌هزار درهم و یا بیشتر بود آنها را به سوی شام گسیل داشت</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ابن هشام نیز از ابن اسحاق نقل کرده که بعد از فتح خیبر، خداوند در دل اهل فدک هراس انداخت، لذا به حضور رسول خدا صلی‌الله‌علیه‌و‌آله رسیدند و با وی بر نصف فدک مصالحه کردند، از این رو فدک، خالصه رسول خدا صلی‌الله‌علیه‌و‌آله بود، زیرا با جنگ و لشکرکشی فتح نشده بود</w:t>
      </w:r>
      <w:r>
        <w:rPr>
          <w:rFonts w:eastAsia="IRNazanin" w:cs="IRNazanin"/>
          <w:color w:val="111111"/>
          <w:sz w:val="28"/>
          <w:szCs w:val="28"/>
          <w:rtl w:val="true"/>
          <w:lang w:bidi="fa-IR"/>
        </w:rPr>
        <w:t>.</w:t>
      </w:r>
      <w:r>
        <w:rPr>
          <w:rStyle w:val="FootnoteAnchor"/>
          <w:rtl w:val="true"/>
        </w:rPr>
        <w:footnoteReference w:id="113"/>
      </w:r>
      <w:r>
        <w:rPr>
          <w:rFonts w:ascii="IRNazanin" w:hAnsi="IRNazanin" w:eastAsia="IRNazanin"/>
          <w:color w:val="111111"/>
          <w:sz w:val="28"/>
          <w:sz w:val="28"/>
          <w:szCs w:val="28"/>
          <w:rtl w:val="true"/>
          <w:lang w:bidi="fa-IR"/>
        </w:rPr>
        <w:t>ابن هشام اشاره نکرده است که پیامبر صلی‌الله‌علیه‌و‌آله با فدک چه معامله‌ای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بلاذری از عروة بن زبیر نقل کرده که ازواج رسول خدا صلی‌الله‌علیه‌و‌آله از عثمان مطالبه</w:t>
      </w:r>
    </w:p>
    <w:p>
      <w:pPr>
        <w:pStyle w:val="BookText"/>
        <w:rPr/>
      </w:pPr>
      <w:r>
        <w:rPr>
          <w:rFonts w:ascii="IRNazanin" w:hAnsi="IRNazanin" w:eastAsia="IRNazanin"/>
          <w:color w:val="111111"/>
          <w:sz w:val="28"/>
          <w:sz w:val="28"/>
          <w:szCs w:val="28"/>
          <w:rtl w:val="true"/>
          <w:lang w:bidi="fa-IR"/>
        </w:rPr>
        <w:t>مواریث خود را از سهم رسول خدا صلی‌الله‌علیه‌و‌آله در خیبر و فدک کردند، امّا عایشه به آنها پرخاش کرد که از خدا پروا نمی‌کنید؟ آیا نشنیده‌اید که رسول خدا صلی‌الله‌علیه‌و‌آلهفرمود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ارث برجای نمی‌گذاریم، آنچه برجای می‌گذاریم صدقه است این مال برای آل محمد صلی‌الله‌علیه‌و‌آلهاست، برای گرفتاریها و مهمانداریهایشان، هرگاه من از دنیا رفتم در اختیار والی بعد از من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روشن است این همان حدیثی است که تنها راوی آن ابوبکر است که با طرح آن از بازگرداندن فدک به حضرت فاطمه علیه‌السلام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که بعد از درگذشت ابوبکر این حدیث توسّط عایشه افزونتر و فربه‌تر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ابوعبید در کتاب خود</w:t>
      </w:r>
      <w:r>
        <w:rPr>
          <w:rStyle w:val="FootnoteAnchor"/>
          <w:rtl w:val="true"/>
        </w:rPr>
        <w:footnoteReference w:id="115"/>
      </w:r>
      <w:r>
        <w:rPr>
          <w:rFonts w:ascii="IRNazanin" w:hAnsi="IRNazanin" w:eastAsia="IRNazanin"/>
          <w:color w:val="111111"/>
          <w:sz w:val="28"/>
          <w:sz w:val="28"/>
          <w:szCs w:val="28"/>
          <w:rtl w:val="true"/>
          <w:lang w:bidi="fa-IR"/>
        </w:rPr>
        <w:t>به اجمال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اموال، بعد از رسول خدا صلی‌الله‌علیه‌و‌آلهبه سه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خُمس و صدقه که در قرآن کریم آمده است وائمّه بدان عمل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ضمن بیان این مطلب که اموال بنی‌نضیر خالصه رسول خدا صلی‌الله‌علیه‌و‌آلهبود و حضرت بعد از کسر هزینه خانواده خود مابقی را در جهت تأمین سلاح و هزینه جنگی در راه خدا قرار می‌داد، فدک رانیز همانند اموال بنی‌نضیر جزو فیئی می‌داند که بدون </w:t>
      </w:r>
    </w:p>
    <w:p>
      <w:pPr>
        <w:pStyle w:val="BookText"/>
        <w:rPr/>
      </w:pPr>
      <w:r>
        <w:rPr>
          <w:rFonts w:ascii="IRNazanin" w:hAnsi="IRNazanin" w:eastAsia="IRNazanin"/>
          <w:color w:val="111111"/>
          <w:sz w:val="28"/>
          <w:sz w:val="28"/>
          <w:szCs w:val="28"/>
          <w:rtl w:val="true"/>
          <w:lang w:bidi="fa-IR"/>
        </w:rPr>
        <w:t>جنگ و درگیری به دست آمده و خالصه آن حضرت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مصالحه حضرت با اهل فدک بر نصف آن و داستان اخراج آنان توسّط عمر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عبارات بعدی ابوعبید نیز کاملاً برمی‌آید که وی فدک را از صدقاتی می‌داند که</w:t>
      </w:r>
    </w:p>
    <w:p>
      <w:pPr>
        <w:pStyle w:val="BookText"/>
        <w:rPr/>
      </w:pPr>
      <w:r>
        <w:rPr>
          <w:rFonts w:ascii="IRNazanin" w:hAnsi="IRNazanin" w:eastAsia="IRNazanin"/>
          <w:color w:val="111111"/>
          <w:sz w:val="28"/>
          <w:sz w:val="28"/>
          <w:szCs w:val="28"/>
          <w:rtl w:val="true"/>
          <w:lang w:bidi="fa-IR"/>
        </w:rPr>
        <w:t>بعد از رسول خدا صلی‌الله‌علیه‌و‌آله اختیار و تصدّی آن با والی و امام مسلمین است</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نویسنده کتاب التّاج ابتدا از صحاح اهل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زیر را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رسول خدا صلی‌الله‌علیه‌و‌آله هنگام مرگش درهم و دینار، غلام و کنیز و گوسفند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یک استر، سلاح و مقداری زمین بر جای نگذاشت که آنها را نیز صدقه راه خدا قرارداد</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 xml:space="preserve">وی سپس در حاشیه، توضیح می‌دهد که منظور از زمینهای اشاره شده در حدیث، نصف ارض فدک، ثلث 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وادی‌القُری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سهم حضرت از خیبر و سهم وی از اموال بنی‌نضیر است که این اراضی و سهام، همه در حکم وقف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منصور علی ناصف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قریه‌ای است واقع در دو میلی مدینه که درآن درختان خرما و چشمه‌ای جوشان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ملک همانند اموال بنی قُرَیْظه و بنی‌نضیر و خیبر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فیئی است که خداونددر آیه کریمه، آن را برای خدا و رسول، ذی‌القربی یتیمان و مساکین و ابن السبیل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رسول خدا صلی‌الله‌علیه‌و‌آله فاطمه علیهاالسلام و عبّاس به نزد ابوبکر آمده مطالبه ارث کردند؛ فاطمه علیهاالسلام نصف و عبّاس</w:t>
      </w:r>
    </w:p>
    <w:p>
      <w:pPr>
        <w:pStyle w:val="BookText"/>
        <w:rPr/>
      </w:pPr>
      <w:r>
        <w:rPr>
          <w:rFonts w:ascii="IRNazanin" w:hAnsi="IRNazanin" w:eastAsia="IRNazanin"/>
          <w:color w:val="111111"/>
          <w:sz w:val="28"/>
          <w:sz w:val="28"/>
          <w:szCs w:val="28"/>
          <w:rtl w:val="true"/>
          <w:lang w:bidi="fa-IR"/>
        </w:rPr>
        <w:t xml:space="preserve">نصف دیگر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تَعصیب</w:t>
      </w:r>
      <w:r>
        <w:rPr>
          <w:rFonts w:eastAsia="IRNazanin" w:cs="IRNazanin"/>
          <w:color w:val="111111"/>
          <w:sz w:val="28"/>
          <w:szCs w:val="28"/>
          <w:rtl w:val="true"/>
          <w:lang w:bidi="fa-IR"/>
        </w:rPr>
        <w:t>)</w:t>
      </w:r>
      <w:r>
        <w:rPr>
          <w:rStyle w:val="FootnoteAnchor"/>
          <w:rtl w:val="true"/>
        </w:rPr>
        <w:footnoteReference w:id="118"/>
      </w:r>
      <w:r>
        <w:rPr>
          <w:rFonts w:ascii="Amiri" w:hAnsi="Amiri" w:eastAsia="Amiri" w:cs="Amiri"/>
          <w:color w:val="111111"/>
          <w:sz w:val="28"/>
          <w:sz w:val="28"/>
          <w:szCs w:val="28"/>
          <w:rtl w:val="true"/>
          <w:lang w:bidi="ar-SA"/>
        </w:rPr>
        <w:t xml:space="preserve">می‌خواست، امّا ابوبکر با ذکر حدیث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نُوَرِّثُ، ماترکناه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ازدادن میراث به آنان سرباز زد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آنچه این نویسنده اهل سنّت در این جا مطرح کرده است تقریبا لب و خلاصه نظر و دیدگاه محقّقان و مورّخان و محدّثان اهل سنّت است که قبلاً به بعضی از 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قبل از بررسی مختصر مسأله فدک چند نکته شایان یادآوری 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وفقهای امامیّه اوّلاً حدیث ابوبکر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صحیح نمی‌دانند و قبول </w:t>
      </w:r>
      <w:bookmarkStart w:id="117" w:name="pg4267_21788"/>
    </w:p>
    <w:p>
      <w:pPr>
        <w:pStyle w:val="BookText"/>
        <w:rPr/>
      </w:pPr>
      <w:bookmarkEnd w:id="117"/>
      <w:r>
        <w:rPr>
          <w:rFonts w:ascii="IRNazanin" w:hAnsi="IRNazanin" w:eastAsia="IRNazanin"/>
          <w:color w:val="111111"/>
          <w:sz w:val="28"/>
          <w:sz w:val="28"/>
          <w:szCs w:val="28"/>
          <w:rtl w:val="true"/>
          <w:lang w:bidi="fa-IR"/>
        </w:rPr>
        <w:t xml:space="preserve">ندارند؛ 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فدک را صدقه و وقف رسول خدا صلی‌الله‌علیه‌و‌آلهنمی‌دانند و نِحله آن حضرت به حضرت زهرا علیهاالسلام می‌دانند و ثالثا مسأله عَوْل و تَعصیب را به هیچ وجه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عَبْدُه در ذیل نامه چهل و پنج نهج‌البلاغه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شیعه بر این است که رسول خدا صلی‌الله‌علیه‌و‌آله قبل از رحلت خویش فدک را به فاطمه علیهاالسلام اِعطا فرمود امّا ابوبکر، با این توجیه که فدک از اموال شخصی رسول خدا صلی‌الله‌علیه‌و‌آله نبوده، آن را از حضرت باز پس گرفت</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18" w:name="__RefHeading___Toc473961_1479056682"/>
      <w:bookmarkStart w:id="119" w:name="_Toc43"/>
      <w:bookmarkEnd w:id="118"/>
      <w:r>
        <w:rPr>
          <w:rtl w:val="true"/>
        </w:rPr>
        <w:t>بررسی مسأله فدک از نظر امامیّه</w:t>
      </w:r>
      <w:bookmarkEnd w:id="119"/>
    </w:p>
    <w:p>
      <w:pPr>
        <w:pStyle w:val="BookText"/>
        <w:rPr/>
      </w:pPr>
      <w:r>
        <w:rPr>
          <w:rFonts w:ascii="IRNazanin" w:hAnsi="IRNazanin" w:eastAsia="IRNazanin"/>
          <w:color w:val="111111"/>
          <w:sz w:val="28"/>
          <w:sz w:val="28"/>
          <w:szCs w:val="28"/>
          <w:rtl w:val="true"/>
          <w:lang w:bidi="fa-IR"/>
        </w:rPr>
        <w:t xml:space="preserve">ابن ابی‌الحدید معتزلی در ذیل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در توضیح عبارت امیر مؤمنان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کانَتْ فی اَیْدینا فَدَکُ مِنْ کُلِّ ما اَظلَّتْهُ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از همه آنچه آسمان بر آن سایه انداخته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فدک در دست ما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بحثی نسبتا مفصّل دارد که آن را از کتاب احمد بن عبدالعزیزجوهری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سخت وی رامورد اعتماد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ابتدا روایاتی را درباره فدک نقل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بعضی از آنها قبلاً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این بحث می‌پردازد که آیا از رسول خدا صلی‌الله‌علیه‌و‌آله ارث برده می‌شود یا نه؟ و حدیث ابوبکر راتوجیه می‌کندو توضیح می‌دهد، آن گاه این بحث را، طرح می‌کند که آیا فدک واقعا نحله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به فاطمه بوده است یانه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شایان ذکر است که ابن ابی‌الحدید استدلالات نحله بودن فدک را از سیّد مرتضی نقل می‌کند که در ردّ مطالب قاضی القضاة معتزلی بیان داشته است و از آن جا که به عقیده و</w:t>
      </w:r>
    </w:p>
    <w:p>
      <w:pPr>
        <w:pStyle w:val="BookText"/>
        <w:rPr/>
      </w:pPr>
      <w:r>
        <w:rPr>
          <w:rFonts w:ascii="IRNazanin" w:hAnsi="IRNazanin" w:eastAsia="IRNazanin"/>
          <w:color w:val="111111"/>
          <w:sz w:val="28"/>
          <w:sz w:val="28"/>
          <w:szCs w:val="28"/>
          <w:rtl w:val="true"/>
          <w:lang w:bidi="fa-IR"/>
        </w:rPr>
        <w:t xml:space="preserve">نظر ما، فدک از صدقات رسول خدا صلی‌الله‌علیه‌و‌آله نبوده، بلکه نِحله آن حضرت به دخترش فاطمه علیهاالسلام بوده است، تنها به ادلّه نحله بودن فدک، که ابن ابی الحدید از سیّد مرتضی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خیلی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درمواردی ممکن است مطالبی از مآخذ دیگر نیز اضافه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بیان این ادلّه، توجّه به یک نکته خالی از فایده نیست و آن این که در بعضی از </w:t>
      </w:r>
      <w:bookmarkStart w:id="120" w:name="pg4267_21789"/>
    </w:p>
    <w:p>
      <w:pPr>
        <w:pStyle w:val="BookText"/>
        <w:rPr/>
      </w:pPr>
      <w:bookmarkEnd w:id="120"/>
      <w:r>
        <w:rPr>
          <w:rFonts w:ascii="IRNazanin" w:hAnsi="IRNazanin" w:eastAsia="IRNazanin"/>
          <w:color w:val="111111"/>
          <w:sz w:val="28"/>
          <w:sz w:val="28"/>
          <w:szCs w:val="28"/>
          <w:rtl w:val="true"/>
          <w:lang w:bidi="fa-IR"/>
        </w:rPr>
        <w:t>روایات گذشته مطرح شده است که فدک به طور کلّی خالصه رسول خدا صلی‌الله‌علیه‌و‌آلهبوده و در بعضی روایات دیگر آمده است که نصف آن خالصه رسول خدا صلی‌الله‌علیه‌و‌آلهبوده و بقیه آن طبق مصالحه از آنِ اهل فدک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ادّعای حضرت زهرا علیهاالسلام نیز این است که کلِّ فدک نِحله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گفت که همه اراضی قریه فدک خالصه آن حضرت بوده، منتها چون رسول خدا 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یاحضرت زهرا علیهاالسلام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فدک قرار گذاشتند که خود آنان در آن جا کار کنند، در واقع نصف ثمره و درآمد، برای آنان در نظرگرفته شده است نه نصف ملک و رقبه فدک؛ در ضمن ابن خلدون نیز در تاریخ خود عباراتی دارد که از آن استفاده می‌شود که تمام فدک خالصه رسول خدا صلی‌الله‌علیه‌و‌آلهبوده است، نه نصف آن</w:t>
      </w:r>
      <w:r>
        <w:rPr>
          <w:rFonts w:eastAsia="IRNazanin" w:cs="IRNazanin"/>
          <w:color w:val="111111"/>
          <w:sz w:val="28"/>
          <w:szCs w:val="28"/>
          <w:rtl w:val="true"/>
          <w:lang w:bidi="fa-IR"/>
        </w:rPr>
        <w:t>.</w:t>
      </w:r>
      <w:r>
        <w:rPr>
          <w:rStyle w:val="FootnoteAnchor"/>
          <w:rtl w:val="true"/>
        </w:rPr>
        <w:footnoteReference w:id="122"/>
      </w:r>
    </w:p>
    <w:p>
      <w:pPr>
        <w:pStyle w:val="Heading6"/>
        <w:numPr>
          <w:ilvl w:val="5"/>
          <w:numId w:val="1"/>
        </w:numPr>
        <w:rPr/>
      </w:pPr>
      <w:bookmarkStart w:id="121" w:name="__RefHeading___Toc473963_1479056682"/>
      <w:bookmarkStart w:id="122" w:name="_Toc44"/>
      <w:bookmarkEnd w:id="121"/>
      <w:r>
        <w:rPr>
          <w:rtl w:val="true"/>
        </w:rPr>
        <w:t xml:space="preserve">ادلّه نِحله </w:t>
      </w:r>
      <w:r>
        <w:rPr>
          <w:rtl w:val="true"/>
        </w:rPr>
        <w:t>(</w:t>
      </w:r>
      <w:r>
        <w:rPr>
          <w:rtl w:val="true"/>
        </w:rPr>
        <w:t>هِبه</w:t>
      </w:r>
      <w:r>
        <w:rPr>
          <w:rtl w:val="true"/>
        </w:rPr>
        <w:t xml:space="preserve">) </w:t>
      </w:r>
      <w:r>
        <w:rPr>
          <w:rtl w:val="true"/>
        </w:rPr>
        <w:t>بودن فدک</w:t>
      </w:r>
      <w:bookmarkEnd w:id="1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 حضرت زهرا علیهاالسلام درحضور خلیفه ادّعای نِحله بودن فدک را کرده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ابن ابی الحدید ادّعای نِحله بودن را از ادّعای میراث صحیحتر می‌داند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این مطلب را نویسندگان ومورّخان و محدّثان بزرگ اهل سنّت نقل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ادّعای نحله بودن کرد وعلی بن ابی طالب علیه‌السلام و امّ‌ایمن نیز گواهی دادند، امّا خلیفه به این بهانه که گواهی یک مرد و یک زن کافی نیست، تسلیم دعوای حضرت زهرا علیهاالسلام نشد</w:t>
      </w:r>
      <w:r>
        <w:rPr>
          <w:rStyle w:val="FootnoteAnchor"/>
          <w:rtl w:val="true"/>
        </w:rPr>
        <w:footnoteReference w:id="124"/>
      </w:r>
      <w:r>
        <w:rPr>
          <w:rFonts w:ascii="IRNazanin" w:hAnsi="IRNazanin" w:eastAsia="IRNazanin"/>
          <w:color w:val="111111"/>
          <w:sz w:val="28"/>
          <w:sz w:val="28"/>
          <w:szCs w:val="28"/>
          <w:rtl w:val="true"/>
          <w:lang w:bidi="fa-IR"/>
        </w:rPr>
        <w:t>و حضرت زهرا علیهاالسلاموقتی ادّعا کرد قطعا مُصاب است و نیازی به شهادت و بیّنه ندارد، برای این که آن حضرت از غلط و قبیح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 هم آیه کریمه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عَنْکُمُ‌الرِّجْسَ اَهْلَ الْبَیْتِ وَ یُطَهِّرَکُمْ تَطْهیرا</w:t>
      </w:r>
      <w:r>
        <w:rPr>
          <w:rFonts w:eastAsia="Amiri" w:cs="Amiri" w:ascii="Amiri" w:hAnsi="Amiri"/>
          <w:color w:val="111111"/>
          <w:sz w:val="28"/>
          <w:szCs w:val="28"/>
          <w:rtl w:val="true"/>
          <w:lang w:bidi="ar-SA"/>
        </w:rPr>
        <w:t>»</w:t>
      </w:r>
      <w:r>
        <w:rPr>
          <w:rStyle w:val="FootnoteAnchor"/>
          <w:rtl w:val="true"/>
        </w:rPr>
        <w:footnoteReference w:id="125"/>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طبق اخبار متواتر، حضرت زهرا علیهاالسلام را قطعا شامل می‌شود و اراده در این جا اراده تکوینی است که مساوی با وقوع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این سخن رسول خدا صلی‌الله‌علیه‌و‌آله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فاطمة بَضعَةٌ منِّی مَن آذاها </w:t>
      </w:r>
    </w:p>
    <w:p>
      <w:pPr>
        <w:pStyle w:val="BookText"/>
        <w:rPr/>
      </w:pPr>
      <w:r>
        <w:rPr>
          <w:rFonts w:ascii="Amiri" w:hAnsi="Amiri" w:eastAsia="Amiri" w:cs="Amiri"/>
          <w:color w:val="111111"/>
          <w:sz w:val="28"/>
          <w:sz w:val="28"/>
          <w:szCs w:val="28"/>
          <w:rtl w:val="true"/>
          <w:lang w:bidi="ar-SA"/>
        </w:rPr>
        <w:t>فَقَد آذانی وَ مَن آذانی فَقَد آذَی اللّهَ عزّ وجلّ</w:t>
      </w:r>
      <w:r>
        <w:rPr>
          <w:rFonts w:eastAsia="Amiri" w:cs="Amiri" w:ascii="Amiri" w:hAnsi="Amiri"/>
          <w:color w:val="111111"/>
          <w:sz w:val="28"/>
          <w:szCs w:val="28"/>
          <w:rtl w:val="true"/>
          <w:lang w:bidi="ar-SA"/>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بیان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نیز بر عصمت حضرت فاطمه علیهاالسلام دلالت دارد، چرا که اگر حضرت از کسانی باشد که احتمال معصیت درباره آنان می‌رود، نباید آزاردهنده او به طور مطلق آزار دهنده خدا ورسولش باشد، زیرا درمواردی که گناه می‌کند ممکن است با حدّ و تعزیر و توبیخ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ببیند و آزاردهنده هم به هیچ وجه مذموم نباشد</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برای اثبات مطلب مورد بحث مانیازی به اثبات عصمت آن حضرت نیست و تنها علم به صدق وی در ادّعایش کافی است و در این جهت بین مسلمین خلافی نیست، زیرا احدی از امّت شک ندارد که حضرت زهرا علیهاالسلام ادّعای دروغ نکرده و در نتیجه در ادّعایش صادق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امّت در این است که آیا با علم به صدق او تسلیم مال مورد ادّعا، به وی واجب بوده است یا خیر؟</w:t>
      </w:r>
    </w:p>
    <w:p>
      <w:pPr>
        <w:pStyle w:val="BookText"/>
        <w:rPr/>
      </w:pPr>
      <w:r>
        <w:rPr>
          <w:rFonts w:ascii="IRNazanin" w:hAnsi="IRNazanin" w:eastAsia="IRNazanin"/>
          <w:color w:val="111111"/>
          <w:sz w:val="28"/>
          <w:sz w:val="28"/>
          <w:szCs w:val="28"/>
          <w:rtl w:val="true"/>
          <w:lang w:bidi="fa-IR"/>
        </w:rPr>
        <w:t>سیّد مرتضی مدّعی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واجب بوده است، زیرا بیّنه برای غلبه ظنّ بر صدق مدّعی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حکم حاکم بر اساس علم خودش جایز است، زیرا علم او از گواهی گواهان برایش قویتر است و برای همین است که اقرار از بیّنه قویتر</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قبول ادّعای حضرت زهرا علیهاالسلام مبنی بر نحله بودن فدک از جانب رسول خدا صلی‌الله‌علیه‌و‌آلهبه وی، جای مطالبه بیّنه و گواه نیست</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مرتضی از طرق مختلف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طریق ابوسعید خدری که قاضی القضاة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نزول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آتِ ذَاالْقُربی حقَّهُ</w:t>
      </w:r>
      <w:r>
        <w:rPr>
          <w:rFonts w:eastAsia="IRNazanin" w:cs="IRNazanin"/>
          <w:color w:val="111111"/>
          <w:sz w:val="28"/>
          <w:szCs w:val="28"/>
          <w:rtl w:val="true"/>
          <w:lang w:bidi="fa-IR"/>
        </w:rPr>
        <w:t>»</w:t>
      </w:r>
      <w:r>
        <w:rPr>
          <w:rStyle w:val="FootnoteAnchor"/>
          <w:rtl w:val="true"/>
        </w:rPr>
        <w:footnoteReference w:id="129"/>
      </w:r>
      <w:r>
        <w:rPr>
          <w:rFonts w:ascii="IRNazanin" w:hAnsi="IRNazanin" w:eastAsia="IRNazanin"/>
          <w:color w:val="111111"/>
          <w:sz w:val="28"/>
          <w:sz w:val="28"/>
          <w:szCs w:val="28"/>
          <w:rtl w:val="true"/>
          <w:lang w:bidi="fa-IR"/>
        </w:rPr>
        <w:t>رسول خدا صلی‌الله‌علیه‌و‌آلهحضرت زهرا علیهاالسلامرا خواست و فدک را به وی اعطا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نقل، گذشته از این که اصل نحله بودن را بروشنی اثبات می‌کند، بیانگر این مطلب نیز هست که فدک از جانب رسول خدا صلی‌الله‌علیه‌و‌آله در اختیار حضرت زهرا علیهاالسلامقرار گرفته و به تصرّف اودر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امیرمؤمنان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کانت فی ایدینا فدک، نیز مؤیّد این مطلب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بر حضرت زهرا علیهاالسلام از آن جا که ذی‌الید و متصرّف است، اقامه بیّنه </w:t>
      </w:r>
    </w:p>
    <w:p>
      <w:pPr>
        <w:pStyle w:val="BookText"/>
        <w:rPr/>
      </w:pPr>
      <w:r>
        <w:rPr>
          <w:rFonts w:ascii="IRNazanin" w:hAnsi="IRNazanin" w:eastAsia="IRNazanin"/>
          <w:color w:val="111111"/>
          <w:sz w:val="28"/>
          <w:sz w:val="28"/>
          <w:szCs w:val="28"/>
          <w:rtl w:val="true"/>
          <w:lang w:bidi="fa-IR"/>
        </w:rPr>
        <w:t>لازم نیست، بلکه اقامه بیّنه بر کسانی واجب است که ملکیّت وی را منکرند و ادّعای ملکیّت برای مسلمین ویاحکومت می‌کنند</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شهید صدرنیزاین دلیل رابابیانی روشن و متقن بیان کرده است</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سیّد مرتضی در پاسخ این پرسش که چرا علی علیه‌السلام بعد از به حکومت رسیدن، فدک رارها کرد،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همان دلیل تنفیذ و تثبیت آن حضرت است نسبت به احکام قوم وتغییر ندادن آنها که در حقیقت نوعی تقیّه بوده است</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البتّه مبحث فدک مبحثی است مفصّل و طولانی که مجال بحث آن این جا نیست علاقه‌مندان می‌توانند به کتاب ارزشمند فدک فی‌التاریخ نوشته شهید صدر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را به بیان همین مقدار بحث درباره فدک واداشت اشاره به اثبات این مطلب بود که فدک جزو صدقات واوقاف رسول خدا صلی‌الله‌علیه‌و‌آله نبوده و این سرزمین بر اساس مدارک و دلایل بی‌شماری نِحله و هبه آن حضرت به حضرت زهرا علیهاالسلام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اگر محقّقان و مورّخان اهل سنّت در این مورد با دیده انصاف می‌نگریستند به همین نتیجه می‌رسیدند و در تحقیقات و نوشته‌های خویش آن طور دچار تناقض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توجّه خوانندگان را به یک نکته جلب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در تاریخ خود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نیمه‌ای از فدک، خالصه رسول خدا صلی‌الله‌علیه‌و‌آلهبود که حضرت آن را برای رهگذران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ابناءالسبیل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گاه بعد از کمتر از یک</w:t>
      </w:r>
    </w:p>
    <w:p>
      <w:pPr>
        <w:pStyle w:val="BookText"/>
        <w:rPr/>
      </w:pPr>
      <w:r>
        <w:rPr>
          <w:rFonts w:ascii="IRNazanin" w:hAnsi="IRNazanin" w:eastAsia="IRNazanin"/>
          <w:color w:val="111111"/>
          <w:sz w:val="28"/>
          <w:sz w:val="28"/>
          <w:szCs w:val="28"/>
          <w:rtl w:val="true"/>
          <w:lang w:bidi="fa-IR"/>
        </w:rPr>
        <w:t>صفحه ضمن بیان سیر تاریخی فدک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عبدالعزیز که به خلافت رسید دستور داد فدک را به همان گونه‌ای بازگردانند که در روزگار پیامبر خدا صلی‌الله‌علیه‌و‌آله، ابوبکر، عمر</w:t>
      </w:r>
    </w:p>
    <w:p>
      <w:pPr>
        <w:pStyle w:val="BookText"/>
        <w:rPr/>
      </w:pPr>
      <w:r>
        <w:rPr>
          <w:rFonts w:ascii="IRNazanin" w:hAnsi="IRNazanin" w:eastAsia="IRNazanin"/>
          <w:color w:val="111111"/>
          <w:sz w:val="28"/>
          <w:sz w:val="28"/>
          <w:szCs w:val="28"/>
          <w:rtl w:val="true"/>
          <w:lang w:bidi="fa-IR"/>
        </w:rPr>
        <w:t>و علی علیه‌السلام بوده است و آن را به فرزندان فاطمه زهرا علیهاالسلامواگذاشت</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سؤال این است که اگر فدک در آن دوران ازطرف رسول خدا صلی‌الله‌علیه‌و‌آلهبرای رهگذران</w:t>
      </w:r>
    </w:p>
    <w:p>
      <w:pPr>
        <w:pStyle w:val="BookText"/>
        <w:rPr/>
      </w:pPr>
      <w:r>
        <w:rPr>
          <w:rFonts w:ascii="IRNazanin" w:hAnsi="IRNazanin" w:eastAsia="IRNazanin"/>
          <w:color w:val="111111"/>
          <w:sz w:val="28"/>
          <w:sz w:val="28"/>
          <w:szCs w:val="28"/>
          <w:rtl w:val="true"/>
          <w:lang w:bidi="fa-IR"/>
        </w:rPr>
        <w:t>وقف شده بوده است چگونه عمر بن عبدالعزیر چنین می‌گوید و چنین عمل می‌کند؟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فدک و نحله بودن آن سیّد محسن امین</w:t>
      </w:r>
      <w:r>
        <w:rPr>
          <w:rStyle w:val="FootnoteAnchor"/>
          <w:rtl w:val="true"/>
        </w:rPr>
        <w:footnoteReference w:id="134"/>
      </w:r>
      <w:r>
        <w:rPr>
          <w:rFonts w:ascii="IRNazanin" w:hAnsi="IRNazanin" w:eastAsia="IRNazanin"/>
          <w:color w:val="111111"/>
          <w:sz w:val="28"/>
          <w:sz w:val="28"/>
          <w:szCs w:val="28"/>
          <w:rtl w:val="true"/>
          <w:lang w:bidi="fa-IR"/>
        </w:rPr>
        <w:t>و میرزا حبیب‌اللّه خویی</w:t>
      </w:r>
      <w:r>
        <w:rPr>
          <w:rStyle w:val="FootnoteAnchor"/>
          <w:rtl w:val="true"/>
        </w:rPr>
        <w:footnoteReference w:id="135"/>
      </w:r>
      <w:r>
        <w:rPr>
          <w:rFonts w:ascii="IRNazanin" w:hAnsi="IRNazanin" w:eastAsia="IRNazanin"/>
          <w:color w:val="111111"/>
          <w:sz w:val="28"/>
          <w:sz w:val="28"/>
          <w:szCs w:val="28"/>
          <w:rtl w:val="true"/>
          <w:lang w:bidi="fa-IR"/>
        </w:rPr>
        <w:t xml:space="preserve">نیز بحث </w:t>
      </w:r>
      <w:bookmarkStart w:id="123" w:name="pg4267_21792"/>
    </w:p>
    <w:p>
      <w:pPr>
        <w:pStyle w:val="BookText"/>
        <w:rPr/>
      </w:pPr>
      <w:bookmarkEnd w:id="123"/>
      <w:r>
        <w:rPr>
          <w:rFonts w:ascii="IRNazanin" w:hAnsi="IRNazanin" w:eastAsia="IRNazanin"/>
          <w:color w:val="111111"/>
          <w:sz w:val="28"/>
          <w:sz w:val="28"/>
          <w:szCs w:val="28"/>
          <w:rtl w:val="true"/>
          <w:lang w:bidi="fa-IR"/>
        </w:rPr>
        <w:t>نسبتا مفصّل و مفیدی را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میثم بحرانی نیز در ذیل نامه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 به‌این امر پرداخته است</w:t>
      </w:r>
      <w:r>
        <w:rPr>
          <w:rFonts w:eastAsia="IRNazanin" w:cs="IRNazanin"/>
          <w:color w:val="111111"/>
          <w:sz w:val="28"/>
          <w:szCs w:val="28"/>
          <w:rtl w:val="true"/>
          <w:lang w:bidi="fa-IR"/>
        </w:rPr>
        <w:t>.</w:t>
      </w:r>
      <w:r>
        <w:rPr>
          <w:rStyle w:val="FootnoteAnchor"/>
          <w:rtl w:val="true"/>
        </w:rPr>
        <w:footnoteReference w:id="136"/>
      </w:r>
    </w:p>
    <w:p>
      <w:pPr>
        <w:pStyle w:val="Heading6"/>
        <w:numPr>
          <w:ilvl w:val="5"/>
          <w:numId w:val="1"/>
        </w:numPr>
        <w:rPr/>
      </w:pPr>
      <w:bookmarkStart w:id="124" w:name="__RefHeading___Toc473965_1479056682"/>
      <w:bookmarkStart w:id="125" w:name="_Toc45"/>
      <w:bookmarkEnd w:id="124"/>
      <w:r>
        <w:rPr>
          <w:rtl w:val="true"/>
        </w:rPr>
        <w:t>موارد هشت‌گانه صدقات رسول خدا صلی‌الله‌علیه‌و‌آله</w:t>
      </w:r>
      <w:bookmarkEnd w:id="125"/>
    </w:p>
    <w:p>
      <w:pPr>
        <w:pStyle w:val="BookText"/>
        <w:rPr/>
      </w:pPr>
      <w:r>
        <w:rPr>
          <w:rFonts w:ascii="IRNazanin" w:hAnsi="IRNazanin" w:eastAsia="IRNazanin"/>
          <w:color w:val="111111"/>
          <w:sz w:val="28"/>
          <w:sz w:val="28"/>
          <w:szCs w:val="28"/>
          <w:rtl w:val="true"/>
          <w:lang w:bidi="fa-IR"/>
        </w:rPr>
        <w:t>مبحث وقف در سیره رسول خدا صلی‌الله‌علیه‌و‌آله را باموارد هشت‌گانه‌ای که ابویَعلی و ماوردی، آنها را به عنوان صدقات رسول خدا صلی‌الله‌علیه‌و‌آله ذکر کرده‌اندبه پایان می‌بریم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حوائط هفت‌گانه‌ای که طبق وصیّت مُخَیریق یهودی به حضرت رسیده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زمینی از اموال بنی‌نضیر که از طرف خداوند به عنوان اوّلین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دراختیار رسول خدا صلی‌الله‌علیه‌و‌آلهقرار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حِصْن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هشت حِصن خیبر به نامهای،کَتیبه، وَطیع و سلالم، که چون با صلح فتح شده بودند،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حضرت قرار گرفتند و وی آنها راصدقه قرارداد، و پنج حصن باقیمانده را میان مجاهدان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و ایرادات مربوط به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 اَرض وادی الْقُری که از اراضی یهود بود و در اختیار رسول خدا صلی‌الله‌علیه‌و‌آلهقرار گرفت و آن بزرگوار آن را از صدقات خویش قرارداد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به 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عثمان در زمان حکومتش آن را به مروان اِقطاع کرد و مردم این کار را بر عثمان خرده گرفتند و به او اعتراض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همه صدقات رسول خدا صلی‌الله‌علیه‌و‌آله بود که اهل سِیَر در کتب خود آورده‌اند</w:t>
      </w:r>
      <w:r>
        <w:rPr>
          <w:rFonts w:eastAsia="IRNazanin" w:cs="IRNazanin"/>
          <w:color w:val="111111"/>
          <w:sz w:val="28"/>
          <w:szCs w:val="28"/>
          <w:rtl w:val="true"/>
          <w:lang w:bidi="fa-IR"/>
        </w:rPr>
        <w:t>.</w:t>
      </w:r>
      <w:r>
        <w:rPr>
          <w:rStyle w:val="FootnoteAnchor"/>
          <w:rtl w:val="true"/>
        </w:rPr>
        <w:footnoteReference w:id="137"/>
      </w:r>
    </w:p>
    <w:p>
      <w:pPr>
        <w:pStyle w:val="Heading5"/>
        <w:numPr>
          <w:ilvl w:val="4"/>
          <w:numId w:val="1"/>
        </w:numPr>
        <w:rPr/>
      </w:pPr>
      <w:bookmarkStart w:id="126" w:name="__RefHeading___Toc473967_1479056682"/>
      <w:bookmarkStart w:id="127" w:name="_Toc46"/>
      <w:bookmarkEnd w:id="126"/>
      <w:r>
        <w:rPr>
          <w:rtl w:val="true"/>
        </w:rPr>
        <w:t xml:space="preserve">گفتار </w:t>
      </w:r>
      <w:r>
        <w:rPr/>
        <w:t>2</w:t>
      </w:r>
      <w:r>
        <w:rPr>
          <w:rtl w:val="true"/>
        </w:rPr>
        <w:t xml:space="preserve">- </w:t>
      </w:r>
      <w:r>
        <w:rPr>
          <w:rtl w:val="true"/>
        </w:rPr>
        <w:t>وقف در سیره معصومین علیهم‌السلام</w:t>
      </w:r>
      <w:bookmarkEnd w:id="127"/>
    </w:p>
    <w:p>
      <w:pPr>
        <w:pStyle w:val="Heading6"/>
        <w:numPr>
          <w:ilvl w:val="5"/>
          <w:numId w:val="1"/>
        </w:numPr>
        <w:rPr/>
      </w:pPr>
      <w:bookmarkStart w:id="128" w:name="__RefHeading___Toc473969_1479056682"/>
      <w:bookmarkStart w:id="129" w:name="_Toc47"/>
      <w:bookmarkEnd w:id="128"/>
      <w:r>
        <w:rPr>
          <w:rtl w:val="true"/>
        </w:rPr>
        <w:t>اشاره</w:t>
      </w:r>
      <w:bookmarkEnd w:id="12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حضرت زهرا علیهاالسلام و امامان معصوم علیهم‌السلام دارای صدقات و موقوفات متعدّدی بوده‌اند که برخی از آنها به اجمال یا تفصیل در متون اسلامی منعکس شده است و در این‌جا به مواردی اشاره می‌شود</w:t>
      </w:r>
      <w:r>
        <w:rPr>
          <w:rFonts w:eastAsia="IRNazanin" w:cs="IRNazanin"/>
          <w:color w:val="111111"/>
          <w:sz w:val="28"/>
          <w:szCs w:val="28"/>
          <w:rtl w:val="true"/>
          <w:lang w:bidi="fa-IR"/>
        </w:rPr>
        <w:t xml:space="preserve">: </w:t>
      </w:r>
      <w:bookmarkStart w:id="130" w:name="pg4267_21793"/>
    </w:p>
    <w:p>
      <w:pPr>
        <w:pStyle w:val="Heading6"/>
        <w:numPr>
          <w:ilvl w:val="5"/>
          <w:numId w:val="1"/>
        </w:numPr>
        <w:rPr/>
      </w:pPr>
      <w:bookmarkStart w:id="131" w:name="__RefHeading___Toc473971_1479056682"/>
      <w:bookmarkStart w:id="132" w:name="_Toc48"/>
      <w:bookmarkEnd w:id="130"/>
      <w:bookmarkEnd w:id="131"/>
      <w:r>
        <w:rPr>
          <w:rtl w:val="true"/>
        </w:rPr>
        <w:t>حضرت علی علیه‌السلام</w:t>
      </w:r>
      <w:bookmarkEnd w:id="13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اثیر ازخود آن حضرت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 اکنون از گرسنگی سنگ بر شکم می‌بندم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من چهار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چهل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اصفهانی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حضرت از این صدقه، زکات مالش نیست،مراد حضرت وقفهایی است که حضرت آنها را به عنوان صدقه قرارداده بود و مبلغ مزبور، درآمد آنها بوده است و گرنه حضرت مالی را ذخیره نمی کرد که زکات به آن تعلّق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آن حضرت، امام حسن علیه‌السلام بعد از شهادتش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تنها ششصد درهم به جای گذاشته که در نظر داشت با آن خادمی بخرد</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از امام صادق علیه‌السلام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p>
    <w:p>
      <w:pPr>
        <w:pStyle w:val="BookText"/>
        <w:rPr/>
      </w:pPr>
      <w:r>
        <w:rPr>
          <w:rFonts w:ascii="IRNazanin" w:hAnsi="IRNazanin" w:eastAsia="IRNazanin"/>
          <w:color w:val="111111"/>
          <w:sz w:val="28"/>
          <w:sz w:val="28"/>
          <w:szCs w:val="28"/>
          <w:rtl w:val="true"/>
          <w:lang w:bidi="fa-IR"/>
        </w:rPr>
        <w:t>علی‌بن‌ابی‌طالب علیه‌السلام خانه خودش را در مدینه، در محلّه بنی زُرَیق تصدّق کرد و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علی‌بن ابی‌طالب در حال حیات و صحّت و سلامت خانه خودش را در بنی زُرَیق صدقه‌ای قرار داد که به فروش نرود، هبه نشود، و به ارث نیز برده</w:t>
      </w:r>
    </w:p>
    <w:p>
      <w:pPr>
        <w:pStyle w:val="BookText"/>
        <w:rPr/>
      </w:pPr>
      <w:r>
        <w:rPr>
          <w:rFonts w:ascii="IRNazanin" w:hAnsi="IRNazanin" w:eastAsia="IRNazanin"/>
          <w:color w:val="111111"/>
          <w:sz w:val="28"/>
          <w:sz w:val="28"/>
          <w:szCs w:val="28"/>
          <w:rtl w:val="true"/>
          <w:lang w:bidi="fa-IR"/>
        </w:rPr>
        <w:t>نشود تا آن گاه به خداوندِ وارث آسمان و زمین به ارث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صدقه را برای سکونت خاله‌هایش و فرزندان آنها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وهرگاه نسل آنها منقرض شد، برای مسلمانان نیازمند باشد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معتبر، ایّوب بن عطیّه حذّاء از امام صادق علیه‌السلام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زمینهای فی‌ء را که تقسیم می‌کرد زمینی هم به علی علیه‌السلامرسید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در آن چشمه‌ای حفر کرد که آب ازآن همانند گردن شتر به‌طرف آسمان فوّاره می‌زد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فَخَرَجَ ماءٌ یَنْبَعُ فی‌السَّماء کَهَیْئةِ عُنُقِ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مناسبت حضرت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فرزندان و اهل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وارث من بشارت ده که این چشمه صدقه‌ای است قطعی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قابل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حجّاج خانه خدا و رهگذران در راه خدا، فروخته نشود، هر که او را بفروشد یا هِبه کند</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ملائکه، و همه مردم بر او باد و خداوند هیچ عملی را از او قبول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لایَقْبَلُ اللّهُ مِنْهُ صَرْفاً وَلا عَدْلاً</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صدقاتی که امیرمؤمنان علیه‌السلام در روز ورود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کرد و آنها رادر وصیّت نامه‌ای نوشت و افرادی چون صَعصَعة بن صَوْحان، یزیدبن قیس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گواه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بخشی از این وصیّت درنامه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آمده و مفصّل آن را عبدالرّحمان بن حجّاج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درحدیثی صحیح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ازامام هفتم علیه‌السلام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در این نوشته به موارد متعدّدی از صدقات خویش اشاره کرده و موارد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روشنتر،موقوفٌ‌علیه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رانیز ذکر فرموده و تولیت آن را به حسن بن علی علیه‌السلامو بعد از وی به حسین بن علی و بعد به فردی متدیّن از فرزندان علی علیه‌السلام و اگر چنین فردی در اولاد علی علیه‌السلامنبود به فردی پسندیده از بنی هاشم، واگذار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نکاتی که در این وصیّت‌نامه آمده است یکی انگیزه آن بزگوار برای انجام این صدقات است که همان جلب رضایت خداوند و دخول به بهشت و نجات از دوزخ،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 است که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تولیت آن را برای فرزندان فاطمه علیهاالسلام قرار دادم این است که رضایت خدای متعال را کسب و با تعظیم و تشریف آنها حرمت رسول خدا صلی‌الله‌علیه‌و‌آله را رعایت کرده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 نوشته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فرزندان فاطمه علیهاالسلام از این صدقات همان است که برای دیگر فرزندان علی</w:t>
      </w:r>
      <w:r>
        <w:rPr>
          <w:rStyle w:val="FootnoteAnchor"/>
          <w:rtl w:val="true"/>
        </w:rPr>
        <w:footnoteReference w:id="141"/>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در توجیه عبارتِ فوق 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یادآوری این مطلب توسّط آن حضرت برای این است که توهّم نشود اینها چون ناظر و متولّی‌اند حقّی در صدقات ندارند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دیگری که ابن ابی الحدید به آن تصریح کرده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قرار دادن ولایتِ صدقاتِ خویش برای فرزندان فاطمه علیهاالسلام در حقیقت به کسانی که امر </w:t>
      </w:r>
      <w:bookmarkStart w:id="133" w:name="pg4267_21795"/>
    </w:p>
    <w:p>
      <w:pPr>
        <w:pStyle w:val="BookText"/>
        <w:rPr/>
      </w:pPr>
      <w:bookmarkEnd w:id="133"/>
      <w:r>
        <w:rPr>
          <w:rFonts w:ascii="IRNazanin" w:hAnsi="IRNazanin" w:eastAsia="IRNazanin"/>
          <w:color w:val="111111"/>
          <w:sz w:val="28"/>
          <w:sz w:val="28"/>
          <w:szCs w:val="28"/>
          <w:rtl w:val="true"/>
          <w:lang w:bidi="fa-IR"/>
        </w:rPr>
        <w:t>ولایت وحکومت را از اهل بیت رسول خدا صلی‌الله‌علیه‌و‌آله دور کردند، تعریض زده است، در حالی که برای نزدیکی و رعایت قرابت به رسول خدا صلی‌الله‌علیه‌و‌آله و تکریم حریم آن بزرگوار و قدرشناسی از مقام والای وی هم که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با توجّه به وجود فرد شایسته در میان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نمی‌بایست برای امر حکومت وامامت از این خاندان پاک، عدول می‌کردند</w:t>
      </w:r>
      <w:r>
        <w:rPr>
          <w:rFonts w:eastAsia="IRNazanin" w:cs="IRNazanin"/>
          <w:color w:val="111111"/>
          <w:sz w:val="28"/>
          <w:szCs w:val="28"/>
          <w:rtl w:val="true"/>
          <w:lang w:bidi="fa-IR"/>
        </w:rPr>
        <w:t>.</w:t>
      </w:r>
      <w:r>
        <w:rPr>
          <w:rStyle w:val="FootnoteAnchor"/>
          <w:rtl w:val="true"/>
        </w:rPr>
        <w:footnoteReference w:id="142"/>
      </w:r>
    </w:p>
    <w:p>
      <w:pPr>
        <w:pStyle w:val="Heading6"/>
        <w:numPr>
          <w:ilvl w:val="5"/>
          <w:numId w:val="1"/>
        </w:numPr>
        <w:rPr/>
      </w:pPr>
      <w:bookmarkStart w:id="134" w:name="__RefHeading___Toc473973_1479056682"/>
      <w:bookmarkStart w:id="135" w:name="_Toc49"/>
      <w:bookmarkEnd w:id="134"/>
      <w:r>
        <w:rPr>
          <w:rtl w:val="true"/>
        </w:rPr>
        <w:t>حضرت زهراء علیهاالسلام</w:t>
      </w:r>
      <w:bookmarkEnd w:id="135"/>
    </w:p>
    <w:p>
      <w:pPr>
        <w:pStyle w:val="BookText"/>
        <w:rPr/>
      </w:pPr>
      <w:r>
        <w:rPr>
          <w:rFonts w:ascii="IRNazanin" w:hAnsi="IRNazanin" w:eastAsia="IRNazanin"/>
          <w:color w:val="111111"/>
          <w:sz w:val="28"/>
          <w:sz w:val="28"/>
          <w:szCs w:val="28"/>
          <w:rtl w:val="true"/>
          <w:lang w:bidi="fa-IR"/>
        </w:rPr>
        <w:t>شیخ صدوق با سند خویش از ابوبصیر از امام صادق علیه‌السلام نقل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فاطمه علیهاالسلام را برایت بازگو نکنم؟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نامه‌ای را بیرون آورد و آن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اَوْصَتْ بِهِ فاطِمَةُ بِنْتُ مُحّمدٍ صلی‌الله‌علیه‌و‌آلهاَوْصَتْ بِحَوائِطِهَا</w:t>
      </w:r>
    </w:p>
    <w:p>
      <w:pPr>
        <w:pStyle w:val="BookText"/>
        <w:rPr/>
      </w:pPr>
      <w:r>
        <w:rPr>
          <w:rFonts w:ascii="Amiri" w:hAnsi="Amiri" w:eastAsia="Amiri" w:cs="Amiri"/>
          <w:color w:val="111111"/>
          <w:sz w:val="28"/>
          <w:sz w:val="28"/>
          <w:szCs w:val="28"/>
          <w:rtl w:val="true"/>
          <w:lang w:bidi="ar-SA"/>
        </w:rPr>
        <w:t>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 الدَّلال وَالْبُرقَة وَالْمَیْثَب وَالْحُسْنی وَ الصّافِیَة وَ مالِ اُمِّ اِبْراهیم اِلی عَلیِّ بْنِ اَبِی طالِبٍ فَاِنْ مَضَی فَاِلَی الْحَسَنِ فَاِنْ مَضَی الْحَسَنُ فَاِلَی الْحُسَیْنِ فَاِنْ مَضَی الْحُسَیْنُ فَاِلیَ اْلاَکْبَرِ مِنْ وُلْدی شَهِداللّهُ عَلی ذلِکَ والْمِقْدادُ بْنَ اْلاسْود والزُّبَیْربْنُ الْعَوام وَ کَتَب عَلِیّ علیه‌السلام</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وصیت نامه فاطمه دختر محمّد صلی‌الله‌علیه‌و‌آله است که درباره حوائط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هفت‌گانه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عَواف، دَلال، بُرقه، مَیْثَب، حُسنی صافیه و مال 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مشربه امّ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علی بن ابی طالب و پس از درگذشت او به حسن و بعد از وی به حسین و بعد از حسین به بزرگترین فرزند خود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ونیز مقدادبن اَسود و زبَیر بن عوام</w:t>
      </w:r>
    </w:p>
    <w:p>
      <w:pPr>
        <w:pStyle w:val="BookText"/>
        <w:rPr/>
      </w:pPr>
      <w:r>
        <w:rPr>
          <w:rFonts w:ascii="IRNazanin" w:hAnsi="IRNazanin" w:eastAsia="IRNazanin"/>
          <w:color w:val="111111"/>
          <w:sz w:val="28"/>
          <w:sz w:val="28"/>
          <w:szCs w:val="28"/>
          <w:rtl w:val="true"/>
          <w:lang w:bidi="fa-IR"/>
        </w:rPr>
        <w:t>بر این وصیّت نامه گواه شدند و علی علیه‌السلام آن را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حسنه است و همین حدیث با سندی حَسَن که در اعتبار چون صحیح است نیز از حَمّاد بن عثمان از ابوبصیر روایت شده است</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حوائط هفت‌گانه از جانب رسول خدا صلی‌الله‌علیه‌و‌آله وقف</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بوده است و رسول خدا صلی‌الله‌علیه‌و‌آله آن را برای میهمانان خود و کسانی که از آن جا عبور </w:t>
      </w:r>
    </w:p>
    <w:p>
      <w:pPr>
        <w:pStyle w:val="BookText"/>
        <w:rPr/>
      </w:pPr>
      <w:r>
        <w:rPr>
          <w:rFonts w:ascii="IRNazanin" w:hAnsi="IRNazanin" w:eastAsia="IRNazanin"/>
          <w:color w:val="111111"/>
          <w:sz w:val="28"/>
          <w:sz w:val="28"/>
          <w:szCs w:val="28"/>
          <w:rtl w:val="true"/>
          <w:lang w:bidi="fa-IR"/>
        </w:rPr>
        <w:t>می‌کردند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رحلت حضرت،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ادّعا داشت که علی علیه‌السلام و دیگران گواهی دادند که این اموال، بر حضرت زهرا علیهاالسلام وقف است</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همین مضمون را کُلَینی در حدیثی صحیح از امام رضا علیه‌السلام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حوائط بر حضرت زهرا علیهاالسلام وقف بوده است</w:t>
      </w:r>
      <w:r>
        <w:rPr>
          <w:rFonts w:eastAsia="IRNazanin" w:cs="IRNazanin"/>
          <w:color w:val="111111"/>
          <w:sz w:val="28"/>
          <w:szCs w:val="28"/>
          <w:rtl w:val="true"/>
          <w:lang w:bidi="fa-IR"/>
        </w:rPr>
        <w:t>.</w:t>
      </w:r>
      <w:r>
        <w:rPr>
          <w:rStyle w:val="FootnoteAnchor"/>
          <w:rtl w:val="true"/>
        </w:rPr>
        <w:footnoteReference w:id="146"/>
      </w:r>
      <w:r>
        <w:rPr>
          <w:rFonts w:ascii="IRNazanin" w:hAnsi="IRNazanin" w:eastAsia="IRNazanin"/>
          <w:color w:val="111111"/>
          <w:sz w:val="28"/>
          <w:sz w:val="28"/>
          <w:szCs w:val="28"/>
          <w:rtl w:val="true"/>
          <w:lang w:bidi="fa-IR"/>
        </w:rPr>
        <w:t xml:space="preserve">و در حدیث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وجود ابراهیم بن هاشم در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حضرت زهرا علیهاالسلام برای بنی هاشم و بنی‌المطّلب است</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در پایان اشاره به چند نکته خالی از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پاورقی روضه‌المتقین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پناه اشتهاردی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اُمّ</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مَشربه اُمّ ابراهیم یعنی ماریه قبطیه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مدینه بین نخلستان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مجلسی اوّل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که اصل مشربه برای ماریه بوده و بعدا به فاطمه علیهاالسلام منتقل شده باشد</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همچنین احتمال می‌رود که در همان زمان که بر حضرت زهرا علیهاالسلام وقف بوده مدّتی هم در اختیار ماریه، مادر ابراهیم،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مجلسی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نامه حضرت زهرا علیهاالسلام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Style w:val="FootnoteAnchor"/>
          <w:rtl w:val="true"/>
        </w:rPr>
        <w:footnoteReference w:id="149"/>
      </w:r>
      <w:r>
        <w:rPr>
          <w:rFonts w:ascii="IRNazanin" w:hAnsi="IRNazanin" w:eastAsia="IRNazanin"/>
          <w:color w:val="111111"/>
          <w:sz w:val="28"/>
          <w:sz w:val="28"/>
          <w:szCs w:val="28"/>
          <w:rtl w:val="true"/>
          <w:lang w:bidi="fa-IR"/>
        </w:rPr>
        <w:t>در حالی که طبق احادیث گذشته این اموال از اوقاف و صدقات رسول خدا</w:t>
      </w:r>
    </w:p>
    <w:p>
      <w:pPr>
        <w:pStyle w:val="BookText"/>
        <w:rPr/>
      </w:pPr>
      <w:r>
        <w:rPr>
          <w:rFonts w:ascii="IRNazanin" w:hAnsi="IRNazanin" w:eastAsia="IRNazanin"/>
          <w:color w:val="111111"/>
          <w:sz w:val="28"/>
          <w:sz w:val="28"/>
          <w:szCs w:val="28"/>
          <w:rtl w:val="true"/>
          <w:lang w:bidi="fa-IR"/>
        </w:rPr>
        <w:t>صلی‌الله‌علیه‌و‌آلهبر فاطمه علیهاالسلام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دوباره آن توسّط حضرت زهرا علیهاالسلام معنا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بهترین توجیه عبارت این است که حضرت فاطمه علیهاالسلام در این وصیّت نامه به واگذاری امر تولیت آن بعد از وفات خویش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نوشته دیگری را مجلسی از مصباح الانوار از امام باقر علیه‌السلام نقل کرده است که در آن حضرت زهرا علیهاالسلام صدقاتی را مقرّر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نوشته حضرت از درآمد صدقات، بعد از کسر کردن هزینه آبیاری و کشاورزی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مبلغی را به زنان رسول خدا صلی‌الله‌علیه‌و‌آله و مبلغی را هم به فقرای بنی هاشم و فرزندان عبدالمطّلب و مقداری را هم برای دختر ابی‌ذر غفاری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 داده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فاطمه علیهاالسلام در ادامه، تولیت این صدقات را ابتدا به علی علیه‌السلام و بعد از وی </w:t>
      </w:r>
      <w:bookmarkStart w:id="136" w:name="pg4267_21797"/>
    </w:p>
    <w:p>
      <w:pPr>
        <w:pStyle w:val="BookText"/>
        <w:rPr/>
      </w:pPr>
      <w:bookmarkEnd w:id="136"/>
      <w:r>
        <w:rPr>
          <w:rFonts w:ascii="IRNazanin" w:hAnsi="IRNazanin" w:eastAsia="IRNazanin"/>
          <w:color w:val="111111"/>
          <w:sz w:val="28"/>
          <w:sz w:val="28"/>
          <w:szCs w:val="28"/>
          <w:rtl w:val="true"/>
          <w:lang w:bidi="fa-IR"/>
        </w:rPr>
        <w:t>به حسن و حسین علیهماالسلام واگذار کرده و اجازه کامل در اداره اموال موقوفه را به آنان داده است</w:t>
      </w:r>
      <w:r>
        <w:rPr>
          <w:rFonts w:eastAsia="IRNazanin" w:cs="IRNazanin"/>
          <w:color w:val="111111"/>
          <w:sz w:val="28"/>
          <w:szCs w:val="28"/>
          <w:rtl w:val="true"/>
          <w:lang w:bidi="fa-IR"/>
        </w:rPr>
        <w:t>.</w:t>
      </w:r>
      <w:r>
        <w:rPr>
          <w:rStyle w:val="FootnoteAnchor"/>
          <w:rtl w:val="true"/>
        </w:rPr>
        <w:footnoteReference w:id="150"/>
      </w:r>
    </w:p>
    <w:p>
      <w:pPr>
        <w:pStyle w:val="Heading6"/>
        <w:numPr>
          <w:ilvl w:val="5"/>
          <w:numId w:val="1"/>
        </w:numPr>
        <w:rPr/>
      </w:pPr>
      <w:bookmarkStart w:id="137" w:name="__RefHeading___Toc473975_1479056682"/>
      <w:bookmarkStart w:id="138" w:name="_Toc50"/>
      <w:bookmarkEnd w:id="137"/>
      <w:r>
        <w:rPr>
          <w:rtl w:val="true"/>
        </w:rPr>
        <w:t>اوقاف و صدقات برخی دیگر از امامان علیهم‌السلام</w:t>
      </w:r>
      <w:bookmarkEnd w:id="1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مِهران بن محمّد روایت کرده است که امام صادق علیه‌السلام مال معیّنی را در نظر گرفته بود که در هفت موسم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نوبت از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حضرت عزاداری شود</w:t>
      </w:r>
      <w:r>
        <w:rPr>
          <w:rFonts w:eastAsia="IRNazanin" w:cs="IRNazanin"/>
          <w:color w:val="111111"/>
          <w:sz w:val="28"/>
          <w:szCs w:val="28"/>
          <w:rtl w:val="true"/>
          <w:lang w:bidi="fa-IR"/>
        </w:rPr>
        <w:t>.</w:t>
      </w:r>
      <w:r>
        <w:rPr>
          <w:rStyle w:val="FootnoteAnchor"/>
          <w:rtl w:val="true"/>
        </w:rPr>
        <w:footnoteReference w:id="1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حدیثی نسبتا مفصّل، عبدالرّحمان بن حجّاج روایت کرده است که امام، موسی بن جعفر علیه‌السلام وصیّتِ امیرمؤمنان و صدقه پدرش، جعفربن محمّد علیه‌السلام، و نیز صدقه خودش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طی نامه‌ای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هفتم در این نامه اراضی و املاک متعددی را برای فرزندان صُلبی خویش از زن و مرد قرار داده و شرط کرده است که بعد از صرف درآمد آن در عمارت و آبادانی املاک و انفاقِ درآمدِ سی اصله درخت بین مساکین قریه، مازاد آن بین فرزندان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مرد</w:t>
      </w:r>
    </w:p>
    <w:p>
      <w:pPr>
        <w:pStyle w:val="BookText"/>
        <w:rPr/>
      </w:pPr>
      <w:r>
        <w:rPr>
          <w:rFonts w:ascii="IRNazanin" w:hAnsi="IRNazanin" w:eastAsia="IRNazanin"/>
          <w:color w:val="111111"/>
          <w:sz w:val="28"/>
          <w:sz w:val="28"/>
          <w:szCs w:val="28"/>
          <w:rtl w:val="true"/>
          <w:lang w:bidi="fa-IR"/>
        </w:rPr>
        <w:t>دو برابر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از فرزندان آن حضرت که از دنیا رفت و دارای فرزند بود سهم پدر برای فرزندش باشد و اگر فرزند نداشت حقّ وی به بقیّه مستحقان این صدقه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ادامه این نوشته، ضمن تعیین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وظیفه در صورت انقراض بعضی از آنها، چنین بیان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موسی بن جعفر علیه‌السلام در حال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به عنوان صدقه و حبس بَتّی و قطعی قرارداد که به هیچ وجه جای رجوع و بازگشت در آن نباشد، و انگیزه وی هم</w:t>
      </w:r>
    </w:p>
    <w:p>
      <w:pPr>
        <w:pStyle w:val="BookText"/>
        <w:rPr/>
      </w:pPr>
      <w:r>
        <w:rPr>
          <w:rFonts w:ascii="IRNazanin" w:hAnsi="IRNazanin" w:eastAsia="IRNazanin"/>
          <w:color w:val="111111"/>
          <w:sz w:val="28"/>
          <w:sz w:val="28"/>
          <w:szCs w:val="28"/>
          <w:rtl w:val="true"/>
          <w:lang w:bidi="fa-IR"/>
        </w:rPr>
        <w:t>کسب رضایت خداوند و دار آخرت بوده و برای هیچ مؤمنی که به خدا و روز قیامت معتقد است فروش، خرید، هبه و تغییر و تبدیل آن و مخالفت با شرایط واقف، جایز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ابتدا امر تولیت این صدقات را به فرزندان خود علی علیه‌السلام و ابراهیم واگذار کرد و قید کرد در صورت ارتحال یکی از این دو، قاسم جای او را بگیرد و اگر باز یکی از </w:t>
      </w:r>
      <w:bookmarkStart w:id="139" w:name="pg4267_21798"/>
    </w:p>
    <w:p>
      <w:pPr>
        <w:pStyle w:val="BookText"/>
        <w:rPr/>
      </w:pPr>
      <w:bookmarkEnd w:id="139"/>
      <w:r>
        <w:rPr>
          <w:rFonts w:ascii="IRNazanin" w:hAnsi="IRNazanin" w:eastAsia="IRNazanin"/>
          <w:color w:val="111111"/>
          <w:sz w:val="28"/>
          <w:sz w:val="28"/>
          <w:szCs w:val="28"/>
          <w:rtl w:val="true"/>
          <w:lang w:bidi="fa-IR"/>
        </w:rPr>
        <w:t xml:space="preserve">دنیا رفت اسماعیل جانشین او شود و بعد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دیگر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140" w:name="__RefHeading___Toc473977_1479056682"/>
      <w:bookmarkStart w:id="141" w:name="_Toc51"/>
      <w:bookmarkEnd w:id="140"/>
      <w:r>
        <w:rPr>
          <w:rtl w:val="true"/>
        </w:rPr>
        <w:t xml:space="preserve">گفتار </w:t>
      </w:r>
      <w:r>
        <w:rPr/>
        <w:t>3</w:t>
      </w:r>
      <w:r>
        <w:rPr>
          <w:rtl w:val="true"/>
        </w:rPr>
        <w:t xml:space="preserve">- </w:t>
      </w:r>
      <w:r>
        <w:rPr>
          <w:rtl w:val="true"/>
        </w:rPr>
        <w:t>وقف در سیره صحابه و تابعین</w:t>
      </w:r>
      <w:bookmarkEnd w:id="1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قُدامه حنبلی از جابربن عبداللّه نقل کرده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یَکُنْ اَحَدٌ مِنْ اَصْحابِ</w:t>
      </w:r>
    </w:p>
    <w:p>
      <w:pPr>
        <w:pStyle w:val="BookText"/>
        <w:rPr/>
      </w:pPr>
      <w:r>
        <w:rPr>
          <w:rFonts w:ascii="IRNazanin" w:hAnsi="IRNazanin" w:eastAsia="IRNazanin"/>
          <w:color w:val="111111"/>
          <w:sz w:val="28"/>
          <w:sz w:val="28"/>
          <w:szCs w:val="28"/>
          <w:rtl w:val="true"/>
          <w:lang w:bidi="fa-IR"/>
        </w:rPr>
        <w:t>النَّبِی ذُو مَقْدُرَةٍ اِلاّ وَقَفَ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از اصحاب پیامبر صلی‌الله‌علیه‌و‌آله که توانایی داشت اموالی را وقف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ذیل این حدیث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ادّعای اجماع عملی صحابه از جابر است و این سخن از وی مشهور شده و کسی هم وی را انکار نکرده است، لذا جنبه اجماع دارد</w:t>
      </w:r>
      <w:r>
        <w:rPr>
          <w:rFonts w:eastAsia="IRNazanin" w:cs="IRNazanin"/>
          <w:color w:val="111111"/>
          <w:sz w:val="28"/>
          <w:szCs w:val="28"/>
          <w:rtl w:val="true"/>
          <w:lang w:bidi="fa-IR"/>
        </w:rPr>
        <w:t>.</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وی آن گاه گروهی از صحابه، چون ابوبکر، عمر، عثمان، علی علیه‌السلام، زبیر،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ابی وقّاص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عمرو بن عاص و حکیم بن حزام را نام می‌برد که هر کدام مقداری از املاک خویش را صدقه و وقف قرار دادند</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و حدیث بسیار معروفی است که فقهای اهل سنّت نیز در اکثر موارد به آن استناد کرده‌اند و آن حدیث نافع از ابن عمر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از خیبر به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w:t>
      </w:r>
    </w:p>
    <w:p>
      <w:pPr>
        <w:pStyle w:val="BookText"/>
        <w:rPr/>
      </w:pPr>
      <w:r>
        <w:rPr>
          <w:rFonts w:ascii="IRNazanin" w:hAnsi="IRNazanin" w:eastAsia="IRNazanin"/>
          <w:color w:val="111111"/>
          <w:sz w:val="28"/>
          <w:sz w:val="28"/>
          <w:szCs w:val="28"/>
          <w:rtl w:val="true"/>
          <w:lang w:bidi="fa-IR"/>
        </w:rPr>
        <w:t xml:space="preserve">رسول خدا صلی‌الله‌علیه‌و‌آله درباره آن کسب تکلیف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زمینی از خیبر به من رسیده که هرگز به چنین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ارزشمند و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نیافته‌ام؛ درباره آن چه دستور می‌دهید؟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مایل باشی می‌توانی اصل آن را حبس و ثمره آن را تصدّق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هم آن را صدقه‌ای قرار داد که اصل آن به فروش نرسد، به ارث برده نشود و</w:t>
      </w:r>
    </w:p>
    <w:p>
      <w:pPr>
        <w:pStyle w:val="BookText"/>
        <w:rPr/>
      </w:pPr>
      <w:r>
        <w:rPr>
          <w:rFonts w:ascii="IRNazanin" w:hAnsi="IRNazanin" w:eastAsia="IRNazanin"/>
          <w:color w:val="111111"/>
          <w:sz w:val="28"/>
          <w:sz w:val="28"/>
          <w:szCs w:val="28"/>
          <w:rtl w:val="true"/>
          <w:lang w:bidi="fa-IR"/>
        </w:rPr>
        <w:t>هبه هم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درآمد آن را به فقرا، ذوی‌القُربی، آزادی بردگان، فی سبیل‌اللّه، ابن</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السّبیل، میهمان و متولّی آن وقف، اختصاص داد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معروف 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نیز غالب محدّثان، مفسّران، مورّخان و حتی فقهای اهل سنّت و گروهی از امامیّه در کتب خویش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نقل بخاری اکتفا و به بعضی از مصادر دیگر اشاره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اَنَس روایت شده است که بعد از نزول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تَنالواالبرَّ حَتّی تُنْفِقُوا مِمّا تُحِبُّونَ</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ابوطلحه انصاری به حضور رسول خدا صلی‌الله‌علیه‌و‌آله 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چنین می‌فرماید، و محبوبترین اموال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بَیْرحاء باغی بود که رسول</w:t>
      </w:r>
    </w:p>
    <w:p>
      <w:pPr>
        <w:pStyle w:val="BookText"/>
        <w:rPr/>
      </w:pPr>
      <w:r>
        <w:rPr>
          <w:rFonts w:ascii="IRNazanin" w:hAnsi="IRNazanin" w:eastAsia="IRNazanin"/>
          <w:color w:val="111111"/>
          <w:sz w:val="28"/>
          <w:sz w:val="28"/>
          <w:szCs w:val="28"/>
          <w:rtl w:val="true"/>
          <w:lang w:bidi="fa-IR"/>
        </w:rPr>
        <w:t xml:space="preserve">خدا صلی‌الله‌علیه‌و‌آله به آن وارد می‌شد، از سایه آن استفاده می‌کرد و از آب آن می‌آشامید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ابوطلحه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باغ را برای خدای متعال و رسول او قرار می‌دهم و با این کار امید خیر و نیکی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می‌خواهم آن را به‌هر مصرفی که مورد رضای خداست برسانید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اباطلحه، این مال، دارای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 برای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آن را از تو پذیرفتیم و به خودت بازگردانیدیم تو آن را برای خویشان خودت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ابوطلحه نیز آن را به‌عنوان صدقه برای خویشان و رَحِم خویش قرار داد که از آنان است</w:t>
      </w:r>
    </w:p>
    <w:p>
      <w:pPr>
        <w:pStyle w:val="BookText"/>
        <w:rPr/>
      </w:pPr>
      <w:r>
        <w:rPr>
          <w:rFonts w:ascii="Amiri" w:hAnsi="Amiri" w:eastAsia="Amiri" w:cs="Amiri"/>
          <w:color w:val="111111"/>
          <w:sz w:val="28"/>
          <w:sz w:val="28"/>
          <w:szCs w:val="28"/>
          <w:rtl w:val="true"/>
          <w:lang w:bidi="ar-SA"/>
        </w:rPr>
        <w:t xml:space="preserve">اُبَّی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کعب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این چند مورد به عنوان نمونه ذکر شد وگرنه موارد متعدّدی از اوقاف و صدقات صحابه در کتب تاریخ و سِیَر و حدیث و فقه و تفسیر آمده است</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نکته دیگری که قبلاً هم اشاره شد این است که برخی از بزرگان اهل سنّت از جمله محمدبن اسماعیل صنعانی</w:t>
      </w:r>
      <w:r>
        <w:rPr>
          <w:rStyle w:val="FootnoteAnchor"/>
          <w:rtl w:val="true"/>
        </w:rPr>
        <w:footnoteReference w:id="159"/>
      </w:r>
      <w:r>
        <w:rPr>
          <w:rFonts w:ascii="IRNazanin" w:hAnsi="IRNazanin" w:eastAsia="IRNazanin"/>
          <w:color w:val="111111"/>
          <w:sz w:val="28"/>
          <w:sz w:val="28"/>
          <w:szCs w:val="28"/>
          <w:rtl w:val="true"/>
          <w:lang w:bidi="fa-IR"/>
        </w:rPr>
        <w:t>وقف و صدقه عمر را اوّلین وقف در اسلام می‌دانند؛ امّا در مبحث صدقات رسول خدا صلی‌الله‌علیه‌و‌آله گذشت که اوّلین وقف و صدقه در اسلام، صدقات رسول خدا صلی‌الله‌علیه‌و‌آله است، یعنی همان اموال مُخَیْریق یهودی که به رسول خدا صلی‌الله‌علیه‌و‌آله رسید و آن حضرت نیز آنها را وقف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نیز گذشت که این در صورتی است که مسجد قبا و مسجدالنّبی صلی‌الله‌علیه‌و‌آله را از موقوفات رسول خدا صلی‌الله‌علیه‌و‌آلهبه شمار نیاوریم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اوقاف در دوره تابعین نیز دکتر محمدابوزُهره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اموی </w:t>
      </w:r>
    </w:p>
    <w:p>
      <w:pPr>
        <w:pStyle w:val="BookText"/>
        <w:rPr/>
      </w:pPr>
      <w:r>
        <w:rPr>
          <w:rFonts w:ascii="IRNazanin" w:hAnsi="IRNazanin" w:eastAsia="IRNazanin"/>
          <w:color w:val="111111"/>
          <w:sz w:val="28"/>
          <w:sz w:val="28"/>
          <w:szCs w:val="28"/>
          <w:rtl w:val="true"/>
          <w:lang w:bidi="fa-IR"/>
        </w:rPr>
        <w:t>کثرت اوقاف در مصر و شام و دیگر بلاد اسلامی به حدّ بالایی رسیده بود که اینها را فتوحات برای مجاهدین به ارمغان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خانه‌ها، مغازه‌ها، مزارع و باغهای</w:t>
      </w:r>
    </w:p>
    <w:p>
      <w:pPr>
        <w:pStyle w:val="BookText"/>
        <w:rPr/>
      </w:pPr>
      <w:r>
        <w:rPr>
          <w:rFonts w:ascii="IRNazanin" w:hAnsi="IRNazanin" w:eastAsia="IRNazanin"/>
          <w:color w:val="111111"/>
          <w:sz w:val="28"/>
          <w:sz w:val="28"/>
          <w:szCs w:val="28"/>
          <w:rtl w:val="true"/>
          <w:lang w:bidi="fa-IR"/>
        </w:rPr>
        <w:t xml:space="preserve">فراوانی در این بلاد و سرزمینهای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موقوفات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مسلمانان قرار داشت</w:t>
      </w:r>
      <w:r>
        <w:rPr>
          <w:rFonts w:eastAsia="IRNazanin" w:cs="IRNazanin"/>
          <w:color w:val="111111"/>
          <w:sz w:val="28"/>
          <w:szCs w:val="28"/>
          <w:rtl w:val="true"/>
          <w:lang w:bidi="fa-IR"/>
        </w:rPr>
        <w:t>.</w:t>
      </w:r>
      <w:r>
        <w:rPr>
          <w:rStyle w:val="FootnoteAnchor"/>
          <w:rtl w:val="true"/>
        </w:rPr>
        <w:footnoteReference w:id="160"/>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بیش از این به مبحث تاریخچه وقف بپردازیم مطلب به درازا خواهد کشید و ما را از هدف اصلی کتاب دور خواهد ساخت، لذا در این جا به همین مقدار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از ذکر و بیان همین مقدار نیز اشاره‌ای اجمالی به این حقیقت است که اوقاف و صدقات از مطالب و مسائل جنبی و حاشیه‌ای اسلام نبوده‌است، بلکه این واقعیّت در متن و سیره رسول خدا صلی‌الله‌علیه‌و‌آله، معصومان علیهم‌السلام و اصحاب آن حضرت جریان داشته و از سرلوحه‌های زندگی آنان به شمار می‌رفته است تا آن جا که در حدیث معروف جابر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اصحاب رسول خدا صلی‌الله‌علیه‌و‌آله که توانایی داشت، مالی را وقف کرده بود</w:t>
      </w:r>
      <w:r>
        <w:rPr>
          <w:rFonts w:eastAsia="IRNazanin" w:cs="IRNazanin"/>
          <w:color w:val="111111"/>
          <w:sz w:val="28"/>
          <w:szCs w:val="28"/>
          <w:rtl w:val="true"/>
          <w:lang w:bidi="fa-IR"/>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4267_21802"/>
      <w:bookmarkStart w:id="143" w:name="pg4267_21802"/>
      <w:bookmarkEnd w:id="143"/>
    </w:p>
    <w:p>
      <w:pPr>
        <w:pStyle w:val="Heading2"/>
        <w:numPr>
          <w:ilvl w:val="1"/>
          <w:numId w:val="1"/>
        </w:numPr>
        <w:rPr/>
      </w:pPr>
      <w:bookmarkStart w:id="144" w:name="pg4267_21802"/>
      <w:bookmarkStart w:id="145" w:name="__RefHeading___Toc473979_1479056682"/>
      <w:bookmarkStart w:id="146" w:name="_Toc52"/>
      <w:bookmarkEnd w:id="144"/>
      <w:bookmarkEnd w:id="145"/>
      <w:r>
        <w:rPr>
          <w:rtl w:val="true"/>
        </w:rPr>
        <w:t xml:space="preserve">بخش </w:t>
      </w:r>
      <w:r>
        <w:rPr/>
        <w:t>2</w:t>
      </w:r>
      <w:r>
        <w:rPr>
          <w:rtl w:val="true"/>
        </w:rPr>
        <w:t xml:space="preserve">: </w:t>
      </w:r>
      <w:r>
        <w:rPr>
          <w:rtl w:val="true"/>
        </w:rPr>
        <w:t>وقف در فقه اسلامی</w:t>
      </w:r>
      <w:bookmarkEnd w:id="14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47" w:name="__RefHeading___Toc473981_1479056682"/>
      <w:bookmarkStart w:id="148" w:name="_Toc53"/>
      <w:bookmarkEnd w:id="147"/>
      <w:r>
        <w:rPr>
          <w:rtl w:val="true"/>
        </w:rPr>
        <w:t>اشاره</w:t>
      </w:r>
      <w:bookmarkEnd w:id="148"/>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4267_21804"/>
      <w:bookmarkStart w:id="150" w:name="pg4267_21804"/>
      <w:bookmarkEnd w:id="150"/>
    </w:p>
    <w:p>
      <w:pPr>
        <w:pStyle w:val="Heading3"/>
        <w:numPr>
          <w:ilvl w:val="2"/>
          <w:numId w:val="1"/>
        </w:numPr>
        <w:rPr/>
      </w:pPr>
      <w:bookmarkStart w:id="151" w:name="pg4267_21804"/>
      <w:bookmarkStart w:id="152" w:name="__RefHeading___Toc473983_1479056682"/>
      <w:bookmarkStart w:id="153" w:name="_Toc54"/>
      <w:bookmarkEnd w:id="151"/>
      <w:bookmarkEnd w:id="152"/>
      <w:r>
        <w:rPr>
          <w:rtl w:val="true"/>
        </w:rPr>
        <w:t>فصل اوّل</w:t>
      </w:r>
      <w:r>
        <w:rPr>
          <w:rtl w:val="true"/>
        </w:rPr>
        <w:t xml:space="preserve">: </w:t>
      </w:r>
      <w:r>
        <w:rPr>
          <w:rtl w:val="true"/>
        </w:rPr>
        <w:t>وقف؛ شرایط</w:t>
      </w:r>
      <w:bookmarkEnd w:id="153"/>
    </w:p>
    <w:p>
      <w:pPr>
        <w:pStyle w:val="Heading4"/>
        <w:numPr>
          <w:ilvl w:val="3"/>
          <w:numId w:val="1"/>
        </w:numPr>
        <w:rPr/>
      </w:pPr>
      <w:bookmarkStart w:id="154" w:name="__RefHeading___Toc473985_1479056682"/>
      <w:bookmarkStart w:id="155" w:name="_Toc55"/>
      <w:bookmarkEnd w:id="154"/>
      <w:r>
        <w:rPr>
          <w:rtl w:val="true"/>
        </w:rPr>
        <w:t>شرط اوّل</w:t>
      </w:r>
      <w:r>
        <w:rPr>
          <w:rtl w:val="true"/>
        </w:rPr>
        <w:t xml:space="preserve">: </w:t>
      </w:r>
      <w:r>
        <w:rPr>
          <w:rtl w:val="true"/>
        </w:rPr>
        <w:t>قصد قُربت</w:t>
      </w:r>
      <w:bookmarkEnd w:id="155"/>
    </w:p>
    <w:p>
      <w:pPr>
        <w:pStyle w:val="Heading5"/>
        <w:numPr>
          <w:ilvl w:val="4"/>
          <w:numId w:val="1"/>
        </w:numPr>
        <w:rPr/>
      </w:pPr>
      <w:bookmarkStart w:id="156" w:name="__RefHeading___Toc473987_1479056682"/>
      <w:bookmarkStart w:id="157" w:name="_Toc56"/>
      <w:bookmarkEnd w:id="156"/>
      <w:r>
        <w:rPr>
          <w:rtl w:val="true"/>
        </w:rPr>
        <w:t>اشاره</w:t>
      </w:r>
      <w:bookmarkEnd w:id="157"/>
    </w:p>
    <w:p>
      <w:pPr>
        <w:pStyle w:val="BookText"/>
        <w:rPr/>
      </w:pPr>
      <w:r>
        <w:rPr>
          <w:rFonts w:ascii="IRNazanin" w:hAnsi="IRNazanin" w:eastAsia="IRNazanin"/>
          <w:color w:val="111111"/>
          <w:sz w:val="28"/>
          <w:sz w:val="28"/>
          <w:szCs w:val="28"/>
          <w:rtl w:val="true"/>
          <w:lang w:bidi="fa-IR"/>
        </w:rPr>
        <w:t>بدون تردید در وقف نیز همانند دیگر اعمال، نیّت به معنای قصد عمل، واجب است و بدون قصد، نقل و انتقالی صورت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بحث و اختلافی نیست، بلکه بحث در قصد قربت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تحقّق وقف و صحّت آن قصد قربت شرط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به‌طوری که اگر نباشد وقف محقّق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شرط نیست؟</w:t>
      </w:r>
    </w:p>
    <w:p>
      <w:pPr>
        <w:pStyle w:val="Heading5"/>
        <w:numPr>
          <w:ilvl w:val="4"/>
          <w:numId w:val="1"/>
        </w:numPr>
        <w:rPr/>
      </w:pPr>
      <w:bookmarkStart w:id="158" w:name="__RefHeading___Toc473989_1479056682"/>
      <w:bookmarkStart w:id="159" w:name="_Toc57"/>
      <w:bookmarkEnd w:id="158"/>
      <w:r>
        <w:rPr>
          <w:rtl w:val="true"/>
        </w:rPr>
        <w:t>دیدگاه فقهای امامیّه</w:t>
      </w:r>
      <w:bookmarkEnd w:id="159"/>
    </w:p>
    <w:p>
      <w:pPr>
        <w:pStyle w:val="BookText"/>
        <w:rPr/>
      </w:pPr>
      <w:r>
        <w:rPr>
          <w:rFonts w:ascii="IRNazanin" w:hAnsi="IRNazanin" w:eastAsia="IRNazanin"/>
          <w:color w:val="111111"/>
          <w:sz w:val="28"/>
          <w:sz w:val="28"/>
          <w:szCs w:val="28"/>
          <w:rtl w:val="true"/>
          <w:lang w:bidi="fa-IR"/>
        </w:rPr>
        <w:t>شیخ مفید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حتما باید این کار به عنوان صدقه و با قصد قربت به خداوند صورت گیرد، در غیر این صورت از حبسِ مطلق و وقفِ دائم بودن خارج خواهد بود</w:t>
      </w:r>
      <w:r>
        <w:rPr>
          <w:rFonts w:eastAsia="IRNazanin" w:cs="IRNazanin"/>
          <w:color w:val="111111"/>
          <w:sz w:val="28"/>
          <w:szCs w:val="28"/>
          <w:rtl w:val="true"/>
          <w:lang w:bidi="fa-IR"/>
        </w:rPr>
        <w:t>.</w:t>
      </w:r>
      <w:r>
        <w:rPr>
          <w:rStyle w:val="FootnoteAnchor"/>
          <w:rtl w:val="true"/>
        </w:rPr>
        <w:footnoteReference w:id="161"/>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شیخ‌طوسی نیز در نهایه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وصدقه یک‌چیزند وهیچ‌کدام ازآنها جز با قصد قربت به خدای متعال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وقف خویش قصد وجه‌اللّه نکند </w:t>
      </w:r>
      <w:bookmarkStart w:id="160" w:name="pg4267_21805"/>
    </w:p>
    <w:p>
      <w:pPr>
        <w:pStyle w:val="BookText"/>
        <w:rPr/>
      </w:pPr>
      <w:bookmarkEnd w:id="160"/>
      <w:r>
        <w:rPr>
          <w:rFonts w:ascii="IRNazanin" w:hAnsi="IRNazanin" w:eastAsia="IRNazanin"/>
          <w:color w:val="111111"/>
          <w:sz w:val="28"/>
          <w:sz w:val="28"/>
          <w:szCs w:val="28"/>
          <w:rtl w:val="true"/>
          <w:lang w:bidi="fa-IR"/>
        </w:rPr>
        <w:t>وقف، صحیح نیست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مختلف و قواعد نیز با صراحت، نیّت تقرّب را در وقف معتبر داشته است</w:t>
      </w:r>
      <w:r>
        <w:rPr>
          <w:rFonts w:eastAsia="IRNazanin" w:cs="IRNazanin"/>
          <w:color w:val="111111"/>
          <w:sz w:val="28"/>
          <w:szCs w:val="28"/>
          <w:rtl w:val="true"/>
          <w:lang w:bidi="fa-IR"/>
        </w:rPr>
        <w:t>.</w:t>
      </w:r>
      <w:r>
        <w:rPr>
          <w:rStyle w:val="FootnoteAnchor"/>
          <w:rtl w:val="true"/>
        </w:rPr>
        <w:footnoteReference w:id="163"/>
      </w:r>
      <w:r>
        <w:rPr>
          <w:rFonts w:ascii="IRNazanin" w:hAnsi="IRNazanin" w:eastAsia="IRNazanin"/>
          <w:color w:val="111111"/>
          <w:sz w:val="28"/>
          <w:sz w:val="28"/>
          <w:szCs w:val="28"/>
          <w:rtl w:val="true"/>
          <w:lang w:bidi="fa-IR"/>
        </w:rPr>
        <w:t>ابن ادریس نیز قصد تقرّب را معتبر می‌داند</w:t>
      </w:r>
      <w:r>
        <w:rPr>
          <w:rFonts w:eastAsia="IRNazanin" w:cs="IRNazanin"/>
          <w:color w:val="111111"/>
          <w:sz w:val="28"/>
          <w:szCs w:val="28"/>
          <w:rtl w:val="true"/>
          <w:lang w:bidi="fa-IR"/>
        </w:rPr>
        <w:t>.</w:t>
      </w:r>
      <w:r>
        <w:rPr>
          <w:rStyle w:val="FootnoteAnchor"/>
          <w:rtl w:val="true"/>
        </w:rPr>
        <w:footnoteReference w:id="164"/>
      </w:r>
      <w:r>
        <w:rPr>
          <w:rFonts w:ascii="IRNazanin" w:hAnsi="IRNazanin" w:eastAsia="IRNazanin"/>
          <w:color w:val="111111"/>
          <w:sz w:val="28"/>
          <w:sz w:val="28"/>
          <w:szCs w:val="28"/>
          <w:rtl w:val="true"/>
          <w:lang w:bidi="fa-IR"/>
        </w:rPr>
        <w:t>صاحب ریاض بر اعتبار قربت در وقف ادّعای اجماع کرده، گذشته از این که وقف مخالف اصل است و در لزوم آن به قدر متیقّن اکتفا می‌شود و قدر متیقّن همان است که به نظر همه فقها صحیح است و آن، وقف با قصد قربت است</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در مفتاح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نزد اکثر فقها عبادت است، لذا قصد قربت را در آن معتبر دانسته‌اند</w:t>
      </w:r>
      <w:r>
        <w:rPr>
          <w:rFonts w:eastAsia="IRNazanin" w:cs="IRNazanin"/>
          <w:color w:val="111111"/>
          <w:sz w:val="28"/>
          <w:szCs w:val="28"/>
          <w:rtl w:val="true"/>
          <w:lang w:bidi="fa-IR"/>
        </w:rPr>
        <w:t>.</w:t>
      </w:r>
      <w:r>
        <w:rPr>
          <w:rStyle w:val="FootnoteAnchor"/>
          <w:rtl w:val="true"/>
        </w:rPr>
        <w:footnoteReference w:id="166"/>
      </w:r>
      <w:r>
        <w:rPr>
          <w:rFonts w:ascii="IRNazanin" w:hAnsi="IRNazanin" w:eastAsia="IRNazanin"/>
          <w:color w:val="111111"/>
          <w:sz w:val="28"/>
          <w:sz w:val="28"/>
          <w:szCs w:val="28"/>
          <w:rtl w:val="true"/>
          <w:lang w:bidi="fa-IR"/>
        </w:rPr>
        <w:t>و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اشتراط نیّت تقرّب وجهی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وقف کافر را مترتّب بر این شرط می‌داند و سپس آن را صحیح می‌داند که ظاهر آن عدم اشتراط قربت است</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همچنین ابن زهره در غنیه</w:t>
      </w:r>
      <w:r>
        <w:rPr>
          <w:rStyle w:val="FootnoteAnchor"/>
          <w:rtl w:val="true"/>
        </w:rPr>
        <w:footnoteReference w:id="168"/>
      </w:r>
      <w:r>
        <w:rPr>
          <w:rFonts w:ascii="IRNazanin" w:hAnsi="IRNazanin" w:eastAsia="IRNazanin"/>
          <w:color w:val="111111"/>
          <w:sz w:val="28"/>
          <w:sz w:val="28"/>
          <w:szCs w:val="28"/>
          <w:rtl w:val="true"/>
          <w:lang w:bidi="fa-IR"/>
        </w:rPr>
        <w:t>و کاشف الغطاء نیز قصد قربت را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کاشف الغطاء اعتبار قربت را از مقدّمات وقف دانسته است</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از طرف دیگر عدّه‌ای از اَعلام به عدم اعتبار قصد قربت در وقف قایلند؛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w:t>
      </w:r>
      <w:r>
        <w:rPr>
          <w:rStyle w:val="FootnoteAnchor"/>
          <w:rtl w:val="true"/>
        </w:rPr>
        <w:footnoteReference w:id="170"/>
      </w:r>
      <w:r>
        <w:rPr>
          <w:rFonts w:ascii="IRNazanin" w:hAnsi="IRNazanin" w:eastAsia="IRNazanin"/>
          <w:color w:val="111111"/>
          <w:sz w:val="28"/>
          <w:sz w:val="28"/>
          <w:szCs w:val="28"/>
          <w:rtl w:val="true"/>
          <w:lang w:bidi="fa-IR"/>
        </w:rPr>
        <w:t>، فیض کاشانی</w:t>
      </w:r>
      <w:r>
        <w:rPr>
          <w:rStyle w:val="FootnoteAnchor"/>
          <w:rtl w:val="true"/>
        </w:rPr>
        <w:footnoteReference w:id="171"/>
      </w:r>
      <w:r>
        <w:rPr>
          <w:rFonts w:ascii="IRNazanin" w:hAnsi="IRNazanin" w:eastAsia="IRNazanin"/>
          <w:color w:val="111111"/>
          <w:sz w:val="28"/>
          <w:sz w:val="28"/>
          <w:szCs w:val="28"/>
          <w:rtl w:val="true"/>
          <w:lang w:bidi="fa-IR"/>
        </w:rPr>
        <w:t>و از متأخّران، صاحب عُروه</w:t>
      </w:r>
      <w:r>
        <w:rPr>
          <w:rStyle w:val="FootnoteAnchor"/>
          <w:rtl w:val="true"/>
        </w:rPr>
        <w:footnoteReference w:id="172"/>
      </w:r>
      <w:r>
        <w:rPr>
          <w:rFonts w:ascii="IRNazanin" w:hAnsi="IRNazanin" w:eastAsia="IRNazanin"/>
          <w:color w:val="111111"/>
          <w:sz w:val="28"/>
          <w:sz w:val="28"/>
          <w:szCs w:val="28"/>
          <w:rtl w:val="true"/>
          <w:lang w:bidi="fa-IR"/>
        </w:rPr>
        <w:t>، آیه‌اللّه خویی</w:t>
      </w:r>
      <w:r>
        <w:rPr>
          <w:rStyle w:val="FootnoteAnchor"/>
          <w:rtl w:val="true"/>
        </w:rPr>
        <w:footnoteReference w:id="173"/>
      </w:r>
      <w:r>
        <w:rPr>
          <w:rFonts w:ascii="IRNazanin" w:hAnsi="IRNazanin" w:eastAsia="IRNazanin"/>
          <w:color w:val="111111"/>
          <w:sz w:val="28"/>
          <w:sz w:val="28"/>
          <w:szCs w:val="28"/>
          <w:rtl w:val="true"/>
          <w:lang w:bidi="fa-IR"/>
        </w:rPr>
        <w:t>، آیه‌اللّه حکیم</w:t>
      </w:r>
      <w:r>
        <w:rPr>
          <w:rStyle w:val="FootnoteAnchor"/>
          <w:rtl w:val="true"/>
        </w:rPr>
        <w:footnoteReference w:id="174"/>
      </w:r>
      <w:r>
        <w:rPr>
          <w:rFonts w:ascii="IRNazanin" w:hAnsi="IRNazanin" w:eastAsia="IRNazanin"/>
          <w:color w:val="111111"/>
          <w:sz w:val="28"/>
          <w:sz w:val="28"/>
          <w:szCs w:val="28"/>
          <w:rtl w:val="true"/>
          <w:lang w:bidi="fa-IR"/>
        </w:rPr>
        <w:t>، شهید صدر</w:t>
      </w:r>
      <w:r>
        <w:rPr>
          <w:rStyle w:val="FootnoteAnchor"/>
          <w:rtl w:val="true"/>
        </w:rPr>
        <w:footnoteReference w:id="175"/>
      </w:r>
      <w:r>
        <w:rPr>
          <w:rFonts w:ascii="IRNazanin" w:hAnsi="IRNazanin" w:eastAsia="IRNazanin"/>
          <w:color w:val="111111"/>
          <w:sz w:val="28"/>
          <w:sz w:val="28"/>
          <w:szCs w:val="28"/>
          <w:rtl w:val="true"/>
          <w:lang w:bidi="fa-IR"/>
        </w:rPr>
        <w:t>و امام خمینی</w:t>
      </w:r>
      <w:r>
        <w:rPr>
          <w:rStyle w:val="FootnoteAnchor"/>
          <w:rtl w:val="true"/>
        </w:rPr>
        <w:footnoteReference w:id="1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عدّه‌ای از این بزرگواران اعتبار قصد</w:t>
      </w:r>
    </w:p>
    <w:p>
      <w:pPr>
        <w:pStyle w:val="BookText"/>
        <w:rPr/>
      </w:pPr>
      <w:r>
        <w:rPr>
          <w:rFonts w:ascii="IRNazanin" w:hAnsi="IRNazanin" w:eastAsia="IRNazanin"/>
          <w:color w:val="111111"/>
          <w:sz w:val="28"/>
          <w:sz w:val="28"/>
          <w:szCs w:val="28"/>
          <w:rtl w:val="true"/>
          <w:lang w:bidi="fa-IR"/>
        </w:rPr>
        <w:t>قربت را احوط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اشتراط قصد قربت در وقف است، امّا اقوی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جماعتی قایل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آن است</w:t>
      </w:r>
      <w:r>
        <w:rPr>
          <w:rFonts w:eastAsia="IRNazanin" w:cs="IRNazanin"/>
          <w:color w:val="111111"/>
          <w:sz w:val="28"/>
          <w:szCs w:val="28"/>
          <w:rtl w:val="true"/>
          <w:lang w:bidi="fa-IR"/>
        </w:rPr>
        <w:t>.</w:t>
      </w:r>
      <w:r>
        <w:rPr>
          <w:rStyle w:val="FootnoteAnchor"/>
          <w:rtl w:val="true"/>
        </w:rPr>
        <w:footnoteReference w:id="177"/>
      </w:r>
    </w:p>
    <w:p>
      <w:pPr>
        <w:pStyle w:val="Heading5"/>
        <w:numPr>
          <w:ilvl w:val="4"/>
          <w:numId w:val="1"/>
        </w:numPr>
        <w:rPr/>
      </w:pPr>
      <w:bookmarkStart w:id="161" w:name="__RefHeading___Toc473991_1479056682"/>
      <w:bookmarkStart w:id="162" w:name="_Toc58"/>
      <w:bookmarkEnd w:id="161"/>
      <w:r>
        <w:rPr>
          <w:rtl w:val="true"/>
        </w:rPr>
        <w:t>دلایل کسانی که قربت را معتبر نمی‌دانند</w:t>
      </w:r>
      <w:bookmarkEnd w:id="16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اعتبار قصد قربت است و دلیلی هم بر اشتراط وجود ندارد</w:t>
      </w:r>
      <w:r>
        <w:rPr>
          <w:rStyle w:val="FootnoteAnchor"/>
          <w:rtl w:val="true"/>
        </w:rPr>
        <w:footnoteReference w:id="178"/>
      </w:r>
      <w:bookmarkStart w:id="163" w:name="pg4267_21806"/>
    </w:p>
    <w:p>
      <w:pPr>
        <w:pStyle w:val="BookText"/>
        <w:rPr/>
      </w:pPr>
      <w:bookmarkEnd w:id="16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فاقدِ قصد قربت نیز در عقود داخل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شامل می‌شود</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وقف از کافر؛ چرا که از کافر، قصد قربت تحقّق نمی‌یابد</w:t>
      </w:r>
      <w:r>
        <w:rPr>
          <w:rStyle w:val="FootnoteAnchor"/>
          <w:rtl w:val="true"/>
        </w:rPr>
        <w:footnoteReference w:id="180"/>
      </w:r>
      <w:r>
        <w:rPr>
          <w:rFonts w:ascii="IRNazanin" w:hAnsi="IRNazanin" w:eastAsia="IRNazanin"/>
          <w:color w:val="111111"/>
          <w:sz w:val="28"/>
          <w:sz w:val="28"/>
          <w:szCs w:val="28"/>
          <w:rtl w:val="true"/>
          <w:lang w:bidi="fa-IR"/>
        </w:rPr>
        <w:t>و اطلاق صدقه</w:t>
      </w:r>
    </w:p>
    <w:p>
      <w:pPr>
        <w:pStyle w:val="BookText"/>
        <w:rPr/>
      </w:pPr>
      <w:r>
        <w:rPr>
          <w:rFonts w:ascii="IRNazanin" w:hAnsi="IRNazanin" w:eastAsia="IRNazanin"/>
          <w:color w:val="111111"/>
          <w:sz w:val="28"/>
          <w:sz w:val="28"/>
          <w:szCs w:val="28"/>
          <w:rtl w:val="true"/>
          <w:lang w:bidi="fa-IR"/>
        </w:rPr>
        <w:t>در بعضی از نصوص بر وقف هم مقتضیِ اعتبار قصد قربت در آن نیست؛ زیرا این اطلاق، اقتضا ندارد که وقف به طور کلی صدقه باشد، نهایت آن این است که بعضی از اوقاف، صدقه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64" w:name="__RefHeading___Toc473993_1479056682"/>
      <w:bookmarkStart w:id="165" w:name="_Toc59"/>
      <w:bookmarkEnd w:id="164"/>
      <w:r>
        <w:rPr>
          <w:rtl w:val="true"/>
        </w:rPr>
        <w:t>دلایل کسانی که قربت را معتبر می‌دانند</w:t>
      </w:r>
      <w:bookmarkEnd w:id="1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یکی از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و به تعبیر شیخ در نهایه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در صدقه قصد قربت معتبر است لذا باید در وقف هم معتبر باشد</w:t>
      </w:r>
      <w:r>
        <w:rPr>
          <w:rFonts w:eastAsia="IRNazanin" w:cs="IRNazanin"/>
          <w:color w:val="111111"/>
          <w:sz w:val="28"/>
          <w:szCs w:val="28"/>
          <w:rtl w:val="true"/>
          <w:lang w:bidi="fa-IR"/>
        </w:rPr>
        <w:t>.</w:t>
      </w:r>
      <w:r>
        <w:rPr>
          <w:rStyle w:val="FootnoteAnchor"/>
          <w:rtl w:val="true"/>
        </w:rPr>
        <w:footnoteReference w:id="181"/>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 وقف و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در صدر اسلام به طور کلّی کاربُرد واژه وقف جدّا اندک و شاید معدوم بوده است و قرینه مورد نیاز هم قرینه مُعَیِّنه است نه قرینه مجاز</w:t>
      </w:r>
      <w:r>
        <w:rPr>
          <w:rFonts w:eastAsia="IRNazanin" w:cs="IRNazanin"/>
          <w:color w:val="111111"/>
          <w:sz w:val="28"/>
          <w:szCs w:val="28"/>
          <w:rtl w:val="true"/>
          <w:lang w:bidi="fa-IR"/>
        </w:rPr>
        <w:t>.</w:t>
      </w:r>
      <w:r>
        <w:rPr>
          <w:rStyle w:val="FootnoteAnchor"/>
          <w:rtl w:val="true"/>
        </w:rPr>
        <w:footnoteReference w:id="1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در غنیه ، سرائر</w:t>
      </w:r>
      <w:r>
        <w:rPr>
          <w:rStyle w:val="FootnoteAnchor"/>
          <w:rtl w:val="true"/>
        </w:rPr>
        <w:footnoteReference w:id="183"/>
      </w:r>
      <w:r>
        <w:rPr>
          <w:rFonts w:ascii="IRNazanin" w:hAnsi="IRNazanin" w:eastAsia="IRNazanin"/>
          <w:color w:val="111111"/>
          <w:sz w:val="28"/>
          <w:sz w:val="28"/>
          <w:szCs w:val="28"/>
          <w:rtl w:val="true"/>
          <w:lang w:bidi="fa-IR"/>
        </w:rPr>
        <w:t>و ریاض</w:t>
      </w:r>
      <w:r>
        <w:rPr>
          <w:rStyle w:val="FootnoteAnchor"/>
          <w:rtl w:val="true"/>
        </w:rPr>
        <w:footnoteReference w:id="184"/>
      </w:r>
      <w:r>
        <w:rPr>
          <w:rFonts w:ascii="IRNazanin" w:hAnsi="IRNazanin" w:eastAsia="IRNazanin"/>
          <w:color w:val="111111"/>
          <w:sz w:val="28"/>
          <w:sz w:val="28"/>
          <w:szCs w:val="28"/>
          <w:rtl w:val="true"/>
          <w:lang w:bidi="fa-IR"/>
        </w:rPr>
        <w:t>ادّعا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نقل و انتقال با آن مخالف اصل است و در این مورد به قدر مُتَیقَّن که همان وقف با همه شرایط و قیود، از جمله قصد قربت است اکتفا می‌شود</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اخبار و روایاتی که در آنها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اُریدَ بِهِ وَجْهُ اللّه‌ِ</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p>
    <w:p>
      <w:pPr>
        <w:pStyle w:val="BookText"/>
        <w:rPr/>
      </w:pPr>
      <w:r>
        <w:rPr>
          <w:rFonts w:ascii="IRNazanin" w:hAnsi="IRNazanin" w:eastAsia="IRNazanin"/>
          <w:color w:val="111111"/>
          <w:sz w:val="28"/>
          <w:sz w:val="28"/>
          <w:szCs w:val="28"/>
          <w:rtl w:val="true"/>
          <w:lang w:bidi="fa-IR"/>
        </w:rPr>
        <w:t>صدقه‌ای جز با قصد قربت صحیح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نفیِ صحّت است نه نفی کمال</w:t>
      </w:r>
      <w:r>
        <w:rPr>
          <w:rFonts w:eastAsia="IRNazanin" w:cs="IRNazanin"/>
          <w:color w:val="111111"/>
          <w:sz w:val="28"/>
          <w:szCs w:val="28"/>
          <w:rtl w:val="true"/>
          <w:lang w:bidi="fa-IR"/>
        </w:rPr>
        <w:t>.</w:t>
      </w:r>
      <w:r>
        <w:rPr>
          <w:rStyle w:val="FootnoteAnchor"/>
          <w:rtl w:val="true"/>
        </w:rPr>
        <w:footnoteReference w:id="187"/>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مؤیّد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آنچه در وقف‌های ائمه علیهم‌السلام به دست </w:t>
      </w:r>
      <w:bookmarkStart w:id="166" w:name="pg4267_21807"/>
    </w:p>
    <w:p>
      <w:pPr>
        <w:pStyle w:val="BookText"/>
        <w:rPr/>
      </w:pPr>
      <w:bookmarkEnd w:id="166"/>
      <w:r>
        <w:rPr>
          <w:rFonts w:ascii="IRNazanin" w:hAnsi="IRNazanin" w:eastAsia="IRNazanin"/>
          <w:color w:val="111111"/>
          <w:sz w:val="28"/>
          <w:sz w:val="28"/>
          <w:szCs w:val="28"/>
          <w:rtl w:val="true"/>
          <w:lang w:bidi="fa-IR"/>
        </w:rPr>
        <w:t xml:space="preserve">ما رسیده به قصد قربت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وَجْه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همه آن بزرگواران</w:t>
      </w:r>
    </w:p>
    <w:p>
      <w:pPr>
        <w:pStyle w:val="BookText"/>
        <w:rPr/>
      </w:pPr>
      <w:r>
        <w:rPr>
          <w:rFonts w:ascii="IRNazanin" w:hAnsi="IRNazanin" w:eastAsia="IRNazanin"/>
          <w:color w:val="111111"/>
          <w:sz w:val="28"/>
          <w:sz w:val="28"/>
          <w:szCs w:val="28"/>
          <w:rtl w:val="true"/>
          <w:lang w:bidi="fa-IR"/>
        </w:rPr>
        <w:t>تصریح کرده‌اند که این کار را به قصد تقرّب الی اللّه انجام می‌دهند</w:t>
      </w:r>
      <w:r>
        <w:rPr>
          <w:rFonts w:eastAsia="IRNazanin" w:cs="IRNazanin"/>
          <w:color w:val="111111"/>
          <w:sz w:val="28"/>
          <w:szCs w:val="28"/>
          <w:rtl w:val="true"/>
          <w:lang w:bidi="fa-IR"/>
        </w:rPr>
        <w:t>.</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با دقّت و تأمّل در ادلّه طرفین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آنان که قصد قربت را معتبر می‌دانند، می‌چربد؛ زیرا دلیل اوّلِ نافین که اصل عدم بود با ادلّه‌ای که مُثبِتین ذکر کردند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دوم آنها نیز که اطلاقات و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 ادلّه مثبتین تخصیص و تقیید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خطا باتی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در مورد عقودی است که به طور صحیح و با همه شرایط لازم صورت گرفته‌اند، درباره مورد بحث ما چنین امری 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سوم آنها که صحّت وقف از کافر باشد، پاسخش این است که ظاهرا اعتبار قصد قربت با وقف از کافر و وقف بر کافر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کافر که روشن است،</w:t>
      </w:r>
    </w:p>
    <w:p>
      <w:pPr>
        <w:pStyle w:val="BookText"/>
        <w:rPr/>
      </w:pPr>
      <w:r>
        <w:rPr>
          <w:rFonts w:ascii="IRNazanin" w:hAnsi="IRNazanin" w:eastAsia="IRNazanin"/>
          <w:color w:val="111111"/>
          <w:sz w:val="28"/>
          <w:sz w:val="28"/>
          <w:szCs w:val="28"/>
          <w:rtl w:val="true"/>
          <w:lang w:bidi="fa-IR"/>
        </w:rPr>
        <w:t>در وقف از کافر نیز ممکن است بگوییم، در جای خودش اثبات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به معنای انجام عملی به قصد محبوبیّت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قصد امتثال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صدور چنین نیتی از کافر هم غیرممکن نیست، بلکه ظاهرا آنچه از اوقاف که غیر مسلمانان انجام داده‌اند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 xml:space="preserve">از وقف نامه‌هاشان پیداست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این امر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ریا و تَظاهُر هم در</w:t>
      </w:r>
    </w:p>
    <w:p>
      <w:pPr>
        <w:pStyle w:val="BookText"/>
        <w:rPr/>
      </w:pPr>
      <w:r>
        <w:rPr>
          <w:rFonts w:ascii="IRNazanin" w:hAnsi="IRNazanin" w:eastAsia="IRNazanin"/>
          <w:color w:val="111111"/>
          <w:sz w:val="28"/>
          <w:sz w:val="28"/>
          <w:szCs w:val="28"/>
          <w:rtl w:val="true"/>
          <w:lang w:bidi="fa-IR"/>
        </w:rPr>
        <w:t>مسلمین شیوع دارد</w:t>
      </w:r>
      <w:r>
        <w:rPr>
          <w:rFonts w:eastAsia="IRNazanin" w:cs="IRNazanin"/>
          <w:color w:val="111111"/>
          <w:sz w:val="28"/>
          <w:szCs w:val="28"/>
          <w:rtl w:val="true"/>
          <w:lang w:bidi="fa-IR"/>
        </w:rPr>
        <w:t>.</w:t>
      </w:r>
    </w:p>
    <w:p>
      <w:pPr>
        <w:pStyle w:val="Heading5"/>
        <w:numPr>
          <w:ilvl w:val="4"/>
          <w:numId w:val="1"/>
        </w:numPr>
        <w:rPr/>
      </w:pPr>
      <w:bookmarkStart w:id="167" w:name="__RefHeading___Toc473995_1479056682"/>
      <w:bookmarkStart w:id="168" w:name="_Toc60"/>
      <w:bookmarkEnd w:id="167"/>
      <w:r>
        <w:rPr>
          <w:rtl w:val="true"/>
        </w:rPr>
        <w:t>دیدگاه دیگر مذاهب</w:t>
      </w:r>
      <w:bookmarkEnd w:id="168"/>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حنفیّه، وقف بر اغنیا را به این دلیل صحیح نمی‌دانند که در وقف قصد قربت شرط است و در وقف بر اغنیا قصد قربت نیست</w:t>
      </w:r>
      <w:r>
        <w:rPr>
          <w:rFonts w:eastAsia="IRNazanin" w:cs="IRNazanin"/>
          <w:color w:val="111111"/>
          <w:sz w:val="28"/>
          <w:szCs w:val="28"/>
          <w:rtl w:val="true"/>
          <w:lang w:bidi="fa-IR"/>
        </w:rPr>
        <w:t>.</w:t>
      </w:r>
      <w:r>
        <w:rPr>
          <w:rStyle w:val="FootnoteAnchor"/>
          <w:rtl w:val="true"/>
        </w:rPr>
        <w:footnoteReference w:id="19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که وقف بر اغنیا همیشه خالی از قصد قربت نیست و این به نیّات و انگیزه‌ها بستگی دارد، چه بسا وقف بر اغنیا که با انگیزه الهی و قصد قربت باشد و وقف بر فقرا که از روی تظاهر و ریا صورت 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مالک در جهت وقف، قربت را معتبر نمی‌داند و معتقد است که باید معصیت نباشد، یعنی مثل وقف بر خرید اسلحه در جنگ محرّم و مانند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معصیت نبود صحیح است، چه دارای قصد قربت باشد 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بر اغنیا نیز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شافعی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معصیت بودن به اعتقاد واقف باز می‌گردد، لذا وی وقف مسیحی بر کَنیسه را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در بعضی از اقوال منسوب به مالکیّه،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اعلام شده است</w:t>
      </w:r>
      <w:r>
        <w:rPr>
          <w:rFonts w:eastAsia="IRNazanin" w:cs="IRNazanin"/>
          <w:color w:val="111111"/>
          <w:sz w:val="28"/>
          <w:szCs w:val="28"/>
          <w:rtl w:val="true"/>
          <w:lang w:bidi="fa-IR"/>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خود مالک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بدون اراده ثواب، عطیّه‌ای را به کسی اعطا کند و شخص مُعْطی بمیرد این مال به ورثه او می‌رسد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شافعیّه ابتدائا در وقف، قربت را شرط نمی‌دانند و همین قدر معتبر می‌دانند که معصیت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زید برای قتل نفسی که محترم است و نیز بر کافر حربی، چون معصیت و اعانه بر ظلم است، حرام و باطل است؛ امّا اگر معصیت نباشد، چه قصد قربت در آن باشد مثل فقرا، مساجد، مدارس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نباشد، مثل وقف بر اغنیا، وقف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معصیت بودن و نبودن هم به اعتبار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شافعی وقف یهودی را بر مسجد جایز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کار در نظر اسلام، قربت است، امّا وقف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خودشان یا وقف مسیحی را بر کنیسه جایز نمی‌داند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xml:space="preserve">در مغنی‌المحتاج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مضمون تصریح شده است، یعنی همان اشتراط انتفای معصیت نه وجود قصد قربت</w:t>
      </w:r>
      <w:r>
        <w:rPr>
          <w:rFonts w:eastAsia="IRNazanin" w:cs="IRNazanin"/>
          <w:color w:val="111111"/>
          <w:sz w:val="28"/>
          <w:szCs w:val="28"/>
          <w:rtl w:val="true"/>
          <w:lang w:bidi="fa-IR"/>
        </w:rPr>
        <w:t>.</w:t>
      </w:r>
      <w:r>
        <w:rPr>
          <w:rStyle w:val="FootnoteAnchor"/>
          <w:rtl w:val="true"/>
        </w:rPr>
        <w:footnoteReference w:id="194"/>
      </w:r>
      <w:bookmarkStart w:id="169" w:name="pg4267_21809"/>
    </w:p>
    <w:p>
      <w:pPr>
        <w:pStyle w:val="BookText"/>
        <w:rPr/>
      </w:pPr>
      <w:bookmarkEnd w:id="169"/>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حنابله وقف را بر امور مکروه و مباح، چون تعلیم شعر و تعلیم منطق، به این دلیل که قصد قربت در آنها نیست، صحیح نمی‌دانند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 xml:space="preserve">در شرح کبیر بر مقنع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جز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فرزند، اقارب، مساجد، پُلها، کتب فقه و دانش، قرآن، مقابر، فی سبیل اللّه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بر اهل ذمّه نیز اشکالی ندارد، زیرا دارای ملکیّت محترم هستند و صدقه بر آنان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حنابله معتقدند وقف باید، مآلاً متمحّض در جهت بِرّ و قربت باشد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تنها دلیلی که نگارنده برای قایلان به اعتبار قصد قربت به آن دست یافته است همان صدقه بودن وقف است</w:t>
      </w:r>
      <w:r>
        <w:rPr>
          <w:rFonts w:eastAsia="IRNazanin" w:cs="IRNazanin"/>
          <w:color w:val="111111"/>
          <w:sz w:val="28"/>
          <w:szCs w:val="28"/>
          <w:rtl w:val="true"/>
          <w:lang w:bidi="fa-IR"/>
        </w:rPr>
        <w:t>.</w:t>
      </w:r>
      <w:r>
        <w:rPr>
          <w:rStyle w:val="FootnoteAnchor"/>
          <w:rtl w:val="true"/>
        </w:rPr>
        <w:footnoteReference w:id="197"/>
      </w:r>
    </w:p>
    <w:p>
      <w:pPr>
        <w:pStyle w:val="Heading4"/>
        <w:numPr>
          <w:ilvl w:val="3"/>
          <w:numId w:val="1"/>
        </w:numPr>
        <w:rPr/>
      </w:pPr>
      <w:bookmarkStart w:id="170" w:name="__RefHeading___Toc473997_1479056682"/>
      <w:bookmarkStart w:id="171" w:name="_Toc61"/>
      <w:bookmarkEnd w:id="170"/>
      <w:r>
        <w:rPr>
          <w:rtl w:val="true"/>
        </w:rPr>
        <w:t>شرط دوم</w:t>
      </w:r>
      <w:r>
        <w:rPr>
          <w:rtl w:val="true"/>
        </w:rPr>
        <w:t xml:space="preserve">: </w:t>
      </w:r>
      <w:r>
        <w:rPr>
          <w:rtl w:val="true"/>
        </w:rPr>
        <w:t>صیغه</w:t>
      </w:r>
      <w:bookmarkEnd w:id="171"/>
    </w:p>
    <w:p>
      <w:pPr>
        <w:pStyle w:val="Heading5"/>
        <w:numPr>
          <w:ilvl w:val="4"/>
          <w:numId w:val="1"/>
        </w:numPr>
        <w:rPr/>
      </w:pPr>
      <w:bookmarkStart w:id="172" w:name="__RefHeading___Toc473999_1479056682"/>
      <w:bookmarkStart w:id="173" w:name="_Toc62"/>
      <w:bookmarkEnd w:id="172"/>
      <w:r>
        <w:rPr>
          <w:rtl w:val="true"/>
        </w:rPr>
        <w:t>معنای لغوی و اصطلاحی صیغه</w:t>
      </w:r>
      <w:bookmarkEnd w:id="173"/>
    </w:p>
    <w:p>
      <w:pPr>
        <w:pStyle w:val="BookText"/>
        <w:rPr/>
      </w:pPr>
      <w:r>
        <w:rPr>
          <w:rFonts w:ascii="IRNazanin" w:hAnsi="IRNazanin" w:eastAsia="IRNazanin"/>
          <w:color w:val="111111"/>
          <w:sz w:val="28"/>
          <w:sz w:val="28"/>
          <w:szCs w:val="28"/>
          <w:rtl w:val="true"/>
          <w:lang w:bidi="fa-IR"/>
        </w:rPr>
        <w:t>صیغه در لغت به معنای خلقت و هیأت و شکل آمده است</w:t>
      </w:r>
      <w:r>
        <w:rPr>
          <w:rFonts w:eastAsia="IRNazanin" w:cs="IRNazanin"/>
          <w:color w:val="111111"/>
          <w:sz w:val="28"/>
          <w:szCs w:val="28"/>
          <w:rtl w:val="true"/>
          <w:lang w:bidi="fa-IR"/>
        </w:rPr>
        <w:t>.</w:t>
      </w:r>
      <w:r>
        <w:rPr>
          <w:rStyle w:val="FootnoteAnchor"/>
          <w:rtl w:val="true"/>
        </w:rPr>
        <w:footnoteReference w:id="198"/>
      </w:r>
      <w:r>
        <w:rPr>
          <w:rFonts w:ascii="IRNazanin" w:hAnsi="IRNazanin" w:eastAsia="IRNazanin"/>
          <w:color w:val="111111"/>
          <w:sz w:val="28"/>
          <w:sz w:val="28"/>
          <w:szCs w:val="28"/>
          <w:rtl w:val="true"/>
          <w:lang w:bidi="fa-IR"/>
        </w:rPr>
        <w:t>معنای آن در اصطلاح، الفاظ و عباراتی است که روشنگر اراده متکلّم و نوع تعرّف او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صیغه</w:t>
      </w:r>
    </w:p>
    <w:p>
      <w:pPr>
        <w:pStyle w:val="BookText"/>
        <w:rPr/>
      </w:pPr>
      <w:r>
        <w:rPr>
          <w:rFonts w:ascii="IRNazanin" w:hAnsi="IRNazanin" w:eastAsia="IRNazanin"/>
          <w:color w:val="111111"/>
          <w:sz w:val="28"/>
          <w:sz w:val="28"/>
          <w:szCs w:val="28"/>
          <w:rtl w:val="true"/>
          <w:lang w:bidi="fa-IR"/>
        </w:rPr>
        <w:t>وقف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واقف با آن از اراده خویش در وقف پرده برمی‌دارد</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در مبحث صیغه</w:t>
      </w:r>
    </w:p>
    <w:p>
      <w:pPr>
        <w:pStyle w:val="BookText"/>
        <w:rPr/>
      </w:pPr>
      <w:r>
        <w:rPr>
          <w:rFonts w:ascii="IRNazanin" w:hAnsi="IRNazanin" w:eastAsia="IRNazanin"/>
          <w:color w:val="111111"/>
          <w:sz w:val="28"/>
          <w:sz w:val="28"/>
          <w:szCs w:val="28"/>
          <w:rtl w:val="true"/>
          <w:lang w:bidi="fa-IR"/>
        </w:rPr>
        <w:t>مباحثی مورد بررسی قرار می‌گیرد</w:t>
      </w:r>
      <w:r>
        <w:rPr>
          <w:rFonts w:eastAsia="IRNazanin" w:cs="IRNazanin"/>
          <w:color w:val="111111"/>
          <w:sz w:val="28"/>
          <w:szCs w:val="28"/>
          <w:rtl w:val="true"/>
          <w:lang w:bidi="fa-IR"/>
        </w:rPr>
        <w:t>:</w:t>
      </w:r>
    </w:p>
    <w:p>
      <w:pPr>
        <w:pStyle w:val="Heading5"/>
        <w:numPr>
          <w:ilvl w:val="4"/>
          <w:numId w:val="1"/>
        </w:numPr>
        <w:rPr/>
      </w:pPr>
      <w:bookmarkStart w:id="174" w:name="__RefHeading___Toc474001_1479056682"/>
      <w:bookmarkStart w:id="175" w:name="_Toc63"/>
      <w:bookmarkEnd w:id="174"/>
      <w:r>
        <w:rPr/>
        <w:t>1</w:t>
      </w:r>
      <w:r>
        <w:rPr>
          <w:rtl w:val="true"/>
        </w:rPr>
        <w:t xml:space="preserve">- </w:t>
      </w:r>
      <w:r>
        <w:rPr>
          <w:rtl w:val="true"/>
        </w:rPr>
        <w:t>مُعاطات در وقف</w:t>
      </w:r>
      <w:bookmarkEnd w:id="175"/>
    </w:p>
    <w:p>
      <w:pPr>
        <w:pStyle w:val="Heading6"/>
        <w:numPr>
          <w:ilvl w:val="5"/>
          <w:numId w:val="1"/>
        </w:numPr>
        <w:rPr/>
      </w:pPr>
      <w:bookmarkStart w:id="176" w:name="__RefHeading___Toc474003_1479056682"/>
      <w:bookmarkStart w:id="177" w:name="_Toc64"/>
      <w:bookmarkEnd w:id="176"/>
      <w:r>
        <w:rPr>
          <w:rtl w:val="true"/>
        </w:rPr>
        <w:t>دیدگاه امامیّه</w:t>
      </w:r>
      <w:bookmarkEnd w:id="17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مبحث این است که آیا در وقف معاطات کافی است و یا حتما به صیغه لفظی </w:t>
      </w:r>
    </w:p>
    <w:p>
      <w:pPr>
        <w:pStyle w:val="BookText"/>
        <w:rPr/>
      </w:pPr>
      <w:r>
        <w:rPr>
          <w:rFonts w:ascii="IRNazanin" w:hAnsi="IRNazanin" w:eastAsia="IRNazanin"/>
          <w:color w:val="111111"/>
          <w:sz w:val="28"/>
          <w:sz w:val="28"/>
          <w:szCs w:val="28"/>
          <w:rtl w:val="true"/>
          <w:lang w:bidi="fa-IR"/>
        </w:rPr>
        <w:t>نیاز دارد؟</w:t>
      </w:r>
    </w:p>
    <w:p>
      <w:pPr>
        <w:pStyle w:val="BookText"/>
        <w:rPr/>
      </w:pPr>
      <w:r>
        <w:rPr>
          <w:rFonts w:ascii="IRNazanin" w:hAnsi="IRNazanin" w:eastAsia="IRNazanin"/>
          <w:color w:val="111111"/>
          <w:sz w:val="28"/>
          <w:sz w:val="28"/>
          <w:szCs w:val="28"/>
          <w:rtl w:val="true"/>
          <w:lang w:bidi="fa-IR"/>
        </w:rPr>
        <w:t>از عبارت شیخ در خلاف و مبسوط استفاده می‌شود که معاطات در وقف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مسجدی را بنا کند و به گروهی اجازه نماز در آن بدهد، یا حجره‌ای بسازد و اجازه دفن دهد و در آن نماز بگزارند و میّت دفن کنند، ملکیتِ مالک زایل نمی‌شود تا آن که این خواست خود را با لفظ روشن سازد؛ زیرا اصل، بقای ملکیّت مالک است و زوال آن به دلیل نیاز دارد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ابن‌ادریس‌نیز تقریبا عین‌همین‌بیان‌ودلیل‌رادرکتاب‌خودآورده‌است</w:t>
      </w:r>
      <w:r>
        <w:rPr>
          <w:rFonts w:eastAsia="IRNazanin" w:cs="IRNazanin"/>
          <w:color w:val="111111"/>
          <w:sz w:val="28"/>
          <w:szCs w:val="28"/>
          <w:rtl w:val="true"/>
          <w:lang w:bidi="fa-IR"/>
        </w:rPr>
        <w:t>.</w:t>
      </w:r>
      <w:r>
        <w:rPr>
          <w:rStyle w:val="FootnoteAnchor"/>
          <w:rtl w:val="true"/>
        </w:rPr>
        <w:footnoteReference w:id="201"/>
      </w:r>
      <w:r>
        <w:rPr>
          <w:rFonts w:ascii="IRNazanin" w:hAnsi="IRNazanin" w:eastAsia="IRNazanin"/>
          <w:color w:val="111111"/>
          <w:sz w:val="28"/>
          <w:sz w:val="28"/>
          <w:szCs w:val="28"/>
          <w:rtl w:val="true"/>
          <w:lang w:bidi="fa-IR"/>
        </w:rPr>
        <w:t>علاّمه درقواعد نیز انجام نماز را با اذن بانی در وقف مسجد کافی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توجیه عبارت علاّمه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فعل محقّق نمی‌شود، هرچند محفوف به قراین باشد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دیدگاه فاضل مقداد؛</w:t>
      </w:r>
      <w:r>
        <w:rPr>
          <w:rStyle w:val="FootnoteAnchor"/>
          <w:rtl w:val="true"/>
        </w:rPr>
        <w:footnoteReference w:id="203"/>
      </w:r>
      <w:r>
        <w:rPr>
          <w:rFonts w:ascii="Amiri" w:hAnsi="Amiri" w:eastAsia="Amiri" w:cs="Amiri"/>
          <w:color w:val="111111"/>
          <w:sz w:val="28"/>
          <w:sz w:val="28"/>
          <w:szCs w:val="28"/>
          <w:rtl w:val="true"/>
          <w:lang w:bidi="ar-SA"/>
        </w:rPr>
        <w:t>محقّق حلّی در شرایع</w:t>
      </w:r>
      <w:r>
        <w:rPr>
          <w:rStyle w:val="FootnoteAnchor"/>
          <w:rtl w:val="true"/>
        </w:rPr>
        <w:footnoteReference w:id="204"/>
      </w:r>
      <w:r>
        <w:rPr>
          <w:rFonts w:ascii="IRNazanin" w:hAnsi="IRNazanin" w:eastAsia="IRNazanin"/>
          <w:color w:val="111111"/>
          <w:sz w:val="28"/>
          <w:sz w:val="28"/>
          <w:szCs w:val="28"/>
          <w:rtl w:val="true"/>
          <w:lang w:bidi="fa-IR"/>
        </w:rPr>
        <w:t>علاّمه در تذکره؛</w:t>
      </w:r>
      <w:r>
        <w:rPr>
          <w:rStyle w:val="FootnoteAnchor"/>
          <w:rtl w:val="true"/>
        </w:rPr>
        <w:footnoteReference w:id="205"/>
      </w:r>
      <w:r>
        <w:rPr>
          <w:rFonts w:ascii="IRNazanin" w:hAnsi="IRNazanin" w:eastAsia="IRNazanin"/>
          <w:color w:val="111111"/>
          <w:sz w:val="28"/>
          <w:sz w:val="28"/>
          <w:szCs w:val="28"/>
          <w:rtl w:val="true"/>
          <w:lang w:bidi="fa-IR"/>
        </w:rPr>
        <w:t>تحریر؛</w:t>
      </w:r>
      <w:r>
        <w:rPr>
          <w:rStyle w:val="FootnoteAnchor"/>
          <w:rtl w:val="true"/>
        </w:rPr>
        <w:footnoteReference w:id="206"/>
      </w:r>
      <w:r>
        <w:rPr>
          <w:rFonts w:ascii="IRNazanin" w:hAnsi="IRNazanin" w:eastAsia="IRNazanin"/>
          <w:color w:val="111111"/>
          <w:sz w:val="28"/>
          <w:sz w:val="28"/>
          <w:szCs w:val="28"/>
          <w:rtl w:val="true"/>
          <w:lang w:bidi="fa-IR"/>
        </w:rPr>
        <w:t>و ارشاد</w:t>
      </w:r>
      <w:r>
        <w:rPr>
          <w:rStyle w:val="FootnoteAnchor"/>
          <w:rtl w:val="true"/>
        </w:rPr>
        <w:footnoteReference w:id="207"/>
      </w:r>
      <w:r>
        <w:rPr>
          <w:rFonts w:ascii="IRNazanin" w:hAnsi="IRNazanin" w:eastAsia="IRNazanin"/>
          <w:color w:val="111111"/>
          <w:sz w:val="28"/>
          <w:sz w:val="28"/>
          <w:szCs w:val="28"/>
          <w:rtl w:val="true"/>
          <w:lang w:bidi="fa-IR"/>
        </w:rPr>
        <w:t>و شهید ثانی در مسالک نیز، عدم اکتفا به فعل به جای صیغه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این امر را موضع وفاق فقهای امامیّه می‌داند</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در برابر این اعلام، از عبارات بعضی از فقها استفاده می‌شود که در مسجد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احیانا در غیر مسجد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از صیغه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 این مطلب را از کتاب صلاة مبسوط و نیز از دروس و مجمع‌البرهان حکایت کرده است؛ و استناد این بزرگان به این امر است که مُعْظم مساجد در اسلام به همین صورت بوده است؛ امّا مؤلّف، خود، این انظار را نمی‌پذیرد و در نهایت صیغه را شرط می‌داند</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صاحب جواهر نیز ضمن استفاده اکتفا به فعل از ذِکری، خود به آن تن در نمی‌دهد و وقف را مانند نکاح می‌داند که معاطات بردار نیست</w:t>
      </w:r>
      <w:r>
        <w:rPr>
          <w:rFonts w:eastAsia="IRNazanin" w:cs="IRNazanin"/>
          <w:color w:val="111111"/>
          <w:sz w:val="28"/>
          <w:szCs w:val="28"/>
          <w:rtl w:val="true"/>
          <w:lang w:bidi="fa-IR"/>
        </w:rPr>
        <w:t>.</w:t>
      </w:r>
      <w:r>
        <w:rPr>
          <w:rStyle w:val="FootnoteAnchor"/>
          <w:rtl w:val="true"/>
        </w:rPr>
        <w:footnoteReference w:id="21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فقهای متأخّر و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امام خمینی،</w:t>
      </w:r>
      <w:r>
        <w:rPr>
          <w:rStyle w:val="FootnoteAnchor"/>
          <w:rtl w:val="true"/>
        </w:rPr>
        <w:footnoteReference w:id="211"/>
      </w:r>
      <w:r>
        <w:rPr>
          <w:rFonts w:ascii="IRNazanin" w:hAnsi="IRNazanin" w:eastAsia="IRNazanin"/>
          <w:color w:val="111111"/>
          <w:sz w:val="28"/>
          <w:sz w:val="28"/>
          <w:szCs w:val="28"/>
          <w:rtl w:val="true"/>
          <w:lang w:bidi="fa-IR"/>
        </w:rPr>
        <w:t>سیّد ابوالحسن اصفهانی</w:t>
      </w:r>
      <w:r>
        <w:rPr>
          <w:rStyle w:val="FootnoteAnchor"/>
          <w:rtl w:val="true"/>
        </w:rPr>
        <w:footnoteReference w:id="212"/>
      </w:r>
      <w:bookmarkStart w:id="178" w:name="pg4267_21811"/>
    </w:p>
    <w:p>
      <w:pPr>
        <w:pStyle w:val="BookText"/>
        <w:rPr/>
      </w:pPr>
      <w:bookmarkEnd w:id="178"/>
      <w:r>
        <w:rPr>
          <w:rFonts w:ascii="IRNazanin" w:hAnsi="IRNazanin" w:eastAsia="IRNazanin"/>
          <w:color w:val="111111"/>
          <w:sz w:val="28"/>
          <w:sz w:val="28"/>
          <w:szCs w:val="28"/>
          <w:rtl w:val="true"/>
          <w:lang w:bidi="fa-IR"/>
        </w:rPr>
        <w:t>و آیه‌اللّه حکیم در منهاج الصّالحین</w:t>
      </w:r>
      <w:r>
        <w:rPr>
          <w:rStyle w:val="FootnoteAnchor"/>
          <w:rtl w:val="true"/>
        </w:rPr>
        <w:footnoteReference w:id="213"/>
      </w:r>
      <w:r>
        <w:rPr>
          <w:rFonts w:ascii="IRNazanin" w:hAnsi="IRNazanin" w:eastAsia="IRNazanin"/>
          <w:color w:val="111111"/>
          <w:sz w:val="28"/>
          <w:sz w:val="28"/>
          <w:szCs w:val="28"/>
          <w:rtl w:val="true"/>
          <w:lang w:bidi="fa-IR"/>
        </w:rPr>
        <w:t xml:space="preserve">نظرشان این است که در وقفهایی چون مساجد، راهها، کاروانسراهای ویژه مسافران، درختانِ غَرس شده برای رهگذران و حتی در مثل فرش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خلاصه هرچه بر مصالح عامّه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معاطات کافی است و نیازی به صیغه لفظی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یکی از ادلّه این ادّعا را سیره مسلمانان بر عدم اجرای صیغه در این موارد دانسته است و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این روش و سیره از باب اباحه بوده است نه</w:t>
      </w:r>
    </w:p>
    <w:p>
      <w:pPr>
        <w:pStyle w:val="BookText"/>
        <w:rPr/>
      </w:pPr>
      <w:r>
        <w:rPr>
          <w:rFonts w:ascii="IRNazanin" w:hAnsi="IRNazanin" w:eastAsia="IRNazanin"/>
          <w:color w:val="111111"/>
          <w:sz w:val="28"/>
          <w:sz w:val="28"/>
          <w:szCs w:val="28"/>
          <w:rtl w:val="true"/>
          <w:lang w:bidi="fa-IR"/>
        </w:rPr>
        <w:t>از باب تملیک، 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لازمه این سخن این است که بعد از موت مالک، تصرّف در این اموال جایز نباشد و به ورثه وی منتقل شود</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وقف را از امور و احکام امضائیّه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تأسیسیّه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بنای عرف و عقلا بر آن جاری بوده و شارع آن را با کم و زیاد کردن شرایط و حدود و قیودی در آن، امضا کرده است، در مسأله مورد بحث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عرف و عقلا دست به معاطاتهای این چنینی می‌زنند و آن را عقد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معاطاتی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مشمول عمومات و اطلاقاتی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زیرا در این صورت تحقّقِ عنوانِ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آن با عرف است</w:t>
      </w:r>
      <w:r>
        <w:rPr>
          <w:rFonts w:eastAsia="IRNazanin" w:cs="IRNazanin"/>
          <w:color w:val="111111"/>
          <w:sz w:val="28"/>
          <w:szCs w:val="28"/>
          <w:rtl w:val="true"/>
          <w:lang w:bidi="fa-IR"/>
        </w:rPr>
        <w:t>.</w:t>
      </w:r>
    </w:p>
    <w:p>
      <w:pPr>
        <w:pStyle w:val="Heading6"/>
        <w:numPr>
          <w:ilvl w:val="5"/>
          <w:numId w:val="1"/>
        </w:numPr>
        <w:rPr/>
      </w:pPr>
      <w:bookmarkStart w:id="179" w:name="__RefHeading___Toc474005_1479056682"/>
      <w:bookmarkStart w:id="180" w:name="_Toc65"/>
      <w:bookmarkEnd w:id="179"/>
      <w:r>
        <w:rPr>
          <w:rtl w:val="true"/>
        </w:rPr>
        <w:t>دیدگاه دیگر مذاهب</w:t>
      </w:r>
      <w:bookmarkEnd w:id="180"/>
    </w:p>
    <w:p>
      <w:pPr>
        <w:pStyle w:val="BookText"/>
        <w:rPr/>
      </w:pPr>
      <w:r>
        <w:rPr>
          <w:rFonts w:ascii="Amiri" w:hAnsi="Amiri" w:eastAsia="Amiri" w:cs="Amiri"/>
          <w:color w:val="111111"/>
          <w:sz w:val="28"/>
          <w:sz w:val="28"/>
          <w:szCs w:val="28"/>
          <w:rtl w:val="true"/>
          <w:lang w:bidi="ar-SA"/>
        </w:rPr>
        <w:t>حنفیّه و مالکیّه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 و مالکیّه مجرّد فعل را در تحقّق وقف کافی می‌دانند و صیغه لفظی را معتبر نمی‌دانند</w:t>
      </w:r>
      <w:r>
        <w:rPr>
          <w:rFonts w:eastAsia="IRNazanin" w:cs="IRNazanin"/>
          <w:color w:val="111111"/>
          <w:sz w:val="28"/>
          <w:szCs w:val="28"/>
          <w:rtl w:val="true"/>
          <w:lang w:bidi="fa-IR"/>
        </w:rPr>
        <w:t>.</w:t>
      </w:r>
      <w:r>
        <w:rPr>
          <w:rStyle w:val="FootnoteAnchor"/>
          <w:rtl w:val="true"/>
        </w:rPr>
        <w:footnoteReference w:id="215"/>
      </w:r>
      <w:r>
        <w:rPr>
          <w:rFonts w:ascii="IRNazanin" w:hAnsi="IRNazanin" w:eastAsia="IRNazanin"/>
          <w:color w:val="111111"/>
          <w:sz w:val="28"/>
          <w:sz w:val="28"/>
          <w:szCs w:val="28"/>
          <w:rtl w:val="true"/>
          <w:lang w:bidi="fa-IR"/>
        </w:rPr>
        <w:t>ابن قُدامه برای این ادّعا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و سیره عرف بر این امر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وقف با فعل همانند قول تحقّق می‌یابد و این مورد جاری مجرای این است که کسی طعامی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حرفی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میهمان خود قرار دهد یا ظرف آبی را برای آشامیدن رهگذران بر سر راه آنان قرار دهد و یا در عروسی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اموالی را نثار کند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بیع، معاطات را کافی دانستیم</w:t>
      </w:r>
      <w:r>
        <w:rPr>
          <w:rFonts w:eastAsia="IRNazanin" w:cs="IRNazanin"/>
          <w:color w:val="111111"/>
          <w:sz w:val="28"/>
          <w:szCs w:val="28"/>
          <w:rtl w:val="true"/>
          <w:lang w:bidi="fa-IR"/>
        </w:rPr>
        <w:t>.</w:t>
      </w:r>
      <w:r>
        <w:rPr>
          <w:rStyle w:val="FootnoteAnchor"/>
          <w:rtl w:val="true"/>
        </w:rPr>
        <w:footnoteReference w:id="216"/>
      </w:r>
      <w:bookmarkStart w:id="181" w:name="pg4267_21812"/>
    </w:p>
    <w:p>
      <w:pPr>
        <w:pStyle w:val="BookText"/>
        <w:rPr/>
      </w:pPr>
      <w:bookmarkEnd w:id="181"/>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شافعی در وقف معاطات را کافی نمی‌داند و معتقد است بدون اجرای صیغه لفظی ملکیّتِ مالک زایل نمی‌شود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امّا از مغنی‌المحتاج حکایت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شافعیّه افعالی چون بنای مسجد به نیّت مسجد کافی است</w:t>
      </w:r>
      <w:r>
        <w:rPr>
          <w:rFonts w:eastAsia="IRNazanin" w:cs="IRNazanin"/>
          <w:color w:val="111111"/>
          <w:sz w:val="28"/>
          <w:szCs w:val="28"/>
          <w:rtl w:val="true"/>
          <w:lang w:bidi="fa-IR"/>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ابن قُدامه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مذهب احمد، این است که وقف با فعل، به همراه قراین دلالت کننده بر آن،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بنای مسجد و اذن نماز گزاردن در آن و ساختن مقبره و اذن دفن در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مثال ذکر می‌کند</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محقّق کرَکی نیز همین دیدگاه را به احمد نسبت داده است</w:t>
      </w:r>
      <w:r>
        <w:rPr>
          <w:rFonts w:eastAsia="IRNazanin" w:cs="IRNazanin"/>
          <w:color w:val="111111"/>
          <w:sz w:val="28"/>
          <w:szCs w:val="28"/>
          <w:rtl w:val="true"/>
          <w:lang w:bidi="fa-IR"/>
        </w:rPr>
        <w:t>.</w:t>
      </w:r>
      <w:r>
        <w:rPr>
          <w:rStyle w:val="FootnoteAnchor"/>
          <w:rtl w:val="true"/>
        </w:rPr>
        <w:footnoteReference w:id="220"/>
      </w:r>
    </w:p>
    <w:p>
      <w:pPr>
        <w:pStyle w:val="Heading5"/>
        <w:numPr>
          <w:ilvl w:val="4"/>
          <w:numId w:val="1"/>
        </w:numPr>
        <w:rPr/>
      </w:pPr>
      <w:bookmarkStart w:id="182" w:name="__RefHeading___Toc474007_1479056682"/>
      <w:bookmarkStart w:id="183" w:name="_Toc66"/>
      <w:bookmarkEnd w:id="182"/>
      <w:r>
        <w:rPr/>
        <w:t>2</w:t>
      </w:r>
      <w:r>
        <w:rPr>
          <w:rtl w:val="true"/>
        </w:rPr>
        <w:t xml:space="preserve"> - </w:t>
      </w:r>
      <w:r>
        <w:rPr>
          <w:rtl w:val="true"/>
        </w:rPr>
        <w:t>وقف، عقد است یا ایقاع ؟</w:t>
      </w:r>
      <w:bookmarkEnd w:id="183"/>
    </w:p>
    <w:p>
      <w:pPr>
        <w:pStyle w:val="Heading6"/>
        <w:numPr>
          <w:ilvl w:val="5"/>
          <w:numId w:val="1"/>
        </w:numPr>
        <w:rPr/>
      </w:pPr>
      <w:bookmarkStart w:id="184" w:name="__RefHeading___Toc474009_1479056682"/>
      <w:bookmarkStart w:id="185" w:name="_Toc67"/>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از مسائل مورد اختلاف فقهای مذاهب این است که آیا وقف، عقد است یا ایقاع ؟ اگر عقد باشد به قبول نیاز دارد و اگر ایقاع باشد با همان ایجاب محقّق می‌شود</w:t>
      </w:r>
      <w:r>
        <w:rPr>
          <w:rFonts w:eastAsia="IRNazanin" w:cs="IRNazanin"/>
          <w:color w:val="111111"/>
          <w:sz w:val="28"/>
          <w:szCs w:val="28"/>
          <w:rtl w:val="true"/>
          <w:lang w:bidi="fa-IR"/>
        </w:rPr>
        <w:t>.</w:t>
      </w:r>
    </w:p>
    <w:p>
      <w:pPr>
        <w:pStyle w:val="Heading6"/>
        <w:numPr>
          <w:ilvl w:val="5"/>
          <w:numId w:val="1"/>
        </w:numPr>
        <w:rPr/>
      </w:pPr>
      <w:bookmarkStart w:id="186" w:name="__RefHeading___Toc474011_1479056682"/>
      <w:bookmarkStart w:id="187" w:name="_Toc68"/>
      <w:bookmarkEnd w:id="186"/>
      <w:r>
        <w:rPr>
          <w:rtl w:val="true"/>
        </w:rPr>
        <w:t>دیدگاه امامیه</w:t>
      </w:r>
      <w:bookmarkEnd w:id="187"/>
    </w:p>
    <w:p>
      <w:pPr>
        <w:pStyle w:val="BookText"/>
        <w:rPr/>
      </w:pPr>
      <w:r>
        <w:rPr>
          <w:rFonts w:ascii="IRNazanin" w:hAnsi="IRNazanin" w:eastAsia="IRNazanin"/>
          <w:color w:val="111111"/>
          <w:sz w:val="28"/>
          <w:sz w:val="28"/>
          <w:szCs w:val="28"/>
          <w:rtl w:val="true"/>
          <w:lang w:bidi="fa-IR"/>
        </w:rPr>
        <w:t>فقهای امامیّه در این مسأله دارای سه قول هستند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اوّل این است که وقف در وقفِ خاص، عقد است و نیاز به قبول دارد، امّا در وقفهای عام مانند وقف بر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مساجد، مقابر، کاروانسراها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این‌قول را برگزیده و فَخرالمُحَقِّقین در ذیل عبارت علاّمه که در وقفِ خاص اشتراطِ قبول را اقرب می‌داند،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بر انتقال و عدم انتقال ملک در وقف مبتنی است؛ که اگر قائل به عدم انتقال ملک شدیم، همانند اباحه، قبول شرط، نیست ولی باز احتمالِ اشتراط هست، زیرا در هر صورت </w:t>
      </w:r>
    </w:p>
    <w:p>
      <w:pPr>
        <w:pStyle w:val="BookText"/>
        <w:rPr/>
      </w:pPr>
      <w:r>
        <w:rPr>
          <w:rFonts w:ascii="IRNazanin" w:hAnsi="IRNazanin" w:eastAsia="IRNazanin"/>
          <w:color w:val="111111"/>
          <w:sz w:val="28"/>
          <w:sz w:val="28"/>
          <w:szCs w:val="28"/>
          <w:rtl w:val="true"/>
          <w:lang w:bidi="fa-IR"/>
        </w:rPr>
        <w:t>تملیک منافع که هست و اگر قایل به انتقال به خدای متعال شدیم، قبول شرط است، زیرا در هر صورت تملیکِ منفعت یا عین است و تملیک به سببِ ناقل نیازمند است</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فیض‌کاشانی،</w:t>
      </w:r>
      <w:r>
        <w:rPr>
          <w:rStyle w:val="FootnoteAnchor"/>
          <w:rtl w:val="true"/>
        </w:rPr>
        <w:footnoteReference w:id="222"/>
      </w:r>
      <w:r>
        <w:rPr>
          <w:rFonts w:ascii="Amiri" w:hAnsi="Amiri" w:eastAsia="Amiri" w:cs="Amiri"/>
          <w:color w:val="111111"/>
          <w:sz w:val="28"/>
          <w:sz w:val="28"/>
          <w:szCs w:val="28"/>
          <w:rtl w:val="true"/>
          <w:lang w:bidi="ar-SA"/>
        </w:rPr>
        <w:t>شهید اوّل،</w:t>
      </w:r>
      <w:r>
        <w:rPr>
          <w:rStyle w:val="FootnoteAnchor"/>
          <w:rtl w:val="true"/>
        </w:rPr>
        <w:footnoteReference w:id="223"/>
      </w:r>
      <w:r>
        <w:rPr>
          <w:rFonts w:ascii="IRNazanin" w:hAnsi="IRNazanin" w:eastAsia="IRNazanin"/>
          <w:color w:val="111111"/>
          <w:sz w:val="28"/>
          <w:sz w:val="28"/>
          <w:szCs w:val="28"/>
          <w:rtl w:val="true"/>
          <w:lang w:bidi="fa-IR"/>
        </w:rPr>
        <w:t>علاّمه در تذکره</w:t>
      </w:r>
      <w:r>
        <w:rPr>
          <w:rStyle w:val="FootnoteAnchor"/>
          <w:rtl w:val="true"/>
        </w:rPr>
        <w:footnoteReference w:id="224"/>
      </w:r>
      <w:r>
        <w:rPr>
          <w:rFonts w:ascii="IRNazanin" w:hAnsi="IRNazanin" w:eastAsia="IRNazanin"/>
          <w:color w:val="111111"/>
          <w:sz w:val="28"/>
          <w:sz w:val="28"/>
          <w:szCs w:val="28"/>
          <w:rtl w:val="true"/>
          <w:lang w:bidi="fa-IR"/>
        </w:rPr>
        <w:t>و شهید ثانی</w:t>
      </w:r>
      <w:r>
        <w:rPr>
          <w:rStyle w:val="FootnoteAnchor"/>
          <w:rtl w:val="true"/>
        </w:rPr>
        <w:footnoteReference w:id="225"/>
      </w:r>
      <w:r>
        <w:rPr>
          <w:rFonts w:ascii="IRNazanin" w:hAnsi="IRNazanin" w:eastAsia="IRNazanin"/>
          <w:color w:val="111111"/>
          <w:sz w:val="28"/>
          <w:sz w:val="28"/>
          <w:szCs w:val="28"/>
          <w:rtl w:val="true"/>
          <w:lang w:bidi="fa-IR"/>
        </w:rPr>
        <w:t>نیز همین نظر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مختار محقّق حلّی را نیز همین تفصیل می‌داند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از فقهای معاصر، سید ابوالحسن اصفهانی قبول در وقف خاص را احوط و آیه‌اللّه گلپایگانی در ذیل این احتیاط،</w:t>
      </w:r>
    </w:p>
    <w:p>
      <w:pPr>
        <w:pStyle w:val="BookText"/>
        <w:rPr/>
      </w:pPr>
      <w:r>
        <w:rPr>
          <w:rFonts w:ascii="IRNazanin" w:hAnsi="IRNazanin" w:eastAsia="IRNazanin"/>
          <w:color w:val="111111"/>
          <w:sz w:val="28"/>
          <w:sz w:val="28"/>
          <w:szCs w:val="28"/>
          <w:rtl w:val="true"/>
          <w:lang w:bidi="fa-IR"/>
        </w:rPr>
        <w:t>آن را اقوی می‌داند</w:t>
      </w:r>
      <w:r>
        <w:rPr>
          <w:rFonts w:eastAsia="IRNazanin" w:cs="IRNazanin"/>
          <w:color w:val="111111"/>
          <w:sz w:val="28"/>
          <w:szCs w:val="28"/>
          <w:rtl w:val="true"/>
          <w:lang w:bidi="fa-IR"/>
        </w:rPr>
        <w:t>.</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صاحب مفتاح الکرامة دلیل این تفصیل را این چنین توضیح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جهات خاص همانند فرد معیّن یا جماعت معیّن، چون عقد است و ایجاب و قبول هم در آن امکان دارد، همانند سایر عقود به قبول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وقف، بر جهات عام، وقف، فکِّ مِلک است و به خدای متعال منتقل می‌شود، لذا قبول ممکن نیست و در نتیجه شرط هم نیست، ولی ممکن است ایراد شود که ممکن است ناظر، حاکم و یا نماینده او، آن را قبول کند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قول دوم، اعتبار قبول است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محقّق ثانی از اَعلامی هستند که اعتبار قبول در وقف را مطلقا تقویت و تأیید می‌کنند، هرچند صاحب مفتاح‌الکرامه گفته است؛ قول به اشتراط به طور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اوقاف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ندارد</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دلیل این دسته این است که قبول جزئی از وقف است و اجماع داریم بر این که وقف از عقود است و عقود به قبول نیاز دارند و عقد در سببیّت وحدت دارد نه این که در وقف</w:t>
      </w:r>
    </w:p>
    <w:p>
      <w:pPr>
        <w:pStyle w:val="BookText"/>
        <w:rPr/>
      </w:pPr>
      <w:r>
        <w:rPr>
          <w:rFonts w:ascii="IRNazanin" w:hAnsi="IRNazanin" w:eastAsia="IRNazanin"/>
          <w:color w:val="111111"/>
          <w:sz w:val="28"/>
          <w:sz w:val="28"/>
          <w:szCs w:val="28"/>
          <w:rtl w:val="true"/>
          <w:lang w:bidi="fa-IR"/>
        </w:rPr>
        <w:t>معیّن، عقد و در غیر آن ایقاع باشد و ما معتقدیم که همه موارد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اوقاف</w:t>
      </w:r>
    </w:p>
    <w:p>
      <w:pPr>
        <w:pStyle w:val="BookText"/>
        <w:rPr/>
      </w:pPr>
      <w:r>
        <w:rPr>
          <w:rFonts w:ascii="IRNazanin" w:hAnsi="IRNazanin" w:eastAsia="IRNazanin"/>
          <w:color w:val="111111"/>
          <w:sz w:val="28"/>
          <w:sz w:val="28"/>
          <w:szCs w:val="28"/>
          <w:rtl w:val="true"/>
          <w:lang w:bidi="fa-IR"/>
        </w:rPr>
        <w:t>عام هم قبولِ حاکم یا منصوبِ او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اصل هم مقتضی اعتبار قبول است زیرا مقتضای اصل، عدم ترتّب اثر، قبل از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عدم اعتبار، به طور</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مطلق، در غایت سقوط است</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 xml:space="preserve">محقّق ثانی نیز با عباراتی مشابه به همین شکل استدلال </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قول سوم در مسأله، عدم اعتبار قبول به طور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این قول را ظاهر اکثر فقهای امامیّه می‌داند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صاحب حدائق،</w:t>
      </w:r>
      <w:r>
        <w:rPr>
          <w:rStyle w:val="FootnoteAnchor"/>
          <w:rtl w:val="true"/>
        </w:rPr>
        <w:footnoteReference w:id="233"/>
      </w:r>
      <w:r>
        <w:rPr>
          <w:rFonts w:ascii="IRNazanin" w:hAnsi="IRNazanin" w:eastAsia="IRNazanin"/>
          <w:color w:val="111111"/>
          <w:sz w:val="28"/>
          <w:sz w:val="28"/>
          <w:szCs w:val="28"/>
          <w:rtl w:val="true"/>
          <w:lang w:bidi="fa-IR"/>
        </w:rPr>
        <w:t>معتقد است که از این شرط در اخبار اثری نیست و جز وجوه اعتباری دلیلی ندارد و اصاله‌العدم قویترین مستمسک در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مفتاح‌الکرامة، قول به عدم اشتراط را ظاهر فتاوای اصحاب و اخبار دانسته است، هرچند قول به اشتراط را اَشبه به اصول می‌داند</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کاشف‌الغطاء در نهایت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عدمِ نیاز به قبول به طور مطلق خالی از وجه نیست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آیه‌اللّه خویی،</w:t>
      </w:r>
      <w:r>
        <w:rPr>
          <w:rStyle w:val="FootnoteAnchor"/>
          <w:rtl w:val="true"/>
        </w:rPr>
        <w:footnoteReference w:id="236"/>
      </w:r>
      <w:r>
        <w:rPr>
          <w:rFonts w:ascii="IRNazanin" w:hAnsi="IRNazanin" w:eastAsia="IRNazanin"/>
          <w:color w:val="111111"/>
          <w:sz w:val="28"/>
          <w:sz w:val="28"/>
          <w:szCs w:val="28"/>
          <w:rtl w:val="true"/>
          <w:lang w:bidi="fa-IR"/>
        </w:rPr>
        <w:t>و امام خمینی</w:t>
      </w:r>
      <w:r>
        <w:rPr>
          <w:rStyle w:val="FootnoteAnchor"/>
          <w:rtl w:val="true"/>
        </w:rPr>
        <w:footnoteReference w:id="237"/>
      </w:r>
      <w:r>
        <w:rPr>
          <w:rFonts w:ascii="IRNazanin" w:hAnsi="IRNazanin" w:eastAsia="IRNazanin"/>
          <w:color w:val="111111"/>
          <w:sz w:val="28"/>
          <w:sz w:val="28"/>
          <w:szCs w:val="28"/>
          <w:rtl w:val="true"/>
          <w:lang w:bidi="fa-IR"/>
        </w:rPr>
        <w:t>نیز قایل به عدم اعتبار قبول به‌طور مطلق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قول سوم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اشتراط است، زیرا در نصوص هم چیزی که بر اعتبار آن دلالت کند، وجود ندارد تا بر این اصل حاکم 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مانند اباحه است، مخصوصا اگر ملک آن را منتقل به خدای متعال بدانیم، و در اباحه قبول معتبر نیست</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همانند عتق، فکِّ مِلک است نسبت به منافع، لذا به قبول نیازی ندارد</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امام خمینی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معنایی است که در همه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وقفهای 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یکسان حاصل است و لذا عقد بودن آن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بدیهی است که وقف بر وحوش و یا کبوترهای حرم معقول نیست که عقدِ بین واقف و موقوفٌ عَلَیْه باشد، ثالثی هم که وقف را قبول کند، وجود ندارد، نمی‌توان هم ملتزم شد</w:t>
      </w:r>
    </w:p>
    <w:p>
      <w:pPr>
        <w:pStyle w:val="BookText"/>
        <w:rPr/>
      </w:pPr>
      <w:r>
        <w:rPr>
          <w:rFonts w:ascii="IRNazanin" w:hAnsi="IRNazanin" w:eastAsia="IRNazanin"/>
          <w:color w:val="111111"/>
          <w:sz w:val="28"/>
          <w:sz w:val="28"/>
          <w:szCs w:val="28"/>
          <w:rtl w:val="true"/>
          <w:lang w:bidi="fa-IR"/>
        </w:rPr>
        <w:t>که این موارد و موارد مشابه، وقف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عقد بودن وقف در بعضی موارد و ایقاع بودن آن در موارد دیگر نیز باطل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می‌ماند این دیدگاه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طور کلّی از ایقاعات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این مطلب </w:t>
      </w:r>
      <w:bookmarkStart w:id="188" w:name="pg4267_21815"/>
    </w:p>
    <w:p>
      <w:pPr>
        <w:pStyle w:val="BookText"/>
        <w:rPr/>
      </w:pPr>
      <w:bookmarkEnd w:id="188"/>
      <w:r>
        <w:rPr>
          <w:rFonts w:ascii="IRNazanin" w:hAnsi="IRNazanin" w:eastAsia="IRNazanin"/>
          <w:color w:val="111111"/>
          <w:sz w:val="28"/>
          <w:sz w:val="28"/>
          <w:szCs w:val="28"/>
          <w:rtl w:val="true"/>
          <w:lang w:bidi="fa-IR"/>
        </w:rPr>
        <w:t>سیره مسلمین است می‌بینیم چنین نبوده که در مساجد، قناطر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قبول به مجتهد جامع‌الشرایط یا وکیل او مراجعه کرده باشند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در قانون مدنی وقف عقد است و قبول طبقه اوّل از مَوْقوفٌ علیهم، اگر محصور باشند</w:t>
      </w:r>
    </w:p>
    <w:p>
      <w:pPr>
        <w:pStyle w:val="BookText"/>
        <w:rPr/>
      </w:pPr>
      <w:r>
        <w:rPr>
          <w:rFonts w:ascii="IRNazanin" w:hAnsi="IRNazanin" w:eastAsia="IRNazanin"/>
          <w:color w:val="111111"/>
          <w:sz w:val="28"/>
          <w:sz w:val="28"/>
          <w:szCs w:val="28"/>
          <w:rtl w:val="true"/>
          <w:lang w:bidi="fa-IR"/>
        </w:rPr>
        <w:t>و اگر غیرمحصور باشند یا وقف بر مصالح عامه باشد، قبول حاکم شرط است</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به نظر می‌رسد قول به اعتبار قبول به‌طور مطلق موجّه‌ترین اقوال باشد؛ زیرا وقف عقد است و عقد به قبول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گذشت ممکن است قبول در بسیاری از موارد فعلی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حتّی به صورت فعلی، در سیره و سنّت ثابت نیست، بلکه می‌توان ثبوت آن را ادّعا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تحقّق</w:t>
      </w:r>
    </w:p>
    <w:p>
      <w:pPr>
        <w:pStyle w:val="BookText"/>
        <w:rPr/>
      </w:pPr>
      <w:r>
        <w:rPr>
          <w:rFonts w:ascii="IRNazanin" w:hAnsi="IRNazanin" w:eastAsia="IRNazanin"/>
          <w:color w:val="111111"/>
          <w:sz w:val="28"/>
          <w:sz w:val="28"/>
          <w:szCs w:val="28"/>
          <w:rtl w:val="true"/>
          <w:lang w:bidi="fa-IR"/>
        </w:rPr>
        <w:t xml:space="preserve">وقف در صورت عدم تحقّق قبول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بیان است</w:t>
      </w:r>
      <w:r>
        <w:rPr>
          <w:rFonts w:eastAsia="IRNazanin" w:cs="IRNazanin"/>
          <w:color w:val="111111"/>
          <w:sz w:val="28"/>
          <w:szCs w:val="28"/>
          <w:rtl w:val="true"/>
          <w:lang w:bidi="fa-IR"/>
        </w:rPr>
        <w:t>.</w:t>
      </w:r>
    </w:p>
    <w:p>
      <w:pPr>
        <w:pStyle w:val="Heading6"/>
        <w:numPr>
          <w:ilvl w:val="5"/>
          <w:numId w:val="1"/>
        </w:numPr>
        <w:rPr/>
      </w:pPr>
      <w:bookmarkStart w:id="189" w:name="__RefHeading___Toc474013_1479056682"/>
      <w:bookmarkStart w:id="190" w:name="_Toc69"/>
      <w:bookmarkEnd w:id="189"/>
      <w:r>
        <w:rPr>
          <w:rtl w:val="true"/>
        </w:rPr>
        <w:t>دیدگاه دیگر مذاهب اسلامی</w:t>
      </w:r>
      <w:bookmarkEnd w:id="190"/>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 xml:space="preserve">البَحرالزَّخَار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وقف چاره‌ای از لفظ نیست، امّا قبول در وقف بر غیر انسان به اتفاق فقها معتبر نیست و در وقف بر انسان معیّن دو وجه است؛</w:t>
      </w:r>
    </w:p>
    <w:p>
      <w:pPr>
        <w:pStyle w:val="BookText"/>
        <w:rPr/>
      </w:pPr>
      <w:r>
        <w:rPr>
          <w:rFonts w:ascii="IRNazanin" w:hAnsi="IRNazanin" w:eastAsia="IRNazanin"/>
          <w:color w:val="111111"/>
          <w:sz w:val="28"/>
          <w:sz w:val="28"/>
          <w:szCs w:val="28"/>
          <w:rtl w:val="true"/>
          <w:lang w:bidi="fa-IR"/>
        </w:rPr>
        <w:t>یک وجه این است که وقف نیز همانند صدقه به قبول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دیگر، که صحیحترین نیز هست، این است که در معیّن هم همانند غیر معیّن و عتق، قبول شرط نیست</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شَوْکانی هم از حدیث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انعقاد وقف به قبول نیازی نیست</w:t>
      </w:r>
      <w:r>
        <w:rPr>
          <w:rFonts w:eastAsia="IRNazanin" w:cs="IRNazanin"/>
          <w:color w:val="111111"/>
          <w:sz w:val="28"/>
          <w:szCs w:val="28"/>
          <w:rtl w:val="true"/>
          <w:lang w:bidi="fa-IR"/>
        </w:rPr>
        <w:t>.</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مذاهب اربعه</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اوقاف عامّه و غیر معیّن، مثل مساکین و نیز جهتی که قبول در آن متصوّر نیست مثل مساجد، قبول را شرط نمی‌دانند</w:t>
      </w:r>
      <w:r>
        <w:rPr>
          <w:rFonts w:eastAsia="IRNazanin" w:cs="IRNazanin"/>
          <w:color w:val="111111"/>
          <w:sz w:val="28"/>
          <w:szCs w:val="28"/>
          <w:rtl w:val="true"/>
          <w:lang w:bidi="fa-IR"/>
        </w:rPr>
        <w:t>.</w:t>
      </w:r>
      <w:r>
        <w:rPr>
          <w:rStyle w:val="FootnoteAnchor"/>
          <w:rtl w:val="true"/>
        </w:rPr>
        <w:footnoteReference w:id="245"/>
      </w:r>
      <w:r>
        <w:rPr>
          <w:rFonts w:ascii="IRNazanin" w:hAnsi="IRNazanin" w:eastAsia="IRNazanin"/>
          <w:color w:val="111111"/>
          <w:sz w:val="28"/>
          <w:sz w:val="28"/>
          <w:szCs w:val="28"/>
          <w:rtl w:val="true"/>
          <w:lang w:bidi="fa-IR"/>
        </w:rPr>
        <w:t>زهدی یکن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اتّفاق نظر دارند که اگر </w:t>
      </w:r>
      <w:bookmarkStart w:id="191" w:name="pg4267_21816"/>
    </w:p>
    <w:p>
      <w:pPr>
        <w:pStyle w:val="BookText"/>
        <w:rPr/>
      </w:pPr>
      <w:bookmarkEnd w:id="191"/>
      <w:r>
        <w:rPr>
          <w:rFonts w:ascii="Amiri" w:hAnsi="Amiri" w:eastAsia="Amiri" w:cs="Amiri"/>
          <w:color w:val="111111"/>
          <w:sz w:val="28"/>
          <w:sz w:val="28"/>
          <w:szCs w:val="28"/>
          <w:rtl w:val="true"/>
          <w:lang w:bidi="ar-SA"/>
        </w:rPr>
        <w:t>موقوفٌ عَلَیْه با وصفی معیّن شده بود، مثل فقرا، برای صحّت وقف و استحقاق مَوْقوفٌ علیهم، نیازی به قبول نیست</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امّا در وقف بر جهت معیّن و محصور مثل یک شخص معیّن، فقها اختلاف نظر دارند، حنفیّه، مالکیّه و حنابله در این مورد قبول را معتبر نمی‌دانند و وقف بدون آن هم صحیح</w:t>
      </w:r>
    </w:p>
    <w:p>
      <w:pPr>
        <w:pStyle w:val="BookText"/>
        <w:rPr/>
      </w:pPr>
      <w:r>
        <w:rPr>
          <w:rFonts w:ascii="IRNazanin" w:hAnsi="IRNazanin" w:eastAsia="IRNazanin"/>
          <w:color w:val="111111"/>
          <w:sz w:val="28"/>
          <w:sz w:val="28"/>
          <w:szCs w:val="28"/>
          <w:rtl w:val="true"/>
          <w:lang w:bidi="fa-IR"/>
        </w:rPr>
        <w:t>است، هرچند حنفیّه و مالکیّه برای استحقاق مَوْقوفٌ علیهم قبول را معتبر می‌دانند</w:t>
      </w:r>
      <w:r>
        <w:rPr>
          <w:rFonts w:eastAsia="IRNazanin" w:cs="IRNazanin"/>
          <w:color w:val="111111"/>
          <w:sz w:val="28"/>
          <w:szCs w:val="28"/>
          <w:rtl w:val="true"/>
          <w:lang w:bidi="fa-IR"/>
        </w:rPr>
        <w:t>.</w:t>
      </w:r>
      <w:r>
        <w:rPr>
          <w:rStyle w:val="FootnoteAnchor"/>
          <w:rtl w:val="true"/>
        </w:rPr>
        <w:footnoteReference w:id="247"/>
      </w:r>
      <w:r>
        <w:rPr>
          <w:rFonts w:ascii="IRNazanin" w:hAnsi="IRNazanin" w:eastAsia="IRNazanin"/>
          <w:color w:val="111111"/>
          <w:sz w:val="28"/>
          <w:sz w:val="28"/>
          <w:szCs w:val="28"/>
          <w:rtl w:val="true"/>
          <w:lang w:bidi="fa-IR"/>
        </w:rPr>
        <w:t>امّا شافعیّه در وقف بر معیّن قبول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مُغنی‌المحتاج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 این است که در وقف بر معیّن، قبول معتبر است و اگر موقوفٌ عَلَیْه صلاحیت قبول نداشت وَلیِّ او باید قبول کند</w:t>
      </w:r>
      <w:r>
        <w:rPr>
          <w:rFonts w:eastAsia="IRNazanin" w:cs="IRNazanin"/>
          <w:color w:val="111111"/>
          <w:sz w:val="28"/>
          <w:szCs w:val="28"/>
          <w:rtl w:val="true"/>
          <w:lang w:bidi="fa-IR"/>
        </w:rPr>
        <w:t>.</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نکته قابل توجه دیگر این که حتی آنان که در وقف قبول را شرط می‌دانند، در بطون و نسلهای بعدی آن را معتبر نمی‌دانند، زیرا اوّلاً وقف قبل از بطن ثانی تمام و لازم شده و ثانیا قبول طبقات بعدی به ایجاب متّصل نیست و در صیغه، این اتّصال، شرط است</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192" w:name="__RefHeading___Toc474015_1479056682"/>
      <w:bookmarkStart w:id="193" w:name="_Toc70"/>
      <w:bookmarkEnd w:id="192"/>
      <w:r>
        <w:rPr/>
        <w:t>3</w:t>
      </w:r>
      <w:r>
        <w:rPr>
          <w:rtl w:val="true"/>
        </w:rPr>
        <w:t xml:space="preserve"> - </w:t>
      </w:r>
      <w:r>
        <w:rPr>
          <w:rtl w:val="true"/>
        </w:rPr>
        <w:t>آیا وقف از عقود لازم است؟</w:t>
      </w:r>
      <w:bookmarkEnd w:id="193"/>
    </w:p>
    <w:p>
      <w:pPr>
        <w:pStyle w:val="Heading6"/>
        <w:numPr>
          <w:ilvl w:val="5"/>
          <w:numId w:val="1"/>
        </w:numPr>
        <w:rPr/>
      </w:pPr>
      <w:bookmarkStart w:id="194" w:name="__RefHeading___Toc474017_1479056682"/>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آیا وقف از عقود لازم است تا بعد از انعقاد و تحقّق کامل آن، واقف حق رجوع در آن را نداشته باشد، یا از عقود جایز است و چنین حقی برای واقف ثابت است؟</w:t>
      </w:r>
    </w:p>
    <w:p>
      <w:pPr>
        <w:pStyle w:val="Heading6"/>
        <w:numPr>
          <w:ilvl w:val="5"/>
          <w:numId w:val="1"/>
        </w:numPr>
        <w:rPr/>
      </w:pPr>
      <w:bookmarkStart w:id="196" w:name="__RefHeading___Toc474019_1479056682"/>
      <w:bookmarkStart w:id="197" w:name="_Toc72"/>
      <w:bookmarkEnd w:id="196"/>
      <w:r>
        <w:rPr>
          <w:rtl w:val="true"/>
        </w:rPr>
        <w:t>دیدگاه امامیّه</w:t>
      </w:r>
      <w:bookmarkEnd w:id="197"/>
    </w:p>
    <w:p>
      <w:pPr>
        <w:pStyle w:val="BookText"/>
        <w:rPr/>
      </w:pPr>
      <w:r>
        <w:rPr>
          <w:rFonts w:ascii="IRNazanin" w:hAnsi="IRNazanin" w:eastAsia="IRNazanin"/>
          <w:color w:val="111111"/>
          <w:sz w:val="28"/>
          <w:sz w:val="28"/>
          <w:szCs w:val="28"/>
          <w:rtl w:val="true"/>
          <w:lang w:bidi="fa-IR"/>
        </w:rPr>
        <w:t>شیخ طوسی در خلاف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بعد از اجرای صیغه و تحقّق قبض، از جانب موقوفٌ عَلَیْه یا کسی که از طرف او متولّی قبض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وکیل، 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این مطلب، اجماع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فقهای امامیّه در این مورد </w:t>
      </w:r>
    </w:p>
    <w:p>
      <w:pPr>
        <w:pStyle w:val="BookText"/>
        <w:rPr/>
      </w:pPr>
      <w:r>
        <w:rPr>
          <w:rFonts w:ascii="IRNazanin" w:hAnsi="IRNazanin" w:eastAsia="IRNazanin"/>
          <w:color w:val="111111"/>
          <w:sz w:val="28"/>
          <w:sz w:val="28"/>
          <w:szCs w:val="28"/>
          <w:rtl w:val="true"/>
          <w:lang w:bidi="fa-IR"/>
        </w:rPr>
        <w:t>اختلافی ندارند و اجماعشان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صحابه نیز بر این مختار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علی علیه‌السلام، ابوبکر، عمر، عثمان، طلحه، زبیر، انس‌بن مالک، فاطمه علیهاالسلامو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w:t>
      </w:r>
    </w:p>
    <w:p>
      <w:pPr>
        <w:pStyle w:val="BookText"/>
        <w:rPr/>
      </w:pPr>
      <w:r>
        <w:rPr>
          <w:rFonts w:ascii="IRNazanin" w:hAnsi="IRNazanin" w:eastAsia="IRNazanin"/>
          <w:color w:val="111111"/>
          <w:sz w:val="28"/>
          <w:sz w:val="28"/>
          <w:szCs w:val="28"/>
          <w:rtl w:val="true"/>
          <w:lang w:bidi="fa-IR"/>
        </w:rPr>
        <w:t>چاهها و بستانهایی را وقف کردند و از آنها و یا ورثه آنها نقل نشده است که رجوع کرده</w:t>
      </w:r>
    </w:p>
    <w:p>
      <w:pPr>
        <w:pStyle w:val="BookText"/>
        <w:rPr/>
      </w:pPr>
      <w:r>
        <w:rPr>
          <w:rFonts w:ascii="IRNazanin" w:hAnsi="IRNazanin" w:eastAsia="IRNazanin"/>
          <w:color w:val="111111"/>
          <w:sz w:val="28"/>
          <w:sz w:val="28"/>
          <w:szCs w:val="28"/>
          <w:rtl w:val="true"/>
          <w:lang w:bidi="fa-IR"/>
        </w:rPr>
        <w:t xml:space="preserve">باشند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اوقاف خود را فروخته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جایز بود چنین چیزی از آنها نقل می‌شد</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شیخ مفید نیز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اصل صدقات‌اند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آنها جایز نیست</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از این عبارت استفاده می‌شود که دلیل لزوم عقد وقف، همان صدقه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مفید موردی را که مَوْقوفٌ علیهم کاری کنند که شرع از کمک به آنها و صِله آنها منع کرده است، استثنا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و سلاّر در مراسم نیز با عبارتهای مشابه همین نظر را برگزیده‌اند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علاّمه در مختلف، عدم جواز تغییر و تبدیل در وقف را به مشهور نسبت داده است</w:t>
      </w:r>
      <w:r>
        <w:rPr>
          <w:rFonts w:eastAsia="IRNazanin" w:cs="IRNazanin"/>
          <w:color w:val="111111"/>
          <w:sz w:val="28"/>
          <w:szCs w:val="28"/>
          <w:rtl w:val="true"/>
          <w:lang w:bidi="fa-IR"/>
        </w:rPr>
        <w:t>.</w:t>
      </w:r>
      <w:r>
        <w:rPr>
          <w:rStyle w:val="FootnoteAnchor"/>
          <w:rtl w:val="true"/>
        </w:rPr>
        <w:footnoteReference w:id="253"/>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با توجّه به بیان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حتّی در صورتی که موقوفٌ عَلَیْه کاری را که موجب منع شارع از کمک به وی می‌شود، انجام دهد، وقف لازم است و رجوع در آن جایز نیست؛ زیرا مقتضای مذهب ما این است که وقف بعد از اِقباض از ملک واقف، خارج و جزء املاک موقوفٌ عَلَیْه شده است و حکم سایر اموال وی را دارد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هر چند علاّمه در مختلف سعی کرده است به نحوی مورد استثنای مفید از حکم به لزوم را توجیه کند و برای آن مَحمِلی پیدا کند، مانند عاری شدن مورد استثنا از صلاحیّت</w:t>
      </w:r>
    </w:p>
    <w:p>
      <w:pPr>
        <w:pStyle w:val="BookText"/>
        <w:rPr/>
      </w:pPr>
      <w:r>
        <w:rPr>
          <w:rFonts w:ascii="IRNazanin" w:hAnsi="IRNazanin" w:eastAsia="IRNazanin"/>
          <w:color w:val="111111"/>
          <w:sz w:val="28"/>
          <w:sz w:val="28"/>
          <w:szCs w:val="28"/>
          <w:rtl w:val="true"/>
          <w:lang w:bidi="fa-IR"/>
        </w:rPr>
        <w:t>قصد قربت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نظر می‌رسد در این مورد، بیان ابن‌ادریس بیشتر قابل توجیه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می‌نویسد وقف با اقباض لازم است و حتّی در صورت تراضی طرفین</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نیز قابل فسخ نیست</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 xml:space="preserve">وی در تذکره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خلاف مختلف که به مشهور نسبت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وقف بعد از قبض را به همه علمای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 اَجْمع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256"/>
      </w:r>
      <w:bookmarkStart w:id="198" w:name="pg4267_21818"/>
    </w:p>
    <w:p>
      <w:pPr>
        <w:pStyle w:val="BookText"/>
        <w:rPr/>
      </w:pPr>
      <w:bookmarkEnd w:id="198"/>
      <w:r>
        <w:rPr>
          <w:rFonts w:ascii="IRNazanin" w:hAnsi="IRNazanin" w:eastAsia="IRNazanin"/>
          <w:color w:val="111111"/>
          <w:sz w:val="28"/>
          <w:sz w:val="28"/>
          <w:szCs w:val="28"/>
          <w:rtl w:val="true"/>
          <w:lang w:bidi="fa-IR"/>
        </w:rPr>
        <w:t>محقّق در شرایع نیز به‌این‌مطلب تصریح‌کرده وشهید ثانی در ذیل عبارت وی ادّعای عدم خلاف کرده است</w:t>
      </w:r>
      <w:r>
        <w:rPr>
          <w:rFonts w:eastAsia="IRNazanin" w:cs="IRNazanin"/>
          <w:color w:val="111111"/>
          <w:sz w:val="28"/>
          <w:szCs w:val="28"/>
          <w:rtl w:val="true"/>
          <w:lang w:bidi="fa-IR"/>
        </w:rPr>
        <w:t>.</w:t>
      </w:r>
      <w:r>
        <w:rPr>
          <w:rStyle w:val="FootnoteAnchor"/>
          <w:rtl w:val="true"/>
        </w:rPr>
        <w:footnoteReference w:id="257"/>
      </w:r>
      <w:r>
        <w:rPr>
          <w:rFonts w:ascii="IRNazanin" w:hAnsi="IRNazanin" w:eastAsia="IRNazanin"/>
          <w:color w:val="111111"/>
          <w:sz w:val="28"/>
          <w:sz w:val="28"/>
          <w:szCs w:val="28"/>
          <w:rtl w:val="true"/>
          <w:lang w:bidi="fa-IR"/>
        </w:rPr>
        <w:t>محقّق ثانی دلیل لزوم و عدم جواز رجوع در آن را قربت بودن آن ذکر کرده است</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صدوق در هدایه، صاحب حدائق قطب راوندی شهید در دروس، شهیدین در لمعه و</w:t>
      </w:r>
    </w:p>
    <w:p>
      <w:pPr>
        <w:pStyle w:val="BookText"/>
        <w:rPr/>
      </w:pPr>
      <w:r>
        <w:rPr>
          <w:rFonts w:ascii="IRNazanin" w:hAnsi="IRNazanin" w:eastAsia="IRNazanin"/>
          <w:color w:val="111111"/>
          <w:sz w:val="28"/>
          <w:sz w:val="28"/>
          <w:szCs w:val="28"/>
          <w:rtl w:val="true"/>
          <w:lang w:bidi="fa-IR"/>
        </w:rPr>
        <w:t>روضه، فخر در ایضاح، صاحب عروه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عبارات مشابه بر لزوم عقد وقف تأکید کرده‌اند</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عروه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واقف در موقوفٌ علیه، شرطی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کرده باشد و بعد آنها فاسق شوند، رجوع، جایز است، امّا این به معنای تغییر در</w:t>
      </w:r>
    </w:p>
    <w:p>
      <w:pPr>
        <w:pStyle w:val="BookText"/>
        <w:rPr/>
      </w:pPr>
      <w:r>
        <w:rPr>
          <w:rFonts w:ascii="IRNazanin" w:hAnsi="IRNazanin" w:eastAsia="IRNazanin"/>
          <w:color w:val="111111"/>
          <w:sz w:val="28"/>
          <w:sz w:val="28"/>
          <w:szCs w:val="28"/>
          <w:rtl w:val="true"/>
          <w:lang w:bidi="fa-IR"/>
        </w:rPr>
        <w:t>وقف نیست</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در مفتاح‌الکرامة و جواهر نیز بر لزوم عقد وقف ادّعای اجماع شده است و حتّی</w:t>
      </w:r>
    </w:p>
    <w:p>
      <w:pPr>
        <w:pStyle w:val="BookText"/>
        <w:rPr/>
      </w:pPr>
      <w:r>
        <w:rPr>
          <w:rFonts w:ascii="IRNazanin" w:hAnsi="IRNazanin" w:eastAsia="IRNazanin"/>
          <w:color w:val="111111"/>
          <w:sz w:val="28"/>
          <w:sz w:val="28"/>
          <w:szCs w:val="28"/>
          <w:rtl w:val="true"/>
          <w:lang w:bidi="fa-IR"/>
        </w:rPr>
        <w:t>صاحب جواهر آن را مشابه ضروریّات مذهب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مطابق نظر فقهای امامیّه، وقف بعد از تحقّق قبض، لازم است و حق رجوع در آن برای واقف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چرا علاّمه در مختلف این نظر را به</w:t>
      </w:r>
    </w:p>
    <w:p>
      <w:pPr>
        <w:pStyle w:val="BookText"/>
        <w:rPr/>
      </w:pPr>
      <w:r>
        <w:rPr>
          <w:rFonts w:ascii="IRNazanin" w:hAnsi="IRNazanin" w:eastAsia="IRNazanin"/>
          <w:color w:val="111111"/>
          <w:sz w:val="28"/>
          <w:sz w:val="28"/>
          <w:szCs w:val="28"/>
          <w:rtl w:val="true"/>
          <w:lang w:bidi="fa-IR"/>
        </w:rPr>
        <w:t>مشهور نسبت داده است</w:t>
      </w:r>
      <w:r>
        <w:rPr>
          <w:rFonts w:eastAsia="IRNazanin" w:cs="IRNazanin"/>
          <w:color w:val="111111"/>
          <w:sz w:val="28"/>
          <w:szCs w:val="28"/>
          <w:rtl w:val="true"/>
          <w:lang w:bidi="fa-IR"/>
        </w:rPr>
        <w:t>.</w:t>
      </w:r>
    </w:p>
    <w:p>
      <w:pPr>
        <w:pStyle w:val="Heading6"/>
        <w:numPr>
          <w:ilvl w:val="5"/>
          <w:numId w:val="1"/>
        </w:numPr>
        <w:rPr/>
      </w:pPr>
      <w:bookmarkStart w:id="199" w:name="__RefHeading___Toc474021_1479056682"/>
      <w:bookmarkStart w:id="200" w:name="_Toc73"/>
      <w:bookmarkEnd w:id="199"/>
      <w:r>
        <w:rPr>
          <w:rtl w:val="true"/>
        </w:rPr>
        <w:t>دیدگاه دیگر مذاهب</w:t>
      </w:r>
      <w:bookmarkEnd w:id="200"/>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ابوحنیفه وقف را عقد جایز می‌داند که واقف بعد از تحقّق و انعقاد آن نیز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سه مورد را از جواز عقد وقف استثنا کرده و وقف را در این سه مورد لازم</w:t>
      </w:r>
    </w:p>
    <w:p>
      <w:pPr>
        <w:pStyle w:val="BookText"/>
        <w:rPr/>
      </w:pP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به لزوم وقف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حکم، وقف لازم می‌شود، زیرا قاضی مجتهد است و حکم وی برای رفع اختلاف الزام آور است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به وصیّت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مُردم این خانه من بر فلان مورد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بعد از مرگ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قبل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وصیّت، این وقف از ثلث، صحیح و لازم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 را مسجد قرار دهد و برای همین منظور آن را از ملک خود جدا کند و به نمازگزاران برای نماز در آن، اذن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نیز بعد از نمازگزاردن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جماعت آن طور که سرخسی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لازم می‌شود و واقف حقّ رجوع در آن را ندارد و اگر بمیرد میراث او نخواهد بود</w:t>
      </w:r>
      <w:r>
        <w:rPr>
          <w:rFonts w:eastAsia="IRNazanin" w:cs="IRNazanin"/>
          <w:color w:val="111111"/>
          <w:sz w:val="28"/>
          <w:szCs w:val="28"/>
          <w:rtl w:val="true"/>
          <w:lang w:bidi="fa-IR"/>
        </w:rPr>
        <w:t>.</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این نظر خود ابوحنیفه بود؛ امّا فقهای حنفیّه بجز اندکی از جمله، محمّد بن الحسن و ابویوسف، به لزوم وقف قایل هستند؛ البتّه ابویوسف نیز در آغاز قایل به جواز بیع وقف</w:t>
      </w:r>
    </w:p>
    <w:p>
      <w:pPr>
        <w:pStyle w:val="BookText"/>
        <w:rPr/>
      </w:pPr>
      <w:r>
        <w:rPr>
          <w:rFonts w:ascii="IRNazanin" w:hAnsi="IRNazanin" w:eastAsia="IRNazanin"/>
          <w:color w:val="111111"/>
          <w:sz w:val="28"/>
          <w:sz w:val="28"/>
          <w:szCs w:val="28"/>
          <w:rtl w:val="true"/>
          <w:lang w:bidi="fa-IR"/>
        </w:rPr>
        <w:t>بود تااین که وارد بغداد شد، در آن‌جا اسماعیل‌بن‌ابراهیم حدیث ابن عمر را برای او نقل</w:t>
      </w:r>
    </w:p>
    <w:p>
      <w:pPr>
        <w:pStyle w:val="BookText"/>
        <w:rPr/>
      </w:pPr>
      <w:r>
        <w:rPr>
          <w:rFonts w:ascii="IRNazanin" w:hAnsi="IRNazanin" w:eastAsia="IRNazanin"/>
          <w:color w:val="111111"/>
          <w:sz w:val="28"/>
          <w:sz w:val="28"/>
          <w:szCs w:val="28"/>
          <w:rtl w:val="true"/>
          <w:lang w:bidi="fa-IR"/>
        </w:rPr>
        <w:t>کرد؛ حدیثی که در آن، وقف عمر به عدم بیع و هبه مقیّد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با شنیدن این حدیث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یارای مخالفت با این حدیث نیست و اگر این حدیث به ابوحنیفه هم می‌رسید، آن را می‌پذیرفت و طبق آن فتوا می‌داد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eastAsia="IRNazanin" w:cs="IRNazanin"/>
          <w:color w:val="111111"/>
          <w:sz w:val="28"/>
          <w:szCs w:val="28"/>
          <w:lang w:bidi="fa-IR"/>
        </w:rPr>
        <w:t>9/12</w:t>
      </w:r>
      <w:r>
        <w:rPr>
          <w:rFonts w:ascii="IRNazanin" w:hAnsi="IRNazanin" w:eastAsia="IRNazanin"/>
          <w:color w:val="111111"/>
          <w:sz w:val="28"/>
          <w:sz w:val="28"/>
          <w:szCs w:val="28"/>
          <w:rtl w:val="true"/>
          <w:lang w:bidi="fa-IR"/>
        </w:rPr>
        <w:t>؛ احکام وقف در شریعت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زیدی، مالکی، شافعی، حنبلی و ظاهری بر این نظرند که با انعقاد وقف، عقد وقف لازم می‌شود و دیگر حقّ رجوع برای واقف نخواهد بود، محمّدبن الحسن، شافعیّه و حنابله معتقدند، وقف هرگاه صحیح باشد، لازم است و با اقاله و غیر آن نیز قابل فسخ</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وقف همانند هبه و صدقه است، لذا بر لزوم و ترتّب آثار بر آن باید به جهت</w:t>
      </w:r>
    </w:p>
    <w:p>
      <w:pPr>
        <w:pStyle w:val="BookText"/>
        <w:rPr/>
      </w:pPr>
      <w:r>
        <w:rPr>
          <w:rFonts w:ascii="Amiri" w:hAnsi="Amiri" w:eastAsia="Amiri" w:cs="Amiri"/>
          <w:color w:val="111111"/>
          <w:sz w:val="28"/>
          <w:sz w:val="28"/>
          <w:szCs w:val="28"/>
          <w:rtl w:val="true"/>
          <w:lang w:bidi="ar-SA"/>
        </w:rPr>
        <w:t xml:space="preserve">موقوفٌ عَلَیْه تحویل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مالکیّه مذهبشان این است که وقفِ صحیح، هرچند قبض هم در آن صورت نگرفته باشد،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در عقد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حقّ خیار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لازم است و حقّ رجوع ندارد، و اگر قبض نشده باشد، واقف را به تحویل آن به موقوفٌ </w:t>
      </w:r>
    </w:p>
    <w:p>
      <w:pPr>
        <w:pStyle w:val="BookText"/>
        <w:rPr/>
      </w:pPr>
      <w:r>
        <w:rPr>
          <w:rFonts w:ascii="Amiri" w:hAnsi="Amiri" w:eastAsia="Amiri" w:cs="Amiri"/>
          <w:color w:val="111111"/>
          <w:sz w:val="28"/>
          <w:sz w:val="28"/>
          <w:szCs w:val="28"/>
          <w:rtl w:val="true"/>
          <w:lang w:bidi="ar-SA"/>
        </w:rPr>
        <w:t>عَلَیْه وادار می‌کنند</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دلایل کسانی که عقد وقف را لازم می‌دانند</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وقف عمر به امر رسول خدا صلی‌الله‌علیه‌و‌آله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یُباعُ اَصْلُها وَ لایُبتاعُ و لا یوُهَبُ وَ لا یوُرَثُ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از تِرمِذی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این حدیث مُستَندِ اهل علم از اصحاب پیامبر صلی‌الله‌علیه‌و‌آله و غیر آنان است و ما در بین متقدّمین از آنان در این مسأله، مخالفی را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صلی‌الله‌علیه‌و‌آله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بئرروُمه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عثمان آن را خرید و وقف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چه‌کسی آن را می‌خرد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می‌کند 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 او همانند دلوهای مسلمین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دَلو وی تنها در صورتی همانند دَلْوهای مسلمین خواهد بود که اگر عین هم از</w:t>
      </w:r>
    </w:p>
    <w:p>
      <w:pPr>
        <w:pStyle w:val="BookText"/>
        <w:rPr/>
      </w:pPr>
      <w:r>
        <w:rPr>
          <w:rFonts w:ascii="IRNazanin" w:hAnsi="IRNazanin" w:eastAsia="IRNazanin"/>
          <w:color w:val="111111"/>
          <w:sz w:val="28"/>
          <w:sz w:val="28"/>
          <w:szCs w:val="28"/>
          <w:rtl w:val="true"/>
          <w:lang w:bidi="fa-IR"/>
        </w:rPr>
        <w:t>ملک او خارج نشده است، حدّاقلّ منفعت از ملک او خارج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کثیری از صحابه و شاید اکثر آنها اموالی را از خود وقف کردند تا جایی که جابر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اصحاب رسول خدا صلی‌الله‌علیه‌و‌آله نبود کسی که دارای توانایی باشد و مالی را وقف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شافعی در 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تعداد بسیاری از صحابه از مهاجر و انصار وقف سراغ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خصّاف بیش از بیست روایت در اوقاف صحابه و تابعین ذکر کرده است و شنیده نشده که حتّی یک نفر از آنان از وقف خود رجوع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احکام وقف درشریعت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 حتّی ابوحنیفه وقف مسجد را، حتّی بدون حکم قاضی و یا تعلیق به مدّت، لازم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بقیّه موقوفات چنین نباشد؟</w:t>
      </w:r>
    </w:p>
    <w:p>
      <w:pPr>
        <w:pStyle w:val="BookText"/>
        <w:rPr/>
      </w:pPr>
      <w:r>
        <w:rPr>
          <w:rFonts w:ascii="IRNazanin" w:hAnsi="IRNazanin" w:eastAsia="IRNazanin"/>
          <w:color w:val="111111"/>
          <w:sz w:val="28"/>
          <w:sz w:val="28"/>
          <w:szCs w:val="28"/>
          <w:rtl w:val="true"/>
          <w:lang w:bidi="fa-IR"/>
        </w:rPr>
        <w:t xml:space="preserve">البتّه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سرخسی در مبسوط</w:t>
      </w:r>
      <w:r>
        <w:rPr>
          <w:rFonts w:eastAsia="IRNazanin" w:cs="IRNazanin"/>
          <w:color w:val="111111"/>
          <w:sz w:val="28"/>
          <w:szCs w:val="28"/>
          <w:rtl w:val="true"/>
          <w:lang w:bidi="fa-IR"/>
        </w:rPr>
        <w:t xml:space="preserve">: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لزوم در وقف مسجد را این می‌داند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وقف خالص برای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هر چه مانند صدقه، خالصا لِوَجْهِ اللّه، باشد قابل رجوع نیست</w:t>
      </w:r>
      <w:r>
        <w:rPr>
          <w:rFonts w:eastAsia="IRNazanin" w:cs="IRNazanin"/>
          <w:color w:val="111111"/>
          <w:sz w:val="28"/>
          <w:szCs w:val="28"/>
          <w:rtl w:val="true"/>
          <w:lang w:bidi="fa-IR"/>
        </w:rPr>
        <w:t>.</w:t>
      </w:r>
      <w:r>
        <w:rPr>
          <w:rStyle w:val="FootnoteAnchor"/>
          <w:rtl w:val="true"/>
        </w:rPr>
        <w:footnoteReference w:id="264"/>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1/168</w:t>
      </w:r>
      <w:r>
        <w:rPr>
          <w:rFonts w:eastAsia="IRNazanin" w:cs="IRNazanin"/>
          <w:color w:val="111111"/>
          <w:sz w:val="28"/>
          <w:szCs w:val="28"/>
          <w:rtl w:val="true"/>
          <w:lang w:bidi="fa-IR"/>
        </w:rPr>
        <w:t>-</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المغنی</w:t>
      </w:r>
      <w:r>
        <w:rPr>
          <w:rFonts w:eastAsia="IRNazanin" w:cs="IRNazanin"/>
          <w:color w:val="111111"/>
          <w:sz w:val="28"/>
          <w:szCs w:val="28"/>
          <w:rtl w:val="true"/>
          <w:lang w:bidi="fa-IR"/>
        </w:rPr>
        <w:t xml:space="preserve">: </w:t>
      </w:r>
      <w:r>
        <w:rPr>
          <w:rFonts w:eastAsia="IRNazanin" w:cs="IRNazanin"/>
          <w:color w:val="111111"/>
          <w:sz w:val="28"/>
          <w:szCs w:val="28"/>
          <w:lang w:bidi="fa-IR"/>
        </w:rPr>
        <w:t>5/357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دلایل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عدم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روایت شده از رسول خدا صلی‌الله‌علیه‌و‌آله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حَبْسَ عَنْ فرائضِ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نیست که بازداشتن واقف از تصرّف در عین مال خود و عدم انتقال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مرگ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ورثه‌اش به معنای حبس از فرائض‌اللّه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وهبة 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گذشته از ضعفی که از حیث سند دارد، بر مقصود ابوحنیفه دلالت نمی‌کند؛ زیرا منظور از این حدیث، ابطال عادت عربهای جاهلی است که زنان و کودکان را از ارث محروم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درباره این حدیث در مبحث مشروعیّت وقف نیز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منقول از عمر که بعد از وقف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ارشاد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صدقه خود را برای رسول خدا صلی‌الله‌علیه‌و‌آله نقل نکرده بودم آن رارد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حدیث بر جواز رجوع در وقف دلالت دارد و آنچه باعث شده تا عمر در وقف خود رجوع نکند، رعایت احترام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یاحیا از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در المحلّی این‌حدیث را قاطعانه رد کرده است و آن‌را مخالف سیره رسول خدا و صحابه و سنّت دانسته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کبیسی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عین 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ولزوم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مبادی فقهی ناسازگار است؛زیرا از مبادی فقهی است که ملکیت مقتضی آزادی در تصرّف است؛ تصرّف به بیع، هبه،رهن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عقدی که با این آزادی مخالف باشد و مانع آن شود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شیئی که در ملک کسی وارد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ملک او خارج نمی‌شود و حبس لازم با این مطلب هم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ملک را از واقف خارج و داخل در ملک خدا بدانیم و اگر آن را بر ملک واقف باقی بدانیم با قاعده اوّل ناسازگار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دلیل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مباحث مبتنی بر بحث مالکیّت در وقف است که بحث آن خواهد آمد، ان‌شاءاللّه، ولی اجمالاً در این جا می‌گوییم، عقد وقف همانند بسیاری از عقود یکی از نواقل و اسباب انتقال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نه با آزادی در تصرّف درملک خود ناسازگار است و نه باعدم خروج ملک از مالک خود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زید، باغ خود را صدقه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والدین او </w:t>
      </w:r>
      <w:bookmarkStart w:id="201" w:name="pg4267_21822"/>
    </w:p>
    <w:p>
      <w:pPr>
        <w:pStyle w:val="BookText"/>
        <w:rPr/>
      </w:pPr>
      <w:bookmarkEnd w:id="201"/>
      <w:r>
        <w:rPr>
          <w:rFonts w:ascii="IRNazanin" w:hAnsi="IRNazanin" w:eastAsia="IRNazanin"/>
          <w:color w:val="111111"/>
          <w:sz w:val="28"/>
          <w:sz w:val="28"/>
          <w:szCs w:val="28"/>
          <w:rtl w:val="true"/>
          <w:lang w:bidi="fa-IR"/>
        </w:rPr>
        <w:t>اعتراض کردند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وسیله زندگی ما بود، حضرت آن را به آنان بازگرداند و بعد از مرگ آنها به عنوان میراث به عبداللّه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این دلیل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 ملک والدین او بوده</w:t>
      </w:r>
    </w:p>
    <w:p>
      <w:pPr>
        <w:pStyle w:val="BookText"/>
        <w:rPr/>
      </w:pPr>
      <w:r>
        <w:rPr>
          <w:rFonts w:ascii="IRNazanin" w:hAnsi="IRNazanin" w:eastAsia="IRNazanin"/>
          <w:color w:val="111111"/>
          <w:sz w:val="28"/>
          <w:sz w:val="28"/>
          <w:szCs w:val="28"/>
          <w:rtl w:val="true"/>
          <w:lang w:bidi="fa-IR"/>
        </w:rPr>
        <w:t>وعبداللّه بدون اجازه آنان وقف کرده بوده ا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امکان دارد عبداللّه آن را به عنوان صدقه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رسول خدا صلی‌الله‌علیه‌و‌آله قرار داد و حضرت آن را به والدین نیازمند وی اعطا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بود، باید بعد از ابطال به واقف بازگردد نه به</w:t>
      </w:r>
    </w:p>
    <w:p>
      <w:pPr>
        <w:pStyle w:val="BookText"/>
        <w:rPr/>
      </w:pPr>
      <w:r>
        <w:rPr>
          <w:rFonts w:ascii="IRNazanin" w:hAnsi="IRNazanin" w:eastAsia="IRNazanin"/>
          <w:color w:val="111111"/>
          <w:sz w:val="28"/>
          <w:sz w:val="28"/>
          <w:szCs w:val="28"/>
          <w:rtl w:val="true"/>
          <w:lang w:bidi="fa-IR"/>
        </w:rPr>
        <w:t>والدین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چون این وقف متضمّن اضرار به والدین بوده، رسول خدا آن را بی اثر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رابعا روایت، منقطع و از حیث سند محل تردید است</w:t>
      </w:r>
      <w:r>
        <w:rPr>
          <w:rFonts w:eastAsia="IRNazanin" w:cs="IRNazanin"/>
          <w:color w:val="111111"/>
          <w:sz w:val="28"/>
          <w:szCs w:val="28"/>
          <w:rtl w:val="true"/>
          <w:lang w:bidi="fa-IR"/>
        </w:rPr>
        <w:t>.</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ظاهر عبارت ابوزُهره این است که اگر وقف از ابتدا، وقف بر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همانند وقف بر زید، عمر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همانند عاریه جایز می‌باشد</w:t>
      </w:r>
      <w:r>
        <w:rPr>
          <w:rFonts w:eastAsia="IRNazanin" w:cs="IRNazanin"/>
          <w:color w:val="111111"/>
          <w:sz w:val="28"/>
          <w:szCs w:val="28"/>
          <w:rtl w:val="true"/>
          <w:lang w:bidi="fa-IR"/>
        </w:rPr>
        <w:t>.</w:t>
      </w:r>
    </w:p>
    <w:p>
      <w:pPr>
        <w:pStyle w:val="Heading6"/>
        <w:numPr>
          <w:ilvl w:val="5"/>
          <w:numId w:val="1"/>
        </w:numPr>
        <w:rPr/>
      </w:pPr>
      <w:bookmarkStart w:id="202" w:name="__RefHeading___Toc474023_1479056682"/>
      <w:bookmarkStart w:id="203" w:name="_Toc74"/>
      <w:bookmarkEnd w:id="202"/>
      <w:r>
        <w:rPr>
          <w:rtl w:val="true"/>
        </w:rPr>
        <w:t>قانون مدنی</w:t>
      </w:r>
      <w:bookmarkEnd w:id="203"/>
    </w:p>
    <w:p>
      <w:pPr>
        <w:pStyle w:val="BookText"/>
        <w:rPr/>
      </w:pPr>
      <w:r>
        <w:rPr>
          <w:rFonts w:ascii="IRNazanin" w:hAnsi="IRNazanin" w:eastAsia="IRNazanin"/>
          <w:color w:val="111111"/>
          <w:sz w:val="28"/>
          <w:sz w:val="28"/>
          <w:szCs w:val="28"/>
          <w:rtl w:val="true"/>
          <w:lang w:bidi="fa-IR"/>
        </w:rPr>
        <w:t>در قانون مدنی ایران تصریح شده است که وقف بعد از وقوع آن به نحو صحّت و حصول قبض، لازم است و واقف نمی‌تواند از آن رجوع کند یا در آن تغییری بدهدیا کسی را از زُمره مَوْقوفٌ علیهم خارج کند یا کسی را در آنها داخل یا با آنها شریک کند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محمّد ابوزُهره از قانون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سال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 وقف بجز در وقف مسجد، عقد جایز است و واقف حقّ 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درحقیقت تدوین‌کنندگان این قانون، آن را مطابق فتوای ابوحنیفه تدوین کرده‌اند</w:t>
      </w:r>
      <w:r>
        <w:rPr>
          <w:rFonts w:eastAsia="IRNazanin" w:cs="IRNazanin"/>
          <w:color w:val="111111"/>
          <w:sz w:val="28"/>
          <w:szCs w:val="28"/>
          <w:rtl w:val="true"/>
          <w:lang w:bidi="fa-IR"/>
        </w:rPr>
        <w:t>.</w:t>
      </w:r>
      <w:r>
        <w:rPr>
          <w:rStyle w:val="FootnoteAnchor"/>
          <w:rtl w:val="true"/>
        </w:rPr>
        <w:footnoteReference w:id="267"/>
      </w:r>
    </w:p>
    <w:p>
      <w:pPr>
        <w:pStyle w:val="Heading5"/>
        <w:numPr>
          <w:ilvl w:val="4"/>
          <w:numId w:val="1"/>
        </w:numPr>
        <w:rPr/>
      </w:pPr>
      <w:bookmarkStart w:id="204" w:name="__RefHeading___Toc474025_1479056682"/>
      <w:bookmarkStart w:id="205" w:name="_Toc75"/>
      <w:bookmarkEnd w:id="204"/>
      <w:r>
        <w:rPr/>
        <w:t>4</w:t>
      </w:r>
      <w:r>
        <w:rPr>
          <w:rtl w:val="true"/>
        </w:rPr>
        <w:t xml:space="preserve">- </w:t>
      </w:r>
      <w:r>
        <w:rPr>
          <w:rtl w:val="true"/>
        </w:rPr>
        <w:t>الفاظ صیغه وقف</w:t>
      </w:r>
      <w:bookmarkEnd w:id="205"/>
    </w:p>
    <w:p>
      <w:pPr>
        <w:pStyle w:val="Heading6"/>
        <w:numPr>
          <w:ilvl w:val="5"/>
          <w:numId w:val="1"/>
        </w:numPr>
        <w:rPr/>
      </w:pPr>
      <w:bookmarkStart w:id="206" w:name="__RefHeading___Toc474027_1479056682"/>
      <w:bookmarkStart w:id="207" w:name="_Toc76"/>
      <w:bookmarkEnd w:id="206"/>
      <w:r>
        <w:rPr>
          <w:rtl w:val="true"/>
        </w:rPr>
        <w:t>دیدگاه فقهای امامیّه</w:t>
      </w:r>
      <w:bookmarkEnd w:id="20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شیخ طوسی در خلاف و مبسوط، الفاظ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وَقَفْت، حَبَّستُ و سَبَّلْتُ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برای ایجاب </w:t>
      </w:r>
    </w:p>
    <w:p>
      <w:pPr>
        <w:pStyle w:val="BookText"/>
        <w:rPr/>
      </w:pPr>
      <w:r>
        <w:rPr>
          <w:rFonts w:ascii="IRNazanin" w:hAnsi="IRNazanin" w:eastAsia="IRNazanin"/>
          <w:color w:val="111111"/>
          <w:sz w:val="28"/>
          <w:sz w:val="28"/>
          <w:szCs w:val="28"/>
          <w:rtl w:val="true"/>
          <w:lang w:bidi="fa-IR"/>
        </w:rPr>
        <w:t>وقف، الفاظ صریح می‌داند که به قرینه نیازی ندارند و الفاظی نظیر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تَصَدَّقْتُ، حَرَمْتُ، و اَبَّدْتُ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نیستند، امّا به کار بردن آنها با قرینه مانعی ندارد، مثل این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تَصدَّقْتُ صَدَقَةً لا تُباعُ و لا تُوهَبُ و لا تُورَثُ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قیود، الفاظ یاد شده را به وقف منصرف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یکی از این الفاظ غیر صریح را به کار بَرَد و نیّت</w:t>
      </w:r>
    </w:p>
    <w:p>
      <w:pPr>
        <w:pStyle w:val="BookText"/>
        <w:rPr/>
      </w:pPr>
      <w:r>
        <w:rPr>
          <w:rFonts w:ascii="IRNazanin" w:hAnsi="IRNazanin" w:eastAsia="IRNazanin"/>
          <w:color w:val="111111"/>
          <w:sz w:val="28"/>
          <w:sz w:val="28"/>
          <w:szCs w:val="28"/>
          <w:rtl w:val="true"/>
          <w:lang w:bidi="fa-IR"/>
        </w:rPr>
        <w:t>وقف کند، بین خود و خدایش وقف خواهد بود؛ امّا جز در صورت اقرار خودش به این که نیّت وقف کرده است، حکم به وقف بودن آن نخواهد شد</w:t>
      </w:r>
      <w:r>
        <w:rPr>
          <w:rFonts w:eastAsia="IRNazanin" w:cs="IRNazanin"/>
          <w:color w:val="111111"/>
          <w:sz w:val="28"/>
          <w:szCs w:val="28"/>
          <w:rtl w:val="true"/>
          <w:lang w:bidi="fa-IR"/>
        </w:rPr>
        <w:t>.</w:t>
      </w:r>
      <w:r>
        <w:rPr>
          <w:rStyle w:val="FootnoteAnchor"/>
          <w:rtl w:val="true"/>
        </w:rPr>
        <w:footnoteReference w:id="268"/>
      </w:r>
      <w:r>
        <w:rPr>
          <w:rFonts w:ascii="IRNazanin" w:hAnsi="IRNazanin" w:eastAsia="IRNazanin"/>
          <w:color w:val="111111"/>
          <w:sz w:val="28"/>
          <w:sz w:val="28"/>
          <w:szCs w:val="28"/>
          <w:rtl w:val="true"/>
          <w:lang w:bidi="fa-IR"/>
        </w:rPr>
        <w:t>مختار ابن زهره در غنیه و علاّمه در قواعد نیز همین است</w:t>
      </w:r>
      <w:r>
        <w:rPr>
          <w:rFonts w:eastAsia="IRNazanin" w:cs="IRNazanin"/>
          <w:color w:val="111111"/>
          <w:sz w:val="28"/>
          <w:szCs w:val="28"/>
          <w:rtl w:val="true"/>
          <w:lang w:bidi="fa-IR"/>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دلیل شیخ برصریح‌بودن الفاظ مذکور یکی اجماع است بر انعقاد وقف با این الفاظ، امّا الفاظی که دیگران آورده‌اند چون احتمال غیر وقف هم در آنها می‌رود حمل بر وقف نمی‌شوند</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دلیل دیگر برای لفظهای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رسول خدا صلی‌الله‌علیه‌و‌آلهبه عمر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حَبِّسِ الْاَصْلَ وَ سَبِّلِ الثَّمَرةَ</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 xml:space="preserve">امّا شیخ در پایان مبحث مبسوط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صریح در وقف می‌داند و معتقد است دیگر الفاظ به قرینه نیاز دارند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نظر نهایی ابن ادریس نیز همین است، به این دلیل که اجماع، تنها بر صراحت این واژه حاصل است</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فقهایی چون فخر المحقّقین</w:t>
      </w:r>
      <w:r>
        <w:rPr>
          <w:rStyle w:val="FootnoteAnchor"/>
          <w:rtl w:val="true"/>
        </w:rPr>
        <w:footnoteReference w:id="274"/>
      </w:r>
      <w:r>
        <w:rPr>
          <w:rFonts w:ascii="IRNazanin" w:hAnsi="IRNazanin" w:eastAsia="IRNazanin"/>
          <w:color w:val="111111"/>
          <w:sz w:val="28"/>
          <w:sz w:val="28"/>
          <w:szCs w:val="28"/>
          <w:rtl w:val="true"/>
          <w:lang w:bidi="fa-IR"/>
        </w:rPr>
        <w:t>شهید</w:t>
      </w:r>
    </w:p>
    <w:p>
      <w:pPr>
        <w:pStyle w:val="BookText"/>
        <w:rPr/>
      </w:pPr>
      <w:r>
        <w:rPr>
          <w:rFonts w:ascii="Amiri" w:hAnsi="Amiri" w:eastAsia="Amiri" w:cs="Amiri"/>
          <w:color w:val="111111"/>
          <w:sz w:val="28"/>
          <w:sz w:val="28"/>
          <w:szCs w:val="28"/>
          <w:rtl w:val="true"/>
          <w:lang w:bidi="ar-SA"/>
        </w:rPr>
        <w:t>اوّل</w:t>
      </w:r>
      <w:r>
        <w:rPr>
          <w:rStyle w:val="FootnoteAnchor"/>
          <w:rtl w:val="true"/>
        </w:rPr>
        <w:footnoteReference w:id="275"/>
      </w:r>
      <w:r>
        <w:rPr>
          <w:rFonts w:ascii="IRNazanin" w:hAnsi="IRNazanin" w:eastAsia="IRNazanin"/>
          <w:color w:val="111111"/>
          <w:sz w:val="28"/>
          <w:sz w:val="28"/>
          <w:szCs w:val="28"/>
          <w:rtl w:val="true"/>
          <w:lang w:bidi="fa-IR"/>
        </w:rPr>
        <w:t>شهیدین در لمعه و شرح</w:t>
      </w:r>
      <w:r>
        <w:rPr>
          <w:rStyle w:val="FootnoteAnchor"/>
          <w:rtl w:val="true"/>
        </w:rPr>
        <w:footnoteReference w:id="276"/>
      </w:r>
      <w:r>
        <w:rPr>
          <w:rFonts w:ascii="IRNazanin" w:hAnsi="IRNazanin" w:eastAsia="IRNazanin"/>
          <w:color w:val="111111"/>
          <w:sz w:val="28"/>
          <w:sz w:val="28"/>
          <w:szCs w:val="28"/>
          <w:rtl w:val="true"/>
          <w:lang w:bidi="fa-IR"/>
        </w:rPr>
        <w:t>، شهید ثانی</w:t>
      </w:r>
      <w:r>
        <w:rPr>
          <w:rStyle w:val="FootnoteAnchor"/>
          <w:rtl w:val="true"/>
        </w:rPr>
        <w:footnoteReference w:id="277"/>
      </w:r>
      <w:r>
        <w:rPr>
          <w:rFonts w:ascii="Amiri" w:hAnsi="Amiri" w:eastAsia="Amiri" w:cs="Amiri"/>
          <w:color w:val="111111"/>
          <w:sz w:val="28"/>
          <w:sz w:val="28"/>
          <w:szCs w:val="28"/>
          <w:rtl w:val="true"/>
          <w:lang w:bidi="ar-SA"/>
        </w:rPr>
        <w:t>، محقّق کرکی</w:t>
      </w:r>
      <w:r>
        <w:rPr>
          <w:rStyle w:val="FootnoteAnchor"/>
          <w:rtl w:val="true"/>
        </w:rPr>
        <w:footnoteReference w:id="278"/>
      </w:r>
      <w:r>
        <w:rPr>
          <w:rFonts w:ascii="IRNazanin" w:hAnsi="IRNazanin" w:eastAsia="IRNazanin"/>
          <w:color w:val="111111"/>
          <w:sz w:val="28"/>
          <w:sz w:val="28"/>
          <w:szCs w:val="28"/>
          <w:rtl w:val="true"/>
          <w:lang w:bidi="fa-IR"/>
        </w:rPr>
        <w:t>، محقّق حلّی در شرایع و مختصر</w:t>
      </w:r>
      <w:r>
        <w:rPr>
          <w:rStyle w:val="FootnoteAnchor"/>
          <w:rtl w:val="true"/>
        </w:rPr>
        <w:footnoteReference w:id="279"/>
      </w:r>
      <w:r>
        <w:rPr>
          <w:rFonts w:ascii="IRNazanin" w:hAnsi="IRNazanin" w:eastAsia="IRNazanin"/>
          <w:color w:val="111111"/>
          <w:sz w:val="28"/>
          <w:sz w:val="28"/>
          <w:szCs w:val="28"/>
          <w:rtl w:val="true"/>
          <w:lang w:bidi="fa-IR"/>
        </w:rPr>
        <w:t>، فاضل مقداد</w:t>
      </w:r>
      <w:r>
        <w:rPr>
          <w:rStyle w:val="FootnoteAnchor"/>
          <w:rtl w:val="true"/>
        </w:rPr>
        <w:footnoteReference w:id="280"/>
      </w:r>
      <w:r>
        <w:rPr>
          <w:rFonts w:ascii="Amiri" w:hAnsi="Amiri" w:eastAsia="Amiri" w:cs="Amiri"/>
          <w:color w:val="111111"/>
          <w:sz w:val="28"/>
          <w:sz w:val="28"/>
          <w:szCs w:val="28"/>
          <w:rtl w:val="true"/>
          <w:lang w:bidi="ar-SA"/>
        </w:rPr>
        <w:t>علاّمه</w:t>
      </w:r>
      <w:r>
        <w:rPr>
          <w:rStyle w:val="FootnoteAnchor"/>
          <w:rtl w:val="true"/>
        </w:rPr>
        <w:footnoteReference w:id="281"/>
      </w:r>
      <w:r>
        <w:rPr>
          <w:rFonts w:ascii="IRNazanin" w:hAnsi="IRNazanin" w:eastAsia="IRNazanin"/>
          <w:color w:val="111111"/>
          <w:sz w:val="28"/>
          <w:sz w:val="28"/>
          <w:szCs w:val="28"/>
          <w:rtl w:val="true"/>
          <w:lang w:bidi="fa-IR"/>
        </w:rPr>
        <w:t>و عده‌ای دیگر از اَعلام نیز مختارشان همان نظر ابن</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ادریس است و درمنابع یاد شده برای این ادّعا به اجماع استناد شده و نیز استدلال کرده‌اند به این که اصل، بقای مال است بر ملک صاحب خودش و از آن جز با وجه و دلیل شرعی خارج نمی‌شود و تنها واژه‌ای که به عنوان لفظ صریح از این اصل خارج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الفاظ برای قدر مشترک وضع شده‌اند و جز با قرینه بر یک معنا </w:t>
      </w:r>
      <w:bookmarkStart w:id="208" w:name="pg4267_21824"/>
    </w:p>
    <w:p>
      <w:pPr>
        <w:pStyle w:val="BookText"/>
        <w:rPr/>
      </w:pPr>
      <w:bookmarkEnd w:id="208"/>
      <w:r>
        <w:rPr>
          <w:rFonts w:ascii="IRNazanin" w:hAnsi="IRNazanin" w:eastAsia="IRNazanin"/>
          <w:color w:val="111111"/>
          <w:sz w:val="28"/>
          <w:sz w:val="28"/>
          <w:szCs w:val="28"/>
          <w:rtl w:val="true"/>
          <w:lang w:bidi="fa-IR"/>
        </w:rPr>
        <w:t>دلالت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قرینه مشکلی ندارند، همچنان که در اوقاف معصومین علیهم‌السلاماز جمله امیرمؤمنان علیه‌السلام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ما تَصَدَّقَ بِهِ عَلِیُّ بْنُ اَبی طالِبِ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لغتی شاذّ و غیر فصیح است و محقّق کَرَکی، صاحب مفتاح و دیگران آن را نیز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صریح در وقف می‌دانند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خلال همه کلمات اَعلام به دست می‌آید،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ممکن است بسیاری از آنها الفاظ خاصّی را صریح در وقف بدانند، امّا هر لفظی که به کمک قراین و شواهد بر وقف دلالت کند، کفایت می‌کند، هر چند برای وقف وضع نشده باشند و یا جمله اسمیه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w:t>
      </w:r>
      <w:r>
        <w:rPr>
          <w:rStyle w:val="FootnoteAnchor"/>
          <w:rtl w:val="true"/>
        </w:rPr>
        <w:footnoteReference w:id="284"/>
      </w:r>
      <w:r>
        <w:rPr>
          <w:rFonts w:ascii="IRNazanin" w:hAnsi="IRNazanin" w:eastAsia="IRNazanin"/>
          <w:color w:val="111111"/>
          <w:sz w:val="28"/>
          <w:sz w:val="28"/>
          <w:szCs w:val="28"/>
          <w:rtl w:val="true"/>
          <w:lang w:bidi="fa-IR"/>
        </w:rPr>
        <w:t>صاحب عروه</w:t>
      </w:r>
      <w:r>
        <w:rPr>
          <w:rStyle w:val="FootnoteAnchor"/>
          <w:rtl w:val="true"/>
        </w:rPr>
        <w:footnoteReference w:id="285"/>
      </w:r>
      <w:r>
        <w:rPr>
          <w:rFonts w:ascii="Amiri" w:hAnsi="Amiri" w:eastAsia="Amiri" w:cs="Amiri"/>
          <w:color w:val="111111"/>
          <w:sz w:val="28"/>
          <w:sz w:val="28"/>
          <w:szCs w:val="28"/>
          <w:rtl w:val="true"/>
          <w:lang w:bidi="ar-SA"/>
        </w:rPr>
        <w:t>مُغنِیَه</w:t>
      </w:r>
      <w:r>
        <w:rPr>
          <w:rStyle w:val="FootnoteAnchor"/>
          <w:rtl w:val="true"/>
        </w:rPr>
        <w:footnoteReference w:id="286"/>
      </w:r>
      <w:r>
        <w:rPr>
          <w:rFonts w:ascii="IRNazanin" w:hAnsi="IRNazanin" w:eastAsia="IRNazanin"/>
          <w:color w:val="111111"/>
          <w:sz w:val="28"/>
          <w:sz w:val="28"/>
          <w:szCs w:val="28"/>
          <w:rtl w:val="true"/>
          <w:lang w:bidi="fa-IR"/>
        </w:rPr>
        <w:t>هاشم معروف</w:t>
      </w:r>
    </w:p>
    <w:p>
      <w:pPr>
        <w:pStyle w:val="BookText"/>
        <w:rPr/>
      </w:pPr>
      <w:r>
        <w:rPr>
          <w:rFonts w:ascii="IRNazanin" w:hAnsi="IRNazanin" w:eastAsia="IRNazanin"/>
          <w:color w:val="111111"/>
          <w:sz w:val="28"/>
          <w:sz w:val="28"/>
          <w:szCs w:val="28"/>
          <w:rtl w:val="true"/>
          <w:lang w:bidi="fa-IR"/>
        </w:rPr>
        <w:t>الحسنی</w:t>
      </w:r>
      <w:r>
        <w:rPr>
          <w:rStyle w:val="FootnoteAnchor"/>
          <w:rtl w:val="true"/>
        </w:rPr>
        <w:footnoteReference w:id="2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به‌این‌مطلب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اقوی کفایت هرلفظی است که بر معنای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کمک قراین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کند، همانند دیگر عقود؛ زیرا در این موارد، لفظ مخصوص،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عربیّت و ماضویّت هم شرط نیست، بلکه جمله اسمیّه هم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کاشف الغطاء، مُغنِیَه و دیگران در منابع یاد شده تصریح کرده‌اند صیغه وقف با عربی محرَّف و یا غیر عربی به هر زبان و لغتی که باشد، صحیح است</w:t>
      </w:r>
      <w:r>
        <w:rPr>
          <w:rFonts w:eastAsia="IRNazanin" w:cs="IRNazanin"/>
          <w:color w:val="111111"/>
          <w:sz w:val="28"/>
          <w:szCs w:val="28"/>
          <w:rtl w:val="true"/>
          <w:lang w:bidi="fa-IR"/>
        </w:rPr>
        <w:t>.</w:t>
      </w:r>
    </w:p>
    <w:p>
      <w:pPr>
        <w:pStyle w:val="Heading6"/>
        <w:numPr>
          <w:ilvl w:val="5"/>
          <w:numId w:val="1"/>
        </w:numPr>
        <w:rPr/>
      </w:pPr>
      <w:bookmarkStart w:id="209" w:name="__RefHeading___Toc474029_1479056682"/>
      <w:bookmarkStart w:id="210" w:name="_Toc77"/>
      <w:bookmarkEnd w:id="209"/>
      <w:r>
        <w:rPr>
          <w:rtl w:val="true"/>
        </w:rPr>
        <w:t>دیدگاه دیگر مذاهب</w:t>
      </w:r>
      <w:bookmarkEnd w:id="210"/>
    </w:p>
    <w:p>
      <w:pPr>
        <w:pStyle w:val="BookText"/>
        <w:rPr/>
      </w:pPr>
      <w:r>
        <w:rPr>
          <w:rFonts w:ascii="IRNazanin" w:hAnsi="IRNazanin" w:eastAsia="IRNazanin"/>
          <w:color w:val="111111"/>
          <w:sz w:val="28"/>
          <w:sz w:val="28"/>
          <w:szCs w:val="28"/>
          <w:rtl w:val="true"/>
          <w:lang w:bidi="fa-IR"/>
        </w:rPr>
        <w:t>زیدیه</w:t>
      </w:r>
    </w:p>
    <w:p>
      <w:pPr>
        <w:pStyle w:val="BookText"/>
        <w:rPr/>
      </w:pPr>
      <w:r>
        <w:rPr>
          <w:rFonts w:ascii="Amiri" w:hAnsi="Amiri" w:eastAsia="Amiri" w:cs="Amiri"/>
          <w:color w:val="111111"/>
          <w:sz w:val="28"/>
          <w:sz w:val="28"/>
          <w:szCs w:val="28"/>
          <w:rtl w:val="true"/>
          <w:lang w:bidi="ar-SA"/>
        </w:rPr>
        <w:t xml:space="preserve">البحر الزَّخّار نیز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اجماع و نیز دو لفط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حَبَّسْتُ و سَبَّلْتُ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صریح و بقیّه را کنایه می‌داند</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حنفیّه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الفاظ مخصوص وقف در نزد حنفیّه عبارتند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اَرْضی هذِهِ موقوفةٌ مُؤَبَّدَةٌ عَلَی </w:t>
      </w:r>
    </w:p>
    <w:p>
      <w:pPr>
        <w:pStyle w:val="BookText"/>
        <w:rPr/>
      </w:pPr>
      <w:r>
        <w:rPr>
          <w:rFonts w:ascii="IRNazanin" w:hAnsi="IRNazanin" w:eastAsia="IRNazanin"/>
          <w:color w:val="111111"/>
          <w:sz w:val="28"/>
          <w:sz w:val="28"/>
          <w:szCs w:val="28"/>
          <w:rtl w:val="true"/>
          <w:lang w:bidi="fa-IR"/>
        </w:rPr>
        <w:t>الْمَساکین ، 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مَوْقوُفَةٌ 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مَوْقوُفةٌ عَلی وَجْهِ الْخَیرِ وَالْبِرّ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مطابق عرف به آن فتوا داده شده، همان قول ابویوسف است که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تأبید</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بر افراد معیّن وقف شود باید لفظ تأبید را ذکر کرد، زیرا تعیین با تأبید منافات دارد</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اینان وَقَفتُ، حَبَّستُ و سَبَّلْتُ را صریح و بقیه الفاظ، چون تَصَدَّقتُ را غیر صریح می‌دانند که برای دلالت بر وقف کردن به قرینه نیازمندند</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موردی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قالَ الْواقِفُ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نَطْلُبُ ثَمَنَه الاّ اِلیَ اللّه‌ِ، فَهُوَ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عَسْقَلانی از ابن مُنیر نقل کرده که مراد بخاری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هر لفظی که اَدا شود صحیح است؛ با قرینه باشد یا بدون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مستند بخاری پاسخ بنی‌النّجّار است به رسول خدا صلی‌الله‌علیه‌و‌آله که به آنان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زمین خود را از من بگیرید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مسجدالنّبی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نَطلبُ ثَمَنَهُ اِلاّ اِلَی اللّه</w:t>
      </w:r>
      <w:r>
        <w:rPr>
          <w:rFonts w:eastAsia="IRNazanin" w:cs="IRNazanin"/>
          <w:color w:val="111111"/>
          <w:sz w:val="28"/>
          <w:szCs w:val="28"/>
          <w:rtl w:val="true"/>
          <w:lang w:bidi="fa-IR"/>
        </w:rPr>
        <w:t>.</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روشن است که عبارت فوق به هیچ وجه بر مدّعای بخاری دلالت ندارد، زیرا بَنی‌النّجّار در مقام بیان این مطلب بودند که برای زمین خود بهایی نمی‌خواهند نه در مقام ادای صیغه وقف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شافعیّه الفاظ وقف رابه صریح و کنایه تقسیم کرده‌اند؛ صریح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اَرْضی مَوْقوفةٌ عَلی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چرا که این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البتّه بنابر نظر صحیح واژه‌های تسبیل و تحبیس هم صریح هستند، زیرا هم در شرع مکرّر آمده‌اند و هم در عرف مشهورند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صحابه نیز وقف تنها با این دو لفظ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الفاظ</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بقیّه، مانند تَصَدَّقتُ ،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کنایه‌اند که با قراین می‌توانند در وقف به 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bookmarkStart w:id="211" w:name="pg4267_21826"/>
    </w:p>
    <w:p>
      <w:pPr>
        <w:pStyle w:val="BookText"/>
        <w:rPr/>
      </w:pPr>
      <w:bookmarkEnd w:id="211"/>
      <w:r>
        <w:rPr>
          <w:rFonts w:ascii="IRNazanin" w:hAnsi="IRNazanin" w:eastAsia="IRNazanin"/>
          <w:color w:val="111111"/>
          <w:sz w:val="28"/>
          <w:sz w:val="28"/>
          <w:szCs w:val="28"/>
          <w:rtl w:val="true"/>
          <w:lang w:bidi="fa-IR"/>
        </w:rPr>
        <w:t xml:space="preserve">تَصَدَّقتُ به تنهایی و بانیّت وقف هم فقط در وقف بر جهات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وقف می‌کند</w:t>
      </w:r>
      <w:r>
        <w:rPr>
          <w:rFonts w:eastAsia="IRNazanin" w:cs="IRNazanin"/>
          <w:color w:val="111111"/>
          <w:sz w:val="28"/>
          <w:szCs w:val="28"/>
          <w:rtl w:val="true"/>
          <w:lang w:bidi="fa-IR"/>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حنبلیها نیز معتقدند وقف یابه لفظ صریح است یا کنایه؛ لفظ صریح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حَبَّسْتُ و سَبَّلْت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شرعا و عرفا استعمال می‌شوند و کنایه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اینها الفاظ مشترکند و شامل زکات و صدقات مستحبّی متعارف هم می‌شوند و این الفاظ با نیّت وقف و یا با قرنیه، اگر به کار روند، بر وقف دلالت دارند</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212" w:name="__RefHeading___Toc474031_1479056682"/>
      <w:bookmarkStart w:id="213" w:name="_Toc78"/>
      <w:bookmarkEnd w:id="212"/>
      <w:r>
        <w:rPr>
          <w:rtl w:val="true"/>
        </w:rPr>
        <w:t>شرط سوم</w:t>
      </w:r>
      <w:r>
        <w:rPr>
          <w:rtl w:val="true"/>
        </w:rPr>
        <w:t xml:space="preserve">: </w:t>
      </w:r>
      <w:r>
        <w:rPr>
          <w:rtl w:val="true"/>
        </w:rPr>
        <w:t>تنجیز</w:t>
      </w:r>
      <w:bookmarkEnd w:id="213"/>
    </w:p>
    <w:p>
      <w:pPr>
        <w:pStyle w:val="Heading5"/>
        <w:numPr>
          <w:ilvl w:val="4"/>
          <w:numId w:val="1"/>
        </w:numPr>
        <w:rPr/>
      </w:pPr>
      <w:bookmarkStart w:id="214" w:name="__RefHeading___Toc474033_1479056682"/>
      <w:bookmarkStart w:id="215" w:name="_Toc79"/>
      <w:bookmarkEnd w:id="214"/>
      <w:r>
        <w:rPr>
          <w:rtl w:val="true"/>
        </w:rPr>
        <w:t>معنای تنجیز</w:t>
      </w:r>
      <w:bookmarkEnd w:id="215"/>
    </w:p>
    <w:p>
      <w:pPr>
        <w:pStyle w:val="BookText"/>
        <w:rPr/>
      </w:pPr>
      <w:r>
        <w:rPr>
          <w:rFonts w:ascii="IRNazanin" w:hAnsi="IRNazanin" w:eastAsia="IRNazanin"/>
          <w:color w:val="111111"/>
          <w:sz w:val="28"/>
          <w:sz w:val="28"/>
          <w:szCs w:val="28"/>
          <w:rtl w:val="true"/>
          <w:lang w:bidi="fa-IR"/>
        </w:rPr>
        <w:t>فاضل مقداد در باب وقف برای تنجیز دو معنا ذکر کرده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نساختن عقد وقف بر شرط یا صفتی در آینده، امّا تعلیق بر وصفی که حاصل است،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کان الْیَومُ جَمْعةً فَهُوَ 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اشکالی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به معنای عدم اشتراط خیار در وقف که اگر چنین شرطی کند باطل است</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216" w:name="__RefHeading___Toc474035_1479056682"/>
      <w:bookmarkStart w:id="217" w:name="_Toc80"/>
      <w:bookmarkEnd w:id="216"/>
      <w:r>
        <w:rPr>
          <w:rtl w:val="true"/>
        </w:rPr>
        <w:t>دیدگاه امامیّه</w:t>
      </w:r>
      <w:bookmarkEnd w:id="217"/>
    </w:p>
    <w:p>
      <w:pPr>
        <w:pStyle w:val="BookText"/>
        <w:rPr/>
      </w:pPr>
      <w:r>
        <w:rPr>
          <w:rFonts w:ascii="IRNazanin" w:hAnsi="IRNazanin" w:eastAsia="IRNazanin"/>
          <w:color w:val="111111"/>
          <w:sz w:val="28"/>
          <w:sz w:val="28"/>
          <w:szCs w:val="28"/>
          <w:rtl w:val="true"/>
          <w:lang w:bidi="fa-IR"/>
        </w:rPr>
        <w:t>در مفتاح الکرامة بعد از اسناد اعتبار این شرط به بسیاری از اَعلام، از تذکره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این شرط در وقف، محلّ وفاق است و هیچ خلافی در آن نیست</w:t>
      </w:r>
      <w:r>
        <w:rPr>
          <w:rFonts w:eastAsia="IRNazanin" w:cs="IRNazanin"/>
          <w:color w:val="111111"/>
          <w:sz w:val="28"/>
          <w:szCs w:val="28"/>
          <w:rtl w:val="true"/>
          <w:lang w:bidi="fa-IR"/>
        </w:rPr>
        <w:t>.</w:t>
      </w:r>
      <w:r>
        <w:rPr>
          <w:rStyle w:val="FootnoteAnchor"/>
          <w:rtl w:val="true"/>
        </w:rPr>
        <w:footnoteReference w:id="295"/>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مبسوط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جاء رأسُ الشَّهْر، وَقَفْتُ هذِهِ الدّارَ عَلی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وقف بدون هیچ خلافی باطل است؛ زیرا وقف نیز عقدی </w:t>
      </w:r>
      <w:bookmarkStart w:id="218" w:name="pg4267_21827"/>
    </w:p>
    <w:p>
      <w:pPr>
        <w:pStyle w:val="BookText"/>
        <w:rPr/>
      </w:pPr>
      <w:bookmarkEnd w:id="218"/>
      <w:r>
        <w:rPr>
          <w:rFonts w:ascii="IRNazanin" w:hAnsi="IRNazanin" w:eastAsia="IRNazanin"/>
          <w:color w:val="111111"/>
          <w:sz w:val="28"/>
          <w:sz w:val="28"/>
          <w:szCs w:val="28"/>
          <w:rtl w:val="true"/>
          <w:lang w:bidi="fa-IR"/>
        </w:rPr>
        <w:t>همانند بیع وهبه است که تعلیق بر دار نیستند</w:t>
      </w:r>
      <w:r>
        <w:rPr>
          <w:rFonts w:eastAsia="IRNazanin" w:cs="IRNazanin"/>
          <w:color w:val="111111"/>
          <w:sz w:val="28"/>
          <w:szCs w:val="28"/>
          <w:rtl w:val="true"/>
          <w:lang w:bidi="fa-IR"/>
        </w:rPr>
        <w:t>.</w:t>
      </w:r>
      <w:r>
        <w:rPr>
          <w:rStyle w:val="FootnoteAnchor"/>
          <w:rtl w:val="true"/>
        </w:rPr>
        <w:footnoteReference w:id="296"/>
      </w:r>
      <w:r>
        <w:rPr>
          <w:rFonts w:ascii="IRNazanin" w:hAnsi="IRNazanin" w:eastAsia="IRNazanin"/>
          <w:color w:val="111111"/>
          <w:sz w:val="28"/>
          <w:sz w:val="28"/>
          <w:szCs w:val="28"/>
          <w:rtl w:val="true"/>
          <w:lang w:bidi="fa-IR"/>
        </w:rPr>
        <w:t>صاحب جواهر به عنوان یک ضابطه کلّی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 در هر سبب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هبه،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مواردی که با دلیل خارج شده باشد، واجب و لازم است و در ذیل عبارت شرایع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اِذا جاءَ رأسُ</w:t>
      </w:r>
    </w:p>
    <w:p>
      <w:pPr>
        <w:pStyle w:val="BookText"/>
        <w:rPr/>
      </w:pPr>
      <w:r>
        <w:rPr>
          <w:rFonts w:ascii="IRNazanin" w:hAnsi="IRNazanin" w:eastAsia="IRNazanin"/>
          <w:color w:val="111111"/>
          <w:sz w:val="28"/>
          <w:sz w:val="28"/>
          <w:szCs w:val="28"/>
          <w:rtl w:val="true"/>
          <w:lang w:bidi="fa-IR"/>
        </w:rPr>
        <w:t xml:space="preserve">الشَّهرِ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قَدِمَ زَیْدٌ، لَمْ یَصِحّ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خلاف و اشکالی صحیح نیست، بلکه هر دو قسم اجماع بر این امر حاصل است و نیز اسباب شرعی اقتضا دارند که آثارشان در همان هنگام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مرتّب گردند و تعلیق با این اقتضا سازگار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شهیدین در لمعه و روضه</w:t>
      </w:r>
      <w:r>
        <w:rPr>
          <w:rStyle w:val="FootnoteAnchor"/>
          <w:rtl w:val="true"/>
        </w:rPr>
        <w:footnoteReference w:id="298"/>
      </w:r>
      <w:r>
        <w:rPr>
          <w:rFonts w:ascii="Amiri" w:hAnsi="Amiri" w:eastAsia="Amiri" w:cs="Amiri"/>
          <w:color w:val="111111"/>
          <w:sz w:val="28"/>
          <w:sz w:val="28"/>
          <w:szCs w:val="28"/>
          <w:rtl w:val="true"/>
          <w:lang w:bidi="ar-SA"/>
        </w:rPr>
        <w:t>، شهیداوّل</w:t>
      </w:r>
      <w:r>
        <w:rPr>
          <w:rStyle w:val="FootnoteAnchor"/>
          <w:rtl w:val="true"/>
        </w:rPr>
        <w:footnoteReference w:id="299"/>
      </w:r>
      <w:r>
        <w:rPr>
          <w:rFonts w:ascii="Amiri" w:hAnsi="Amiri" w:eastAsia="Amiri" w:cs="Amiri"/>
          <w:color w:val="111111"/>
          <w:sz w:val="28"/>
          <w:sz w:val="28"/>
          <w:szCs w:val="28"/>
          <w:rtl w:val="true"/>
          <w:lang w:bidi="ar-SA"/>
        </w:rPr>
        <w:t>محقّق</w:t>
      </w:r>
      <w:r>
        <w:rPr>
          <w:rStyle w:val="FootnoteAnchor"/>
          <w:rtl w:val="true"/>
        </w:rPr>
        <w:footnoteReference w:id="300"/>
      </w:r>
      <w:r>
        <w:rPr>
          <w:rFonts w:ascii="IRNazanin" w:hAnsi="IRNazanin" w:eastAsia="IRNazanin"/>
          <w:color w:val="111111"/>
          <w:sz w:val="28"/>
          <w:sz w:val="28"/>
          <w:szCs w:val="28"/>
          <w:rtl w:val="true"/>
          <w:lang w:bidi="fa-IR"/>
        </w:rPr>
        <w:t>فیض کاشانی</w:t>
      </w:r>
      <w:r>
        <w:rPr>
          <w:rStyle w:val="FootnoteAnchor"/>
          <w:rtl w:val="true"/>
        </w:rPr>
        <w:footnoteReference w:id="301"/>
      </w:r>
      <w:r>
        <w:rPr>
          <w:rFonts w:ascii="Amiri" w:hAnsi="Amiri" w:eastAsia="Amiri" w:cs="Amiri"/>
          <w:color w:val="111111"/>
          <w:sz w:val="28"/>
          <w:sz w:val="28"/>
          <w:szCs w:val="28"/>
          <w:rtl w:val="true"/>
          <w:lang w:bidi="ar-SA"/>
        </w:rPr>
        <w:t>محقّق ثانی</w:t>
      </w:r>
      <w:r>
        <w:rPr>
          <w:rStyle w:val="FootnoteAnchor"/>
          <w:rtl w:val="true"/>
        </w:rPr>
        <w:footnoteReference w:id="302"/>
      </w:r>
      <w:r>
        <w:rPr>
          <w:rFonts w:ascii="IRNazanin" w:hAnsi="IRNazanin" w:eastAsia="IRNazanin"/>
          <w:color w:val="111111"/>
          <w:sz w:val="28"/>
          <w:sz w:val="28"/>
          <w:szCs w:val="28"/>
          <w:rtl w:val="true"/>
          <w:lang w:bidi="fa-IR"/>
        </w:rPr>
        <w:t>و دیگر اعلام به‌اعتبار این شرط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در اعتبار این شرط در نزد فقهای امامیّه بحث و تردید چندانی وجود ندارد از اطاله بیشتر بحث در این جا خودداری می‌شود</w:t>
      </w:r>
      <w:r>
        <w:rPr>
          <w:rFonts w:eastAsia="IRNazanin" w:cs="IRNazanin"/>
          <w:color w:val="111111"/>
          <w:sz w:val="28"/>
          <w:szCs w:val="28"/>
          <w:rtl w:val="true"/>
          <w:lang w:bidi="fa-IR"/>
        </w:rPr>
        <w:t>.</w:t>
      </w:r>
    </w:p>
    <w:p>
      <w:pPr>
        <w:pStyle w:val="Heading5"/>
        <w:numPr>
          <w:ilvl w:val="4"/>
          <w:numId w:val="1"/>
        </w:numPr>
        <w:rPr/>
      </w:pPr>
      <w:bookmarkStart w:id="219" w:name="__RefHeading___Toc474037_1479056682"/>
      <w:bookmarkStart w:id="220" w:name="_Toc81"/>
      <w:bookmarkEnd w:id="219"/>
      <w:r>
        <w:rPr>
          <w:rtl w:val="true"/>
        </w:rPr>
        <w:t>دیدگاه فقهای دیگر مذاهب</w:t>
      </w:r>
      <w:bookmarkEnd w:id="220"/>
    </w:p>
    <w:p>
      <w:pPr>
        <w:pStyle w:val="BookText"/>
        <w:rPr/>
      </w:pPr>
      <w:r>
        <w:rPr>
          <w:rFonts w:ascii="Amiri" w:hAnsi="Amiri" w:eastAsia="Amiri" w:cs="Amiri"/>
          <w:color w:val="111111"/>
          <w:sz w:val="28"/>
          <w:sz w:val="28"/>
          <w:szCs w:val="28"/>
          <w:rtl w:val="true"/>
          <w:lang w:bidi="ar-SA"/>
        </w:rPr>
        <w:t>حنفیّه و شافعیّه</w:t>
      </w:r>
    </w:p>
    <w:p>
      <w:pPr>
        <w:pStyle w:val="BookText"/>
        <w:rPr/>
      </w:pPr>
      <w:r>
        <w:rPr>
          <w:rFonts w:ascii="Amiri" w:hAnsi="Amiri" w:eastAsia="Amiri" w:cs="Amiri"/>
          <w:color w:val="111111"/>
          <w:sz w:val="28"/>
          <w:sz w:val="28"/>
          <w:szCs w:val="28"/>
          <w:rtl w:val="true"/>
          <w:lang w:bidi="ar-SA"/>
        </w:rPr>
        <w:t>وَهبهُ‌الزُّحَیْلی اعتبار تنجیز در وقف را به جمهور، بجز مالکیّه، نسبت‌داده است</w:t>
      </w:r>
      <w:r>
        <w:rPr>
          <w:rStyle w:val="FootnoteAnchor"/>
          <w:rtl w:val="true"/>
        </w:rPr>
        <w:footnoteReference w:id="3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مُغنِیَه از قول حنفیّه و شافعیّه نقل کرده است که اگر وقفی معلّق شد، مال مَوْقوف</w:t>
      </w:r>
    </w:p>
    <w:p>
      <w:pPr>
        <w:pStyle w:val="BookText"/>
        <w:rPr/>
      </w:pPr>
      <w:r>
        <w:rPr>
          <w:rFonts w:ascii="IRNazanin" w:hAnsi="IRNazanin" w:eastAsia="IRNazanin"/>
          <w:color w:val="111111"/>
          <w:sz w:val="28"/>
          <w:sz w:val="28"/>
          <w:szCs w:val="28"/>
          <w:rtl w:val="true"/>
          <w:lang w:bidi="fa-IR"/>
        </w:rPr>
        <w:t>بر ملک صاحبش باقی می‌ماند</w:t>
      </w:r>
      <w:r>
        <w:rPr>
          <w:rFonts w:eastAsia="IRNazanin" w:cs="IRNazanin"/>
          <w:color w:val="111111"/>
          <w:sz w:val="28"/>
          <w:szCs w:val="28"/>
          <w:rtl w:val="true"/>
          <w:lang w:bidi="fa-IR"/>
        </w:rPr>
        <w:t>.</w:t>
      </w:r>
      <w:r>
        <w:rPr>
          <w:rStyle w:val="FootnoteAnchor"/>
          <w:rtl w:val="true"/>
        </w:rPr>
        <w:footnoteReference w:id="304"/>
      </w: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را این مطلب می‌داند که وقف نیز همانند بیع وهبه عقدی است که مقتضی نقل ملک در حال وقوع عقد است و تعلیق، با این اقتضا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محلّ خلاف</w:t>
      </w:r>
    </w:p>
    <w:p>
      <w:pPr>
        <w:pStyle w:val="BookText"/>
        <w:rPr/>
      </w:pPr>
      <w:r>
        <w:rPr>
          <w:rFonts w:ascii="IRNazanin" w:hAnsi="IRNazanin" w:eastAsia="IRNazanin"/>
          <w:color w:val="111111"/>
          <w:sz w:val="28"/>
          <w:sz w:val="28"/>
          <w:szCs w:val="28"/>
          <w:rtl w:val="true"/>
          <w:lang w:bidi="fa-IR"/>
        </w:rPr>
        <w:t xml:space="preserve">جایی است که وقف، مشابه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و فَکِّ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امّا در مواردی که وقف، مشابه تحریر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وقف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مَسْجِدا اِذا جاءَ رَمَضان</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وقف صحیح است</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وقف بر موت واقف،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داری بَعْدَ مَوْتی اشکالی ندارد و وَهْبَهُ‌الزُّحَیْلی این مطلب را متّفقٌ عَلَیْه می‌داند</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دلیل این امر هم این است که در این صورت مورد می‌شود از موارد وصیّت به وقف که احکام وصیّت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وجوب تنجیز اگر واقف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مِتُّ فَهذا وَقْفٌ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موت هم وقف نخواهد بود و باطل است؛ 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مِتُّ</w:t>
      </w:r>
    </w:p>
    <w:p>
      <w:pPr>
        <w:pStyle w:val="BookText"/>
        <w:rPr/>
      </w:pPr>
      <w:r>
        <w:rPr>
          <w:rFonts w:ascii="IRNazanin" w:hAnsi="IRNazanin" w:eastAsia="IRNazanin"/>
          <w:color w:val="111111"/>
          <w:sz w:val="28"/>
          <w:sz w:val="28"/>
          <w:szCs w:val="28"/>
          <w:rtl w:val="true"/>
          <w:lang w:bidi="fa-IR"/>
        </w:rPr>
        <w:t>فَاجْعَلوا هذا وَقفا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وقف خواهد بود و بر وصیّ اوست که آن را انجام دهد و</w:t>
      </w:r>
    </w:p>
    <w:p>
      <w:pPr>
        <w:pStyle w:val="BookText"/>
        <w:rPr/>
      </w:pPr>
      <w:r>
        <w:rPr>
          <w:rFonts w:ascii="IRNazanin" w:hAnsi="IRNazanin" w:eastAsia="IRNazanin"/>
          <w:color w:val="111111"/>
          <w:sz w:val="28"/>
          <w:sz w:val="28"/>
          <w:szCs w:val="28"/>
          <w:rtl w:val="true"/>
          <w:lang w:bidi="fa-IR"/>
        </w:rPr>
        <w:t>وقف را انشاء کند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این بحث در جای خود نیز مختصرا مطرح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Amiri" w:hAnsi="Amiri" w:eastAsia="Amiri" w:cs="Amiri"/>
          <w:color w:val="111111"/>
          <w:sz w:val="28"/>
          <w:sz w:val="28"/>
          <w:szCs w:val="28"/>
          <w:rtl w:val="true"/>
          <w:lang w:bidi="ar-SA"/>
        </w:rPr>
        <w:t>در رَدُّ المحتار</w:t>
      </w:r>
      <w:r>
        <w:rPr>
          <w:rStyle w:val="FootnoteAnchor"/>
          <w:rtl w:val="true"/>
        </w:rPr>
        <w:footnoteReference w:id="308"/>
      </w:r>
      <w:r>
        <w:rPr>
          <w:rFonts w:ascii="Amiri" w:hAnsi="Amiri" w:eastAsia="Amiri" w:cs="Amiri"/>
          <w:color w:val="111111"/>
          <w:sz w:val="28"/>
          <w:sz w:val="28"/>
          <w:szCs w:val="28"/>
          <w:rtl w:val="true"/>
          <w:lang w:bidi="ar-SA"/>
        </w:rPr>
        <w:t>و کَشّافُ القِناع</w:t>
      </w:r>
      <w:r>
        <w:rPr>
          <w:rStyle w:val="FootnoteAnchor"/>
          <w:rtl w:val="true"/>
        </w:rPr>
        <w:footnoteReference w:id="309"/>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تصرّفاتی است که به هیچ وجه تعلیق بردار نیست و حتما باید صیغه آن منجّز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وهبة الزّحیلی در عبارت فوق مالکیه</w:t>
      </w:r>
    </w:p>
    <w:p>
      <w:pPr>
        <w:pStyle w:val="BookText"/>
        <w:rPr/>
      </w:pPr>
      <w:r>
        <w:rPr>
          <w:rFonts w:ascii="IRNazanin" w:hAnsi="IRNazanin" w:eastAsia="IRNazanin"/>
          <w:color w:val="111111"/>
          <w:sz w:val="28"/>
          <w:sz w:val="28"/>
          <w:szCs w:val="28"/>
          <w:rtl w:val="true"/>
          <w:lang w:bidi="fa-IR"/>
        </w:rPr>
        <w:t>را استثناء نکرد، امّا فقهای مالکی تصریح کرده‌اند که در وقف تنجیز شرط نیست و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مال بعد از یک سال یا دو سال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صورت اطلاق، حمل بر تنجیز می‌شود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حنابله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قدامه تصریح کرده است که تعلیق ابتدای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رأسُ الشَّهر فَداری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در این مسأله من مخالفی را سراغ ندارم، زیرا وقف، نقل ملک است همانند هبه، و تعلیق در آن جایز نیست</w:t>
      </w:r>
      <w:r>
        <w:rPr>
          <w:rFonts w:eastAsia="IRNazanin" w:cs="IRNazanin"/>
          <w:color w:val="111111"/>
          <w:sz w:val="28"/>
          <w:szCs w:val="28"/>
          <w:rtl w:val="true"/>
          <w:lang w:bidi="fa-IR"/>
        </w:rPr>
        <w:t>.</w:t>
      </w:r>
      <w:r>
        <w:rPr>
          <w:rStyle w:val="FootnoteAnchor"/>
          <w:rtl w:val="true"/>
        </w:rPr>
        <w:footnoteReference w:id="311"/>
      </w:r>
      <w:bookmarkStart w:id="221" w:name="pg4267_21829"/>
    </w:p>
    <w:p>
      <w:pPr>
        <w:pStyle w:val="Heading4"/>
        <w:numPr>
          <w:ilvl w:val="3"/>
          <w:numId w:val="1"/>
        </w:numPr>
        <w:rPr/>
      </w:pPr>
      <w:bookmarkStart w:id="222" w:name="__RefHeading___Toc474039_1479056682"/>
      <w:bookmarkStart w:id="223" w:name="_Toc82"/>
      <w:bookmarkEnd w:id="221"/>
      <w:bookmarkEnd w:id="222"/>
      <w:r>
        <w:rPr>
          <w:rtl w:val="true"/>
        </w:rPr>
        <w:t>شرط چهارم</w:t>
      </w:r>
      <w:r>
        <w:rPr>
          <w:rtl w:val="true"/>
        </w:rPr>
        <w:t xml:space="preserve">: </w:t>
      </w:r>
      <w:r>
        <w:rPr>
          <w:rtl w:val="true"/>
        </w:rPr>
        <w:t xml:space="preserve">تأبید </w:t>
      </w:r>
      <w:r>
        <w:rPr>
          <w:rtl w:val="true"/>
        </w:rPr>
        <w:t>(</w:t>
      </w:r>
      <w:r>
        <w:rPr>
          <w:rtl w:val="true"/>
        </w:rPr>
        <w:t>دوام</w:t>
      </w:r>
      <w:r>
        <w:rPr>
          <w:rtl w:val="true"/>
        </w:rPr>
        <w:t>)</w:t>
      </w:r>
      <w:bookmarkEnd w:id="223"/>
    </w:p>
    <w:p>
      <w:pPr>
        <w:pStyle w:val="Heading5"/>
        <w:numPr>
          <w:ilvl w:val="4"/>
          <w:numId w:val="1"/>
        </w:numPr>
        <w:rPr/>
      </w:pPr>
      <w:bookmarkStart w:id="224" w:name="__RefHeading___Toc474041_1479056682"/>
      <w:bookmarkStart w:id="225" w:name="_Toc83"/>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در میان مذاهب اسلامی، فقه مالکی بروشنی اشتراط تأبید و دوام را در وقف منتفی می‌داند</w:t>
      </w:r>
      <w:r>
        <w:rPr>
          <w:rFonts w:eastAsia="IRNazanin" w:cs="IRNazanin"/>
          <w:color w:val="111111"/>
          <w:sz w:val="28"/>
          <w:szCs w:val="28"/>
          <w:rtl w:val="true"/>
          <w:lang w:bidi="fa-IR"/>
        </w:rPr>
        <w:t>.</w:t>
      </w:r>
      <w:r>
        <w:rPr>
          <w:rStyle w:val="FootnoteAnchor"/>
          <w:rtl w:val="true"/>
        </w:rPr>
        <w:footnoteReference w:id="312"/>
      </w:r>
      <w:r>
        <w:rPr>
          <w:rFonts w:ascii="IRNazanin" w:hAnsi="IRNazanin" w:eastAsia="IRNazanin"/>
          <w:color w:val="111111"/>
          <w:sz w:val="28"/>
          <w:sz w:val="28"/>
          <w:szCs w:val="28"/>
          <w:rtl w:val="true"/>
          <w:lang w:bidi="fa-IR"/>
        </w:rPr>
        <w:t>در اسهل المدارک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تأبید شرط نیست و انسان می‌تواند مالی را برای مدّتی معین و موقّت، مثلاً یک سال یا بیشتر، وقف کند و پس از انقضای مدّت، این مال دوباره به ملک واقف باز می‌گردد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البتّه در روایت دیگری از مالک نقل شده که اگر بر فرزندان خود حبس کند و بعد از آنها مرجعی را ذکر نکند پس از انقراض آنها به خویشان مسکین وی می‌رسد و میراث نخواهد بود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ولی نظر روشن و مورد تأیید فقه مالکی این است که در وقف موقّت، در پایان زمان وقف مال به واقف و اگر مرده بود به وارث او باز می‌گردد</w:t>
      </w:r>
      <w:r>
        <w:rPr>
          <w:rFonts w:eastAsia="IRNazanin" w:cs="IRNazanin"/>
          <w:color w:val="111111"/>
          <w:sz w:val="28"/>
          <w:szCs w:val="28"/>
          <w:rtl w:val="true"/>
          <w:lang w:bidi="fa-IR"/>
        </w:rPr>
        <w:t>.</w:t>
      </w:r>
      <w:r>
        <w:rPr>
          <w:rStyle w:val="FootnoteAnchor"/>
          <w:rtl w:val="true"/>
        </w:rPr>
        <w:footnoteReference w:id="315"/>
      </w:r>
    </w:p>
    <w:p>
      <w:pPr>
        <w:pStyle w:val="Heading5"/>
        <w:numPr>
          <w:ilvl w:val="4"/>
          <w:numId w:val="1"/>
        </w:numPr>
        <w:rPr/>
      </w:pPr>
      <w:bookmarkStart w:id="226" w:name="__RefHeading___Toc474043_1479056682"/>
      <w:bookmarkStart w:id="227" w:name="_Toc84"/>
      <w:bookmarkEnd w:id="226"/>
      <w:r>
        <w:rPr>
          <w:rtl w:val="true"/>
        </w:rPr>
        <w:t>فقه امامیّه</w:t>
      </w:r>
      <w:bookmarkEnd w:id="227"/>
    </w:p>
    <w:p>
      <w:pPr>
        <w:pStyle w:val="BookText"/>
        <w:rPr/>
      </w:pPr>
      <w:r>
        <w:rPr>
          <w:rFonts w:ascii="IRNazanin" w:hAnsi="IRNazanin" w:eastAsia="IRNazanin"/>
          <w:color w:val="111111"/>
          <w:sz w:val="28"/>
          <w:sz w:val="28"/>
          <w:szCs w:val="28"/>
          <w:rtl w:val="true"/>
          <w:lang w:bidi="fa-IR"/>
        </w:rPr>
        <w:t xml:space="preserve">تقریبا نظر همه فقهای امامیّه این است که در صحّت وقف،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یعنی نباید مقیّد به زمانی معیّن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w:t>
      </w:r>
      <w:r>
        <w:rPr>
          <w:rStyle w:val="FootnoteAnchor"/>
          <w:rtl w:val="true"/>
        </w:rPr>
        <w:footnoteReference w:id="31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را بر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فلان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یکساله کردم، این وقف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در مختلف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وقف تأبید است، از این رو اگر مالی را بر کسانی که غالبا منقرض می‌شوند، وقف کند، مانند وقف بر اولاد و اولادِ اولاد و پایانِ</w:t>
      </w:r>
    </w:p>
    <w:p>
      <w:pPr>
        <w:pStyle w:val="BookText"/>
        <w:rPr/>
      </w:pPr>
      <w:r>
        <w:rPr>
          <w:rFonts w:ascii="IRNazanin" w:hAnsi="IRNazanin" w:eastAsia="IRNazanin"/>
          <w:color w:val="111111"/>
          <w:sz w:val="28"/>
          <w:sz w:val="28"/>
          <w:szCs w:val="28"/>
          <w:rtl w:val="true"/>
          <w:lang w:bidi="fa-IR"/>
        </w:rPr>
        <w:t xml:space="preserve">آن را برای فقرا و مساکین یا مساجد و مشاهد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ندهد، به نظر شیخان و ابن جنید،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صحیح است و نظر سلاّر و قاضی ابن برّاج و ابن ادریس نیز همین است</w:t>
      </w:r>
      <w:r>
        <w:rPr>
          <w:rFonts w:eastAsia="IRNazanin" w:cs="IRNazanin"/>
          <w:color w:val="111111"/>
          <w:sz w:val="28"/>
          <w:szCs w:val="28"/>
          <w:rtl w:val="true"/>
          <w:lang w:bidi="fa-IR"/>
        </w:rPr>
        <w:t>.</w:t>
      </w:r>
      <w:r>
        <w:rPr>
          <w:rStyle w:val="FootnoteAnchor"/>
          <w:rtl w:val="true"/>
        </w:rPr>
        <w:footnoteReference w:id="317"/>
      </w:r>
      <w:r>
        <w:rPr>
          <w:rFonts w:ascii="IRNazanin" w:hAnsi="IRNazanin" w:eastAsia="IRNazanin"/>
          <w:color w:val="111111"/>
          <w:sz w:val="28"/>
          <w:sz w:val="28"/>
          <w:szCs w:val="28"/>
          <w:rtl w:val="true"/>
          <w:lang w:bidi="fa-IR"/>
        </w:rPr>
        <w:t>گذشته از این که شیخ در خلاف و مبسوط وقف موقّت را باطل می‌داند، ابن ادریس</w:t>
      </w:r>
      <w:r>
        <w:rPr>
          <w:rStyle w:val="FootnoteAnchor"/>
          <w:rtl w:val="true"/>
        </w:rPr>
        <w:footnoteReference w:id="318"/>
      </w:r>
      <w:r>
        <w:rPr>
          <w:rFonts w:ascii="IRNazanin" w:hAnsi="IRNazanin" w:eastAsia="IRNazanin"/>
          <w:color w:val="111111"/>
          <w:sz w:val="28"/>
          <w:sz w:val="28"/>
          <w:szCs w:val="28"/>
          <w:rtl w:val="true"/>
          <w:lang w:bidi="fa-IR"/>
        </w:rPr>
        <w:t xml:space="preserve">هم تصریح کرده است که وقف موقّت به دلیل سنّت باطل است، لذا معلوم نیست 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قول به صحّت وقف را به این بزرگان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صاحب مفتاح الکرامه در </w:t>
      </w:r>
    </w:p>
    <w:p>
      <w:pPr>
        <w:pStyle w:val="BookText"/>
        <w:rPr/>
      </w:pPr>
      <w:r>
        <w:rPr>
          <w:rFonts w:ascii="IRNazanin" w:hAnsi="IRNazanin" w:eastAsia="IRNazanin"/>
          <w:color w:val="111111"/>
          <w:sz w:val="28"/>
          <w:sz w:val="28"/>
          <w:szCs w:val="28"/>
          <w:rtl w:val="true"/>
          <w:lang w:bidi="fa-IR"/>
        </w:rPr>
        <w:t xml:space="preserve">اشتراط دوام همانند خلاف، اجماع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آنان است</w:t>
      </w:r>
      <w:r>
        <w:rPr>
          <w:rFonts w:eastAsia="IRNazanin" w:cs="IRNazanin"/>
          <w:color w:val="111111"/>
          <w:sz w:val="28"/>
          <w:szCs w:val="28"/>
          <w:rtl w:val="true"/>
          <w:lang w:bidi="fa-IR"/>
        </w:rPr>
        <w:t>.</w:t>
      </w:r>
      <w:r>
        <w:rPr>
          <w:rStyle w:val="FootnoteAnchor"/>
          <w:rtl w:val="true"/>
        </w:rPr>
        <w:footnoteReference w:id="319"/>
      </w:r>
      <w:r>
        <w:rPr>
          <w:rFonts w:ascii="IRNazanin" w:hAnsi="IRNazanin" w:eastAsia="IRNazanin"/>
          <w:color w:val="111111"/>
          <w:sz w:val="28"/>
          <w:sz w:val="28"/>
          <w:szCs w:val="28"/>
          <w:rtl w:val="true"/>
          <w:lang w:bidi="fa-IR"/>
        </w:rPr>
        <w:t>و در جواهر آمده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مخالفی را سراغ نداریم، بلکه اجماع مُحصّل و مَحکی بر این مطلب قائم است</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 xml:space="preserve">و مفتاح بجز اجماع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انتقال در صورت عدم 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نیز استناد کرده است، زیرا اخبار در این باب یا در اعتبار دوام صراحت دارند یا دوام از آنها</w:t>
      </w:r>
    </w:p>
    <w:p>
      <w:pPr>
        <w:pStyle w:val="BookText"/>
        <w:rPr/>
      </w:pPr>
      <w:r>
        <w:rPr>
          <w:rFonts w:ascii="IRNazanin" w:hAnsi="IRNazanin" w:eastAsia="IRNazanin"/>
          <w:color w:val="111111"/>
          <w:sz w:val="28"/>
          <w:sz w:val="28"/>
          <w:szCs w:val="28"/>
          <w:rtl w:val="true"/>
          <w:lang w:bidi="fa-IR"/>
        </w:rPr>
        <w:t xml:space="preserve">متبادر می‌شود مانند اخبار وارد در وقفهای ائمه علیهم‌السلام و حتّی شیخ در تهذیب و استبصار، این اخبار را که ادلّه اشتراط دوام هستند، مخصّص عموماتی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کاشف الغطاء دوام را از مقوّمات وقف می‌داند که در خود وقف معتبر است نه در آحاد مالِ موقوف؛ چون طبیعی است که اموال موقوفه دائمی نخواهند بود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محقّق در المختصرالنّافع</w:t>
      </w:r>
      <w:r>
        <w:rPr>
          <w:rStyle w:val="FootnoteAnchor"/>
          <w:rtl w:val="true"/>
        </w:rPr>
        <w:footnoteReference w:id="324"/>
      </w:r>
      <w:r>
        <w:rPr>
          <w:rFonts w:ascii="IRNazanin" w:hAnsi="IRNazanin" w:eastAsia="IRNazanin"/>
          <w:color w:val="111111"/>
          <w:sz w:val="28"/>
          <w:sz w:val="28"/>
          <w:szCs w:val="28"/>
          <w:rtl w:val="true"/>
          <w:lang w:bidi="fa-IR"/>
        </w:rPr>
        <w:t>، فاضل مقداد در التنقیح الرائع</w:t>
      </w:r>
      <w:r>
        <w:rPr>
          <w:rStyle w:val="FootnoteAnchor"/>
          <w:rtl w:val="true"/>
        </w:rPr>
        <w:footnoteReference w:id="325"/>
      </w:r>
      <w:r>
        <w:rPr>
          <w:rFonts w:ascii="IRNazanin" w:hAnsi="IRNazanin" w:eastAsia="IRNazanin"/>
          <w:color w:val="111111"/>
          <w:sz w:val="28"/>
          <w:sz w:val="28"/>
          <w:szCs w:val="28"/>
          <w:rtl w:val="true"/>
          <w:lang w:bidi="fa-IR"/>
        </w:rPr>
        <w:t>، ابن زهره در غنیه</w:t>
      </w:r>
      <w:r>
        <w:rPr>
          <w:rStyle w:val="FootnoteAnchor"/>
          <w:rtl w:val="true"/>
        </w:rPr>
        <w:footnoteReference w:id="326"/>
      </w:r>
      <w:r>
        <w:rPr>
          <w:rFonts w:ascii="IRNazanin" w:hAnsi="IRNazanin" w:eastAsia="IRNazanin"/>
          <w:color w:val="111111"/>
          <w:sz w:val="28"/>
          <w:sz w:val="28"/>
          <w:szCs w:val="28"/>
          <w:rtl w:val="true"/>
          <w:lang w:bidi="fa-IR"/>
        </w:rPr>
        <w:t>، محقّق‌ثانی در جامع المقاصد</w:t>
      </w:r>
      <w:r>
        <w:rPr>
          <w:rStyle w:val="FootnoteAnchor"/>
          <w:rtl w:val="true"/>
        </w:rPr>
        <w:footnoteReference w:id="327"/>
      </w:r>
      <w:r>
        <w:rPr>
          <w:rFonts w:ascii="IRNazanin" w:hAnsi="IRNazanin" w:eastAsia="IRNazanin"/>
          <w:color w:val="111111"/>
          <w:sz w:val="28"/>
          <w:sz w:val="28"/>
          <w:szCs w:val="28"/>
          <w:rtl w:val="true"/>
          <w:lang w:bidi="fa-IR"/>
        </w:rPr>
        <w:t>، شهید در دروس،</w:t>
      </w:r>
      <w:r>
        <w:rPr>
          <w:rStyle w:val="FootnoteAnchor"/>
          <w:rtl w:val="true"/>
        </w:rPr>
        <w:footnoteReference w:id="328"/>
      </w:r>
      <w:r>
        <w:rPr>
          <w:rFonts w:ascii="IRNazanin" w:hAnsi="IRNazanin" w:eastAsia="IRNazanin"/>
          <w:color w:val="111111"/>
          <w:sz w:val="28"/>
          <w:sz w:val="28"/>
          <w:szCs w:val="28"/>
          <w:rtl w:val="true"/>
          <w:lang w:bidi="fa-IR"/>
        </w:rPr>
        <w:t>، علاّمه در قواعد و فخرالمحقّقین در ایضاح الفوائد</w:t>
      </w:r>
      <w:r>
        <w:rPr>
          <w:rStyle w:val="FootnoteAnchor"/>
          <w:rtl w:val="true"/>
        </w:rPr>
        <w:footnoteReference w:id="329"/>
      </w:r>
      <w:r>
        <w:rPr>
          <w:rFonts w:ascii="IRNazanin" w:hAnsi="IRNazanin" w:eastAsia="IRNazanin"/>
          <w:color w:val="111111"/>
          <w:sz w:val="28"/>
          <w:sz w:val="28"/>
          <w:szCs w:val="28"/>
          <w:rtl w:val="true"/>
          <w:lang w:bidi="fa-IR"/>
        </w:rPr>
        <w:t>با صراحت، دوام و تأبید را در وقف شرط دانسته‌اند و مفاتیح الشرایع، اشتراط دوام را به مشهور نسبت داده است</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از فقهای معاصر نیز آیه‌اللّه خوانساری</w:t>
      </w:r>
      <w:r>
        <w:rPr>
          <w:rStyle w:val="FootnoteAnchor"/>
          <w:rtl w:val="true"/>
        </w:rPr>
        <w:footnoteReference w:id="331"/>
      </w:r>
      <w:r>
        <w:rPr>
          <w:rFonts w:ascii="IRNazanin" w:hAnsi="IRNazanin" w:eastAsia="IRNazanin"/>
          <w:color w:val="111111"/>
          <w:sz w:val="28"/>
          <w:sz w:val="28"/>
          <w:szCs w:val="28"/>
          <w:rtl w:val="true"/>
          <w:lang w:bidi="fa-IR"/>
        </w:rPr>
        <w:t>، صاحب عروه</w:t>
      </w:r>
      <w:r>
        <w:rPr>
          <w:rStyle w:val="FootnoteAnchor"/>
          <w:rtl w:val="true"/>
        </w:rPr>
        <w:footnoteReference w:id="332"/>
      </w:r>
      <w:r>
        <w:rPr>
          <w:rFonts w:ascii="IRNazanin" w:hAnsi="IRNazanin" w:eastAsia="IRNazanin"/>
          <w:color w:val="111111"/>
          <w:sz w:val="28"/>
          <w:sz w:val="28"/>
          <w:szCs w:val="28"/>
          <w:rtl w:val="true"/>
          <w:lang w:bidi="fa-IR"/>
        </w:rPr>
        <w:t>و آیه‌اللّه حکیم</w:t>
      </w:r>
      <w:r>
        <w:rPr>
          <w:rStyle w:val="FootnoteAnchor"/>
          <w:rtl w:val="true"/>
        </w:rPr>
        <w:footnoteReference w:id="333"/>
      </w:r>
      <w:r>
        <w:rPr>
          <w:rFonts w:ascii="IRNazanin" w:hAnsi="IRNazanin" w:eastAsia="IRNazanin"/>
          <w:color w:val="111111"/>
          <w:sz w:val="28"/>
          <w:sz w:val="28"/>
          <w:szCs w:val="28"/>
          <w:rtl w:val="true"/>
          <w:lang w:bidi="fa-IR"/>
        </w:rPr>
        <w:t>به اعتبار دوام در وقف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ظاهر و بعضا صراحت عبارات بعضی از فقهای گذشته و معاصر استفاده می‌شود که وقف موقّت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در مورد وقف بر کسانی که عادتا منقرض می‌شوند، می‌نویسد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موجّه در نزد من صحّت است، زیرا این کار، خود نوعی تملیک به صدقه است و در تخصیص و مانند آن تابع انتخاب و گزینش مالک است و نیز برای این که در تملیک به </w:t>
      </w:r>
    </w:p>
    <w:p>
      <w:pPr>
        <w:pStyle w:val="BookText"/>
        <w:rPr/>
      </w:pPr>
      <w:r>
        <w:rPr>
          <w:rFonts w:ascii="IRNazanin" w:hAnsi="IRNazanin" w:eastAsia="IRNazanin"/>
          <w:color w:val="111111"/>
          <w:sz w:val="28"/>
          <w:sz w:val="28"/>
          <w:szCs w:val="28"/>
          <w:rtl w:val="true"/>
          <w:lang w:bidi="fa-IR"/>
        </w:rPr>
        <w:t xml:space="preserve">یک گروه، تملیک به‌گروه دیگر شرط نیست وگر نه تقدّم معلول بر علت لازم می‌آید همچنین می‌بینیم که حضرت زهرا علیهاالسلامحوائط هفت گانه را بر فرزندان خویش وقف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اولاد در معرض انقراضند</w:t>
      </w:r>
      <w:r>
        <w:rPr>
          <w:rFonts w:eastAsia="IRNazanin" w:cs="IRNazanin"/>
          <w:color w:val="111111"/>
          <w:sz w:val="28"/>
          <w:szCs w:val="28"/>
          <w:rtl w:val="true"/>
          <w:lang w:bidi="fa-IR"/>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گرایش شهید ثانی</w:t>
      </w:r>
      <w:r>
        <w:rPr>
          <w:rStyle w:val="FootnoteAnchor"/>
          <w:rtl w:val="true"/>
        </w:rPr>
        <w:footnoteReference w:id="335"/>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 وقف بر افرادی که عادتا منقرض می‌شوند صحیح است</w:t>
      </w:r>
      <w:r>
        <w:rPr>
          <w:rStyle w:val="FootnoteAnchor"/>
          <w:rtl w:val="true"/>
        </w:rPr>
        <w:footnoteReference w:id="336"/>
      </w:r>
      <w:r>
        <w:rPr>
          <w:rFonts w:ascii="IRNazanin" w:hAnsi="IRNazanin" w:eastAsia="IRNazanin"/>
          <w:color w:val="111111"/>
          <w:sz w:val="28"/>
          <w:sz w:val="28"/>
          <w:szCs w:val="28"/>
          <w:rtl w:val="true"/>
          <w:lang w:bidi="fa-IR"/>
        </w:rPr>
        <w:t>هر چند، همان طور که شهیدثانی در مسالک گفته است، فرق بین وقف این‌چنینی با حبس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شایسته است که وقفِ مقیّد به زمان مانند یک سال و نظیر آن در نظر همه فقها باطل است و اَعلامی که به صحت قایل شدند، نظرشان مربوط به موردی است که واقف بر مواردی که در معرض انقراضند، وقف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به‌این نکته می‌توان گفت؛ آنچه با تأبید ناسازگار است مقیّد ساختن وقف به زمان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وقف بر مواردی باشد که در معرض انقراضند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تقیید به‌زمان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دیدگاه شهید ثانی و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قابل دفاع است همانند باب نکاح که مجرّد عدم تقیید به‌مدّت برای تحقّق دوام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فقها قایل به بطلان شده‌اند آیا منظورشان این است که مطلقا باطل است یا تنها به عنوان وقفْ باطل است، امّا به عنوان حبس صحیح است؟</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مفتاح الکرامه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غنیه، سرائر، شرایع و نهایه نسبت داده است که اگر به عنوان سُکنی، عمری یا رُقبی باشد صحیح است و به المختصرالنّافع، تحریر، دروس، مسالک، روضه و کفایه نسبت داده است که به عنوان حبس صحیح است</w:t>
      </w:r>
      <w:r>
        <w:rPr>
          <w:rFonts w:eastAsia="IRNazanin" w:cs="IRNazanin"/>
          <w:color w:val="111111"/>
          <w:sz w:val="28"/>
          <w:szCs w:val="28"/>
          <w:rtl w:val="true"/>
          <w:lang w:bidi="fa-IR"/>
        </w:rPr>
        <w:t>.</w:t>
      </w:r>
      <w:r>
        <w:rPr>
          <w:rStyle w:val="FootnoteAnchor"/>
          <w:rtl w:val="true"/>
        </w:rPr>
        <w:footnoteReference w:id="338"/>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تذکره احتمال داده است که به عنوان حبس صحیح باشد</w:t>
      </w:r>
      <w:r>
        <w:rPr>
          <w:rStyle w:val="FootnoteAnchor"/>
          <w:rtl w:val="true"/>
        </w:rPr>
        <w:footnoteReference w:id="339"/>
      </w:r>
      <w:r>
        <w:rPr>
          <w:rFonts w:ascii="IRNazanin" w:hAnsi="IRNazanin" w:eastAsia="IRNazanin"/>
          <w:color w:val="111111"/>
          <w:sz w:val="28"/>
          <w:sz w:val="28"/>
          <w:szCs w:val="28"/>
          <w:rtl w:val="true"/>
          <w:lang w:bidi="fa-IR"/>
        </w:rPr>
        <w:t xml:space="preserve">مفتاح الکرامة دلیل صحّت حبس را وجود مقتضی می‌داند که همان صیغه است و برای حبس نیز </w:t>
      </w:r>
    </w:p>
    <w:p>
      <w:pPr>
        <w:pStyle w:val="BookText"/>
        <w:rPr/>
      </w:pPr>
      <w:r>
        <w:rPr>
          <w:rFonts w:ascii="IRNazanin" w:hAnsi="IRNazanin" w:eastAsia="IRNazanin"/>
          <w:color w:val="111111"/>
          <w:sz w:val="28"/>
          <w:sz w:val="28"/>
          <w:szCs w:val="28"/>
          <w:rtl w:val="true"/>
          <w:lang w:bidi="fa-IR"/>
        </w:rPr>
        <w:t>شایستگی دارد؛ زیرا وقف و حبس در معنا اشتراک دارند و صیغه هریک می‌تواند جای دیگری بنشیند، یعنی مقرون به عدم تأبید شدن خود قرینه برحبس است</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قواعد نیز این مورد را حبس می‌داند که بعد از انقراض به ورثه حابس باز می‌گردد</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همچنین شهید</w:t>
      </w:r>
      <w:r>
        <w:rPr>
          <w:rStyle w:val="FootnoteAnchor"/>
          <w:rtl w:val="true"/>
        </w:rPr>
        <w:footnoteReference w:id="342"/>
      </w:r>
      <w:r>
        <w:rPr>
          <w:rFonts w:ascii="Amiri" w:hAnsi="Amiri" w:eastAsia="Amiri" w:cs="Amiri"/>
          <w:color w:val="111111"/>
          <w:sz w:val="28"/>
          <w:sz w:val="28"/>
          <w:szCs w:val="28"/>
          <w:rtl w:val="true"/>
          <w:lang w:bidi="ar-SA"/>
        </w:rPr>
        <w:t>و محقّق</w:t>
      </w:r>
      <w:r>
        <w:rPr>
          <w:rStyle w:val="FootnoteAnchor"/>
          <w:rtl w:val="true"/>
        </w:rPr>
        <w:footnoteReference w:id="343"/>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را به عنوان حبس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را اراده کرده باشد قطعا باطل است در غیر این صورت انظار، مختلف است که در نهایت، تمایل صاحب جواهر به عدم صحّت حبس است</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 xml:space="preserve">و دلیل وی این است که لفظ در معنای حقیقی خودش که وقف است، ظهور دارد و روشن است که این معنا غیر از حبس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واقع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ماقُصِد لم یَقَعْ و ما وَقَع لم یُقْصَدْ</w:t>
      </w:r>
      <w:r>
        <w:rPr>
          <w:rFonts w:eastAsia="IRNazanin" w:cs="IRNazanin"/>
          <w:color w:val="111111"/>
          <w:sz w:val="28"/>
          <w:szCs w:val="28"/>
          <w:rtl w:val="true"/>
          <w:lang w:bidi="fa-IR"/>
        </w:rPr>
        <w:t>»)</w:t>
      </w:r>
      <w:r>
        <w:rPr>
          <w:rStyle w:val="FootnoteAnchor"/>
          <w:rtl w:val="true"/>
        </w:rPr>
        <w:footnoteReference w:id="3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مُغنِیَه به اکثر فقها نسبت داده که اگر قصد حبس نکرده باشد هم وقف باطل است و هم حبس و اگر قصد وقف کرده باشد باز هم وقف باطل است و هم حبس، امّا اگر قصد حبس کرده به عنوان حبس صحیح است</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در مورد محلّ بحث، صاحب ریاض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همه کسانی که قایل به صحّت هستند صحّت به عنوان وقف نیست، بلکه صحّت به عنوان حَبس است</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صاحب عروه قول به صحّت وقف را قول مشهور می‌داند و آن را تقویت و نیز استدلال</w:t>
      </w:r>
    </w:p>
    <w:p>
      <w:pPr>
        <w:pStyle w:val="BookText"/>
        <w:rPr/>
      </w:pPr>
      <w:r>
        <w:rPr>
          <w:rFonts w:ascii="IRNazanin" w:hAnsi="IRNazanin" w:eastAsia="IRNazanin"/>
          <w:color w:val="111111"/>
          <w:sz w:val="28"/>
          <w:sz w:val="28"/>
          <w:szCs w:val="28"/>
          <w:rtl w:val="true"/>
          <w:lang w:bidi="fa-IR"/>
        </w:rPr>
        <w:t>می‌کند که دلیلی بر اعتبار دوام، جز ادّعای اجماع وجود ندارد که بر فرض تمامیّت آن،</w:t>
      </w:r>
    </w:p>
    <w:p>
      <w:pPr>
        <w:pStyle w:val="BookText"/>
        <w:rPr/>
      </w:pPr>
      <w:r>
        <w:rPr>
          <w:rFonts w:ascii="IRNazanin" w:hAnsi="IRNazanin" w:eastAsia="IRNazanin"/>
          <w:color w:val="111111"/>
          <w:sz w:val="28"/>
          <w:sz w:val="28"/>
          <w:szCs w:val="28"/>
          <w:rtl w:val="true"/>
          <w:lang w:bidi="fa-IR"/>
        </w:rPr>
        <w:t>شامل وقف موقّت نمی‌شود</w:t>
      </w:r>
      <w:r>
        <w:rPr>
          <w:rFonts w:eastAsia="IRNazanin" w:cs="IRNazanin"/>
          <w:color w:val="111111"/>
          <w:sz w:val="28"/>
          <w:szCs w:val="28"/>
          <w:rtl w:val="true"/>
          <w:lang w:bidi="fa-IR"/>
        </w:rPr>
        <w:t>.</w:t>
      </w:r>
      <w:r>
        <w:rPr>
          <w:rStyle w:val="FootnoteAnchor"/>
          <w:rtl w:val="true"/>
        </w:rPr>
        <w:footnoteReference w:id="348"/>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وجه جمع همان است که اشاره شد یعنی قایلان به‌بطلان، مواردی را می‌گویند که مقیّد به زمان معیّن شده باشد و قایلان به‌صحّت، مواردی را می‌گویند که وقف بر مواردی است که در معرض انقراض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اموال بعد از انقراض، ملک کیست؟</w:t>
      </w:r>
    </w:p>
    <w:p>
      <w:pPr>
        <w:pStyle w:val="BookText"/>
        <w:rPr/>
      </w:pPr>
      <w:r>
        <w:rPr>
          <w:rFonts w:ascii="IRNazanin" w:hAnsi="IRNazanin" w:eastAsia="IRNazanin"/>
          <w:color w:val="111111"/>
          <w:sz w:val="28"/>
          <w:sz w:val="28"/>
          <w:szCs w:val="28"/>
          <w:rtl w:val="true"/>
          <w:lang w:bidi="fa-IR"/>
        </w:rPr>
        <w:t>بدون تردید اگر در مورد محلّ بحث، قایل به صحّت آن به عنوان حبس شدیم این مال به مالک اصلی‌اش باز می‌گردد، زیرا اصلاً از اوّل از ملک او خارج نشده است امّا اگر</w:t>
      </w:r>
    </w:p>
    <w:p>
      <w:pPr>
        <w:pStyle w:val="BookText"/>
        <w:rPr/>
      </w:pPr>
      <w:r>
        <w:rPr>
          <w:rFonts w:ascii="IRNazanin" w:hAnsi="IRNazanin" w:eastAsia="IRNazanin"/>
          <w:color w:val="111111"/>
          <w:sz w:val="28"/>
          <w:sz w:val="28"/>
          <w:szCs w:val="28"/>
          <w:rtl w:val="true"/>
          <w:lang w:bidi="fa-IR"/>
        </w:rPr>
        <w:t>قایل به صحّت مورد به عنوان وقف شدیم، این مال به چه کسی باز می‌گردد؟</w:t>
      </w:r>
    </w:p>
    <w:p>
      <w:pPr>
        <w:pStyle w:val="BookText"/>
        <w:rPr/>
      </w:pPr>
      <w:r>
        <w:rPr>
          <w:rFonts w:ascii="IRNazanin" w:hAnsi="IRNazanin" w:eastAsia="IRNazanin"/>
          <w:color w:val="111111"/>
          <w:sz w:val="28"/>
          <w:sz w:val="28"/>
          <w:szCs w:val="28"/>
          <w:rtl w:val="true"/>
          <w:lang w:bidi="fa-IR"/>
        </w:rPr>
        <w:t>کشف‌الرموز به عدهّ‌ای از اَعلام نسبت داده است که چون این وقف تام است از ملک واقف خارج شده و به او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شیح در نهایه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واقف باز می‌گردد و در مبسوط مردّد است و تنها روایت در این مورد روایت جعفر بن حنّان است از امام</w:t>
      </w:r>
    </w:p>
    <w:p>
      <w:pPr>
        <w:pStyle w:val="BookText"/>
        <w:rPr/>
      </w:pPr>
      <w:r>
        <w:rPr>
          <w:rFonts w:ascii="IRNazanin" w:hAnsi="IRNazanin" w:eastAsia="IRNazanin"/>
          <w:color w:val="111111"/>
          <w:sz w:val="28"/>
          <w:sz w:val="28"/>
          <w:szCs w:val="28"/>
          <w:rtl w:val="true"/>
          <w:lang w:bidi="fa-IR"/>
        </w:rPr>
        <w:t>صادق علیه‌السلامکه به خویشان پدری و مادریِ واقف می‌رسد</w:t>
      </w:r>
      <w:r>
        <w:rPr>
          <w:rFonts w:eastAsia="IRNazanin" w:cs="IRNazanin"/>
          <w:color w:val="111111"/>
          <w:sz w:val="28"/>
          <w:szCs w:val="28"/>
          <w:rtl w:val="true"/>
          <w:lang w:bidi="fa-IR"/>
        </w:rPr>
        <w:t>.</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محقّق کَرَکی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به صحّت وقف در این که آیا به ورثه واقف باز می‌گردد، یا به ورثه موقوفٌ عَلَیْه و یا در وجوه بِرّ مصرف می‌شود، اقوالی است که مفید و ابن ادریس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مَوْقوفٌ علیهم باز می‌گردد، چون ملک به آنها منتقل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وجوه بِرّ مصرف می‌شود، چون از ملک واقف خارج شده و از طرفی نزدیکترین مورد مصرف به مقصود وی وجوه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جماعتی نیز معتقدند که به ورثه واقف باز می‌گردد و در این مورد به روایتی از امام صادق علیه‌السلاماستناد کرده‌اند</w:t>
      </w:r>
      <w:r>
        <w:rPr>
          <w:rStyle w:val="FootnoteAnchor"/>
          <w:rtl w:val="true"/>
        </w:rPr>
        <w:footnoteReference w:id="350"/>
      </w:r>
      <w:r>
        <w:rPr>
          <w:rFonts w:ascii="IRNazanin" w:hAnsi="IRNazanin" w:eastAsia="IRNazanin"/>
          <w:color w:val="111111"/>
          <w:sz w:val="28"/>
          <w:sz w:val="28"/>
          <w:szCs w:val="28"/>
          <w:rtl w:val="true"/>
          <w:lang w:bidi="fa-IR"/>
        </w:rPr>
        <w:t>و در نهایت، محقّق ثانی راه حل اساسی را این می‌داند که این مورد را وقف ندانیم و قایل به صحّت آن به عنوان حبس شویم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اگر وقف را صحیح دانستیم ظاهرا نزدیکترین قول به ادّله، همان قول به صرف در وجوه بِرّ باشد؛ زیرا این مال از ملک واقف خارج شده و بازگشت آن، دلیل مجدّد می‌خواهد، ملکیّت موقوفٌ عَلَیْه هم که طبق مقتضای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منقضی شده، لذا مناسبترین راه همان صرف در وجوه بِرّ است که قطعا صرف در خویشانِ واقف احوط و اَوْلی است</w:t>
      </w:r>
      <w:r>
        <w:rPr>
          <w:rFonts w:eastAsia="IRNazanin" w:cs="IRNazanin"/>
          <w:color w:val="111111"/>
          <w:sz w:val="28"/>
          <w:szCs w:val="28"/>
          <w:rtl w:val="true"/>
          <w:lang w:bidi="fa-IR"/>
        </w:rPr>
        <w:t xml:space="preserve">. </w:t>
      </w:r>
      <w:bookmarkStart w:id="228" w:name="pg4267_21834"/>
    </w:p>
    <w:p>
      <w:pPr>
        <w:pStyle w:val="Heading5"/>
        <w:numPr>
          <w:ilvl w:val="4"/>
          <w:numId w:val="1"/>
        </w:numPr>
        <w:rPr/>
      </w:pPr>
      <w:bookmarkStart w:id="229" w:name="__RefHeading___Toc474045_1479056682"/>
      <w:bookmarkStart w:id="230" w:name="_Toc85"/>
      <w:bookmarkEnd w:id="228"/>
      <w:bookmarkEnd w:id="229"/>
      <w:r>
        <w:rPr>
          <w:rtl w:val="true"/>
        </w:rPr>
        <w:t>دیدگاه دیگر مذاهب</w:t>
      </w:r>
      <w:bookmarkEnd w:id="230"/>
    </w:p>
    <w:p>
      <w:pPr>
        <w:pStyle w:val="BookText"/>
        <w:rPr/>
      </w:pPr>
      <w:r>
        <w:rPr>
          <w:rFonts w:ascii="Amiri" w:hAnsi="Amiri" w:eastAsia="Amiri" w:cs="Amiri"/>
          <w:color w:val="111111"/>
          <w:sz w:val="28"/>
          <w:sz w:val="28"/>
          <w:szCs w:val="28"/>
          <w:rtl w:val="true"/>
          <w:lang w:bidi="ar-SA"/>
        </w:rPr>
        <w:t>حنفیّه</w:t>
      </w:r>
    </w:p>
    <w:p>
      <w:pPr>
        <w:pStyle w:val="BookText"/>
        <w:rPr/>
      </w:pPr>
      <w:r>
        <w:rPr>
          <w:rFonts w:ascii="Amiri" w:hAnsi="Amiri" w:eastAsia="Amiri" w:cs="Amiri"/>
          <w:color w:val="111111"/>
          <w:sz w:val="28"/>
          <w:sz w:val="28"/>
          <w:szCs w:val="28"/>
          <w:rtl w:val="true"/>
          <w:lang w:bidi="ar-SA"/>
        </w:rPr>
        <w:t>وَهْبَهُ‌الزُّحَیْلی</w:t>
      </w:r>
      <w:r>
        <w:rPr>
          <w:rStyle w:val="FootnoteAnchor"/>
          <w:rtl w:val="true"/>
        </w:rPr>
        <w:footnoteReference w:id="351"/>
      </w:r>
      <w:r>
        <w:rPr>
          <w:rFonts w:ascii="IRNazanin" w:hAnsi="IRNazanin" w:eastAsia="IRNazanin"/>
          <w:color w:val="111111"/>
          <w:sz w:val="28"/>
          <w:sz w:val="28"/>
          <w:szCs w:val="28"/>
          <w:rtl w:val="true"/>
          <w:lang w:bidi="fa-IR"/>
        </w:rPr>
        <w:t xml:space="preserve">تصریح کرده است که ابو حنیفه و محمّد بن‌الحسن تأبید را در وقف شرط می‌دانند؛ یعنی حتما باید جهت موقوفٌ عَلَیْه منقطع نباشد، زیرا دوام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w:t>
      </w:r>
    </w:p>
    <w:p>
      <w:pPr>
        <w:pStyle w:val="BookText"/>
        <w:rPr/>
      </w:pPr>
      <w:r>
        <w:rPr>
          <w:rFonts w:ascii="IRNazanin" w:hAnsi="IRNazanin" w:eastAsia="IRNazanin"/>
          <w:color w:val="111111"/>
          <w:sz w:val="28"/>
          <w:sz w:val="28"/>
          <w:szCs w:val="28"/>
          <w:rtl w:val="true"/>
          <w:lang w:bidi="fa-IR"/>
        </w:rPr>
        <w:t xml:space="preserve">جواز وقف است، امّا ابویوسف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معروف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دوام شرط نیست و وقف بر جهت منقطع نیز صحیح است و بعد از انقراض و انقطاع، ملک فقرا می‌شود، هر چند واقف نامی از آنها نبرده باشد؛ چرا که از طرف صحابه به چنین شرطی نرسیده و مُسلّم است که قصد واقف هم بعد از انقراض، همان فقرا هستند، هر چند نامی از آنها نبرده است؛ ضمنا جمهور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قول ابویوسف را گرفته‌اند</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rtl w:val="true"/>
          <w:lang w:bidi="fa-IR"/>
        </w:rPr>
        <w:t>در مبسوط سرخسی نیز آمده‌است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ازاموری‌که ابویوسف در آن توسعه داده این است که در وقف تأبید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ابویوسف این است که وقف، تقرّب به خداست و این امر، هم در وقف دائم و هم در وقف منقطع متصوّر است</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همین مضمون</w:t>
      </w:r>
    </w:p>
    <w:p>
      <w:pPr>
        <w:pStyle w:val="BookText"/>
        <w:rPr/>
      </w:pPr>
      <w:r>
        <w:rPr>
          <w:rFonts w:ascii="IRNazanin" w:hAnsi="IRNazanin" w:eastAsia="IRNazanin"/>
          <w:color w:val="111111"/>
          <w:sz w:val="28"/>
          <w:sz w:val="28"/>
          <w:szCs w:val="28"/>
          <w:rtl w:val="true"/>
          <w:lang w:bidi="fa-IR"/>
        </w:rPr>
        <w:t>را ابو زهره نیز در کتاب خویش آورده است</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مُغنِیَه تصریح کرده است که بجز مالکیّه بقیه مذاهب بدون استثنا تأبید و استمرار را در وقف معتبر می‌دانند</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شافعیّه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مغنی المحتاج یکی از شرایط وقف را تأبید ذکر می‌کند، مانند وقف بر کسانی که منقرض نمی‌شوند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کسانی که منقرض می‌شوند و سپس بر کسانی که منقرض نمی‌شوند، مانند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تَوْقیت در وقف،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شرط، در مواردی که مانند مسجد، مقبره و کاروانسرا شبیه </w:t>
      </w:r>
    </w:p>
    <w:p>
      <w:pPr>
        <w:pStyle w:val="BookText"/>
        <w:rPr/>
      </w:pPr>
      <w:r>
        <w:rPr>
          <w:rFonts w:ascii="IRNazanin" w:hAnsi="IRNazanin" w:eastAsia="IRNazanin"/>
          <w:color w:val="111111"/>
          <w:sz w:val="28"/>
          <w:sz w:val="28"/>
          <w:szCs w:val="28"/>
          <w:rtl w:val="true"/>
          <w:lang w:bidi="fa-IR"/>
        </w:rPr>
        <w:t xml:space="preserve">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فَکِّ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تملیک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معتبر نیست، پس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جَعَلْتُهُ مَسْجِدا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مؤبّد صحیح است و در حقیقت شرط باطل امّا اصل وقف صحیح است</w:t>
      </w:r>
      <w:r>
        <w:rPr>
          <w:rFonts w:eastAsia="IRNazanin" w:cs="IRNazanin"/>
          <w:color w:val="111111"/>
          <w:sz w:val="28"/>
          <w:szCs w:val="28"/>
          <w:rtl w:val="true"/>
          <w:lang w:bidi="fa-IR"/>
        </w:rPr>
        <w:t>.</w:t>
      </w:r>
      <w:r>
        <w:rPr>
          <w:rStyle w:val="FootnoteAnchor"/>
          <w:rtl w:val="true"/>
        </w:rPr>
        <w:footnoteReference w:id="356"/>
      </w:r>
      <w:r>
        <w:rPr>
          <w:rFonts w:ascii="IRNazanin" w:hAnsi="IRNazanin" w:eastAsia="IRNazanin"/>
          <w:color w:val="111111"/>
          <w:sz w:val="28"/>
          <w:sz w:val="28"/>
          <w:szCs w:val="28"/>
          <w:rtl w:val="true"/>
          <w:lang w:bidi="fa-IR"/>
        </w:rPr>
        <w:t>ابوزُهره نیز همین مضمون را به شافعیّه نسبت داده است</w:t>
      </w:r>
      <w:r>
        <w:rPr>
          <w:rFonts w:eastAsia="IRNazanin" w:cs="IRNazanin"/>
          <w:color w:val="111111"/>
          <w:sz w:val="28"/>
          <w:szCs w:val="28"/>
          <w:rtl w:val="true"/>
          <w:lang w:bidi="fa-IR"/>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امّا وَهبةُ الزُّحَیلی اظهار داشته است که شافعیّه در این جا دو قول دارند</w:t>
      </w:r>
      <w:r>
        <w:rPr>
          <w:rFonts w:eastAsia="Amiri" w:cs="Amiri" w:ascii="Amiri" w:hAnsi="Amiri"/>
          <w:color w:val="111111"/>
          <w:sz w:val="28"/>
          <w:szCs w:val="28"/>
          <w:rtl w:val="true"/>
          <w:lang w:bidi="ar-SA"/>
        </w:rPr>
        <w:t>.</w:t>
      </w:r>
      <w:r>
        <w:rPr>
          <w:rStyle w:val="FootnoteAnchor"/>
          <w:rtl w:val="true"/>
        </w:rPr>
        <w:footnoteReference w:id="358"/>
      </w:r>
      <w:r>
        <w:rPr>
          <w:rFonts w:ascii="IRNazanin" w:hAnsi="IRNazanin" w:eastAsia="IRNazanin"/>
          <w:color w:val="111111"/>
          <w:sz w:val="28"/>
          <w:sz w:val="28"/>
          <w:szCs w:val="28"/>
          <w:rtl w:val="true"/>
          <w:lang w:bidi="fa-IR"/>
        </w:rPr>
        <w:t>شیخ طوسی نیز تصریح کرده است که در این مورد برای شافعی دو قول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اشتراط تأبید و دوام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وقف را به‌زمانی، مثلاً یک سال موقّت کرد، صحیح است و پس از سپری شدن یک سال به‌مصرف فقرا می‌رسد و البتّه از خویشان واقف شروع می‌شود، زیرا آنها نسبت به صدقه او اولویّت دارند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ابوزُهره‌می‌نویسد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ابن‌حنبل‌مطلقا تأبید و دوام‌را دروقف‌شرط‌می‌داندلذادرمُغنی ابن‌قُدامه‌آمده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هر گاه بخواهد بفروشد یا ببخشد یا از وقف خود برگردد، شرط و وقف هیچ کدام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خلافی هم دراین مسأله نمی‌باشد، زیرا چنین شرطی با مقتضای وقف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بر جهتی که عادتا منقرض و منقطع می‌شود وقف کند، صحیح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انقراض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 آن به مصرف نزدیکترین خویشان واقف می‌رسد</w:t>
      </w:r>
      <w:r>
        <w:rPr>
          <w:rFonts w:eastAsia="IRNazanin" w:cs="IRNazanin"/>
          <w:color w:val="111111"/>
          <w:sz w:val="28"/>
          <w:szCs w:val="28"/>
          <w:rtl w:val="true"/>
          <w:lang w:bidi="fa-IR"/>
        </w:rPr>
        <w:t>.</w:t>
      </w:r>
      <w:r>
        <w:rPr>
          <w:rStyle w:val="FootnoteAnchor"/>
          <w:rtl w:val="true"/>
        </w:rPr>
        <w:footnoteReference w:id="360"/>
      </w:r>
      <w:r>
        <w:rPr>
          <w:rFonts w:ascii="Amiri" w:hAnsi="Amiri" w:eastAsia="Amiri" w:cs="Amiri"/>
          <w:color w:val="111111"/>
          <w:sz w:val="28"/>
          <w:sz w:val="28"/>
          <w:szCs w:val="28"/>
          <w:rtl w:val="true"/>
          <w:lang w:bidi="ar-SA"/>
        </w:rPr>
        <w:t>وَهبَةُ الزُّحَیلی نیز تقریبا همین مضمون را به حنابله نسبت داده است</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ظاهریّه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ظاهریّه نیز مانند اکثر فقها تأبید را در وقف لازم می‌دانند، هرچند معتقدند که اگر </w:t>
      </w:r>
      <w:bookmarkStart w:id="231" w:name="pg4267_21836"/>
    </w:p>
    <w:p>
      <w:pPr>
        <w:pStyle w:val="BookText"/>
        <w:rPr/>
      </w:pPr>
      <w:bookmarkEnd w:id="231"/>
      <w:r>
        <w:rPr>
          <w:rFonts w:ascii="IRNazanin" w:hAnsi="IRNazanin" w:eastAsia="IRNazanin"/>
          <w:color w:val="111111"/>
          <w:sz w:val="28"/>
          <w:sz w:val="28"/>
          <w:szCs w:val="28"/>
          <w:rtl w:val="true"/>
          <w:lang w:bidi="fa-IR"/>
        </w:rPr>
        <w:t>واقف جواز بیع را شرط کرد، شرط، صحیح امّا وقف باطل است</w:t>
      </w:r>
      <w:r>
        <w:rPr>
          <w:rFonts w:eastAsia="IRNazanin" w:cs="IRNazanin"/>
          <w:color w:val="111111"/>
          <w:sz w:val="28"/>
          <w:szCs w:val="28"/>
          <w:rtl w:val="true"/>
          <w:lang w:bidi="fa-IR"/>
        </w:rPr>
        <w:t>.</w:t>
      </w:r>
      <w:r>
        <w:rPr>
          <w:rStyle w:val="FootnoteAnchor"/>
          <w:rtl w:val="true"/>
        </w:rPr>
        <w:footnoteReference w:id="362"/>
      </w:r>
    </w:p>
    <w:p>
      <w:pPr>
        <w:pStyle w:val="Heading5"/>
        <w:numPr>
          <w:ilvl w:val="4"/>
          <w:numId w:val="1"/>
        </w:numPr>
        <w:rPr/>
      </w:pPr>
      <w:bookmarkStart w:id="232" w:name="__RefHeading___Toc474047_1479056682"/>
      <w:bookmarkStart w:id="233" w:name="_Toc86"/>
      <w:bookmarkEnd w:id="232"/>
      <w:r>
        <w:rPr>
          <w:rtl w:val="true"/>
        </w:rPr>
        <w:t>وقف منقطع</w:t>
      </w:r>
      <w:bookmarkEnd w:id="233"/>
    </w:p>
    <w:p>
      <w:pPr>
        <w:pStyle w:val="BookText"/>
        <w:rPr/>
      </w:pPr>
      <w:r>
        <w:rPr>
          <w:rFonts w:ascii="IRNazanin" w:hAnsi="IRNazanin" w:eastAsia="IRNazanin"/>
          <w:color w:val="111111"/>
          <w:sz w:val="28"/>
          <w:sz w:val="28"/>
          <w:szCs w:val="28"/>
          <w:rtl w:val="true"/>
          <w:lang w:bidi="fa-IR"/>
        </w:rPr>
        <w:t xml:space="preserve">در این جا به تناسب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مختصر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مبحث مطرح می‌شود و احکام آن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نسبت به موقوفٌ عَلَیْه بر سه قسم تقسیم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الاوّل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منقطع الوسط،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منقطع‌الاوّل وقفی است که موقوفٌ عَلَیْه در هنگام وقف، موجود نباشد یا اگر موجود است وقف بر او صحیح نباشد، مانند خود واقف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منقطع‌الوسط آن است که جهت موقوفٌ عَلَیه در آغاز موجود و بلا اشکال است، امّا بعد از مدّتی قطع و سپس باز می‌گردد، مثل این که ملکی را بر اولاد اناث خود وقف کند و در مدّت زمانی از وسط، اولاد اناث وجود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وقف منقطع‌الاخر وقفی است که در 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موجود است، امّا بعد از مدّتی منقرض می‌شود و یا موقوفٌ عَلَیْه در انتهای وقف موردی باشد</w:t>
      </w:r>
    </w:p>
    <w:p>
      <w:pPr>
        <w:pStyle w:val="BookText"/>
        <w:rPr/>
      </w:pPr>
      <w:r>
        <w:rPr>
          <w:rFonts w:ascii="IRNazanin" w:hAnsi="IRNazanin" w:eastAsia="IRNazanin"/>
          <w:color w:val="111111"/>
          <w:sz w:val="28"/>
          <w:sz w:val="28"/>
          <w:szCs w:val="28"/>
          <w:rtl w:val="true"/>
          <w:lang w:bidi="fa-IR"/>
        </w:rPr>
        <w:t>که وقف بر آن صحیح نیست</w:t>
      </w:r>
      <w:r>
        <w:rPr>
          <w:rFonts w:eastAsia="IRNazanin" w:cs="IRNazanin"/>
          <w:color w:val="111111"/>
          <w:sz w:val="28"/>
          <w:szCs w:val="28"/>
          <w:rtl w:val="true"/>
          <w:lang w:bidi="fa-IR"/>
        </w:rPr>
        <w:t>.</w:t>
      </w:r>
    </w:p>
    <w:p>
      <w:pPr>
        <w:pStyle w:val="Heading5"/>
        <w:numPr>
          <w:ilvl w:val="4"/>
          <w:numId w:val="1"/>
        </w:numPr>
        <w:rPr/>
      </w:pPr>
      <w:bookmarkStart w:id="234" w:name="__RefHeading___Toc474049_1479056682"/>
      <w:bookmarkStart w:id="235" w:name="_Toc87"/>
      <w:bookmarkEnd w:id="234"/>
      <w:r>
        <w:rPr>
          <w:rtl w:val="true"/>
        </w:rPr>
        <w:t>احکام این اقسام</w:t>
      </w:r>
      <w:bookmarkEnd w:id="235"/>
    </w:p>
    <w:p>
      <w:pPr>
        <w:pStyle w:val="Heading6"/>
        <w:numPr>
          <w:ilvl w:val="5"/>
          <w:numId w:val="1"/>
        </w:numPr>
        <w:rPr/>
      </w:pPr>
      <w:bookmarkStart w:id="236" w:name="__RefHeading___Toc474051_1479056682"/>
      <w:bookmarkStart w:id="237" w:name="_Toc88"/>
      <w:bookmarkEnd w:id="236"/>
      <w:r>
        <w:rPr>
          <w:rtl w:val="true"/>
        </w:rPr>
        <w:t>دیدگاه امامیّه</w:t>
      </w:r>
      <w:bookmarkEnd w:id="23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منقطع‌الاخر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بحث اشتراط تأبید در وقف بخشی از این مبحث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کسی مالی را بر کسانی وقف کند که عادتا در معرض انقراضند مثل این که بر فرزندان خویش وقف و بعد سکوت کند، برخی از اصحاب ما وقف را صحیح نمی‌دانند، اما گروهی آن را صحیح می‌دانند و معتقدند بعد از انقراض، این مال به واقف و اگر زنده نباشد به ورثه وی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این است </w:t>
      </w:r>
      <w:bookmarkStart w:id="238" w:name="pg4267_21837"/>
    </w:p>
    <w:p>
      <w:pPr>
        <w:pStyle w:val="BookText"/>
        <w:rPr/>
      </w:pPr>
      <w:bookmarkEnd w:id="238"/>
      <w:r>
        <w:rPr>
          <w:rFonts w:ascii="IRNazanin" w:hAnsi="IRNazanin" w:eastAsia="IRNazanin"/>
          <w:color w:val="111111"/>
          <w:sz w:val="28"/>
          <w:sz w:val="28"/>
          <w:szCs w:val="28"/>
          <w:rtl w:val="true"/>
          <w:lang w:bidi="fa-IR"/>
        </w:rPr>
        <w:t>که بازگشت این مال به وجوه بِرّ محتاج دلیل است که دلیلی وجود ندارد و از طرفی اصل، بقای ملک واقف است</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قواعد</w:t>
      </w:r>
      <w:r>
        <w:rPr>
          <w:rStyle w:val="FootnoteAnchor"/>
          <w:rtl w:val="true"/>
        </w:rPr>
        <w:footnoteReference w:id="364"/>
      </w:r>
      <w:r>
        <w:rPr>
          <w:rFonts w:ascii="Amiri" w:hAnsi="Amiri" w:eastAsia="Amiri" w:cs="Amiri"/>
          <w:color w:val="111111"/>
          <w:sz w:val="28"/>
          <w:sz w:val="28"/>
          <w:szCs w:val="28"/>
          <w:rtl w:val="true"/>
          <w:lang w:bidi="ar-SA"/>
        </w:rPr>
        <w:t>، محقّق ثانی</w:t>
      </w:r>
      <w:r>
        <w:rPr>
          <w:rStyle w:val="FootnoteAnchor"/>
          <w:rtl w:val="true"/>
        </w:rPr>
        <w:footnoteReference w:id="365"/>
      </w:r>
      <w:r>
        <w:rPr>
          <w:rFonts w:ascii="IRNazanin" w:hAnsi="IRNazanin" w:eastAsia="IRNazanin"/>
          <w:color w:val="111111"/>
          <w:sz w:val="28"/>
          <w:sz w:val="28"/>
          <w:szCs w:val="28"/>
          <w:rtl w:val="true"/>
          <w:lang w:bidi="fa-IR"/>
        </w:rPr>
        <w:t>و از فقهای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 xml:space="preserve">، آیه‌اللّه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67"/>
      </w:r>
      <w:r>
        <w:rPr>
          <w:rFonts w:ascii="IRNazanin" w:hAnsi="IRNazanin" w:eastAsia="IRNazanin"/>
          <w:color w:val="111111"/>
          <w:sz w:val="28"/>
          <w:sz w:val="28"/>
          <w:szCs w:val="28"/>
          <w:rtl w:val="true"/>
          <w:lang w:bidi="fa-IR"/>
        </w:rPr>
        <w:t xml:space="preserve">و آیه‌اللّه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قایل به صحت وقف و رجوع مال، بعد از انقراض، به واقف و یا ورثه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مرگ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قبلاً همه این بحث به شکل دیگری مطرح و اشاره شده بود که قول به صحّت از قوّت بیشتری برخوردار است، در این جا بیش از این ادامه نمی‌دهیم؛ فقط اشاره به این نکته خالی از فایده نیست که استدلال شیخ طوسی، در خلاف و استناد وی به اصل بقای ملک واقف برای بازگشت مال به او یا ورثه‌اش، محلّ تأمّل و اشکال است؛ زیرا در وقف صحیح، ملکیّتِ واقف زایل می‌شود و دیگر جایی برای استصحاب آن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قول به‌مصرف آن در وجوه بِرّ اَقرب به‌قواعد و ادّله است</w:t>
      </w:r>
      <w:r>
        <w:rPr>
          <w:rFonts w:eastAsia="IRNazanin" w:cs="IRNazanin"/>
          <w:color w:val="111111"/>
          <w:sz w:val="28"/>
          <w:szCs w:val="28"/>
          <w:rtl w:val="true"/>
          <w:lang w:bidi="fa-IR"/>
        </w:rPr>
        <w:t>.</w:t>
      </w:r>
    </w:p>
    <w:p>
      <w:pPr>
        <w:pStyle w:val="Heading6"/>
        <w:numPr>
          <w:ilvl w:val="5"/>
          <w:numId w:val="1"/>
        </w:numPr>
        <w:rPr/>
      </w:pPr>
      <w:bookmarkStart w:id="239" w:name="__RefHeading___Toc474053_1479056682"/>
      <w:bookmarkStart w:id="240" w:name="_Toc89"/>
      <w:bookmarkEnd w:id="239"/>
      <w:r>
        <w:rPr>
          <w:rtl w:val="true"/>
        </w:rPr>
        <w:t>دیدگاه دیگر مذاهب</w:t>
      </w:r>
      <w:bookmarkEnd w:id="240"/>
    </w:p>
    <w:p>
      <w:pPr>
        <w:pStyle w:val="BookText"/>
        <w:rPr/>
      </w:pPr>
      <w:r>
        <w:rPr>
          <w:rFonts w:ascii="IRNazanin" w:hAnsi="IRNazanin" w:eastAsia="IRNazanin"/>
          <w:color w:val="111111"/>
          <w:sz w:val="28"/>
          <w:sz w:val="28"/>
          <w:szCs w:val="28"/>
          <w:rtl w:val="true"/>
          <w:lang w:bidi="fa-IR"/>
        </w:rPr>
        <w:t>دکتر وَهبَةُ 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جمهور صحیح است، زیرا تصرّفی است که عرفا مصرف آن معلوم است و در صورت انقراض مَوْقوفٌ علیهم به مصرف خویشان واقف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مقتضای وقف، ثواب است، لذا در موردی که خودش معین کرده طبق تعیین وی و در موردی که سکوت کرده طبق مقتضای وقف عمل می‌شود و همانند وقف مؤبّد خواهد بود</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محمّد جواد مغنیه نیز صحّت وقف را به حنفیّه، حنابله، مالکیّه و یکی از دو قول شافعیّه نسبت داده است؛ هرچند در مورد مصرف آن بعد از انقراض، اختلافاتی دارند؛ حنفیّه مورد مصرف را فقرا دانسته‌اند، امّا</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حنابله و یکی از دو قول شافعیّه، مورد مصرف را نزدیکترین خویشان واقف و مالکیّه مورد مصرف را نزدیکترین فقرای خویشِ واقف می‌دانند</w:t>
      </w:r>
      <w:r>
        <w:rPr>
          <w:rFonts w:eastAsia="IRNazanin" w:cs="IRNazanin"/>
          <w:color w:val="111111"/>
          <w:sz w:val="28"/>
          <w:szCs w:val="28"/>
          <w:rtl w:val="true"/>
          <w:lang w:bidi="fa-IR"/>
        </w:rPr>
        <w:t>.</w:t>
      </w:r>
      <w:r>
        <w:rPr>
          <w:rStyle w:val="FootnoteAnchor"/>
          <w:rtl w:val="true"/>
        </w:rPr>
        <w:footnoteReference w:id="370"/>
      </w:r>
      <w:r>
        <w:rPr>
          <w:rFonts w:ascii="IRNazanin" w:hAnsi="IRNazanin" w:eastAsia="IRNazanin"/>
          <w:color w:val="111111"/>
          <w:sz w:val="28"/>
          <w:sz w:val="28"/>
          <w:szCs w:val="28"/>
          <w:rtl w:val="true"/>
          <w:lang w:bidi="fa-IR"/>
        </w:rPr>
        <w:t xml:space="preserve">تقریبا همین مضمون را </w:t>
      </w:r>
      <w:bookmarkStart w:id="241" w:name="pg4267_21838"/>
    </w:p>
    <w:p>
      <w:pPr>
        <w:pStyle w:val="BookText"/>
        <w:rPr/>
      </w:pPr>
      <w:bookmarkEnd w:id="241"/>
      <w:r>
        <w:rPr>
          <w:rFonts w:ascii="IRNazanin" w:hAnsi="IRNazanin" w:eastAsia="IRNazanin"/>
          <w:color w:val="111111"/>
          <w:sz w:val="28"/>
          <w:sz w:val="28"/>
          <w:szCs w:val="28"/>
          <w:rtl w:val="true"/>
          <w:lang w:bidi="fa-IR"/>
        </w:rPr>
        <w:t>زهدی یکن در پاورقی کتاب خویش ذکر و اضافه کرده است که قول دیگر شافعی بطلان وقفِ منقطع‌الآخِر است</w:t>
      </w:r>
      <w:r>
        <w:rPr>
          <w:rFonts w:eastAsia="IRNazanin" w:cs="IRNazanin"/>
          <w:color w:val="111111"/>
          <w:sz w:val="28"/>
          <w:szCs w:val="28"/>
          <w:rtl w:val="true"/>
          <w:lang w:bidi="fa-IR"/>
        </w:rPr>
        <w:t>.</w:t>
      </w:r>
      <w:r>
        <w:rPr>
          <w:rStyle w:val="FootnoteAnchor"/>
          <w:rtl w:val="true"/>
        </w:rPr>
        <w:footnoteReference w:id="371"/>
      </w:r>
    </w:p>
    <w:p>
      <w:pPr>
        <w:pStyle w:val="BookText"/>
        <w:rPr/>
      </w:pPr>
      <w:r>
        <w:rPr>
          <w:rFonts w:ascii="IRNazanin" w:hAnsi="IRNazanin" w:eastAsia="IRNazanin"/>
          <w:color w:val="111111"/>
          <w:sz w:val="28"/>
          <w:sz w:val="28"/>
          <w:szCs w:val="28"/>
          <w:rtl w:val="true"/>
          <w:lang w:bidi="fa-IR"/>
        </w:rPr>
        <w:t>قبلاً اشاره شد که محمّدبن الحسن این وقف را صحیح نمی‌داند و در موردی این نظر را به ابوحنیفه هم نسبت داده است، به این دلیل که در وقف حتما باید یک جهت قُربت که قطع نشده باشد، بیان شود؛ زیرا مقتضای وقف تأبید است و در صورت انقطاع، وقف بر مجهول می‌شود که باطل است، همچنان که اگر در آغاز مجهول باشد</w:t>
      </w:r>
      <w:r>
        <w:rPr>
          <w:rFonts w:eastAsia="IRNazanin" w:cs="IRNazanin"/>
          <w:color w:val="111111"/>
          <w:sz w:val="28"/>
          <w:szCs w:val="28"/>
          <w:rtl w:val="true"/>
          <w:lang w:bidi="fa-IR"/>
        </w:rPr>
        <w:t>.</w:t>
      </w:r>
      <w:r>
        <w:rPr>
          <w:rStyle w:val="FootnoteAnchor"/>
          <w:rtl w:val="true"/>
        </w:rPr>
        <w:footnoteReference w:id="372"/>
      </w:r>
    </w:p>
    <w:p>
      <w:pPr>
        <w:pStyle w:val="Heading5"/>
        <w:numPr>
          <w:ilvl w:val="4"/>
          <w:numId w:val="1"/>
        </w:numPr>
        <w:rPr/>
      </w:pPr>
      <w:bookmarkStart w:id="242" w:name="__RefHeading___Toc474055_1479056682"/>
      <w:bookmarkStart w:id="243" w:name="_Toc90"/>
      <w:bookmarkEnd w:id="242"/>
      <w:r>
        <w:rPr>
          <w:rtl w:val="true"/>
        </w:rPr>
        <w:t>وقف منقطع الاوّل</w:t>
      </w:r>
      <w:bookmarkEnd w:id="243"/>
    </w:p>
    <w:p>
      <w:pPr>
        <w:pStyle w:val="Heading6"/>
        <w:numPr>
          <w:ilvl w:val="5"/>
          <w:numId w:val="1"/>
        </w:numPr>
        <w:rPr/>
      </w:pPr>
      <w:bookmarkStart w:id="244" w:name="__RefHeading___Toc474057_1479056682"/>
      <w:bookmarkStart w:id="245" w:name="_Toc91"/>
      <w:bookmarkEnd w:id="244"/>
      <w:r>
        <w:rPr>
          <w:rtl w:val="true"/>
        </w:rPr>
        <w:t>دیدگاه امامیّه</w:t>
      </w:r>
      <w:bookmarkEnd w:id="245"/>
    </w:p>
    <w:p>
      <w:pPr>
        <w:pStyle w:val="BookText"/>
        <w:rPr/>
      </w:pPr>
      <w:r>
        <w:rPr>
          <w:rFonts w:ascii="IRNazanin" w:hAnsi="IRNazanin" w:eastAsia="IRNazanin"/>
          <w:color w:val="111111"/>
          <w:sz w:val="28"/>
          <w:sz w:val="28"/>
          <w:szCs w:val="28"/>
          <w:rtl w:val="true"/>
          <w:lang w:bidi="fa-IR"/>
        </w:rPr>
        <w:t>نظر شیخ طوسی در خلاف این است که اگر وقفی در آغاز منقطع باشد، مثل این که وقف کند بر موردی که وقف بر آن صحیح نیست مانند عبد، یا موردی که موجود نیست و یا مجهول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اولاد موجود خویش و پس از آن بر فقرا و مساکین وقف کند، وقف نسبت به آغاز آن باطل است، امّا نسبت به بقیّه صحیح است، زیرا وقف بر آنها</w:t>
      </w:r>
    </w:p>
    <w:p>
      <w:pPr>
        <w:pStyle w:val="BookText"/>
        <w:rPr/>
      </w:pPr>
      <w:r>
        <w:rPr>
          <w:rFonts w:ascii="IRNazanin" w:hAnsi="IRNazanin" w:eastAsia="IRNazanin"/>
          <w:color w:val="111111"/>
          <w:sz w:val="28"/>
          <w:sz w:val="28"/>
          <w:szCs w:val="28"/>
          <w:rtl w:val="true"/>
          <w:lang w:bidi="fa-IR"/>
        </w:rPr>
        <w:t>خالی از اشکال می‌باشد و دلیلی بر ابطال آن وجود ندارد و مانعی هم در این مورد در کار</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جالب است که شیخ طوسی در مبسوط در ابتدا معتقد است که مقتضای مذهب ما بطلان چنین وقفی است، امّا در نهایت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قایل به تفریق صَفْقه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 می‌گوییم نسبت به آغاز، باطل و نسبت به بقیّه صحیح است</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شهیدین در لمعه و شرح آن چنین وقفی را صحیح نمی‌دانند</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شهید در دروس نیز بطلان را تقویت می‌کند</w:t>
      </w:r>
      <w:r>
        <w:rPr>
          <w:rFonts w:eastAsia="IRNazanin" w:cs="IRNazanin"/>
          <w:color w:val="111111"/>
          <w:sz w:val="28"/>
          <w:szCs w:val="28"/>
          <w:rtl w:val="true"/>
          <w:lang w:bidi="fa-IR"/>
        </w:rPr>
        <w:t>.</w:t>
      </w:r>
      <w:r>
        <w:rPr>
          <w:rStyle w:val="FootnoteAnchor"/>
          <w:rtl w:val="true"/>
        </w:rPr>
        <w:footnoteReference w:id="376"/>
      </w:r>
      <w:r>
        <w:rPr>
          <w:rFonts w:ascii="IRNazanin" w:hAnsi="IRNazanin" w:eastAsia="IRNazanin"/>
          <w:color w:val="111111"/>
          <w:sz w:val="28"/>
          <w:sz w:val="28"/>
          <w:szCs w:val="28"/>
          <w:rtl w:val="true"/>
          <w:lang w:bidi="fa-IR"/>
        </w:rPr>
        <w:t>علاّمه در قواعد باجمال به دو قول اشاره می‌کند</w:t>
      </w:r>
      <w:r>
        <w:rPr>
          <w:rFonts w:eastAsia="IRNazanin" w:cs="IRNazanin"/>
          <w:color w:val="111111"/>
          <w:sz w:val="28"/>
          <w:szCs w:val="28"/>
          <w:rtl w:val="true"/>
          <w:lang w:bidi="fa-IR"/>
        </w:rPr>
        <w:t>.</w:t>
      </w:r>
      <w:r>
        <w:rPr>
          <w:rStyle w:val="FootnoteAnchor"/>
          <w:rtl w:val="true"/>
        </w:rPr>
        <w:footnoteReference w:id="377"/>
      </w:r>
      <w:r>
        <w:rPr>
          <w:rFonts w:ascii="IRNazanin" w:hAnsi="IRNazanin" w:eastAsia="IRNazanin"/>
          <w:color w:val="111111"/>
          <w:sz w:val="28"/>
          <w:sz w:val="28"/>
          <w:szCs w:val="28"/>
          <w:rtl w:val="true"/>
          <w:lang w:bidi="fa-IR"/>
        </w:rPr>
        <w:t>وی در مختلف همان نظر نهایی شیخ طوسی در مبسوط را 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الجامع للشّرایع صحّت وقف در حقّ بقیّه را اولی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همچنین در تذکره و مسالک و روض قول به صحّت تقویت شده است، امّا در شرایع و</w:t>
      </w:r>
    </w:p>
    <w:p>
      <w:pPr>
        <w:pStyle w:val="BookText"/>
        <w:rPr/>
      </w:pPr>
      <w:r>
        <w:rPr>
          <w:rFonts w:ascii="IRNazanin" w:hAnsi="IRNazanin" w:eastAsia="IRNazanin"/>
          <w:color w:val="111111"/>
          <w:sz w:val="28"/>
          <w:sz w:val="28"/>
          <w:szCs w:val="28"/>
          <w:rtl w:val="true"/>
          <w:lang w:bidi="fa-IR"/>
        </w:rPr>
        <w:t>کفایه قول اشبه را بطلان چنین وقفی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در کفایه، قول به صحّت را به اکثر نسبت داده است</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ascii="IRNazanin" w:hAnsi="IRNazanin" w:eastAsia="IRNazanin"/>
          <w:color w:val="111111"/>
          <w:sz w:val="28"/>
          <w:sz w:val="28"/>
          <w:szCs w:val="28"/>
          <w:rtl w:val="true"/>
          <w:lang w:bidi="fa-IR"/>
        </w:rPr>
        <w:t>بنابراین، نظر اکثر و یا حدّاقلّ، کثیری از فقها صحّت است، هرچند صاحب مفتاح‌الکرامة در نهایت، قول به بطلان را به مشهور نسبت داده است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صاحب جواهر نیز بطلان را تقویت می‌کند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و در مفتاح‌الکرامة ضمن ذکر چند دلیل برای قایلان به بطلان و نقد آنها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استدّلال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بر فعل، قول و تقریر معصومین علیهم‌السلامدر مورد وقف اشتمال دارند وقفهایی را شامل می‌شوند که ابتدای آنها منقطع نیست، لذا حکم به صحّت چنین وقفی به دلیل نیاز دارد</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 عدمِ انتقال ملک از واقف نیز این استدلال را تقویت می‌کند، یعنی در مورد شک، همان متیقَّن سابق که ملکیّت واقف است، استصحاب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مصرف در صورت صحّت</w:t>
      </w:r>
    </w:p>
    <w:p>
      <w:pPr>
        <w:pStyle w:val="BookText"/>
        <w:rPr/>
      </w:pPr>
      <w:r>
        <w:rPr>
          <w:rFonts w:ascii="IRNazanin" w:hAnsi="IRNazanin" w:eastAsia="IRNazanin"/>
          <w:color w:val="111111"/>
          <w:sz w:val="28"/>
          <w:sz w:val="28"/>
          <w:szCs w:val="28"/>
          <w:rtl w:val="true"/>
          <w:lang w:bidi="fa-IR"/>
        </w:rPr>
        <w:t>در صورت قول به صحّت وقف، منافع آن در مدّت انقطاع به چه کسانی می‌رسد؟ شیخ در مبسوط به این شکل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اینان وقف در موردشان باطل است</w:t>
      </w:r>
    </w:p>
    <w:p>
      <w:pPr>
        <w:pStyle w:val="BookText"/>
        <w:rPr/>
      </w:pPr>
      <w:r>
        <w:rPr>
          <w:rFonts w:ascii="IRNazanin" w:hAnsi="IRNazanin" w:eastAsia="IRNazanin"/>
          <w:color w:val="111111"/>
          <w:sz w:val="28"/>
          <w:sz w:val="28"/>
          <w:szCs w:val="28"/>
          <w:rtl w:val="true"/>
          <w:lang w:bidi="fa-IR"/>
        </w:rPr>
        <w:t>و امکان اعتبار انقراضشان نباشد، مثل وقف بر مجهول یا معدوم، در این صورت از همان اوّل منافع به مصرف مَوْقوفٌ علیهم می‌رسد که وقف در حقّشان صحیح است و افراد نامبرده در آغاز کَأن لَمْ یَکُنْ فرض می‌شوند؛ امّا اگر افراد اولی اعتبار انقراضشان ممکن باشد، مثل این که عبد باشند، دو احتمال است که صحیح همان است که در مورد قبلی بیان شد، یعنی به مصرف موقوفٌ‌علیهم می‌رسد</w:t>
      </w:r>
      <w:r>
        <w:rPr>
          <w:rFonts w:eastAsia="IRNazanin" w:cs="IRNazanin"/>
          <w:color w:val="111111"/>
          <w:sz w:val="28"/>
          <w:szCs w:val="28"/>
          <w:rtl w:val="true"/>
          <w:lang w:bidi="fa-IR"/>
        </w:rPr>
        <w:t>.</w:t>
      </w:r>
      <w:r>
        <w:rPr>
          <w:rStyle w:val="FootnoteAnchor"/>
          <w:rtl w:val="true"/>
        </w:rPr>
        <w:footnoteReference w:id="38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قواعد نیز همانند مختلف همین تفصیل را ذکر کرده، ولی هیچ طرف را </w:t>
      </w:r>
      <w:bookmarkStart w:id="246" w:name="pg4267_21840"/>
    </w:p>
    <w:p>
      <w:pPr>
        <w:pStyle w:val="BookText"/>
        <w:rPr/>
      </w:pPr>
      <w:bookmarkEnd w:id="246"/>
      <w:r>
        <w:rPr>
          <w:rFonts w:ascii="IRNazanin" w:hAnsi="IRNazanin" w:eastAsia="IRNazanin"/>
          <w:color w:val="111111"/>
          <w:sz w:val="28"/>
          <w:sz w:val="28"/>
          <w:szCs w:val="28"/>
          <w:rtl w:val="true"/>
          <w:lang w:bidi="fa-IR"/>
        </w:rPr>
        <w:t>ترجیح نداده است</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از جامع‌المقاصد و مفتاح‌الکرامة نیز ترجیح هیچ طرف برداشت نمی‌شود</w:t>
      </w:r>
      <w:r>
        <w:rPr>
          <w:rFonts w:eastAsia="IRNazanin" w:cs="IRNazanin"/>
          <w:color w:val="111111"/>
          <w:sz w:val="28"/>
          <w:szCs w:val="28"/>
          <w:rtl w:val="true"/>
          <w:lang w:bidi="fa-IR"/>
        </w:rPr>
        <w:t>.</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به نظر می‌رسد؛ در صورت صحّت قول به ملکیّت واقف نسبت به منافع بیشتر قابل تقویت باشد، زیرا معنای صحّت وقف منقطع الاوّل این است که در این مدت رَقَبه، مِلک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از فقهای معاصر،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منقطع الاوّل قایل به صحّت است</w:t>
      </w:r>
      <w:r>
        <w:rPr>
          <w:rFonts w:eastAsia="IRNazanin" w:cs="IRNazanin"/>
          <w:color w:val="111111"/>
          <w:sz w:val="28"/>
          <w:szCs w:val="28"/>
          <w:rtl w:val="true"/>
          <w:lang w:bidi="fa-IR"/>
        </w:rPr>
        <w:t>.</w:t>
      </w:r>
      <w:r>
        <w:rPr>
          <w:rStyle w:val="FootnoteAnchor"/>
          <w:rtl w:val="true"/>
        </w:rPr>
        <w:footnoteReference w:id="385"/>
      </w:r>
    </w:p>
    <w:p>
      <w:pPr>
        <w:pStyle w:val="Heading6"/>
        <w:numPr>
          <w:ilvl w:val="5"/>
          <w:numId w:val="1"/>
        </w:numPr>
        <w:rPr/>
      </w:pPr>
      <w:bookmarkStart w:id="247" w:name="__RefHeading___Toc474059_1479056682"/>
      <w:bookmarkStart w:id="248" w:name="_Toc92"/>
      <w:bookmarkEnd w:id="247"/>
      <w:r>
        <w:rPr>
          <w:rtl w:val="true"/>
        </w:rPr>
        <w:t>دیدگاه فقهای دیگر مذاهب</w:t>
      </w:r>
      <w:bookmarkEnd w:id="248"/>
    </w:p>
    <w:p>
      <w:pPr>
        <w:pStyle w:val="BookText"/>
        <w:rPr/>
      </w:pPr>
      <w:r>
        <w:rPr>
          <w:rFonts w:ascii="IRNazanin" w:hAnsi="IRNazanin" w:eastAsia="IRNazanin"/>
          <w:color w:val="111111"/>
          <w:sz w:val="28"/>
          <w:sz w:val="28"/>
          <w:szCs w:val="28"/>
          <w:rtl w:val="true"/>
          <w:lang w:bidi="fa-IR"/>
        </w:rPr>
        <w:t>وَهْبَهُ‌الزُّحَیْلی برای شافعیّه و حنابله در مورد وقف منقطع‌الاوّل دو رأی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بطلان، چون از اوّل باطل است و دیگری صحّت که در صورت صحّت از همان اوّل به مصرف کسانی می‌رسد که وقف بر آنها صحیح است</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در خلاف نیز دو قول به شافعی نسبت داده شده است</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 xml:space="preserve">ابن قُدامه حنبلی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ذکر کرده و در نهایت خودش قول به بطلان را برگزیده است و در مورد مصرف آن بنا بر قول به صحّت همان تفصیل شیخ طوسی در مبسوط را ذکر کرده است که اگر افراد ذکر شده در آغاز مثل میّت و مجهول و کنایس باشند که اعتبار انقراضشان ممکن نباشد، از همان اوّل به مصرف کسانی می‌رسد که وقف در حقّشان صحیح است، در غیر این صورت دو وجه است که خودش ترجیحی نمی‌دهد</w:t>
      </w:r>
      <w:r>
        <w:rPr>
          <w:rFonts w:eastAsia="IRNazanin" w:cs="IRNazanin"/>
          <w:color w:val="111111"/>
          <w:sz w:val="28"/>
          <w:szCs w:val="28"/>
          <w:rtl w:val="true"/>
          <w:lang w:bidi="fa-IR"/>
        </w:rPr>
        <w:t>.</w:t>
      </w:r>
      <w:r>
        <w:rPr>
          <w:rStyle w:val="FootnoteAnchor"/>
          <w:rtl w:val="true"/>
        </w:rPr>
        <w:footnoteReference w:id="388"/>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 المحتاج نیز که در فقه شافعی است بطلان را به مذهب شافعی نسبت داده‌است</w:t>
      </w:r>
      <w:r>
        <w:rPr>
          <w:rFonts w:eastAsia="IRNazanin" w:cs="IRNazanin"/>
          <w:color w:val="111111"/>
          <w:sz w:val="28"/>
          <w:szCs w:val="28"/>
          <w:rtl w:val="true"/>
          <w:lang w:bidi="fa-IR"/>
        </w:rPr>
        <w:t>.</w:t>
      </w:r>
      <w:r>
        <w:rPr>
          <w:rStyle w:val="FootnoteAnchor"/>
          <w:rtl w:val="true"/>
        </w:rPr>
        <w:footnoteReference w:id="389"/>
      </w:r>
      <w:bookmarkStart w:id="249" w:name="pg4267_21841"/>
    </w:p>
    <w:p>
      <w:pPr>
        <w:pStyle w:val="Heading5"/>
        <w:numPr>
          <w:ilvl w:val="4"/>
          <w:numId w:val="1"/>
        </w:numPr>
        <w:rPr/>
      </w:pPr>
      <w:bookmarkStart w:id="250" w:name="__RefHeading___Toc474061_1479056682"/>
      <w:bookmarkStart w:id="251" w:name="_Toc93"/>
      <w:bookmarkEnd w:id="249"/>
      <w:bookmarkEnd w:id="250"/>
      <w:r>
        <w:rPr>
          <w:rtl w:val="true"/>
        </w:rPr>
        <w:t>منقطع الوسط</w:t>
      </w:r>
      <w:bookmarkEnd w:id="251"/>
    </w:p>
    <w:p>
      <w:pPr>
        <w:pStyle w:val="Heading6"/>
        <w:numPr>
          <w:ilvl w:val="5"/>
          <w:numId w:val="1"/>
        </w:numPr>
        <w:rPr/>
      </w:pPr>
      <w:bookmarkStart w:id="252" w:name="__RefHeading___Toc474063_1479056682"/>
      <w:bookmarkStart w:id="253" w:name="_Toc94"/>
      <w:bookmarkEnd w:id="252"/>
      <w:r>
        <w:rPr>
          <w:rtl w:val="true"/>
        </w:rPr>
        <w:t>دیدگاه امامیّه</w:t>
      </w:r>
      <w:bookmarkEnd w:id="253"/>
    </w:p>
    <w:p>
      <w:pPr>
        <w:pStyle w:val="BookText"/>
        <w:rPr/>
      </w:pPr>
      <w:r>
        <w:rPr>
          <w:rFonts w:ascii="IRNazanin" w:hAnsi="IRNazanin" w:eastAsia="IRNazanin"/>
          <w:color w:val="111111"/>
          <w:sz w:val="28"/>
          <w:sz w:val="28"/>
          <w:szCs w:val="28"/>
          <w:rtl w:val="true"/>
          <w:lang w:bidi="fa-IR"/>
        </w:rPr>
        <w:t>در مورد حکم وقف منقطع الوسط دیدگاهها یکسان نیست؛ هرچند همه فقها هم تفصیلاً به آن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الکرامة حکم منقطع‌الوسط و منقطع‌الطرفین را همان حکم منقطع الاوّل می‌داند</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وی در منقطع‌الاوّل قول به بطلان را به مشهور نسبت داده است، شهید در دروس صحّت وقف را در طرفین احتمال داده و مورد مصرف درآمد را در دوران انقطاع، واقف یا ورثه وی می‌داند</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علاّمه در قواعد نظری را برنمی‌گزیند و درباره مورد مصرف آن در دوران انقطاع، همان تفصیل مبسوط در منقطع الاوّل را ذکر و انتخاب کرده است</w:t>
      </w:r>
      <w:r>
        <w:rPr>
          <w:rStyle w:val="FootnoteAnchor"/>
          <w:rtl w:val="true"/>
        </w:rPr>
        <w:footnoteReference w:id="392"/>
      </w:r>
      <w:r>
        <w:rPr>
          <w:rFonts w:ascii="IRNazanin" w:hAnsi="IRNazanin" w:eastAsia="IRNazanin"/>
          <w:color w:val="111111"/>
          <w:sz w:val="28"/>
          <w:sz w:val="28"/>
          <w:szCs w:val="28"/>
          <w:rtl w:val="true"/>
          <w:lang w:bidi="fa-IR"/>
        </w:rPr>
        <w:t>که اگر اعتبار انقراض آنها ممکن نبود، درآمد دوران انقطاع نیز صرف کسانی می‌شود که وقف بر آنها صحیح است؛ در غیر این صورت مسأله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حکم منقطع الوسط و عکس آن را همان حکم منقطع الابتدا می‌داند و درآمد دوران انقطاع را در صورتی که اعتبار انقراض آنها ممکن نباشد مثل میّت و مجهول از آن کسانی می‌داند که وقف بر آنان</w:t>
      </w:r>
    </w:p>
    <w:p>
      <w:pPr>
        <w:pStyle w:val="BookText"/>
        <w:rPr/>
      </w:pPr>
      <w:r>
        <w:rPr>
          <w:rFonts w:ascii="IRNazanin" w:hAnsi="IRNazanin" w:eastAsia="IRNazanin"/>
          <w:color w:val="111111"/>
          <w:sz w:val="28"/>
          <w:sz w:val="28"/>
          <w:szCs w:val="28"/>
          <w:rtl w:val="true"/>
          <w:lang w:bidi="fa-IR"/>
        </w:rPr>
        <w:t>صحیح است و عبارت وی در این زمینه مُشعِر به اجماع است</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شهید ثانی در روضه بطلان وقف نسبت به دوران انقطاع و ما بعد آن را تقویت می‌کند</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 xml:space="preserve">از فقهای معاصر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منقطع الوسط نیز همانند منقطع الاوّل، وقف را نسبت به کسانی که وقف بر آنها صحیح است، صحیح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احتیاط را در این می‌داند که بعد از انقراض وسط، وقف تجدید شود</w:t>
      </w:r>
      <w:r>
        <w:rPr>
          <w:rFonts w:eastAsia="IRNazanin" w:cs="IRNazanin"/>
          <w:color w:val="111111"/>
          <w:sz w:val="28"/>
          <w:szCs w:val="28"/>
          <w:rtl w:val="true"/>
          <w:lang w:bidi="fa-IR"/>
        </w:rPr>
        <w:t>.</w:t>
      </w:r>
      <w:r>
        <w:rPr>
          <w:rStyle w:val="FootnoteAnchor"/>
          <w:rtl w:val="true"/>
        </w:rPr>
        <w:footnoteReference w:id="395"/>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می‌رسد با توجه به این که چنین وقفی در سیره و سنّت معصومین علیهم‌السلام ثابت نیست، اگر اجماع بر صحّت آن مُحقَّق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 به بطلان از قوّت بیشتری برخوردار خواهد بود</w:t>
      </w:r>
      <w:r>
        <w:rPr>
          <w:rFonts w:eastAsia="IRNazanin" w:cs="IRNazanin"/>
          <w:color w:val="111111"/>
          <w:sz w:val="28"/>
          <w:szCs w:val="28"/>
          <w:rtl w:val="true"/>
          <w:lang w:bidi="fa-IR"/>
        </w:rPr>
        <w:t xml:space="preserve">. </w:t>
      </w:r>
      <w:bookmarkStart w:id="254" w:name="pg4267_21842"/>
    </w:p>
    <w:p>
      <w:pPr>
        <w:pStyle w:val="Heading6"/>
        <w:numPr>
          <w:ilvl w:val="5"/>
          <w:numId w:val="1"/>
        </w:numPr>
        <w:rPr/>
      </w:pPr>
      <w:bookmarkStart w:id="255" w:name="__RefHeading___Toc474065_1479056682"/>
      <w:bookmarkStart w:id="256" w:name="_Toc95"/>
      <w:bookmarkEnd w:id="254"/>
      <w:bookmarkEnd w:id="255"/>
      <w:r>
        <w:rPr>
          <w:rtl w:val="true"/>
        </w:rPr>
        <w:t>دیدگاه دیگر مذاهب</w:t>
      </w:r>
      <w:bookmarkEnd w:id="256"/>
    </w:p>
    <w:p>
      <w:pPr>
        <w:pStyle w:val="BookText"/>
        <w:rPr/>
      </w:pPr>
      <w:r>
        <w:rPr>
          <w:rFonts w:ascii="IRNazanin" w:hAnsi="IRNazanin" w:eastAsia="IRNazanin"/>
          <w:color w:val="111111"/>
          <w:sz w:val="28"/>
          <w:sz w:val="28"/>
          <w:szCs w:val="28"/>
          <w:rtl w:val="true"/>
          <w:lang w:bidi="fa-IR"/>
        </w:rPr>
        <w:t>در کتاب ردّالمحتار علی الدر المختار</w:t>
      </w:r>
      <w:r>
        <w:rPr>
          <w:rStyle w:val="FootnoteAnchor"/>
          <w:rtl w:val="true"/>
        </w:rPr>
        <w:footnoteReference w:id="39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حنفیّه، وقف از حیث انقطاع و عدم انقطاع از سه حالت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عدم انقطاع کرده باشد، که این قسم به اتّفاق فقها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به انقطاع تصریح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بر فلان و فلان از اولاد زید که این قسم هم به اتّفاق،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را مطلق مگذارد؛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اَرْضی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این فرض را غیرمنقطع و صحیح می‌داند، زیرا اطلاق به فقرا منصرف می‌شود و در نتیجه تأبید، معنا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و محمّد، آن را منقطع می‌دانند، ولی چون در صیغه، چیزی که بر عدم انقطاع دلالت کند وجود ندارد، آن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مالکیّه و ابویوسف نیز وقف منقطع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روشن است که مالکیّه براساس مبنای خودشان که دوام را شرط نمی‌دانند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اشاره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وقفهای منقطع را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تعیین مورد مصرفِ درآمد وقف در دوران انقطاع، قبلاً در مبحث منقطع‌الآخر بحث و بررسی شد و نیازی به تکرار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وَهبَةُ الزُّحیلی راجع به وقف منقطع‌الوسط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نیز همانند منقطع‌الاِنتها برای شافعیّه و حنابله دو نظر وجود دارد، در منقطع‌الطرفین نیز دو دیدگاه</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r>
        <w:rPr>
          <w:rStyle w:val="FootnoteAnchor"/>
          <w:rtl w:val="true"/>
        </w:rPr>
        <w:footnoteReference w:id="397"/>
      </w:r>
      <w:r>
        <w:rPr>
          <w:rFonts w:ascii="IRNazanin" w:hAnsi="IRNazanin" w:eastAsia="IRNazanin"/>
          <w:color w:val="111111"/>
          <w:sz w:val="28"/>
          <w:sz w:val="28"/>
          <w:szCs w:val="28"/>
          <w:rtl w:val="true"/>
          <w:lang w:bidi="fa-IR"/>
        </w:rPr>
        <w:t xml:space="preserve">از عبارت مغنی نیز بطلان وقف منطقع‌الوسط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منقطع‌الاوّل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که البتّه با آنچه وَهبَهُ‌الزُّحیلی به عنوان یکی از دو روایت شافعیّه و حنبلیّه ذکر کرد، سازگار نیست</w:t>
      </w:r>
      <w:r>
        <w:rPr>
          <w:rFonts w:eastAsia="IRNazanin" w:cs="IRNazanin"/>
          <w:color w:val="111111"/>
          <w:sz w:val="28"/>
          <w:szCs w:val="28"/>
          <w:rtl w:val="true"/>
          <w:lang w:bidi="fa-IR"/>
        </w:rPr>
        <w:t xml:space="preserve">. </w:t>
      </w:r>
      <w:bookmarkStart w:id="257" w:name="pg4267_21843"/>
    </w:p>
    <w:p>
      <w:pPr>
        <w:pStyle w:val="Heading4"/>
        <w:numPr>
          <w:ilvl w:val="3"/>
          <w:numId w:val="1"/>
        </w:numPr>
        <w:rPr/>
      </w:pPr>
      <w:bookmarkStart w:id="258" w:name="__RefHeading___Toc474067_1479056682"/>
      <w:bookmarkStart w:id="259" w:name="_Toc96"/>
      <w:bookmarkEnd w:id="257"/>
      <w:bookmarkEnd w:id="258"/>
      <w:r>
        <w:rPr>
          <w:rtl w:val="true"/>
        </w:rPr>
        <w:t>شرط پنجم</w:t>
      </w:r>
      <w:r>
        <w:rPr>
          <w:rtl w:val="true"/>
        </w:rPr>
        <w:t xml:space="preserve">: </w:t>
      </w:r>
      <w:r>
        <w:rPr>
          <w:rtl w:val="true"/>
        </w:rPr>
        <w:t>اخراج از نفس</w:t>
      </w:r>
      <w:bookmarkEnd w:id="259"/>
    </w:p>
    <w:p>
      <w:pPr>
        <w:pStyle w:val="Heading5"/>
        <w:numPr>
          <w:ilvl w:val="4"/>
          <w:numId w:val="1"/>
        </w:numPr>
        <w:rPr/>
      </w:pPr>
      <w:bookmarkStart w:id="260" w:name="__RefHeading___Toc474069_1479056682"/>
      <w:bookmarkStart w:id="261" w:name="_Toc97"/>
      <w:bookmarkEnd w:id="260"/>
      <w:r>
        <w:rPr>
          <w:rtl w:val="true"/>
        </w:rPr>
        <w:t>اشاره</w:t>
      </w:r>
      <w:bookmarkEnd w:id="261"/>
    </w:p>
    <w:p>
      <w:pPr>
        <w:pStyle w:val="BookText"/>
        <w:rPr/>
      </w:pPr>
      <w:r>
        <w:rPr>
          <w:rFonts w:ascii="IRNazanin" w:hAnsi="IRNazanin" w:eastAsia="IRNazanin"/>
          <w:color w:val="111111"/>
          <w:sz w:val="28"/>
          <w:sz w:val="28"/>
          <w:szCs w:val="28"/>
          <w:rtl w:val="true"/>
          <w:lang w:bidi="fa-IR"/>
        </w:rPr>
        <w:t>از شرایطی که فقهای مذاهب به آن پرداخته‌اند، اخراج از نفس است؛ یعنی واقف در وقف خویش خودش را جزء مَوْقوفٌ علیهم قرار ندهد</w:t>
      </w:r>
      <w:r>
        <w:rPr>
          <w:rFonts w:eastAsia="IRNazanin" w:cs="IRNazanin"/>
          <w:color w:val="111111"/>
          <w:sz w:val="28"/>
          <w:szCs w:val="28"/>
          <w:rtl w:val="true"/>
          <w:lang w:bidi="fa-IR"/>
        </w:rPr>
        <w:t>.</w:t>
      </w:r>
    </w:p>
    <w:p>
      <w:pPr>
        <w:pStyle w:val="Heading5"/>
        <w:numPr>
          <w:ilvl w:val="4"/>
          <w:numId w:val="1"/>
        </w:numPr>
        <w:rPr/>
      </w:pPr>
      <w:bookmarkStart w:id="262" w:name="__RefHeading___Toc474071_1479056682"/>
      <w:bookmarkStart w:id="263" w:name="_Toc98"/>
      <w:bookmarkEnd w:id="262"/>
      <w:r>
        <w:rPr>
          <w:rtl w:val="true"/>
        </w:rPr>
        <w:t>دیدگاه امامیّه</w:t>
      </w:r>
      <w:bookmarkEnd w:id="263"/>
    </w:p>
    <w:p>
      <w:pPr>
        <w:pStyle w:val="BookText"/>
        <w:rPr/>
      </w:pPr>
      <w:r>
        <w:rPr>
          <w:rFonts w:ascii="Amiri" w:hAnsi="Amiri" w:eastAsia="Amiri" w:cs="Amiri"/>
          <w:color w:val="111111"/>
          <w:sz w:val="28"/>
          <w:sz w:val="28"/>
          <w:szCs w:val="28"/>
          <w:rtl w:val="true"/>
          <w:lang w:bidi="ar-SA"/>
        </w:rPr>
        <w:t>صاحب جواهر در ذیل عبارت شرایع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وَقَفَ عَلی نَفْسِه لَمْ یَصِحّ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در این مورد، مخالفی را سراغ ندارم، بلکه از تذکره نقل شده که این شرط را به علمای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شیخ طوسی</w:t>
      </w:r>
      <w:r>
        <w:rPr>
          <w:rStyle w:val="FootnoteAnchor"/>
          <w:rtl w:val="true"/>
        </w:rPr>
        <w:footnoteReference w:id="399"/>
      </w:r>
      <w:r>
        <w:rPr>
          <w:rFonts w:ascii="IRNazanin" w:hAnsi="IRNazanin" w:eastAsia="IRNazanin"/>
          <w:color w:val="111111"/>
          <w:sz w:val="28"/>
          <w:sz w:val="28"/>
          <w:szCs w:val="28"/>
          <w:rtl w:val="true"/>
          <w:lang w:bidi="fa-IR"/>
        </w:rPr>
        <w:t>تصریح کرده است که اگر کسی مالی را ابتدا بر خودش و سپس بر اولاد و پس از آن بر فقرا وقف کند، وقف بر خودش صحیح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حلّی نیز تصریح کرده است که از شرایط وقف این است که موقوفٌ عَلَیْه غیر از واقف باشد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شهید ثانی در ذیل عبارت شهید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اِخراجُهُ عَن نَفْسِهِ،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نفس خود وقف کند هرچند به دنبال آن موقوفٌ علیهی را ذکر کند که وقف بر او صحیح است، این وقف باطل است؛ زیرا در این صورت منقطع‌الاوّل خواهد بود</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 xml:space="preserve">اندکی پیش گذشت که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روضه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شیخ طوسی این است که وقف تنها نسبت به خودش باطل است، نه کسانی که وقف بر آنها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دروس به دنبال ذکر این شرط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خودش و فقرا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احتمال می‌رود در نصف و یا سه چهارم آن صحیح باشد همان طور که احتمال بطلان وقف هم هست</w:t>
      </w:r>
      <w:r>
        <w:rPr>
          <w:rFonts w:eastAsia="IRNazanin" w:cs="IRNazanin"/>
          <w:color w:val="111111"/>
          <w:sz w:val="28"/>
          <w:szCs w:val="28"/>
          <w:rtl w:val="true"/>
          <w:lang w:bidi="fa-IR"/>
        </w:rPr>
        <w:t>.</w:t>
      </w:r>
      <w:r>
        <w:rPr>
          <w:rStyle w:val="FootnoteAnchor"/>
          <w:rtl w:val="true"/>
        </w:rPr>
        <w:footnoteReference w:id="40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مسالک ضمن تصریح به عدم وجود هیچ خلافی در اعتبار این شرط،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ازاله ملک از واقف و تملیک و ادخال آن در ملک موقوفٌ عَلَیْه است و چون ملکیّت برای واقف متحقّق و ثابت است تجدّد آن معقول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تحصیل حاصل </w:t>
      </w:r>
      <w:bookmarkStart w:id="264" w:name="pg4267_21844"/>
    </w:p>
    <w:p>
      <w:pPr>
        <w:pStyle w:val="BookText"/>
        <w:rPr/>
      </w:pPr>
      <w:bookmarkEnd w:id="264"/>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بعضی از عامّه این مطلب را قبول ندارند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واقف به عنوان وقف غیر از استحقاق به عنوان ملک است</w:t>
      </w:r>
      <w:r>
        <w:rPr>
          <w:rFonts w:eastAsia="IRNazanin" w:cs="IRNazanin"/>
          <w:color w:val="111111"/>
          <w:sz w:val="28"/>
          <w:szCs w:val="28"/>
          <w:rtl w:val="true"/>
          <w:lang w:bidi="fa-IR"/>
        </w:rPr>
        <w:t>.</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این دلیل، همان دلیل شیخ در خلاف است؛ البتّه در خلاف دلیل دیگری نیز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حکمی شرعی است و در شرع، دلیلی که بر صحّت وقف بر نفس دلالت کند وجود ندارد</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محقّق ثانی وقف بر نفس را غیرمعقول می‌داند</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از فقهای معاصر،</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خودش وقف کند صحیح نیست و اگر بر خود و غیر وقف کند، در صورتی که به نحو تشریک باشد، نسبت به خودش باطل و نسبت به غیر صحیح است و اگر به نحو ترتیب باشد داخل اقسام وقف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منقطع‌الاوّل، منقطع‌الاخر و منقطع‌الوسط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 بررسی شد</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همین مضمون را آیه‌اللّه حکیم</w:t>
      </w:r>
      <w:r>
        <w:rPr>
          <w:rStyle w:val="FootnoteAnchor"/>
          <w:rtl w:val="true"/>
        </w:rPr>
        <w:footnoteReference w:id="407"/>
      </w:r>
      <w:r>
        <w:rPr>
          <w:rFonts w:ascii="IRNazanin" w:hAnsi="IRNazanin" w:eastAsia="IRNazanin"/>
          <w:color w:val="111111"/>
          <w:sz w:val="28"/>
          <w:sz w:val="28"/>
          <w:szCs w:val="28"/>
          <w:rtl w:val="true"/>
          <w:lang w:bidi="fa-IR"/>
        </w:rPr>
        <w:t>و آیه‌اللّه خویی</w:t>
      </w:r>
      <w:r>
        <w:rPr>
          <w:rStyle w:val="FootnoteAnchor"/>
          <w:rtl w:val="true"/>
        </w:rPr>
        <w:footnoteReference w:id="408"/>
      </w:r>
      <w:r>
        <w:rPr>
          <w:rFonts w:ascii="IRNazanin" w:hAnsi="IRNazanin" w:eastAsia="IRNazanin"/>
          <w:color w:val="111111"/>
          <w:sz w:val="28"/>
          <w:sz w:val="28"/>
          <w:szCs w:val="28"/>
          <w:rtl w:val="true"/>
          <w:lang w:bidi="fa-IR"/>
        </w:rPr>
        <w:t>در فتاوای خویش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اعتبار این شرط در وقف تقریبا اجماعی است گذشته از این که وقف بر نفس در سنّت و سیره، سابقه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مدنی نیز وقف بر نفس ممنوع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وقف بر اولاد و اقوام و خدمه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409"/>
      </w:r>
    </w:p>
    <w:p>
      <w:pPr>
        <w:pStyle w:val="Heading5"/>
        <w:numPr>
          <w:ilvl w:val="4"/>
          <w:numId w:val="1"/>
        </w:numPr>
        <w:rPr/>
      </w:pPr>
      <w:bookmarkStart w:id="265" w:name="__RefHeading___Toc474073_1479056682"/>
      <w:bookmarkStart w:id="266" w:name="_Toc99"/>
      <w:bookmarkEnd w:id="265"/>
      <w:r>
        <w:rPr>
          <w:rtl w:val="true"/>
        </w:rPr>
        <w:t>دیدگاه فقهای دیگر مذاهب</w:t>
      </w:r>
      <w:bookmarkEnd w:id="266"/>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وقف بر نفس در نزد ابویوسف و دیگر ائمّه حنفیّه صحیح است</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مالکیّه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مالکیّه وقف بر نفس را باطل می‌دانند، هرچند واقف، دیگری را هم با خود شریک </w:t>
      </w:r>
    </w:p>
    <w:p>
      <w:pPr>
        <w:pStyle w:val="BookText"/>
        <w:rPr/>
      </w:pPr>
      <w:r>
        <w:rPr>
          <w:rFonts w:ascii="IRNazanin" w:hAnsi="IRNazanin" w:eastAsia="IRNazanin"/>
          <w:color w:val="111111"/>
          <w:sz w:val="28"/>
          <w:sz w:val="28"/>
          <w:szCs w:val="28"/>
          <w:rtl w:val="true"/>
          <w:lang w:bidi="fa-IR"/>
        </w:rPr>
        <w:t>کند</w:t>
      </w:r>
      <w:r>
        <w:rPr>
          <w:rStyle w:val="FootnoteAnchor"/>
          <w:rtl w:val="true"/>
        </w:rPr>
        <w:footnoteReference w:id="411"/>
      </w:r>
      <w:r>
        <w:rPr>
          <w:rFonts w:ascii="IRNazanin" w:hAnsi="IRNazanin" w:eastAsia="IRNazanin"/>
          <w:color w:val="111111"/>
          <w:sz w:val="28"/>
          <w:sz w:val="28"/>
          <w:szCs w:val="28"/>
          <w:rtl w:val="true"/>
          <w:lang w:bidi="fa-IR"/>
        </w:rPr>
        <w:t>در الشّرح الصّغیروبُلغَة السّالک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بر خودش، هرچند با شریک، وقف کند وقف باطل است،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نَفْسی مَعَ فُلانٍ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w:t>
      </w:r>
    </w:p>
    <w:p>
      <w:pPr>
        <w:pStyle w:val="BookText"/>
        <w:rPr/>
      </w:pPr>
      <w:r>
        <w:rPr>
          <w:rFonts w:ascii="IRNazanin" w:hAnsi="IRNazanin" w:eastAsia="IRNazanin"/>
          <w:color w:val="111111"/>
          <w:sz w:val="28"/>
          <w:sz w:val="28"/>
          <w:szCs w:val="28"/>
          <w:rtl w:val="true"/>
          <w:lang w:bidi="fa-IR"/>
        </w:rPr>
        <w:t>صورت وقف بر خودش که به طور مسلّم باطل است، نسبت به شریک هم اگر شریک قبل از مانع، آن را قبض کند، صحیح وگرنه باطل است</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 xml:space="preserve">در نزد فقهای شافعیّه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خود باطل است؛ شَربینی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نفس به این دلیل که تملیک انسان چیزی را به خویش، تحصیل حاصل است و ممکن نیست، باطل است، امّا قولی هم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زیرا استحقاق چیزی به عنوان وقف غیر از استحقاق آن به عنوان ملک است</w:t>
      </w:r>
      <w:r>
        <w:rPr>
          <w:rFonts w:eastAsia="IRNazanin" w:cs="IRNazanin"/>
          <w:color w:val="111111"/>
          <w:sz w:val="28"/>
          <w:szCs w:val="28"/>
          <w:rtl w:val="true"/>
          <w:lang w:bidi="fa-IR"/>
        </w:rPr>
        <w:t>.</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شیخ طوسی از شافعی نقل کرده است که اگر حاکم به صحّت وقف برنفس حکم‌کند، این‌حکم‌نافذ و وقف صحیح است، زیرا این مسأله‌ای اجتهادی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در احکام باطل است</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ظاهرا در مذهب حنبلیّه در این مسأله دو روایت است که طبق روایت مشهور که به عنوان دیدگاه رسمی آنان مطرح شده، وقف بر نفس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وقف اگر صحیح باشد موجب زوال مِلک واقف و انتقال منافع آن به موقوفٌ عَلَیْه می‌شود و برای خود او انتفاع از آنها صحیح نیست و نیز وقف تملیک است، تملیک رَقَبه یا منفعت و تملیک انسان چیزی را به خودش جایز نیست همانند بَیْع به خود، لذا اگر کسی ابتدا بر خود و سپس بر فرزندانش وقف کرد از همان اوّل به مصرف اولاد می‌رسد</w:t>
      </w:r>
      <w:r>
        <w:rPr>
          <w:rFonts w:eastAsia="IRNazanin" w:cs="IRNazanin"/>
          <w:color w:val="111111"/>
          <w:sz w:val="28"/>
          <w:szCs w:val="28"/>
          <w:rtl w:val="true"/>
          <w:lang w:bidi="fa-IR"/>
        </w:rPr>
        <w:t>.</w:t>
      </w:r>
      <w:r>
        <w:rPr>
          <w:rStyle w:val="FootnoteAnchor"/>
          <w:rtl w:val="true"/>
        </w:rPr>
        <w:footnoteReference w:id="415"/>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قَیِّم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حیله‌های جدیدی که بین فقهای طوایف در حرمت آن خلافی نیست، این است که افرادی برای وقف بر خود به ارباب حِیَل متوسّل </w:t>
      </w:r>
      <w:bookmarkStart w:id="267" w:name="pg4267_21846"/>
    </w:p>
    <w:p>
      <w:pPr>
        <w:pStyle w:val="BookText"/>
        <w:rPr/>
      </w:pPr>
      <w:bookmarkEnd w:id="267"/>
      <w:r>
        <w:rPr>
          <w:rFonts w:ascii="IRNazanin" w:hAnsi="IRNazanin" w:eastAsia="IRNazanin"/>
          <w:color w:val="111111"/>
          <w:sz w:val="28"/>
          <w:sz w:val="28"/>
          <w:szCs w:val="28"/>
          <w:rtl w:val="true"/>
          <w:lang w:bidi="fa-IR"/>
        </w:rPr>
        <w:t>می‌شوند و آنها به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کن این مکانی که در دست توست از طرف دیگری وقف بر توست و شروط و حدودی را به او یاد می‌دهند، در حالی که هم اقرار او کذب است و هم شهادت آنها، و هیچ مسلمی در حرمت این حیله‌ها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استفاده از آن تا روز قیامت حرام خواهد بود</w:t>
      </w:r>
      <w:r>
        <w:rPr>
          <w:rFonts w:eastAsia="IRNazanin" w:cs="IRNazanin"/>
          <w:color w:val="111111"/>
          <w:sz w:val="28"/>
          <w:szCs w:val="28"/>
          <w:rtl w:val="true"/>
          <w:lang w:bidi="fa-IR"/>
        </w:rPr>
        <w:t>.</w:t>
      </w:r>
      <w:r>
        <w:rPr>
          <w:rStyle w:val="FootnoteAnchor"/>
          <w:rtl w:val="true"/>
        </w:rPr>
        <w:footnoteReference w:id="416"/>
      </w:r>
      <w:r>
        <w:rPr>
          <w:rFonts w:ascii="IRNazanin" w:hAnsi="IRNazanin" w:eastAsia="IRNazanin"/>
          <w:color w:val="111111"/>
          <w:sz w:val="28"/>
          <w:sz w:val="28"/>
          <w:szCs w:val="28"/>
          <w:rtl w:val="true"/>
          <w:lang w:bidi="fa-IR"/>
        </w:rPr>
        <w:t>البتّه ابن‌تیمیه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نفس صحیح است و این یکی از دو روایت حکایت شده از احمد است که گروهی از اصحاب وی نیز آن را برگزیده‌اند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یک 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وقف بر نفقه خویشانِ واجبُ النَّفَقه، وقف بر نفس است؟</w:t>
      </w:r>
    </w:p>
    <w:p>
      <w:pPr>
        <w:pStyle w:val="BookText"/>
        <w:rPr/>
      </w:pPr>
      <w:r>
        <w:rPr>
          <w:rFonts w:ascii="IRNazanin" w:hAnsi="IRNazanin" w:eastAsia="IRNazanin"/>
          <w:color w:val="111111"/>
          <w:sz w:val="28"/>
          <w:sz w:val="28"/>
          <w:szCs w:val="28"/>
          <w:rtl w:val="true"/>
          <w:lang w:bidi="fa-IR"/>
        </w:rPr>
        <w:t xml:space="preserve">این اشکال را امامی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مطرح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واجب النفقه موجب بی‌نیازی آنها می‌شود و دیگر مستحقّ انفاق نخواهند بود و در نتیجه واقف از انفاق به آنها معاف است و این همان وقف بر نفس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 خود این اشکال را چنین پاسخ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ظاهرا وارد به نظر می‌رسد، امّا با دقّت قابل ردّ است، زیرا آن دسته از اقارب که واجبُ النَّفَقه هستند در اثر فقر مستحقّ نفقه شده‌اند وقف بر آنها به اندازه‌ای</w:t>
      </w:r>
    </w:p>
    <w:p>
      <w:pPr>
        <w:pStyle w:val="BookText"/>
        <w:rPr/>
      </w:pPr>
      <w:r>
        <w:rPr>
          <w:rFonts w:ascii="IRNazanin" w:hAnsi="IRNazanin" w:eastAsia="IRNazanin"/>
          <w:color w:val="111111"/>
          <w:sz w:val="28"/>
          <w:sz w:val="28"/>
          <w:szCs w:val="28"/>
          <w:rtl w:val="true"/>
          <w:lang w:bidi="fa-IR"/>
        </w:rPr>
        <w:t>که برای امرار معاششان کافی باشد استحقاق آنها را رفع می‌کند نه آن که به واقف داده</w:t>
      </w:r>
    </w:p>
    <w:p>
      <w:pPr>
        <w:pStyle w:val="BookText"/>
        <w:rPr/>
      </w:pPr>
      <w:r>
        <w:rPr>
          <w:rFonts w:ascii="IRNazanin" w:hAnsi="IRNazanin" w:eastAsia="IRNazanin"/>
          <w:color w:val="111111"/>
          <w:sz w:val="28"/>
          <w:sz w:val="28"/>
          <w:szCs w:val="28"/>
          <w:rtl w:val="true"/>
          <w:lang w:bidi="fa-IR"/>
        </w:rPr>
        <w:t>شده باشد تا وقف بر نفس حساب شود</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از این گذشته وقف بر اولاد که جواز آن مسلّم است و در جای خود مورد بررسی قرار می‌گیرد، پاسخی روشن برای این اشکال است</w:t>
      </w:r>
      <w:r>
        <w:rPr>
          <w:rFonts w:eastAsia="IRNazanin" w:cs="IRNazanin"/>
          <w:color w:val="111111"/>
          <w:sz w:val="28"/>
          <w:szCs w:val="28"/>
          <w:rtl w:val="true"/>
          <w:lang w:bidi="fa-IR"/>
        </w:rPr>
        <w:t>.</w:t>
      </w:r>
    </w:p>
    <w:p>
      <w:pPr>
        <w:pStyle w:val="Heading5"/>
        <w:numPr>
          <w:ilvl w:val="4"/>
          <w:numId w:val="1"/>
        </w:numPr>
        <w:rPr/>
      </w:pPr>
      <w:bookmarkStart w:id="268" w:name="__RefHeading___Toc474075_1479056682"/>
      <w:bookmarkStart w:id="269" w:name="_Toc100"/>
      <w:bookmarkEnd w:id="268"/>
      <w:r>
        <w:rPr>
          <w:rtl w:val="true"/>
        </w:rPr>
        <w:t>انتفاع واقف از وقف خویش</w:t>
      </w:r>
      <w:bookmarkEnd w:id="26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مورد بررسی در مبحث گذشته این بود که واقف حق ندارد مال خود را بر خودش وقف کند، امّا در این جا بحث این است که آیا واقف حق دارد از اموالی که بر دیگران وقف کرده است، بهره ببرد و استفاده کند یا خیر؟ </w:t>
      </w:r>
      <w:bookmarkStart w:id="270" w:name="pg4267_21847"/>
    </w:p>
    <w:p>
      <w:pPr>
        <w:pStyle w:val="Heading5"/>
        <w:numPr>
          <w:ilvl w:val="4"/>
          <w:numId w:val="1"/>
        </w:numPr>
        <w:rPr/>
      </w:pPr>
      <w:bookmarkStart w:id="271" w:name="__RefHeading___Toc474077_1479056682"/>
      <w:bookmarkStart w:id="272" w:name="_Toc101"/>
      <w:bookmarkEnd w:id="270"/>
      <w:bookmarkEnd w:id="271"/>
      <w:r>
        <w:rPr>
          <w:rtl w:val="true"/>
        </w:rPr>
        <w:t>دیدگاه امامیّه</w:t>
      </w:r>
      <w:bookmarkEnd w:id="272"/>
    </w:p>
    <w:p>
      <w:pPr>
        <w:pStyle w:val="BookText"/>
        <w:rPr/>
      </w:pPr>
      <w:r>
        <w:rPr>
          <w:rFonts w:ascii="IRNazanin" w:hAnsi="IRNazanin" w:eastAsia="IRNazanin"/>
          <w:color w:val="111111"/>
          <w:sz w:val="28"/>
          <w:sz w:val="28"/>
          <w:szCs w:val="28"/>
          <w:rtl w:val="true"/>
          <w:lang w:bidi="fa-IR"/>
        </w:rPr>
        <w:t>شیخ طوسی</w:t>
      </w:r>
      <w:r>
        <w:rPr>
          <w:rStyle w:val="FootnoteAnchor"/>
          <w:rtl w:val="true"/>
        </w:rPr>
        <w:footnoteReference w:id="419"/>
      </w:r>
      <w:r>
        <w:rPr>
          <w:rFonts w:ascii="Amiri" w:hAnsi="Amiri" w:eastAsia="Amiri" w:cs="Amiri"/>
          <w:color w:val="111111"/>
          <w:sz w:val="28"/>
          <w:sz w:val="28"/>
          <w:szCs w:val="28"/>
          <w:rtl w:val="true"/>
          <w:lang w:bidi="ar-SA"/>
        </w:rPr>
        <w:t>و علاّمه</w:t>
      </w:r>
      <w:r>
        <w:rPr>
          <w:rStyle w:val="FootnoteAnchor"/>
          <w:rtl w:val="true"/>
        </w:rPr>
        <w:footnoteReference w:id="420"/>
      </w:r>
      <w:r>
        <w:rPr>
          <w:rFonts w:ascii="IRNazanin" w:hAnsi="IRNazanin" w:eastAsia="IRNazanin"/>
          <w:color w:val="111111"/>
          <w:sz w:val="28"/>
          <w:sz w:val="28"/>
          <w:szCs w:val="28"/>
          <w:rtl w:val="true"/>
          <w:lang w:bidi="fa-IR"/>
        </w:rPr>
        <w:t xml:space="preserve">تصریح کرده‌اند که اگر وقف عام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وقف بر مسلمین، فقرا و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واقف دارای آن ویژگی باشد حق انتفاع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مبسوط، ادّعای عدم خلاف کرده و نیز به دلیل اصل اباحه، واقف و دیگران در آن مساوی‌اند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مفتاح الکرامه از نهایه نقل کرده است که اگر کسی مسکن را وقف کند خود نیز حق نشستن در آن را دارد، البتّه حق ندارد دیگری را در آن اسکان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توضیح داده است که این در صورتی است که وقف برای عموم مسلمین باشد، امّا اگر خاصِّ فرد یا گروه باشد، واقف، حقّ سکونت ندارد</w:t>
      </w:r>
      <w:r>
        <w:rPr>
          <w:rFonts w:eastAsia="IRNazanin" w:cs="IRNazanin"/>
          <w:color w:val="111111"/>
          <w:sz w:val="28"/>
          <w:szCs w:val="28"/>
          <w:rtl w:val="true"/>
          <w:lang w:bidi="fa-IR"/>
        </w:rPr>
        <w:t>.</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 xml:space="preserve">مُهذَّب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بَرّاج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مساجد، پلها، مسافرخانه‌ها و وقف منازل برای حُجّاج و منازل برای غیر حُجّاج و وقف بر مسلمانان را اوقاف عامّ می‌داند که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بر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جواز انتفاع واقف کرده است و درباره منازل، بین مواردی که برای نزول حجّاج قرار می‌دهد و نیز مسافرخانه‌ها و بین غیر این موارد تفصیل داده و در مورد اوّل انتفاع واقف را تجویز کرده است</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 xml:space="preserve">علاّمه در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می‌دارد که اگر وقف به خدای متعال منتقل شده</w:t>
      </w:r>
    </w:p>
    <w:p>
      <w:pPr>
        <w:pStyle w:val="BookText"/>
        <w:rPr/>
      </w:pPr>
      <w:r>
        <w:rPr>
          <w:rFonts w:ascii="IRNazanin" w:hAnsi="IRNazanin" w:eastAsia="IRNazanin"/>
          <w:color w:val="111111"/>
          <w:sz w:val="28"/>
          <w:sz w:val="28"/>
          <w:szCs w:val="28"/>
          <w:rtl w:val="true"/>
          <w:lang w:bidi="fa-IR"/>
        </w:rPr>
        <w:t>باشد، مثل وقف بر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حق انتفاع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نمازگزاردن و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p>
    <w:p>
      <w:pPr>
        <w:pStyle w:val="BookText"/>
        <w:rPr/>
      </w:pPr>
      <w:r>
        <w:rPr>
          <w:rFonts w:ascii="IRNazanin" w:hAnsi="IRNazanin" w:eastAsia="IRNazanin"/>
          <w:color w:val="111111"/>
          <w:sz w:val="28"/>
          <w:sz w:val="28"/>
          <w:szCs w:val="28"/>
          <w:rtl w:val="true"/>
          <w:lang w:bidi="fa-IR"/>
        </w:rPr>
        <w:t xml:space="preserve">امّا اگر به خلق منتقل شده باشد، چه هنگام وقف، خودش مندرج در عنوان باشد یا بعدا مندرج شده باشد، واقف، داخل این وقف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 انتفاع نخواهد داشت</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دلیل وی این است که واقف با وقف، ملک را از خود اخراج و زایل کرده است، لذا دیگر حقّ انتفاع ندارد صاحب حدائق این تفصیل را نیکو شمرده است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ابن ادریس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وقف عام باشد مانند وقف بر فقرا، 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انتفاع واقف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این نظر را تقویت می‌کند که برای واقف انتفاع از</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وقف کرده در هیچ صورتی جایز نیست، زیرا ما اجماع داریم که وقف انسان بر </w:t>
      </w:r>
    </w:p>
    <w:p>
      <w:pPr>
        <w:pStyle w:val="BookText"/>
        <w:rPr/>
      </w:pPr>
      <w:r>
        <w:rPr>
          <w:rFonts w:ascii="IRNazanin" w:hAnsi="IRNazanin" w:eastAsia="IRNazanin"/>
          <w:color w:val="111111"/>
          <w:sz w:val="28"/>
          <w:sz w:val="28"/>
          <w:szCs w:val="28"/>
          <w:rtl w:val="true"/>
          <w:lang w:bidi="fa-IR"/>
        </w:rPr>
        <w:t>خودش صحیح نیست و باید وقف از ملک واقف خارج شود و به هیچ وجه به وی بازنگردد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منظور ابن ادریس این است که واقف حتّی در وقفهای عام هم حق انتفاع ندارد به این مستمسک که وقف بر خود صحیح نیست و از ملکش خارج شده است،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محقّق کَرَکی تصریح کرده است،</w:t>
      </w:r>
      <w:r>
        <w:rPr>
          <w:rStyle w:val="FootnoteAnchor"/>
          <w:rtl w:val="true"/>
        </w:rPr>
        <w:footnoteReference w:id="426"/>
      </w:r>
      <w:r>
        <w:rPr>
          <w:rFonts w:ascii="IRNazanin" w:hAnsi="IRNazanin" w:eastAsia="IRNazanin"/>
          <w:color w:val="111111"/>
          <w:sz w:val="28"/>
          <w:sz w:val="28"/>
          <w:szCs w:val="28"/>
          <w:rtl w:val="true"/>
          <w:lang w:bidi="fa-IR"/>
        </w:rPr>
        <w:t xml:space="preserve">انتفاع واقف در اوقاف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بر فقرا در صورتی که خودش نیز فقیر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وقف بر نفس نیست، زیرا وقف بر فقها،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اشخاص نیست بلکه در حقیقت وقف بر جهت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 فقاهت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برای همین است که در صحّت وقف، قبول آنها یا بعضی از آنها، هرچند ممکن باشد، شرط نیست و ملک هم به اشخاص منتقل نمی‌شود و صرف درآمد بر همه اشخاص آن صنف هم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بتوان گفت که ارتکاز متشرّعه هم در 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انتفاع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شده واقفی، مثلاً خانه‌ای را برای نزول حجاج وقف کرده باشد و خودش هنگام نزول در آن منطقه در بیرون آن منزل به 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یکی از ادلّه را سیره قطعیّه در جواز انتفاع از مسجد و مسافرخانه‌هایی می‌داند که با وقف حکم تحریر را پیدا کرده‌اند</w:t>
      </w:r>
      <w:r>
        <w:rPr>
          <w:rFonts w:eastAsia="IRNazanin" w:cs="IRNazanin"/>
          <w:color w:val="111111"/>
          <w:sz w:val="28"/>
          <w:szCs w:val="28"/>
          <w:rtl w:val="true"/>
          <w:lang w:bidi="fa-IR"/>
        </w:rPr>
        <w:t>.</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همچنین اَعلامی چون ابن‌جنید</w:t>
      </w:r>
      <w:r>
        <w:rPr>
          <w:rStyle w:val="FootnoteAnchor"/>
          <w:rtl w:val="true"/>
        </w:rPr>
        <w:footnoteReference w:id="428"/>
      </w:r>
      <w:r>
        <w:rPr>
          <w:rFonts w:ascii="IRNazanin" w:hAnsi="IRNazanin" w:eastAsia="IRNazanin"/>
          <w:color w:val="111111"/>
          <w:sz w:val="28"/>
          <w:sz w:val="28"/>
          <w:szCs w:val="28"/>
          <w:rtl w:val="true"/>
          <w:lang w:bidi="fa-IR"/>
        </w:rPr>
        <w:t>، شیخ در نهایه، محقّق حلّی</w:t>
      </w:r>
      <w:r>
        <w:rPr>
          <w:rStyle w:val="FootnoteAnchor"/>
          <w:rtl w:val="true"/>
        </w:rPr>
        <w:footnoteReference w:id="429"/>
      </w:r>
      <w:r>
        <w:rPr>
          <w:rFonts w:ascii="IRNazanin" w:hAnsi="IRNazanin" w:eastAsia="IRNazanin"/>
          <w:color w:val="111111"/>
          <w:sz w:val="28"/>
          <w:sz w:val="28"/>
          <w:szCs w:val="28"/>
          <w:rtl w:val="true"/>
          <w:lang w:bidi="fa-IR"/>
        </w:rPr>
        <w:t>، فاضل مقداد،</w:t>
      </w:r>
      <w:r>
        <w:rPr>
          <w:rStyle w:val="FootnoteAnchor"/>
          <w:rtl w:val="true"/>
        </w:rPr>
        <w:footnoteReference w:id="430"/>
      </w:r>
      <w:r>
        <w:rPr>
          <w:rFonts w:ascii="IRNazanin" w:hAnsi="IRNazanin" w:eastAsia="IRNazanin"/>
          <w:color w:val="111111"/>
          <w:sz w:val="28"/>
          <w:sz w:val="28"/>
          <w:szCs w:val="28"/>
          <w:rtl w:val="true"/>
          <w:lang w:bidi="fa-IR"/>
        </w:rPr>
        <w:t>صاحب ریاض</w:t>
      </w:r>
      <w:r>
        <w:rPr>
          <w:rStyle w:val="FootnoteAnchor"/>
          <w:rtl w:val="true"/>
        </w:rPr>
        <w:footnoteReference w:id="431"/>
      </w:r>
      <w:r>
        <w:rPr>
          <w:rFonts w:ascii="IRNazanin" w:hAnsi="IRNazanin" w:eastAsia="IRNazanin"/>
          <w:color w:val="111111"/>
          <w:sz w:val="28"/>
          <w:sz w:val="28"/>
          <w:szCs w:val="28"/>
          <w:rtl w:val="true"/>
          <w:lang w:bidi="fa-IR"/>
        </w:rPr>
        <w:t>و از فقهای متأخر، صاحب عروه</w:t>
      </w:r>
      <w:r>
        <w:rPr>
          <w:rStyle w:val="FootnoteAnchor"/>
          <w:rtl w:val="true"/>
        </w:rPr>
        <w:footnoteReference w:id="432"/>
      </w:r>
      <w:r>
        <w:rPr>
          <w:rFonts w:ascii="IRNazanin" w:hAnsi="IRNazanin" w:eastAsia="IRNazanin"/>
          <w:color w:val="111111"/>
          <w:sz w:val="28"/>
          <w:sz w:val="28"/>
          <w:szCs w:val="28"/>
          <w:rtl w:val="true"/>
          <w:lang w:bidi="fa-IR"/>
        </w:rPr>
        <w:t>و از معاصران، امام خمینی</w:t>
      </w:r>
      <w:r>
        <w:rPr>
          <w:rStyle w:val="FootnoteAnchor"/>
          <w:rtl w:val="true"/>
        </w:rPr>
        <w:footnoteReference w:id="433"/>
      </w:r>
      <w:r>
        <w:rPr>
          <w:rFonts w:ascii="IRNazanin" w:hAnsi="IRNazanin" w:eastAsia="IRNazanin"/>
          <w:color w:val="111111"/>
          <w:sz w:val="28"/>
          <w:sz w:val="28"/>
          <w:szCs w:val="28"/>
          <w:rtl w:val="true"/>
          <w:lang w:bidi="fa-IR"/>
        </w:rPr>
        <w:t>و آیه‌اللّه خویی</w:t>
      </w:r>
      <w:r>
        <w:rPr>
          <w:rStyle w:val="FootnoteAnchor"/>
          <w:rtl w:val="true"/>
        </w:rPr>
        <w:footnoteReference w:id="43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صریحا اظهار داشته‌اند که در اوقاف عامّه، انتفاع واقف از وقف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امام خمینی در مورد عناوین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بر فقرا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انتفاع واقف را مشروط به این امر می‌داند که مراد، توزیع بر آنها نباشد، بلکه مراد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مصرف باشد، همچنان که متعارف در وقف بر فقرا، زوّار و حجّاج نیز همین بیان </w:t>
      </w:r>
      <w:bookmarkStart w:id="273" w:name="pg4267_21849"/>
    </w:p>
    <w:p>
      <w:pPr>
        <w:pStyle w:val="BookText"/>
        <w:rPr/>
      </w:pPr>
      <w:bookmarkEnd w:id="273"/>
      <w:r>
        <w:rPr>
          <w:rFonts w:ascii="IRNazanin" w:hAnsi="IRNazanin" w:eastAsia="IRNazanin"/>
          <w:color w:val="111111"/>
          <w:sz w:val="28"/>
          <w:sz w:val="28"/>
          <w:szCs w:val="28"/>
          <w:rtl w:val="true"/>
          <w:lang w:bidi="fa-IR"/>
        </w:rPr>
        <w:t>مصرف است نه توزیع برآنها</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خود یک مسأله است و انتفاع از اوقاف عامّه مسأله‌ای دیگر است که مشمول ادلّه بطلانِ وقف بر نفس نمی‌شود</w:t>
      </w:r>
    </w:p>
    <w:p>
      <w:pPr>
        <w:pStyle w:val="BookText"/>
        <w:rPr/>
      </w:pPr>
      <w:r>
        <w:rPr>
          <w:rFonts w:ascii="IRNazanin" w:hAnsi="IRNazanin" w:eastAsia="IRNazanin"/>
          <w:color w:val="111111"/>
          <w:sz w:val="28"/>
          <w:sz w:val="28"/>
          <w:szCs w:val="28"/>
          <w:rtl w:val="true"/>
          <w:lang w:bidi="fa-IR"/>
        </w:rPr>
        <w:t>شایان ذکر است که گروهی از فقها در صورت اشتراط واقف نیز برای وی حقِ انتفاع، قایل شده‌اند که تفصیل آن در مبحث شروطِ واقف خواهد آمد</w:t>
      </w:r>
      <w:r>
        <w:rPr>
          <w:rFonts w:eastAsia="IRNazanin" w:cs="IRNazanin"/>
          <w:color w:val="111111"/>
          <w:sz w:val="28"/>
          <w:szCs w:val="28"/>
          <w:rtl w:val="true"/>
          <w:lang w:bidi="fa-IR"/>
        </w:rPr>
        <w:t>.</w:t>
      </w:r>
    </w:p>
    <w:p>
      <w:pPr>
        <w:pStyle w:val="Heading5"/>
        <w:numPr>
          <w:ilvl w:val="4"/>
          <w:numId w:val="1"/>
        </w:numPr>
        <w:rPr/>
      </w:pPr>
      <w:bookmarkStart w:id="274" w:name="__RefHeading___Toc474079_1479056682"/>
      <w:bookmarkStart w:id="275" w:name="_Toc102"/>
      <w:bookmarkEnd w:id="274"/>
      <w:r>
        <w:rPr>
          <w:rtl w:val="true"/>
        </w:rPr>
        <w:t>دیدگاه دیگر مذاهب</w:t>
      </w:r>
      <w:bookmarkEnd w:id="275"/>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اِبْن حَجَر در ذیل حدیث و داستان معروف وقف عمر بن خطّاب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حدیث استفاده می‌شود که واقف حقّ دارد بخشی از درآمد آن را برای خودش قرار دهد، زیرا عمر شرط کرد متولّی آن به قدر متعارف از آن استفاده کند و بیان نکرد که ناظر</w:t>
      </w:r>
    </w:p>
    <w:p>
      <w:pPr>
        <w:pStyle w:val="BookText"/>
        <w:rPr/>
      </w:pPr>
      <w:r>
        <w:rPr>
          <w:rFonts w:ascii="IRNazanin" w:hAnsi="IRNazanin" w:eastAsia="IRNazanin"/>
          <w:color w:val="111111"/>
          <w:sz w:val="28"/>
          <w:sz w:val="28"/>
          <w:szCs w:val="28"/>
          <w:rtl w:val="true"/>
          <w:lang w:bidi="fa-IR"/>
        </w:rPr>
        <w:t xml:space="preserve">خودش باشد یا دیگری و از این توضیح صحّت وقف بر نفس، که قول اِبن اَبی‌لَیْلی و ابویوسف و احمد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و استنباط می‌شود</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ابو زهره نیز</w:t>
      </w:r>
    </w:p>
    <w:p>
      <w:pPr>
        <w:pStyle w:val="BookText"/>
        <w:rPr/>
      </w:pPr>
      <w:r>
        <w:rPr>
          <w:rFonts w:ascii="IRNazanin" w:hAnsi="IRNazanin" w:eastAsia="IRNazanin"/>
          <w:color w:val="111111"/>
          <w:sz w:val="28"/>
          <w:sz w:val="28"/>
          <w:szCs w:val="28"/>
          <w:rtl w:val="true"/>
          <w:lang w:bidi="fa-IR"/>
        </w:rPr>
        <w:t>همین مضمون را به ابویوسف نسبت داده است</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عمر به فرض اعتبار، بر صحّت اشتراط استفاده برای متولّی، دلالت دارد نه برای واقف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مالکیّه و شافعیّه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وَهْبَهُ‌الزُّحَیْلی قول به عدم جواز انتفاع واقف از وقف خویش را به مالک و شافعی و محمّدبن‌الحسن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زیرا وقف ازاله ملک است و اشتراط آن برای واقف جایز نیست و نیز آنچه بر نفس خویش انفاق می‌کند، مجهول است لذا اشتراط آن صحیح نیست</w:t>
      </w:r>
      <w:r>
        <w:rPr>
          <w:rFonts w:eastAsia="IRNazanin" w:cs="IRNazanin"/>
          <w:color w:val="111111"/>
          <w:sz w:val="28"/>
          <w:szCs w:val="28"/>
          <w:rtl w:val="true"/>
          <w:lang w:bidi="fa-IR"/>
        </w:rPr>
        <w:t>.</w:t>
      </w:r>
      <w:r>
        <w:rPr>
          <w:rStyle w:val="FootnoteAnchor"/>
          <w:rtl w:val="true"/>
        </w:rPr>
        <w:footnoteReference w:id="438"/>
      </w:r>
      <w:r>
        <w:rPr>
          <w:rFonts w:ascii="IRNazanin" w:hAnsi="IRNazanin" w:eastAsia="IRNazanin"/>
          <w:color w:val="111111"/>
          <w:sz w:val="28"/>
          <w:sz w:val="28"/>
          <w:szCs w:val="28"/>
          <w:rtl w:val="true"/>
          <w:lang w:bidi="fa-IR"/>
        </w:rPr>
        <w:t>محمّد ابوزُهره نیز قول به عدم جواز را به مذهب مالک نسبت داده است</w:t>
      </w:r>
      <w:r>
        <w:rPr>
          <w:rFonts w:eastAsia="IRNazanin" w:cs="IRNazanin"/>
          <w:color w:val="111111"/>
          <w:sz w:val="28"/>
          <w:szCs w:val="28"/>
          <w:rtl w:val="true"/>
          <w:lang w:bidi="fa-IR"/>
        </w:rPr>
        <w:t>.</w:t>
      </w:r>
      <w:r>
        <w:rPr>
          <w:rStyle w:val="FootnoteAnchor"/>
          <w:rtl w:val="true"/>
        </w:rPr>
        <w:footnoteReference w:id="439"/>
      </w:r>
      <w:r>
        <w:rPr>
          <w:rFonts w:ascii="IRNazanin" w:hAnsi="IRNazanin" w:eastAsia="IRNazanin"/>
          <w:color w:val="111111"/>
          <w:sz w:val="28"/>
          <w:sz w:val="28"/>
          <w:szCs w:val="28"/>
          <w:rtl w:val="true"/>
          <w:lang w:bidi="fa-IR"/>
        </w:rPr>
        <w:t xml:space="preserve">مغنی‌المحتاج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برای جواز انتفاع واقف مواردی را ذکر کرده است </w:t>
      </w:r>
    </w:p>
    <w:p>
      <w:pPr>
        <w:pStyle w:val="BookText"/>
        <w:rPr/>
      </w:pPr>
      <w:r>
        <w:rPr>
          <w:rFonts w:ascii="IRNazanin" w:hAnsi="IRNazanin" w:eastAsia="IRNazanin"/>
          <w:color w:val="111111"/>
          <w:sz w:val="28"/>
          <w:sz w:val="28"/>
          <w:szCs w:val="28"/>
          <w:rtl w:val="true"/>
          <w:lang w:bidi="fa-IR"/>
        </w:rPr>
        <w:t>از جمله این که بر عناوینی چون علما،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و بعد خودش به آن عنوان مُتَّصف شود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حنبلیّه</w:t>
      </w:r>
    </w:p>
    <w:p>
      <w:pPr>
        <w:pStyle w:val="BookText"/>
        <w:rPr/>
      </w:pPr>
      <w:r>
        <w:rPr>
          <w:rFonts w:ascii="IRNazanin" w:hAnsi="IRNazanin" w:eastAsia="IRNazanin"/>
          <w:color w:val="111111"/>
          <w:sz w:val="28"/>
          <w:sz w:val="28"/>
          <w:szCs w:val="28"/>
          <w:rtl w:val="true"/>
          <w:lang w:bidi="fa-IR"/>
        </w:rPr>
        <w:t>ابن قُدامه حنبلی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وقف صحیحی انجام داد، همه منافع آن ملک موقوفٌ عَلَیْه می‌شود و ملکیّت آن از واقف زایل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او انتفاع از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مثل مسجد، یا مقبره و یا چاهی که برای مسلمین وقف کرده باشد خودش نیز حقّ نمازگزاردن، دفن کردن و آشامیدن آب را دارد و در این مسأله خلافی هم نیست و روایت شده که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وقف کرد که دلو خودش نیز همانند دلوهای</w:t>
      </w:r>
    </w:p>
    <w:p>
      <w:pPr>
        <w:pStyle w:val="BookText"/>
        <w:rPr/>
      </w:pPr>
      <w:r>
        <w:rPr>
          <w:rFonts w:ascii="IRNazanin" w:hAnsi="IRNazanin" w:eastAsia="IRNazanin"/>
          <w:color w:val="111111"/>
          <w:sz w:val="28"/>
          <w:sz w:val="28"/>
          <w:szCs w:val="28"/>
          <w:rtl w:val="true"/>
          <w:lang w:bidi="fa-IR"/>
        </w:rPr>
        <w:t>دیگر مسلمانان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همانند آنان حقّ استفاده از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شرط کند که از آن بخورد به مقداری که شرط کرده است، حقّ انتفاع دارد</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ascii="Amiri" w:hAnsi="Amiri" w:eastAsia="Amiri" w:cs="Amiri"/>
          <w:color w:val="111111"/>
          <w:sz w:val="28"/>
          <w:sz w:val="28"/>
          <w:szCs w:val="28"/>
          <w:rtl w:val="true"/>
          <w:lang w:bidi="ar-SA"/>
        </w:rPr>
        <w:t>ظاهریّه</w:t>
      </w:r>
    </w:p>
    <w:p>
      <w:pPr>
        <w:pStyle w:val="BookText"/>
        <w:rPr/>
      </w:pPr>
      <w:r>
        <w:rPr>
          <w:rFonts w:ascii="IRNazanin" w:hAnsi="IRNazanin" w:eastAsia="IRNazanin"/>
          <w:color w:val="111111"/>
          <w:sz w:val="28"/>
          <w:sz w:val="28"/>
          <w:szCs w:val="28"/>
          <w:rtl w:val="true"/>
          <w:lang w:bidi="fa-IR"/>
        </w:rPr>
        <w:t>ابن حَزْم نیز همان سخن ابویوسف را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انسان جایز است بر کسانی که دوست دارد یا بر نفس خود، سپس بر هرکه می‌خواهد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حدیث پیامبر صلی‌الله‌علیه‌و‌آلهاستناد می‌کند که به عمر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اِبْدأ بِنَفْسِکَ فَتَصَدَّق عَلَیْها</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خلاصه می‌بینیم که فقها، در صحّت و عدم صحّت اشتراط اَکْل واقف‌از درآمد وقف خود اختلاف فاحش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ابن ابی‌لیلی، ابن بشرمه و گروهی از شافعیّه و حنابله و ظاهریّه این شرط را صحیح می‌دانند؛ امّا محمّد و مالکیّه و جمهور شافعیّه و اکثر حنابله و شیعه امامیّه این‌اشتراط را صحیح نمی‌دانند و هریک از دو گروه برای اثبات مدّعای خود به ادلّه‌ای استناد کرده‌اند، مثلاً مجوّزین به فعل عمر که برای متولّی حقّ اکل</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قرار داد و خودش را هم استثنا نکرد و نیز به وقف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رُومه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کرده‌اند و مانعین به قول رسول خدا صلی‌الله‌علیه‌و‌آلهبه عمر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ثمره را به قصد </w:t>
      </w:r>
      <w:bookmarkStart w:id="276" w:name="pg4267_21851"/>
    </w:p>
    <w:p>
      <w:pPr>
        <w:pStyle w:val="BookText"/>
        <w:rPr/>
      </w:pPr>
      <w:bookmarkEnd w:id="276"/>
      <w:r>
        <w:rPr>
          <w:rFonts w:ascii="Amiri" w:hAnsi="Amiri" w:eastAsia="Amiri" w:cs="Amiri"/>
          <w:color w:val="111111"/>
          <w:sz w:val="28"/>
          <w:sz w:val="28"/>
          <w:szCs w:val="28"/>
          <w:rtl w:val="true"/>
          <w:lang w:bidi="ar-SA"/>
        </w:rPr>
        <w:t>تبرّع و تصدّق، انفاق کن، استناد کرده‌اند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مُتَصَدَّقٌ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می‌خواهد و وقف بر خود، تصدّق نیست و نیز صحیح نیست‌که انسان عینی را صدقه دهد و جزئی‌را برای خودش شرط کند و</w:t>
      </w:r>
      <w:r>
        <w:rPr>
          <w:rFonts w:eastAsia="Amiri" w:cs="Amiri" w:ascii="Amiri" w:hAnsi="Amiri"/>
          <w:color w:val="111111"/>
          <w:sz w:val="28"/>
          <w:szCs w:val="28"/>
          <w:rtl w:val="true"/>
          <w:lang w:bidi="ar-SA"/>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در پایان، یادآوری یک نکته خالی از فایده نیست و آن این که مواردی که برخی از فقهای اهل سنّت حکم به عدم جواز کردند، موارد اشتراط انتفاع و اکل بود وگرنه بعید است که به نظر آنها انتفاع واقف از اوقافی مانند مساجد و عناوینی چون مسلمانان فقیر</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نباشد</w:t>
      </w:r>
      <w:r>
        <w:rPr>
          <w:rFonts w:eastAsia="IRNazanin" w:cs="IRNazanin"/>
          <w:color w:val="111111"/>
          <w:sz w:val="28"/>
          <w:szCs w:val="28"/>
          <w:rtl w:val="true"/>
          <w:lang w:bidi="fa-IR"/>
        </w:rPr>
        <w:t>.</w:t>
      </w:r>
    </w:p>
    <w:p>
      <w:pPr>
        <w:pStyle w:val="Heading4"/>
        <w:numPr>
          <w:ilvl w:val="3"/>
          <w:numId w:val="1"/>
        </w:numPr>
        <w:rPr/>
      </w:pPr>
      <w:bookmarkStart w:id="277" w:name="__RefHeading___Toc474081_1479056682"/>
      <w:bookmarkStart w:id="278" w:name="_Toc103"/>
      <w:bookmarkEnd w:id="277"/>
      <w:r>
        <w:rPr>
          <w:rtl w:val="true"/>
        </w:rPr>
        <w:t>شرط ششم</w:t>
      </w:r>
      <w:r>
        <w:rPr>
          <w:rtl w:val="true"/>
        </w:rPr>
        <w:t xml:space="preserve">: </w:t>
      </w:r>
      <w:r>
        <w:rPr>
          <w:rtl w:val="true"/>
        </w:rPr>
        <w:t>قبض</w:t>
      </w:r>
      <w:bookmarkEnd w:id="278"/>
    </w:p>
    <w:p>
      <w:pPr>
        <w:pStyle w:val="Heading5"/>
        <w:numPr>
          <w:ilvl w:val="4"/>
          <w:numId w:val="1"/>
        </w:numPr>
        <w:rPr/>
      </w:pPr>
      <w:bookmarkStart w:id="279" w:name="__RefHeading___Toc474083_1479056682"/>
      <w:bookmarkStart w:id="280" w:name="_Toc104"/>
      <w:bookmarkEnd w:id="279"/>
      <w:r>
        <w:rPr>
          <w:rtl w:val="true"/>
        </w:rPr>
        <w:t>معنای لغوی و اصطلاحی قبض</w:t>
      </w:r>
      <w:bookmarkEnd w:id="280"/>
    </w:p>
    <w:p>
      <w:pPr>
        <w:pStyle w:val="BookText"/>
        <w:rPr/>
      </w:pPr>
      <w:r>
        <w:rPr>
          <w:rFonts w:ascii="IRNazanin" w:hAnsi="IRNazanin" w:eastAsia="IRNazanin"/>
          <w:color w:val="111111"/>
          <w:sz w:val="28"/>
          <w:sz w:val="28"/>
          <w:szCs w:val="28"/>
          <w:rtl w:val="true"/>
          <w:lang w:bidi="fa-IR"/>
        </w:rPr>
        <w:t>هرچند قبض در لغت به معنای دریافت شی‌ء است با همه دست، همانند گرفتن شمشیر و مانند آن</w:t>
      </w:r>
      <w:r>
        <w:rPr>
          <w:rStyle w:val="FootnoteAnchor"/>
          <w:rtl w:val="true"/>
        </w:rPr>
        <w:footnoteReference w:id="444"/>
      </w:r>
      <w:r>
        <w:rPr>
          <w:rFonts w:ascii="IRNazanin" w:hAnsi="IRNazanin" w:eastAsia="IRNazanin"/>
          <w:color w:val="111111"/>
          <w:sz w:val="28"/>
          <w:sz w:val="28"/>
          <w:szCs w:val="28"/>
          <w:rtl w:val="true"/>
          <w:lang w:bidi="fa-IR"/>
        </w:rPr>
        <w:t>، امّا فقها در موارد گوناگون فِقه، قبض را به تخلیه، تعریف و تفسیر کرده‌اند، یعنی تحویل گیرنده را بر شی‌ء قبض شده مسلّط و مستولی ساختن، اگرچه در دست وی هم قرار نگیرد</w:t>
      </w:r>
      <w:r>
        <w:rPr>
          <w:rStyle w:val="FootnoteAnchor"/>
          <w:rtl w:val="true"/>
        </w:rPr>
        <w:footnoteReference w:id="445"/>
      </w:r>
      <w:r>
        <w:rPr>
          <w:rFonts w:ascii="IRNazanin" w:hAnsi="IRNazanin" w:eastAsia="IRNazanin"/>
          <w:color w:val="111111"/>
          <w:sz w:val="28"/>
          <w:sz w:val="28"/>
          <w:szCs w:val="28"/>
          <w:rtl w:val="true"/>
          <w:lang w:bidi="fa-IR"/>
        </w:rPr>
        <w:t>که البتّه با نظر دقیقتر این معنای اقباض است</w:t>
      </w:r>
      <w:r>
        <w:rPr>
          <w:rFonts w:eastAsia="IRNazanin" w:cs="IRNazanin"/>
          <w:color w:val="111111"/>
          <w:sz w:val="28"/>
          <w:szCs w:val="28"/>
          <w:rtl w:val="true"/>
          <w:lang w:bidi="fa-IR"/>
        </w:rPr>
        <w:t>.</w:t>
      </w:r>
    </w:p>
    <w:p>
      <w:pPr>
        <w:pStyle w:val="Heading5"/>
        <w:numPr>
          <w:ilvl w:val="4"/>
          <w:numId w:val="1"/>
        </w:numPr>
        <w:rPr/>
      </w:pPr>
      <w:bookmarkStart w:id="281" w:name="__RefHeading___Toc474085_1479056682"/>
      <w:bookmarkStart w:id="282" w:name="_Toc105"/>
      <w:bookmarkEnd w:id="281"/>
      <w:r>
        <w:rPr>
          <w:rtl w:val="true"/>
        </w:rPr>
        <w:t>دیدگاه فقهای مذاهب درباره قبض در وقف</w:t>
      </w:r>
      <w:bookmarkEnd w:id="282"/>
    </w:p>
    <w:p>
      <w:pPr>
        <w:pStyle w:val="Heading5"/>
        <w:numPr>
          <w:ilvl w:val="4"/>
          <w:numId w:val="1"/>
        </w:numPr>
        <w:rPr/>
      </w:pPr>
      <w:bookmarkStart w:id="283" w:name="__RefHeading___Toc474087_1479056682"/>
      <w:bookmarkStart w:id="284" w:name="_Toc106"/>
      <w:bookmarkEnd w:id="283"/>
      <w:r>
        <w:rPr>
          <w:rtl w:val="true"/>
        </w:rPr>
        <w:t>دیدگاه فقهای امامیّه</w:t>
      </w:r>
      <w:bookmarkEnd w:id="284"/>
    </w:p>
    <w:p>
      <w:pPr>
        <w:pStyle w:val="BookText"/>
        <w:rPr/>
      </w:pPr>
      <w:r>
        <w:rPr>
          <w:rFonts w:ascii="IRNazanin" w:hAnsi="IRNazanin" w:eastAsia="IRNazanin"/>
          <w:color w:val="111111"/>
          <w:sz w:val="28"/>
          <w:sz w:val="28"/>
          <w:szCs w:val="28"/>
          <w:rtl w:val="true"/>
          <w:lang w:bidi="fa-IR"/>
        </w:rPr>
        <w:t>قبل از بیان مطلب، توجّه به این نکته خالی از فایده نیست که دیدگاه فقهای امامیّه در این مورد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بیان عبارات برخی استفاده می‌شود که در وقف مطلقا قبض شرط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لزوم و نه در صحّت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صاحب مفتاح الکرامة به سلّار</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 عبدالعزیز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446"/>
      </w:r>
      <w:r>
        <w:rPr>
          <w:rFonts w:ascii="IRNazanin" w:hAnsi="IRNazanin" w:eastAsia="IRNazanin"/>
          <w:color w:val="111111"/>
          <w:sz w:val="28"/>
          <w:sz w:val="28"/>
          <w:szCs w:val="28"/>
          <w:rtl w:val="true"/>
          <w:lang w:bidi="fa-IR"/>
        </w:rPr>
        <w:t xml:space="preserve">علاّمه در مختلف به ابن جُنَید نسبت داده </w:t>
      </w:r>
    </w:p>
    <w:p>
      <w:pPr>
        <w:pStyle w:val="BookText"/>
        <w:rPr/>
      </w:pPr>
      <w:r>
        <w:rPr>
          <w:rFonts w:ascii="IRNazanin" w:hAnsi="IRNazanin" w:eastAsia="IRNazanin"/>
          <w:color w:val="111111"/>
          <w:sz w:val="28"/>
          <w:sz w:val="28"/>
          <w:szCs w:val="28"/>
          <w:rtl w:val="true"/>
          <w:lang w:bidi="fa-IR"/>
        </w:rPr>
        <w:t>است که اِشهاد بر وقف نیز جای قبض را می‌گیرد و وقف را لازم می‌کند</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 xml:space="preserve">از عبارت ابوالصّلاح حلبی استفاده می‌شود که اگر وقف بر مسجد یا مصلحتی از مصالح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وقف بر پلها،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قبض و اقباض هم نافذ است؛ امّا اگر وقف بر کسانی باشد که خودشان یا ولیّ آنها توان قبض دارند، قبض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در همین صورت اگر شاهد بگیرد از قبض کفایت می‌کند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ascii="IRNazanin" w:hAnsi="IRNazanin" w:eastAsia="IRNazanin"/>
          <w:color w:val="111111"/>
          <w:sz w:val="28"/>
          <w:sz w:val="28"/>
          <w:szCs w:val="28"/>
          <w:rtl w:val="true"/>
          <w:lang w:bidi="fa-IR"/>
        </w:rPr>
        <w:t>امّا نظر مشهور و عموم فقهای امامیّه این است که در وقف مطلقا قبض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این که وقف بر مساجد و مصالح باشد یا غیر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خلاف چنین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شرایط لزوم وقف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است</w:t>
      </w:r>
      <w:r>
        <w:rPr>
          <w:rFonts w:eastAsia="IRNazanin" w:cs="IRNazanin"/>
          <w:color w:val="111111"/>
          <w:sz w:val="28"/>
          <w:szCs w:val="28"/>
          <w:rtl w:val="true"/>
          <w:lang w:bidi="fa-IR"/>
        </w:rPr>
        <w:t>».</w:t>
      </w:r>
      <w:r>
        <w:rPr>
          <w:rStyle w:val="FootnoteAnchor"/>
          <w:rtl w:val="true"/>
        </w:rPr>
        <w:footnoteReference w:id="449"/>
      </w:r>
      <w:r>
        <w:rPr>
          <w:rFonts w:ascii="IRNazanin" w:hAnsi="IRNazanin" w:eastAsia="IRNazanin"/>
          <w:color w:val="111111"/>
          <w:sz w:val="28"/>
          <w:sz w:val="28"/>
          <w:szCs w:val="28"/>
          <w:rtl w:val="true"/>
          <w:lang w:bidi="fa-IR"/>
        </w:rPr>
        <w:t>عبارت وی در</w:t>
      </w:r>
    </w:p>
    <w:p>
      <w:pPr>
        <w:pStyle w:val="BookText"/>
        <w:rPr/>
      </w:pPr>
      <w:r>
        <w:rPr>
          <w:rFonts w:ascii="IRNazanin" w:hAnsi="IRNazanin" w:eastAsia="IRNazanin"/>
          <w:color w:val="111111"/>
          <w:sz w:val="28"/>
          <w:sz w:val="28"/>
          <w:szCs w:val="28"/>
          <w:rtl w:val="true"/>
          <w:lang w:bidi="fa-IR"/>
        </w:rPr>
        <w:t>مبسوط</w:t>
      </w:r>
      <w:r>
        <w:rPr>
          <w:rStyle w:val="FootnoteAnchor"/>
          <w:rtl w:val="true"/>
        </w:rPr>
        <w:footnoteReference w:id="450"/>
      </w:r>
      <w:r>
        <w:rPr>
          <w:rFonts w:ascii="IRNazanin" w:hAnsi="IRNazanin" w:eastAsia="IRNazanin"/>
          <w:color w:val="111111"/>
          <w:sz w:val="28"/>
          <w:sz w:val="28"/>
          <w:szCs w:val="28"/>
          <w:rtl w:val="true"/>
          <w:lang w:bidi="fa-IR"/>
        </w:rPr>
        <w:t>و نهایة</w:t>
      </w:r>
      <w:r>
        <w:rPr>
          <w:rStyle w:val="FootnoteAnchor"/>
          <w:rtl w:val="true"/>
        </w:rPr>
        <w:footnoteReference w:id="451"/>
      </w:r>
      <w:r>
        <w:rPr>
          <w:rFonts w:ascii="IRNazanin" w:hAnsi="IRNazanin" w:eastAsia="IRNazanin"/>
          <w:color w:val="111111"/>
          <w:sz w:val="28"/>
          <w:sz w:val="28"/>
          <w:szCs w:val="28"/>
          <w:rtl w:val="true"/>
          <w:lang w:bidi="fa-IR"/>
        </w:rPr>
        <w:t>نیز دارای همین مضمون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خلاف دلیل این مدعا را اجماع فرقه امامیّه می‌داند و این که لزوم وقف قبل از قبض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شهیدین در لُمعه و رَوضه نیز به این امر تصریح کرده‌اند</w:t>
      </w:r>
      <w:r>
        <w:rPr>
          <w:rFonts w:eastAsia="IRNazanin" w:cs="IRNazanin"/>
          <w:color w:val="111111"/>
          <w:sz w:val="28"/>
          <w:szCs w:val="28"/>
          <w:rtl w:val="true"/>
          <w:lang w:bidi="fa-IR"/>
        </w:rPr>
        <w:t>.</w:t>
      </w:r>
      <w:r>
        <w:rPr>
          <w:rStyle w:val="FootnoteAnchor"/>
          <w:rtl w:val="true"/>
        </w:rPr>
        <w:footnoteReference w:id="452"/>
      </w:r>
      <w:r>
        <w:rPr>
          <w:rFonts w:ascii="IRNazanin" w:hAnsi="IRNazanin" w:eastAsia="IRNazanin"/>
          <w:color w:val="111111"/>
          <w:sz w:val="28"/>
          <w:sz w:val="28"/>
          <w:szCs w:val="28"/>
          <w:rtl w:val="true"/>
          <w:lang w:bidi="fa-IR"/>
        </w:rPr>
        <w:t>شهید اوّل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شرایط وقف، اقباض است به طوری که اگر واقف قبل از اقباض بمیرد، وقف باطل است</w:t>
      </w:r>
      <w:r>
        <w:rPr>
          <w:rFonts w:eastAsia="IRNazanin" w:cs="IRNazanin"/>
          <w:color w:val="111111"/>
          <w:sz w:val="28"/>
          <w:szCs w:val="28"/>
          <w:rtl w:val="true"/>
          <w:lang w:bidi="fa-IR"/>
        </w:rPr>
        <w:t>.</w:t>
      </w:r>
      <w:r>
        <w:rPr>
          <w:rStyle w:val="FootnoteAnchor"/>
          <w:rtl w:val="true"/>
        </w:rPr>
        <w:footnoteReference w:id="453"/>
      </w:r>
    </w:p>
    <w:p>
      <w:pPr>
        <w:pStyle w:val="BookText"/>
        <w:rPr/>
      </w:pPr>
      <w:r>
        <w:rPr>
          <w:rFonts w:ascii="IRNazanin" w:hAnsi="IRNazanin" w:eastAsia="IRNazanin"/>
          <w:color w:val="111111"/>
          <w:sz w:val="28"/>
          <w:sz w:val="28"/>
          <w:szCs w:val="28"/>
          <w:rtl w:val="true"/>
          <w:lang w:bidi="fa-IR"/>
        </w:rPr>
        <w:t xml:space="preserve">بنابراین بجز آنچه از مراسم سلاّر نقل شد تقریبا نظر عامّه فقهای امامیّه این است که یکی از شرایط مسلّم وقف، قبض و یا به عبارت صحیحتر و دقیقتر اقباض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قبض با اذن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این مطلب را از مسایلی می‌داند که بین اصحاب ما در آن هیچ اختلافی نیست</w:t>
      </w:r>
      <w:r>
        <w:rPr>
          <w:rFonts w:eastAsia="IRNazanin" w:cs="IRNazanin"/>
          <w:color w:val="111111"/>
          <w:sz w:val="28"/>
          <w:szCs w:val="28"/>
          <w:rtl w:val="true"/>
          <w:lang w:bidi="fa-IR"/>
        </w:rPr>
        <w:t>.</w:t>
      </w:r>
      <w:r>
        <w:rPr>
          <w:rStyle w:val="FootnoteAnchor"/>
          <w:rtl w:val="true"/>
        </w:rPr>
        <w:footnoteReference w:id="454"/>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مسأله‌ای که بیشتر مورد بحث است، این است که آیا قبض شرط لزوم وقف است یا شرط صحّت آن، و این دو امر در نتیجه با هم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شرط لزوم باشد، عقد وقف بدون قبض هم صحیح و ناقل است هرچند به طور مُراعی و متزلزل، همانند نقل و انتقالی که در بیع فضولی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حتّی اگر بعدها قبض هم </w:t>
      </w:r>
    </w:p>
    <w:p>
      <w:pPr>
        <w:pStyle w:val="BookText"/>
        <w:rPr/>
      </w:pPr>
      <w:r>
        <w:rPr>
          <w:rFonts w:ascii="IRNazanin" w:hAnsi="IRNazanin" w:eastAsia="IRNazanin"/>
          <w:color w:val="111111"/>
          <w:sz w:val="28"/>
          <w:sz w:val="28"/>
          <w:szCs w:val="28"/>
          <w:rtl w:val="true"/>
          <w:lang w:bidi="fa-IR"/>
        </w:rPr>
        <w:t>صورت نگیرد و مثلاً واقف از نظر خود بر گردد، نماء از زمان عقد تا زمان رجوع، از آن</w:t>
      </w:r>
    </w:p>
    <w:p>
      <w:pPr>
        <w:pStyle w:val="BookText"/>
        <w:rPr/>
      </w:pPr>
      <w:r>
        <w:rPr>
          <w:rFonts w:ascii="IRNazanin" w:hAnsi="IRNazanin" w:eastAsia="IRNazanin"/>
          <w:color w:val="111111"/>
          <w:sz w:val="28"/>
          <w:sz w:val="28"/>
          <w:szCs w:val="28"/>
          <w:rtl w:val="true"/>
          <w:lang w:bidi="fa-IR"/>
        </w:rPr>
        <w:t>موقوفٌ‌عَلَیْه خواهد بود، امّا اگر قبض را شرط صحّت بدانیم بدون قبض هیچ نقل و انتقالی انجام نگرفته و در حقیقت ناقل، امری است مرکب از عقد و قبض که قبل از قبض، تنها یک جزء این مرکب انجام شده و انتقال به موقوفٌ‌عَلَیْه بر جزء دیگر که قبض است</w:t>
      </w:r>
    </w:p>
    <w:p>
      <w:pPr>
        <w:pStyle w:val="BookText"/>
        <w:rPr/>
      </w:pP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نماء این مدّت نیز ملک واقف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مدّعی است که در نزد فقهای امامیه، قبض، شرط لزوم است نه شرط صحّت و از این رو واقف قبل از قبض، حقّ رجوع دارد</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ولی عبارات بسیاری از فقها صراحت بر این دارند که قبض، شرط صحّت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محقّق در شرایع اظهار می‌دارد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قبض در صحّتِ وقف شرط است لذا اگر وقف کند و قبل از قبض بمیرد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56"/>
      </w:r>
    </w:p>
    <w:p>
      <w:pPr>
        <w:pStyle w:val="BookText"/>
        <w:rPr/>
      </w:pPr>
      <w:r>
        <w:rPr>
          <w:rFonts w:ascii="IRNazanin" w:hAnsi="IRNazanin" w:eastAsia="IRNazanin"/>
          <w:color w:val="111111"/>
          <w:sz w:val="28"/>
          <w:sz w:val="28"/>
          <w:szCs w:val="28"/>
          <w:rtl w:val="true"/>
          <w:lang w:bidi="fa-IR"/>
        </w:rPr>
        <w:t>شهید ثانی در توضیح این عبارت محقّق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هیچ اختلافی قبض، شرطِ تمامیّتِ وقف است، یعنی انتقال ملک در وقف، مشروط به ایجاب و قبول و قبض می‌باشد، لذا عقد تنها جزء سبب ناقل است و تمامیّت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قبل از قبض، عقد به خودی خود صحیح هست، امّا ناقل ملک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مرگ واقف، قبل از قبض، وقف باطل می‌شود و نماء و فواید، بین عقد و قبض هم برای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قبض را شرط لزوم دانسته‌اند معنایی جز آنچه ما گفتیم اراده نکرده‌اند؛ هر چند ممکن است ظاهرا الفاظ و</w:t>
      </w:r>
    </w:p>
    <w:p>
      <w:pPr>
        <w:pStyle w:val="BookText"/>
        <w:rPr/>
      </w:pPr>
      <w:r>
        <w:rPr>
          <w:rFonts w:ascii="IRNazanin" w:hAnsi="IRNazanin" w:eastAsia="IRNazanin"/>
          <w:color w:val="111111"/>
          <w:sz w:val="28"/>
          <w:sz w:val="28"/>
          <w:szCs w:val="28"/>
          <w:rtl w:val="true"/>
          <w:lang w:bidi="fa-IR"/>
        </w:rPr>
        <w:t>کلامشان این باشد که وقف بدون قبض همانند ملکیّت مشتری در زمان خیار بایع است که نمای مبیع، مِلک مشتری می‌باشد امّا در وقف به اتّفاق و اجماع اَعلام، مطلب همان</w:t>
      </w:r>
    </w:p>
    <w:p>
      <w:pPr>
        <w:pStyle w:val="BookText"/>
        <w:rPr/>
      </w:pPr>
      <w:r>
        <w:rPr>
          <w:rFonts w:ascii="IRNazanin" w:hAnsi="IRNazanin" w:eastAsia="IRNazanin"/>
          <w:color w:val="111111"/>
          <w:sz w:val="28"/>
          <w:sz w:val="28"/>
          <w:szCs w:val="28"/>
          <w:rtl w:val="true"/>
          <w:lang w:bidi="fa-IR"/>
        </w:rPr>
        <w:t>است که ما گفتیم</w:t>
      </w:r>
      <w:r>
        <w:rPr>
          <w:rFonts w:eastAsia="IRNazanin" w:cs="IRNazanin"/>
          <w:color w:val="111111"/>
          <w:sz w:val="28"/>
          <w:szCs w:val="28"/>
          <w:rtl w:val="true"/>
          <w:lang w:bidi="fa-IR"/>
        </w:rPr>
        <w:t>.</w:t>
      </w:r>
      <w:r>
        <w:rPr>
          <w:rStyle w:val="FootnoteAnchor"/>
          <w:rtl w:val="true"/>
        </w:rPr>
        <w:footnoteReference w:id="457"/>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عبارت شهید اوّل در دروس</w:t>
      </w:r>
      <w:r>
        <w:rPr>
          <w:rStyle w:val="FootnoteAnchor"/>
          <w:rtl w:val="true"/>
        </w:rPr>
        <w:footnoteReference w:id="458"/>
      </w:r>
      <w:r>
        <w:rPr>
          <w:rFonts w:ascii="IRNazanin" w:hAnsi="IRNazanin" w:eastAsia="IRNazanin"/>
          <w:color w:val="111111"/>
          <w:sz w:val="28"/>
          <w:sz w:val="28"/>
          <w:szCs w:val="28"/>
          <w:rtl w:val="true"/>
          <w:lang w:bidi="fa-IR"/>
        </w:rPr>
        <w:t>نیز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قبض را شرط لزوم و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459"/>
      </w:r>
      <w:r>
        <w:rPr>
          <w:rFonts w:ascii="Amiri" w:hAnsi="Amiri" w:eastAsia="Amiri" w:cs="Amiri"/>
          <w:color w:val="111111"/>
          <w:sz w:val="28"/>
          <w:sz w:val="28"/>
          <w:szCs w:val="28"/>
          <w:rtl w:val="true"/>
          <w:lang w:bidi="ar-SA"/>
        </w:rPr>
        <w:t>علاّمه در قواعد نیز می‌نویسد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 الْمَوْقَوفٌ عَلَیْه فَیُشْتَرَطُ قَبْضُهُ فِی صِحَّهِ‌الْوَقْفِ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در صحّت وقف قبض، توسط موقوفٌ‌عَلَیْه شرط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ثانی در ذیل این عبارت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مطلب خلافی نیست</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البتّه از عبارات شیخ طوسی در خلاف</w:t>
      </w:r>
      <w:r>
        <w:rPr>
          <w:rStyle w:val="FootnoteAnchor"/>
          <w:rtl w:val="true"/>
        </w:rPr>
        <w:footnoteReference w:id="461"/>
      </w:r>
      <w:r>
        <w:rPr>
          <w:rFonts w:ascii="IRNazanin" w:hAnsi="IRNazanin" w:eastAsia="IRNazanin"/>
          <w:color w:val="111111"/>
          <w:sz w:val="28"/>
          <w:sz w:val="28"/>
          <w:szCs w:val="28"/>
          <w:rtl w:val="true"/>
          <w:lang w:bidi="fa-IR"/>
        </w:rPr>
        <w:t>و نهایه</w:t>
      </w:r>
      <w:r>
        <w:rPr>
          <w:rStyle w:val="FootnoteAnchor"/>
          <w:rtl w:val="true"/>
        </w:rPr>
        <w:footnoteReference w:id="462"/>
      </w:r>
      <w:r>
        <w:rPr>
          <w:rFonts w:ascii="IRNazanin" w:hAnsi="IRNazanin" w:eastAsia="IRNazanin"/>
          <w:color w:val="111111"/>
          <w:sz w:val="28"/>
          <w:sz w:val="28"/>
          <w:szCs w:val="28"/>
          <w:rtl w:val="true"/>
          <w:lang w:bidi="fa-IR"/>
        </w:rPr>
        <w:t>و عبارت محقّق در شرایع</w:t>
      </w:r>
      <w:r>
        <w:rPr>
          <w:rStyle w:val="FootnoteAnchor"/>
          <w:rtl w:val="true"/>
        </w:rPr>
        <w:footnoteReference w:id="46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قبض، تنها شرطِ لزومِ وقف است نه 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صاحب جواهر در ذیل عبارت محقّق ضمن توضیحاتی مدّعی است که شرط لزوم وقف با شرط صحّت آن منافات ندارد</w:t>
      </w:r>
      <w:r>
        <w:rPr>
          <w:rFonts w:eastAsia="IRNazanin" w:cs="IRNazanin"/>
          <w:color w:val="111111"/>
          <w:sz w:val="28"/>
          <w:szCs w:val="28"/>
          <w:rtl w:val="true"/>
          <w:lang w:bidi="fa-IR"/>
        </w:rPr>
        <w:t>.</w:t>
      </w:r>
      <w:r>
        <w:rPr>
          <w:rStyle w:val="FootnoteAnchor"/>
          <w:rtl w:val="true"/>
        </w:rPr>
        <w:footnoteReference w:id="464"/>
      </w:r>
      <w:r>
        <w:rPr>
          <w:rFonts w:ascii="IRNazanin" w:hAnsi="IRNazanin" w:eastAsia="IRNazanin"/>
          <w:color w:val="111111"/>
          <w:sz w:val="28"/>
          <w:sz w:val="28"/>
          <w:szCs w:val="28"/>
          <w:rtl w:val="true"/>
          <w:lang w:bidi="fa-IR"/>
        </w:rPr>
        <w:t>در این جا تیمّنا مضمون بخشی از یک روایت را ذکر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صحیح، صفوان از امام کاظم علیه‌السلام می‌پرسد که آیا واقف حقّ رجوع از وقف خود را دارد یا نه؟ حضرت در بخشی از پاسخ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مَوْقوفٌ علیهم کبیر باشند</w:t>
      </w:r>
    </w:p>
    <w:p>
      <w:pPr>
        <w:pStyle w:val="BookText"/>
        <w:rPr/>
      </w:pPr>
      <w:r>
        <w:rPr>
          <w:rFonts w:ascii="IRNazanin" w:hAnsi="IRNazanin" w:eastAsia="IRNazanin"/>
          <w:color w:val="111111"/>
          <w:sz w:val="28"/>
          <w:sz w:val="28"/>
          <w:szCs w:val="28"/>
          <w:rtl w:val="true"/>
          <w:lang w:bidi="fa-IR"/>
        </w:rPr>
        <w:t>و ملک را به آنها تحویل نداده است، حقّ رجوع دارد</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با توجّه به آنچه گذشت روشن می‌شود که عبارت مُغنِیَه، دایربر این که نزد امامیّه قبض، تنها شرط لزوم است</w:t>
      </w:r>
      <w:r>
        <w:rPr>
          <w:rStyle w:val="FootnoteAnchor"/>
          <w:rtl w:val="true"/>
        </w:rPr>
        <w:footnoteReference w:id="466"/>
      </w:r>
      <w:r>
        <w:rPr>
          <w:rFonts w:ascii="Amiri" w:hAnsi="Amiri" w:eastAsia="Amiri" w:cs="Amiri"/>
          <w:color w:val="111111"/>
          <w:sz w:val="28"/>
          <w:sz w:val="28"/>
          <w:szCs w:val="28"/>
          <w:rtl w:val="true"/>
          <w:lang w:bidi="ar-SA"/>
        </w:rPr>
        <w:t>، محلّ تأمّل جدّی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ضمن از روایات، از جمله روایت فوق، بیش از شرطیّت قبض برای لزوم استفاده نمی‌شود مگر این که بر شرطیّت آن برای صحّت، اجماع معتبر ثابت شود و یا استصحاب عدم انتقال ملکیّت تا قبل از قبض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می‌توان گفت؛ قدر متیقّن از تحقّق وقف، موردی است که قبض در آن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نکته پیرامون قبض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اشاره شد و در مفتاح الکرامة</w:t>
      </w:r>
      <w:r>
        <w:rPr>
          <w:rStyle w:val="FootnoteAnchor"/>
          <w:rtl w:val="true"/>
        </w:rPr>
        <w:footnoteReference w:id="467"/>
      </w:r>
      <w:r>
        <w:rPr>
          <w:rFonts w:ascii="IRNazanin" w:hAnsi="IRNazanin" w:eastAsia="IRNazanin"/>
          <w:color w:val="111111"/>
          <w:sz w:val="28"/>
          <w:sz w:val="28"/>
          <w:szCs w:val="28"/>
          <w:rtl w:val="true"/>
          <w:lang w:bidi="fa-IR"/>
        </w:rPr>
        <w:t>هم آمده است، حاصل کلام اصحاب این است که؛ قبض باید به اذن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قبض بدون اقباض مورد اعتبار و اعتماد نیست، و در مواردی هم که اَعلام قبض را به طور مطلق ذکر کرده‌اند منظورشان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این نظر را به مشهور نسبت داده، امّا دلیل آن را روشن نمی‌داند،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بدون اقباض هم ممکن است صادق باشد، هرچند نظر مشهور موافق احتیاط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البتّه در مواردی که مال موقوف به‌هر دلیلی در اختیار موقوفٌ علیه قرار دارد، دلیلی بر تجدید قبض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شرط صحّت بودن قبض این است که اگر واقف قبل از تحویل به موقوف‌علیهم بمیرد مال وقفی جزء میراث وی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فقهای ما، مانند محقّق در شرایع،</w:t>
      </w:r>
      <w:r>
        <w:rPr>
          <w:rStyle w:val="FootnoteAnchor"/>
          <w:rtl w:val="true"/>
        </w:rPr>
        <w:footnoteReference w:id="469"/>
      </w:r>
      <w:r>
        <w:rPr>
          <w:rFonts w:ascii="IRNazanin" w:hAnsi="IRNazanin" w:eastAsia="IRNazanin"/>
          <w:color w:val="111111"/>
          <w:sz w:val="28"/>
          <w:sz w:val="28"/>
          <w:szCs w:val="28"/>
          <w:rtl w:val="true"/>
          <w:lang w:bidi="fa-IR"/>
        </w:rPr>
        <w:t>علاّمه در تحریر،</w:t>
      </w:r>
      <w:r>
        <w:rPr>
          <w:rStyle w:val="FootnoteAnchor"/>
          <w:rtl w:val="true"/>
        </w:rPr>
        <w:footnoteReference w:id="470"/>
      </w:r>
      <w:r>
        <w:rPr>
          <w:rFonts w:ascii="IRNazanin" w:hAnsi="IRNazanin" w:eastAsia="IRNazanin"/>
          <w:color w:val="111111"/>
          <w:sz w:val="28"/>
          <w:sz w:val="28"/>
          <w:szCs w:val="28"/>
          <w:rtl w:val="true"/>
          <w:lang w:bidi="fa-IR"/>
        </w:rPr>
        <w:t>ارشاد</w:t>
      </w:r>
      <w:r>
        <w:rPr>
          <w:rStyle w:val="FootnoteAnchor"/>
          <w:rtl w:val="true"/>
        </w:rPr>
        <w:footnoteReference w:id="471"/>
      </w:r>
      <w:r>
        <w:rPr>
          <w:rFonts w:ascii="IRNazanin" w:hAnsi="IRNazanin" w:eastAsia="IRNazanin"/>
          <w:color w:val="111111"/>
          <w:sz w:val="28"/>
          <w:sz w:val="28"/>
          <w:szCs w:val="28"/>
          <w:rtl w:val="true"/>
          <w:lang w:bidi="fa-IR"/>
        </w:rPr>
        <w:t>و مختلف</w:t>
      </w:r>
      <w:r>
        <w:rPr>
          <w:rStyle w:val="FootnoteAnchor"/>
          <w:rtl w:val="true"/>
        </w:rPr>
        <w:footnoteReference w:id="472"/>
      </w:r>
      <w:r>
        <w:rPr>
          <w:rFonts w:ascii="Amiri" w:hAnsi="Amiri" w:eastAsia="Amiri" w:cs="Amiri"/>
          <w:color w:val="111111"/>
          <w:sz w:val="28"/>
          <w:sz w:val="28"/>
          <w:szCs w:val="28"/>
          <w:rtl w:val="true"/>
          <w:lang w:bidi="ar-SA"/>
        </w:rPr>
        <w:t xml:space="preserve">و فاضل مقداد و محقّق ثانی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این مطلب تصریح کرده‌اند و استناد آنها هم به صحیحه عُبَیدبن زُراره است که امام صادق علیه‌السلام در ضمن آن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لَمْ یَقْبِضُوا حَتّی یَمُوتَ فَهُوَ میراثٌ</w:t>
      </w:r>
      <w:r>
        <w:rPr>
          <w:rStyle w:val="FootnoteAnchor"/>
          <w:rtl w:val="true"/>
        </w:rPr>
        <w:footnoteReference w:id="47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قبض نکرده باشند تا واقف بمیرد آن مال میراثِ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اشتراط فوریّت در قبض، اشکال است</w:t>
      </w:r>
      <w:r>
        <w:rPr>
          <w:rStyle w:val="FootnoteAnchor"/>
          <w:rtl w:val="true"/>
        </w:rPr>
        <w:footnoteReference w:id="475"/>
      </w:r>
      <w:r>
        <w:rPr>
          <w:rFonts w:ascii="Amiri" w:hAnsi="Amiri" w:eastAsia="Amiri" w:cs="Amiri"/>
          <w:color w:val="111111"/>
          <w:sz w:val="28"/>
          <w:sz w:val="28"/>
          <w:szCs w:val="28"/>
          <w:rtl w:val="true"/>
          <w:lang w:bidi="ar-SA"/>
        </w:rPr>
        <w:t>محقّق ثانی</w:t>
      </w:r>
    </w:p>
    <w:p>
      <w:pPr>
        <w:pStyle w:val="BookText"/>
        <w:rPr/>
      </w:pPr>
      <w:r>
        <w:rPr>
          <w:rFonts w:ascii="IRNazanin" w:hAnsi="IRNazanin" w:eastAsia="IRNazanin"/>
          <w:color w:val="111111"/>
          <w:sz w:val="28"/>
          <w:sz w:val="28"/>
          <w:szCs w:val="28"/>
          <w:rtl w:val="true"/>
          <w:lang w:bidi="fa-IR"/>
        </w:rPr>
        <w:t>در ذیل آن، دلیل عدم را اصل عدم اشتراط، نبودن دلیل بر اشتراط فوریّت و نیز روایت عبیدبن زُراره می‌داند که حضرت، بطلان وقف را بر عدم قبض تا زمان مرگ معلّق ساخته است</w:t>
      </w:r>
      <w:r>
        <w:rPr>
          <w:rFonts w:eastAsia="IRNazanin" w:cs="IRNazanin"/>
          <w:color w:val="111111"/>
          <w:sz w:val="28"/>
          <w:szCs w:val="28"/>
          <w:rtl w:val="true"/>
          <w:lang w:bidi="fa-IR"/>
        </w:rPr>
        <w:t>.</w:t>
      </w:r>
      <w:r>
        <w:rPr>
          <w:rStyle w:val="FootnoteAnchor"/>
          <w:rtl w:val="true"/>
        </w:rPr>
        <w:footnoteReference w:id="476"/>
      </w:r>
      <w:r>
        <w:rPr>
          <w:rFonts w:ascii="IRNazanin" w:hAnsi="IRNazanin" w:eastAsia="IRNazanin"/>
          <w:color w:val="111111"/>
          <w:sz w:val="28"/>
          <w:sz w:val="28"/>
          <w:szCs w:val="28"/>
          <w:rtl w:val="true"/>
          <w:lang w:bidi="fa-IR"/>
        </w:rPr>
        <w:t>صاحب ریاض،</w:t>
      </w:r>
      <w:r>
        <w:rPr>
          <w:rStyle w:val="FootnoteAnchor"/>
          <w:rtl w:val="true"/>
        </w:rPr>
        <w:footnoteReference w:id="477"/>
      </w:r>
      <w:r>
        <w:rPr>
          <w:rFonts w:ascii="IRNazanin" w:hAnsi="IRNazanin" w:eastAsia="IRNazanin"/>
          <w:color w:val="111111"/>
          <w:sz w:val="28"/>
          <w:sz w:val="28"/>
          <w:szCs w:val="28"/>
          <w:rtl w:val="true"/>
          <w:lang w:bidi="fa-IR"/>
        </w:rPr>
        <w:t>صاحب مفتاح الکرامة</w:t>
      </w:r>
      <w:r>
        <w:rPr>
          <w:rStyle w:val="FootnoteAnchor"/>
          <w:rtl w:val="true"/>
        </w:rPr>
        <w:footnoteReference w:id="478"/>
      </w:r>
      <w:r>
        <w:rPr>
          <w:rFonts w:ascii="IRNazanin" w:hAnsi="IRNazanin" w:eastAsia="IRNazanin"/>
          <w:color w:val="111111"/>
          <w:sz w:val="28"/>
          <w:sz w:val="28"/>
          <w:szCs w:val="28"/>
          <w:rtl w:val="true"/>
          <w:lang w:bidi="fa-IR"/>
        </w:rPr>
        <w:t>و صاحب جواهر نیز در این باره بیاناتی مشابه دارند و در جواهر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آن جا که سراغ دارم کسی را مخالف این امر نیافتم</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مالی را بر اولاد صغار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کس دیگر که محجور التصرّف است و ولایتش با واقف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قبضِ خود او قبض آنان است و نیازی به قبض جدید هم نیست؛ زیرا کسی که لازم است قبض کند خود واقف است که اکنون مال در</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اوست</w:t>
      </w:r>
      <w:r>
        <w:rPr>
          <w:rFonts w:eastAsia="IRNazanin" w:cs="IRNazanin"/>
          <w:color w:val="111111"/>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 xml:space="preserve">مفتاح الکرامة این دیدگاه را به عموم فقهای امامیّه نسبت داده که البتّه </w:t>
      </w:r>
    </w:p>
    <w:p>
      <w:pPr>
        <w:pStyle w:val="BookText"/>
        <w:rPr/>
      </w:pPr>
      <w:r>
        <w:rPr>
          <w:rFonts w:ascii="IRNazanin" w:hAnsi="IRNazanin" w:eastAsia="IRNazanin"/>
          <w:color w:val="111111"/>
          <w:sz w:val="28"/>
          <w:sz w:val="28"/>
          <w:szCs w:val="28"/>
          <w:rtl w:val="true"/>
          <w:lang w:bidi="fa-IR"/>
        </w:rPr>
        <w:t>مقتضای اصول و قواعد و مضمون روایات</w:t>
      </w:r>
      <w:r>
        <w:rPr>
          <w:rStyle w:val="FootnoteAnchor"/>
          <w:rtl w:val="true"/>
        </w:rPr>
        <w:footnoteReference w:id="481"/>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مَوْقوفٌ علیهم افراد معیّن باشند که وقف توسّط خود آنان صورت گیرد، مشکلی نیست، امّا اگر وقف بر مساجد و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پلها، مقابر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عناوین</w:t>
      </w:r>
    </w:p>
    <w:p>
      <w:pPr>
        <w:pStyle w:val="BookText"/>
        <w:rPr/>
      </w:pPr>
      <w:r>
        <w:rPr>
          <w:rFonts w:ascii="IRNazanin" w:hAnsi="IRNazanin" w:eastAsia="IRNazanin"/>
          <w:color w:val="111111"/>
          <w:sz w:val="28"/>
          <w:sz w:val="28"/>
          <w:szCs w:val="28"/>
          <w:rtl w:val="true"/>
          <w:lang w:bidi="fa-IR"/>
        </w:rPr>
        <w:t>عام مانند فقرا، دانشمندان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بحث فرق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عناوین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 xml:space="preserve">آن‌جا که در حقیقت، وقف بر اشخاص نیست و وقف بر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جهت فقر، فقاهت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لذا قبض، توسّط خود آنها کافی نیست و چون کسی که مرجع امور این مصالح است، حاکم است، قبض باید توسّط او یا فردِ منصوب از طرف او صورت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وقف، ناظر شرعی دارد قبض به دست او انجام می‌گیرد</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 xml:space="preserve">امّا در وقف بر مساجد و مقابر و مصالحی چون پلها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شهید در مسالک این است که در مثل وقف بر پلها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شرعی دارد، قبض می‌کند وگر نه قبض با حاکم</w:t>
      </w:r>
    </w:p>
    <w:p>
      <w:pPr>
        <w:pStyle w:val="BookText"/>
        <w:rPr/>
      </w:pPr>
      <w:r>
        <w:rPr>
          <w:rFonts w:ascii="IRNazanin" w:hAnsi="IRNazanin" w:eastAsia="IRNazanin"/>
          <w:color w:val="111111"/>
          <w:sz w:val="28"/>
          <w:sz w:val="28"/>
          <w:szCs w:val="28"/>
          <w:rtl w:val="true"/>
          <w:lang w:bidi="fa-IR"/>
        </w:rPr>
        <w:t xml:space="preserve">است و امّا در مساجد و مقابر، وی ذیل عبارت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مسجد، نماز خواندن</w:t>
      </w:r>
    </w:p>
    <w:p>
      <w:pPr>
        <w:pStyle w:val="BookText"/>
        <w:rPr/>
      </w:pPr>
      <w:r>
        <w:rPr>
          <w:rFonts w:ascii="IRNazanin" w:hAnsi="IRNazanin" w:eastAsia="IRNazanin"/>
          <w:color w:val="111111"/>
          <w:sz w:val="28"/>
          <w:sz w:val="28"/>
          <w:szCs w:val="28"/>
          <w:rtl w:val="true"/>
          <w:lang w:bidi="fa-IR"/>
        </w:rPr>
        <w:t>یک نفر و در وقف مقابر، تدفین یک نفر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مصنّف لازم بود این نماز و دفن را به اذن واقف مقیّد می‌کرد تا اقباض تحقّق یابد و برخی بجز این، نماز و دفن را به قصد قبض هم مقیّد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بدون قصدِ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از روی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لازم نمی‌شود</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 xml:space="preserve">این نظر که قابض در وقف بر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پلها، جاده‌ها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ناظر و بعد از وی حاکم است و این که قبض در مساجد و مقابر به نماز و تدفین است، نظر بسیاری و حتّی اکثر اَعلام است</w:t>
      </w:r>
      <w:r>
        <w:rPr>
          <w:rFonts w:eastAsia="IRNazanin" w:cs="IRNazanin"/>
          <w:color w:val="111111"/>
          <w:sz w:val="28"/>
          <w:szCs w:val="28"/>
          <w:rtl w:val="true"/>
          <w:lang w:bidi="fa-IR"/>
        </w:rPr>
        <w:t>.</w:t>
      </w:r>
      <w:r>
        <w:rPr>
          <w:rStyle w:val="FootnoteAnchor"/>
          <w:rtl w:val="true"/>
        </w:rPr>
        <w:footnoteReference w:id="484"/>
      </w:r>
      <w:r>
        <w:rPr>
          <w:rFonts w:ascii="IRNazanin" w:hAnsi="IRNazanin" w:eastAsia="IRNazanin"/>
          <w:color w:val="111111"/>
          <w:sz w:val="28"/>
          <w:sz w:val="28"/>
          <w:szCs w:val="28"/>
          <w:rtl w:val="true"/>
          <w:lang w:bidi="fa-IR"/>
        </w:rPr>
        <w:t>صاحب جواهر از ایضاح الفوائد و جامع المقاصد استفاده اجماع کرده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اجماع ثابت نشود مسأله محلّ اشکال است، زیرا یک قابض بر همه مَوْقوفٌ علیهم ولایت ندارد تا قبض او قبض آنان نیز محسوب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w:t>
      </w:r>
    </w:p>
    <w:p>
      <w:pPr>
        <w:pStyle w:val="BookText"/>
        <w:rPr/>
      </w:pPr>
      <w:r>
        <w:rPr>
          <w:rFonts w:ascii="IRNazanin" w:hAnsi="IRNazanin" w:eastAsia="IRNazanin"/>
          <w:color w:val="111111"/>
          <w:sz w:val="28"/>
          <w:sz w:val="28"/>
          <w:szCs w:val="28"/>
          <w:rtl w:val="true"/>
          <w:lang w:bidi="fa-IR"/>
        </w:rPr>
        <w:t xml:space="preserve">که احدی از فقها در قبض، انتفاعِ قابض رامعتبر ندانسته است </w:t>
      </w:r>
      <w:r>
        <w:rPr>
          <w:rFonts w:eastAsia="IRNazanin" w:cs="IRNazanin"/>
          <w:color w:val="111111"/>
          <w:sz w:val="28"/>
          <w:szCs w:val="28"/>
          <w:rtl w:val="true"/>
          <w:lang w:bidi="fa-IR"/>
        </w:rPr>
        <w:t>...</w:t>
      </w:r>
      <w:r>
        <w:rPr>
          <w:rStyle w:val="FootnoteAnchor"/>
          <w:rtl w:val="true"/>
        </w:rPr>
        <w:footnoteReference w:id="485"/>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دیگرِ قابل توجّه این که صاحب عُروه، اشتراط قبض را در جهات عامّه مثل </w:t>
      </w:r>
      <w:bookmarkStart w:id="285" w:name="pg4267_21857"/>
    </w:p>
    <w:p>
      <w:pPr>
        <w:pStyle w:val="BookText"/>
        <w:rPr/>
      </w:pPr>
      <w:bookmarkEnd w:id="285"/>
      <w:r>
        <w:rPr>
          <w:rFonts w:ascii="IRNazanin" w:hAnsi="IRNazanin" w:eastAsia="IRNazanin"/>
          <w:color w:val="111111"/>
          <w:sz w:val="28"/>
          <w:sz w:val="28"/>
          <w:szCs w:val="28"/>
          <w:rtl w:val="true"/>
          <w:lang w:bidi="fa-IR"/>
        </w:rPr>
        <w:t xml:space="preserve">مساجد و مقابر و مصالح مثل پلها و عناوین عام مانند، فقرا، فقها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سؤال برده و مدّعی است که اخبارِ دلالت کننده بر اعتبار قبض در وقف از دلالت بر اعتبار قبض در این</w:t>
      </w:r>
    </w:p>
    <w:p>
      <w:pPr>
        <w:pStyle w:val="BookText"/>
        <w:rPr/>
      </w:pPr>
      <w:r>
        <w:rPr>
          <w:rFonts w:ascii="IRNazanin" w:hAnsi="IRNazanin" w:eastAsia="IRNazanin"/>
          <w:color w:val="111111"/>
          <w:sz w:val="28"/>
          <w:sz w:val="28"/>
          <w:szCs w:val="28"/>
          <w:rtl w:val="true"/>
          <w:lang w:bidi="fa-IR"/>
        </w:rPr>
        <w:t>بخش از موقوفات ناتوانند، هرچند آنچه مشهور برگزیده‌اند موافق احتیاط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بطون، قبض طبقه اوّل از مَوْقوفٌ علیهم برای تمامیّت و صحّت و لزوم وقف کافی است و نیازی به قبض طبقات بعدی نیست؛ زیرا بطون و طبقات بعدی مِلک را از اوّل تَلَقّی می‌کنند نه از بطون و با قبض طبقه اوّل وقف، لازم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قبضِ طبقات بعدی معتبر باشد لازمه آن، انقلابِ عقد لازم به عقد جایز است</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جواهرالکلام</w:t>
      </w:r>
      <w:r>
        <w:rPr>
          <w:rFonts w:eastAsia="IRNazanin" w:cs="IRNazanin"/>
          <w:color w:val="111111"/>
          <w:sz w:val="28"/>
          <w:szCs w:val="28"/>
          <w:rtl w:val="true"/>
          <w:lang w:bidi="fa-IR"/>
        </w:rPr>
        <w:t xml:space="preserve">: </w:t>
      </w:r>
      <w:r>
        <w:rPr>
          <w:rFonts w:eastAsia="IRNazanin" w:cs="IRNazanin"/>
          <w:color w:val="111111"/>
          <w:sz w:val="28"/>
          <w:szCs w:val="28"/>
          <w:lang w:bidi="fa-IR"/>
        </w:rPr>
        <w:t>28/82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اجماع اصحاب و عموم و اطلاق ادلّه را نیز مستند این مدّعا می‌داند، یعنی اطلاق ادلّه مُقتضیِ عدم اعتبار قبض است و در خروج از این اطلاق به همان مقدار</w:t>
      </w:r>
    </w:p>
    <w:p>
      <w:pPr>
        <w:pStyle w:val="BookText"/>
        <w:rPr/>
      </w:pPr>
      <w:r>
        <w:rPr>
          <w:rFonts w:ascii="IRNazanin" w:hAnsi="IRNazanin" w:eastAsia="IRNazanin"/>
          <w:color w:val="111111"/>
          <w:sz w:val="28"/>
          <w:sz w:val="28"/>
          <w:szCs w:val="28"/>
          <w:rtl w:val="true"/>
          <w:lang w:bidi="fa-IR"/>
        </w:rPr>
        <w:t>که دلیل داریم، یعنی اعتبار قبض در بطن اوّل، اکتفا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عمده را همین امر</w:t>
      </w:r>
    </w:p>
    <w:p>
      <w:pPr>
        <w:pStyle w:val="BookText"/>
        <w:rPr/>
      </w:pPr>
      <w:r>
        <w:rPr>
          <w:rFonts w:ascii="IRNazanin" w:hAnsi="IRNazanin" w:eastAsia="IRNazanin"/>
          <w:color w:val="111111"/>
          <w:sz w:val="28"/>
          <w:sz w:val="28"/>
          <w:szCs w:val="28"/>
          <w:rtl w:val="true"/>
          <w:lang w:bidi="fa-IR"/>
        </w:rPr>
        <w:t>می‌داند و بر دلیل اصحاب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بطون بعدی ملک را از اوّل تلقّی می‌کنند و لازمه اعتبارِ</w:t>
      </w:r>
    </w:p>
    <w:p>
      <w:pPr>
        <w:pStyle w:val="BookText"/>
        <w:rPr/>
      </w:pPr>
      <w:r>
        <w:rPr>
          <w:rFonts w:ascii="IRNazanin" w:hAnsi="IRNazanin" w:eastAsia="IRNazanin"/>
          <w:color w:val="111111"/>
          <w:sz w:val="28"/>
          <w:sz w:val="28"/>
          <w:szCs w:val="28"/>
          <w:rtl w:val="true"/>
          <w:lang w:bidi="fa-IR"/>
        </w:rPr>
        <w:t xml:space="preserve">قبضِ بطون بعدی انقلابِ عقد لازم به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می‌کند و معتقد است که هیچ انقلابی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می‌آید وقف به وقف منقطع منقلب شود وگرنه در حقّ</w:t>
      </w:r>
    </w:p>
    <w:p>
      <w:pPr>
        <w:pStyle w:val="BookText"/>
        <w:rPr/>
      </w:pPr>
      <w:r>
        <w:rPr>
          <w:rFonts w:ascii="IRNazanin" w:hAnsi="IRNazanin" w:eastAsia="IRNazanin"/>
          <w:color w:val="111111"/>
          <w:sz w:val="28"/>
          <w:sz w:val="28"/>
          <w:szCs w:val="28"/>
          <w:rtl w:val="true"/>
          <w:lang w:bidi="fa-IR"/>
        </w:rPr>
        <w:t>کسانی که وقف لازم شده به هیچ وجه به عقد جایز منقلب نمی‌شود</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که البتّه بیان ایشان محلّ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مطابق قانون مدنی</w:t>
      </w:r>
      <w:r>
        <w:rPr>
          <w:rStyle w:val="FootnoteAnchor"/>
          <w:rtl w:val="true"/>
        </w:rPr>
        <w:footnoteReference w:id="489"/>
      </w:r>
      <w:r>
        <w:rPr>
          <w:rFonts w:ascii="IRNazanin" w:hAnsi="IRNazanin" w:eastAsia="IRNazanin"/>
          <w:color w:val="111111"/>
          <w:sz w:val="28"/>
          <w:sz w:val="28"/>
          <w:szCs w:val="28"/>
          <w:rtl w:val="true"/>
          <w:lang w:bidi="fa-IR"/>
        </w:rPr>
        <w:t>نیز در تحقّق وقف، قبض، شرط است، اما فوریّت 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وقوع قبض وقف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مَوْقوفٌ علیهم محصور باشند وقف را قبض می‌کنند، در غیر محصور و مصالح عامّه، متولّیِ وقف و اگر نبود حاکم آن را قبض می‌کند</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286" w:name="__RefHeading___Toc474089_1479056682"/>
      <w:bookmarkStart w:id="287" w:name="_Toc107"/>
      <w:bookmarkEnd w:id="286"/>
      <w:r>
        <w:rPr>
          <w:rtl w:val="true"/>
        </w:rPr>
        <w:t>دیدگاه دیگر مذاهب</w:t>
      </w:r>
      <w:bookmarkEnd w:id="287"/>
    </w:p>
    <w:p>
      <w:pPr>
        <w:pStyle w:val="BookText"/>
        <w:rPr/>
      </w:pPr>
      <w:r>
        <w:rPr>
          <w:rFonts w:ascii="Amiri" w:hAnsi="Amiri" w:eastAsia="Amiri" w:cs="Amiri"/>
          <w:color w:val="111111"/>
          <w:sz w:val="28"/>
          <w:sz w:val="28"/>
          <w:szCs w:val="28"/>
          <w:rtl w:val="true"/>
          <w:lang w:bidi="ar-SA"/>
        </w:rPr>
        <w:t>حنفیّه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سرخسی در 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جز با قبض، لازم و تمام </w:t>
      </w:r>
    </w:p>
    <w:p>
      <w:pPr>
        <w:pStyle w:val="BookText"/>
        <w:rPr/>
      </w:pPr>
      <w:r>
        <w:rPr>
          <w:rFonts w:ascii="IRNazanin" w:hAnsi="IRNazanin" w:eastAsia="IRNazanin"/>
          <w:color w:val="111111"/>
          <w:sz w:val="28"/>
          <w:sz w:val="28"/>
          <w:szCs w:val="28"/>
          <w:rtl w:val="true"/>
          <w:lang w:bidi="fa-IR"/>
        </w:rPr>
        <w:t>نیست؛ زیرا صدقه دهنده مال خود را خالص برای خدا قرار می‌دهد، به این طریق که آن را از حقّ و مِلک خویش خارج می‌سازد و این امر جز با اخراج از ید و اِقباض آن تمام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دیدگاه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بن‌الحسن‌الشیبانی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ابی‌لیلی نیز همین</w:t>
      </w:r>
    </w:p>
    <w:p>
      <w:pPr>
        <w:pStyle w:val="BookText"/>
        <w:rPr/>
      </w:pPr>
      <w:r>
        <w:rPr>
          <w:rFonts w:ascii="IRNazanin" w:hAnsi="IRNazanin" w:eastAsia="IRNazanin"/>
          <w:color w:val="111111"/>
          <w:sz w:val="28"/>
          <w:sz w:val="28"/>
          <w:szCs w:val="28"/>
          <w:rtl w:val="true"/>
          <w:lang w:bidi="fa-IR"/>
        </w:rPr>
        <w:t xml:space="preserve">است؛ هرچند ابویوسف وقف را به مجرّد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بدون قبض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می‌داند</w:t>
      </w:r>
      <w:r>
        <w:rPr>
          <w:rFonts w:eastAsia="IRNazanin" w:cs="IRNazanin"/>
          <w:color w:val="111111"/>
          <w:sz w:val="28"/>
          <w:szCs w:val="28"/>
          <w:rtl w:val="true"/>
          <w:lang w:bidi="fa-IR"/>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 xml:space="preserve">در ضمن وی در مصالحی چون وقفِ مقابر، دفن یک نفر و در مواردی چون وقف کاروانسرا، ورود یک نفر را به اذن واقف در قبض کافی می‌داند؛ یعنی فعل یک نفر را مانند فعل جماعت می‌داند، همان طور که اَمان یک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کافری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اَمان جماعت است؛ امّابه ابویوسف نسبت می‌دهد که برای تبدیل ملکی به مسجد، فقط جدا کردن آن از ملک خود و اذن دادن به مردم برای نماز کافی است، هرچند کسی در آن نماز هم نگزارد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مالکیّه در تمامیّت وقف، قبض را معتبر می‌دانند به طوری که اگر قبل از قبض برای واقف، مانعی مثل مرگ یا مرض متّصل به مرگ پیش آید وقف باطل است</w:t>
      </w:r>
      <w:r>
        <w:rPr>
          <w:rFonts w:eastAsia="IRNazanin" w:cs="IRNazanin"/>
          <w:color w:val="111111"/>
          <w:sz w:val="28"/>
          <w:szCs w:val="28"/>
          <w:rtl w:val="true"/>
          <w:lang w:bidi="fa-IR"/>
        </w:rPr>
        <w:t>.</w:t>
      </w:r>
      <w:r>
        <w:rPr>
          <w:rStyle w:val="FootnoteAnchor"/>
          <w:rtl w:val="true"/>
        </w:rPr>
        <w:footnoteReference w:id="492"/>
      </w:r>
      <w:r>
        <w:rPr>
          <w:rFonts w:ascii="IRNazanin" w:hAnsi="IRNazanin" w:eastAsia="IRNazanin"/>
          <w:color w:val="111111"/>
          <w:sz w:val="28"/>
          <w:sz w:val="28"/>
          <w:szCs w:val="28"/>
          <w:rtl w:val="true"/>
          <w:lang w:bidi="fa-IR"/>
        </w:rPr>
        <w:t>مالک در المدوّنه‌الکُبری</w:t>
      </w:r>
      <w:r>
        <w:rPr>
          <w:rStyle w:val="FootnoteAnchor"/>
          <w:rtl w:val="true"/>
        </w:rPr>
        <w:footnoteReference w:id="49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درآمد خانه خود را بر مساکین، حبس کرده باشد و هر ساله درآمد آن را به مصرف آنها برساند، امّا تا پایان زندگی خود در دست خود وی باشد، بعد از مرگش این خانه میراث اوست و جزء اوقاف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 که این مسأله درباره اسب و سلاحی که برای جهاد حبس شده فرق می‌کند، هرچند اینها بعد از جهاد به حابس بازگشته باشد</w:t>
      </w:r>
      <w:r>
        <w:rPr>
          <w:rFonts w:eastAsia="IRNazanin" w:cs="IRNazanin"/>
          <w:color w:val="111111"/>
          <w:sz w:val="28"/>
          <w:szCs w:val="28"/>
          <w:rtl w:val="true"/>
          <w:lang w:bidi="fa-IR"/>
        </w:rPr>
        <w:t>.</w:t>
      </w:r>
      <w:r>
        <w:rPr>
          <w:rStyle w:val="FootnoteAnchor"/>
          <w:rtl w:val="true"/>
        </w:rPr>
        <w:footnoteReference w:id="49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جواد مُغنِیَه به مالکیّه نسبت داده است که آنها حتّی قبض را هم در تمامیّت وقف کافی نمی‌دانند، بلکه برای لزوم و تمامیّت آن بجز قبض حِیازت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اختیار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سال کامل را نیز لازم می‌دانند</w:t>
      </w:r>
      <w:r>
        <w:rPr>
          <w:rFonts w:eastAsia="IRNazanin" w:cs="IRNazanin"/>
          <w:color w:val="111111"/>
          <w:sz w:val="28"/>
          <w:szCs w:val="28"/>
          <w:rtl w:val="true"/>
          <w:lang w:bidi="fa-IR"/>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شافعی بعد از تقسیم همه عطایا بر سه قسم، قسم اوّل را عطیّه‌ای می‌داند که تنها با کلام، کامل و تامّ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 همان صدقات مُحرّمات و موقوفات است بر انسانهای معیّن یا عناوین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هرگاه واقف بر فعل خود گواه بگیرد</w:t>
      </w:r>
    </w:p>
    <w:p>
      <w:pPr>
        <w:pStyle w:val="BookText"/>
        <w:rPr/>
      </w:pPr>
      <w:r>
        <w:rPr>
          <w:rFonts w:ascii="IRNazanin" w:hAnsi="IRNazanin" w:eastAsia="IRNazanin"/>
          <w:color w:val="111111"/>
          <w:sz w:val="28"/>
          <w:sz w:val="28"/>
          <w:szCs w:val="28"/>
          <w:rtl w:val="true"/>
          <w:lang w:bidi="fa-IR"/>
        </w:rPr>
        <w:t>که چنین عطیّه‌ای دارد، این مال ملک مُعْطی</w:t>
      </w:r>
      <w:r>
        <w:rPr>
          <w:rFonts w:eastAsia="IRNazanin" w:cs="IRNazanin"/>
          <w:color w:val="111111"/>
          <w:sz w:val="28"/>
          <w:szCs w:val="28"/>
          <w:rtl w:val="true"/>
          <w:lang w:bidi="fa-IR"/>
        </w:rPr>
        <w:t>_'</w:t>
      </w:r>
      <w:r>
        <w:rPr>
          <w:rFonts w:eastAsia="Times New Roman" w:cs="Times New Roman" w:ascii="Times New Roman" w:hAnsi="Times New Roman"/>
          <w:color w:val="111111"/>
          <w:sz w:val="28"/>
          <w:szCs w:val="28"/>
          <w:lang w:val="en-US" w:bidi="en-US"/>
        </w:rPr>
        <w:t>fe</w:t>
      </w:r>
      <w:r>
        <w:rPr>
          <w:rFonts w:ascii="IRNazanin" w:hAnsi="IRNazanin" w:eastAsia="IRNazanin"/>
          <w:color w:val="111111"/>
          <w:sz w:val="28"/>
          <w:sz w:val="28"/>
          <w:szCs w:val="28"/>
          <w:rtl w:val="true"/>
          <w:lang w:bidi="fa-IR"/>
        </w:rPr>
        <w:t>له می‌شود، چه آن را قبض کرده باشد چه</w:t>
      </w:r>
    </w:p>
    <w:p>
      <w:pPr>
        <w:pStyle w:val="BookText"/>
        <w:rPr/>
      </w:pPr>
      <w:r>
        <w:rPr>
          <w:rFonts w:ascii="IRNazanin" w:hAnsi="IRNazanin" w:eastAsia="IRNazanin"/>
          <w:color w:val="111111"/>
          <w:sz w:val="28"/>
          <w:sz w:val="28"/>
          <w:szCs w:val="28"/>
          <w:rtl w:val="true"/>
          <w:lang w:bidi="fa-IR"/>
        </w:rPr>
        <w:t>نکرده باشد و مُعْطی حقّ سرباز زدن از تحویل به وی را نخواهد داشت و اگر در دست او تلف شود نیز ضامن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دلیل این مدّعا را پیروی از سیره و نیز موافقت با قیاس می‌داند</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استناد وی به سیره صحابه چون عمر و علی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نیست، زیرا ممکن است این نامبردگان چون خود، متولّی اوقاف خویش بودند، قبض در مورد آنها حاصل بوده است، همانند موردی که ولیّ صغیری مالی را بر او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ابن قُدامه در ذیل عبارت ابوالقاسم خَرَقی در مختصر وَ مَنْ وَقَفَ فی صِحَّةٍ مِنْ عَقْلِهِ و بَدَنِهِ عَلی قَوْمٍ وَ اَوْلادِهِم وَ عَقِبِهمْ ثُمَّ آخِرُهُ لِلْمَساکین فَقَد زالَ مِلْکُهُ عَنْهُ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کلام این است که وقف به مجرد لفظ لازم می‌شود، چرا که وقف به عقد حاصل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نیازی به قبض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دلیل دیگر را حدیثِ وقف عمر ذکر می‌کند و نیز این که تبرّع، مانع ازبیع و هبه است، پس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احمد روایت دیگری نیز مبنی بر عدم لزوم وقف، جز با قبض، حکایت شده است</w:t>
      </w:r>
      <w:r>
        <w:rPr>
          <w:rFonts w:eastAsia="IRNazanin" w:cs="IRNazanin"/>
          <w:color w:val="111111"/>
          <w:sz w:val="28"/>
          <w:szCs w:val="28"/>
          <w:rtl w:val="true"/>
          <w:lang w:bidi="fa-IR"/>
        </w:rPr>
        <w:t>.</w:t>
      </w:r>
      <w:r>
        <w:rPr>
          <w:rStyle w:val="FootnoteAnchor"/>
          <w:rtl w:val="true"/>
        </w:rPr>
        <w:footnoteReference w:id="497"/>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مسجد از عبارت طحاوی چنین بر می‌آید که اگر آن را به شکل و هیأت مسجد بسازد و به مردم اجازه برگزاری نماز در آن بدهد در مسجد شدن آن کافی است</w:t>
      </w:r>
      <w:r>
        <w:rPr>
          <w:rFonts w:eastAsia="IRNazanin" w:cs="IRNazanin"/>
          <w:color w:val="111111"/>
          <w:sz w:val="28"/>
          <w:szCs w:val="28"/>
          <w:rtl w:val="true"/>
          <w:lang w:bidi="fa-IR"/>
        </w:rPr>
        <w:t>.</w:t>
      </w:r>
      <w:r>
        <w:rPr>
          <w:rStyle w:val="FootnoteAnchor"/>
          <w:rtl w:val="true"/>
        </w:rPr>
        <w:footnoteReference w:id="498"/>
      </w:r>
      <w:bookmarkStart w:id="288" w:name="pg4267_21860"/>
    </w:p>
    <w:p>
      <w:pPr>
        <w:pStyle w:val="Heading3"/>
        <w:numPr>
          <w:ilvl w:val="2"/>
          <w:numId w:val="1"/>
        </w:numPr>
        <w:rPr/>
      </w:pPr>
      <w:bookmarkStart w:id="289" w:name="__RefHeading___Toc474091_1479056682"/>
      <w:bookmarkStart w:id="290" w:name="_Toc108"/>
      <w:bookmarkEnd w:id="288"/>
      <w:bookmarkEnd w:id="289"/>
      <w:r>
        <w:rPr>
          <w:rtl w:val="true"/>
        </w:rPr>
        <w:t>فصل دوم</w:t>
      </w:r>
      <w:r>
        <w:rPr>
          <w:rtl w:val="true"/>
        </w:rPr>
        <w:t xml:space="preserve">: </w:t>
      </w:r>
      <w:r>
        <w:rPr>
          <w:rtl w:val="true"/>
        </w:rPr>
        <w:t>واقف؛ شرایط</w:t>
      </w:r>
      <w:bookmarkEnd w:id="290"/>
    </w:p>
    <w:p>
      <w:pPr>
        <w:pStyle w:val="Heading4"/>
        <w:numPr>
          <w:ilvl w:val="3"/>
          <w:numId w:val="1"/>
        </w:numPr>
        <w:rPr/>
      </w:pPr>
      <w:bookmarkStart w:id="291" w:name="__RefHeading___Toc474093_1479056682"/>
      <w:bookmarkStart w:id="292" w:name="_Toc109"/>
      <w:bookmarkEnd w:id="291"/>
      <w:r>
        <w:rPr>
          <w:rtl w:val="true"/>
        </w:rPr>
        <w:t>شرط اوّل تا چهارم</w:t>
      </w:r>
      <w:r>
        <w:rPr>
          <w:rtl w:val="true"/>
        </w:rPr>
        <w:t xml:space="preserve">: </w:t>
      </w:r>
      <w:r>
        <w:rPr>
          <w:rtl w:val="true"/>
        </w:rPr>
        <w:t xml:space="preserve">بلوغ، عقل، رشد </w:t>
      </w:r>
      <w:r>
        <w:rPr>
          <w:rtl w:val="true"/>
        </w:rPr>
        <w:t>(</w:t>
      </w:r>
      <w:r>
        <w:rPr>
          <w:rtl w:val="true"/>
        </w:rPr>
        <w:t>و کمال</w:t>
      </w:r>
      <w:r>
        <w:rPr>
          <w:rtl w:val="true"/>
        </w:rPr>
        <w:t xml:space="preserve">) </w:t>
      </w:r>
      <w:r>
        <w:rPr>
          <w:rtl w:val="true"/>
        </w:rPr>
        <w:t>و عدم حَجْر</w:t>
      </w:r>
      <w:bookmarkEnd w:id="292"/>
    </w:p>
    <w:p>
      <w:pPr>
        <w:pStyle w:val="Heading5"/>
        <w:numPr>
          <w:ilvl w:val="4"/>
          <w:numId w:val="1"/>
        </w:numPr>
        <w:rPr/>
      </w:pPr>
      <w:bookmarkStart w:id="293" w:name="__RefHeading___Toc474095_1479056682"/>
      <w:bookmarkStart w:id="294" w:name="_Toc110"/>
      <w:bookmarkEnd w:id="293"/>
      <w:r>
        <w:rPr>
          <w:rtl w:val="true"/>
        </w:rPr>
        <w:t>دیدگاه امامیّه</w:t>
      </w:r>
      <w:bookmarkEnd w:id="294"/>
    </w:p>
    <w:p>
      <w:pPr>
        <w:pStyle w:val="BookText"/>
        <w:rPr/>
      </w:pPr>
      <w:r>
        <w:rPr>
          <w:rFonts w:ascii="IRNazanin" w:hAnsi="IRNazanin" w:eastAsia="IRNazanin"/>
          <w:color w:val="111111"/>
          <w:sz w:val="28"/>
          <w:sz w:val="28"/>
          <w:szCs w:val="28"/>
          <w:rtl w:val="true"/>
          <w:lang w:bidi="fa-IR"/>
        </w:rPr>
        <w:t>در مورد عقل و رشد و عدم حَجْر ظاهرا هیچ خلافی در اعتبار آنها نیست، برای این که مجنون به طور کلّی مسلوب العِبارة است و به هیچ وجه به افعال و گفتارش اعتنایی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سفیه و محجور 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انسان مُفَلَّس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چند بکلّی مَسلوب العِبارة نیستند، امّا به هر حال از تصرّفات مالی ممنوع شده‌اند و وقف یکی از تصرّفات</w:t>
      </w:r>
    </w:p>
    <w:p>
      <w:pPr>
        <w:pStyle w:val="BookText"/>
        <w:rPr/>
      </w:pPr>
      <w:r>
        <w:rPr>
          <w:rFonts w:ascii="IRNazanin" w:hAnsi="IRNazanin" w:eastAsia="IRNazanin"/>
          <w:color w:val="111111"/>
          <w:sz w:val="28"/>
          <w:sz w:val="28"/>
          <w:szCs w:val="28"/>
          <w:rtl w:val="true"/>
          <w:lang w:bidi="fa-IR"/>
        </w:rPr>
        <w:t>مالی است و در نتیجه از افرادی این چنین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 معمولاً بدون هیچ اختلافی این شرطها را در متون خویش ذکر کرده‌اند</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بلوغ</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تردید بلوغ نیز از شرایط تکلیف است،امّا درباره کودکی که به سنّ ده سالگی </w:t>
      </w:r>
    </w:p>
    <w:p>
      <w:pPr>
        <w:pStyle w:val="BookText"/>
        <w:rPr/>
      </w:pPr>
      <w:r>
        <w:rPr>
          <w:rFonts w:ascii="IRNazanin" w:hAnsi="IRNazanin" w:eastAsia="IRNazanin"/>
          <w:color w:val="111111"/>
          <w:sz w:val="28"/>
          <w:sz w:val="28"/>
          <w:szCs w:val="28"/>
          <w:rtl w:val="true"/>
          <w:lang w:bidi="fa-IR"/>
        </w:rPr>
        <w:t>رسیده چند روایت است که صدقه او صحیح و بلا مانع است</w:t>
      </w:r>
      <w:r>
        <w:rPr>
          <w:rFonts w:eastAsia="IRNazanin" w:cs="IRNazanin"/>
          <w:color w:val="111111"/>
          <w:sz w:val="28"/>
          <w:szCs w:val="28"/>
          <w:rtl w:val="true"/>
          <w:lang w:bidi="fa-IR"/>
        </w:rPr>
        <w:t>.</w:t>
      </w:r>
      <w:r>
        <w:rPr>
          <w:rStyle w:val="FootnoteAnchor"/>
          <w:rtl w:val="true"/>
        </w:rPr>
        <w:footnoteReference w:id="500"/>
      </w:r>
      <w:r>
        <w:rPr>
          <w:rFonts w:ascii="IRNazanin" w:hAnsi="IRNazanin" w:eastAsia="IRNazanin"/>
          <w:color w:val="111111"/>
          <w:sz w:val="28"/>
          <w:sz w:val="28"/>
          <w:szCs w:val="28"/>
          <w:rtl w:val="true"/>
          <w:lang w:bidi="fa-IR"/>
        </w:rPr>
        <w:t>واصحاب بر اساس این روایات به جواز صدقه وی و گروهی حتّی به جواز تصرّف او در وصیّت و عتق فتوا داده‌اند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ascii="Amiri" w:hAnsi="Amiri" w:eastAsia="Amiri" w:cs="Amiri"/>
          <w:color w:val="111111"/>
          <w:sz w:val="28"/>
          <w:sz w:val="28"/>
          <w:szCs w:val="28"/>
          <w:rtl w:val="true"/>
          <w:lang w:bidi="ar-SA"/>
        </w:rPr>
        <w:t>شهید اوّل در غایه‌المراد، ذیل عبارت ارشاد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وَفی مَنْ بَلَغَ عَشَرا روایةٌ بِالْجَواز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روایات، متضمّن صدقه صَبی و با لفظ صدقه است و من به روایتی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نخوردم</w:t>
      </w:r>
      <w:r>
        <w:rPr>
          <w:rFonts w:eastAsia="Amiri" w:cs="Amiri" w:ascii="Amiri" w:hAnsi="Amiri"/>
          <w:color w:val="111111"/>
          <w:sz w:val="28"/>
          <w:szCs w:val="28"/>
          <w:rtl w:val="true"/>
          <w:lang w:bidi="ar-SA"/>
        </w:rPr>
        <w:t>.</w:t>
      </w:r>
      <w:r>
        <w:rPr>
          <w:rStyle w:val="FootnoteAnchor"/>
          <w:rtl w:val="true"/>
        </w:rPr>
        <w:footnoteReference w:id="502"/>
      </w:r>
      <w:r>
        <w:rPr>
          <w:rFonts w:ascii="IRNazanin" w:hAnsi="IRNazanin" w:eastAsia="IRNazanin"/>
          <w:color w:val="111111"/>
          <w:sz w:val="28"/>
          <w:sz w:val="28"/>
          <w:szCs w:val="28"/>
          <w:rtl w:val="true"/>
          <w:lang w:bidi="fa-IR"/>
        </w:rPr>
        <w:t>در مورد وقف‌صبی ممیّز نصّ و روایتی وارد نشده و در این مورد بین فقها اختلاف و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اَعلام‌امامیّه وقف وی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w:t>
      </w:r>
    </w:p>
    <w:p>
      <w:pPr>
        <w:pStyle w:val="BookText"/>
        <w:rPr/>
      </w:pPr>
      <w:r>
        <w:rPr>
          <w:rFonts w:ascii="IRNazanin" w:hAnsi="IRNazanin" w:eastAsia="IRNazanin"/>
          <w:color w:val="111111"/>
          <w:sz w:val="28"/>
          <w:sz w:val="28"/>
          <w:szCs w:val="28"/>
          <w:rtl w:val="true"/>
          <w:lang w:bidi="fa-IR"/>
        </w:rPr>
        <w:t>جواهر، عدم صحّت را به عامّه متأخران نسبت داده 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گویی تنها مخالف ، شیخ مفید در مقنعه می‌باشد و روایات نامبرده هم خاصّ صدقه متعارف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w:t>
      </w:r>
    </w:p>
    <w:p>
      <w:pPr>
        <w:pStyle w:val="BookText"/>
        <w:rPr/>
      </w:pPr>
      <w:r>
        <w:rPr>
          <w:rFonts w:ascii="IRNazanin" w:hAnsi="IRNazanin" w:eastAsia="IRNazanin"/>
          <w:color w:val="111111"/>
          <w:sz w:val="28"/>
          <w:sz w:val="28"/>
          <w:szCs w:val="28"/>
          <w:rtl w:val="true"/>
          <w:lang w:bidi="fa-IR"/>
        </w:rPr>
        <w:t>وقف نمی‌شود</w:t>
      </w:r>
      <w:r>
        <w:rPr>
          <w:rFonts w:eastAsia="IRNazanin" w:cs="IRNazanin"/>
          <w:color w:val="111111"/>
          <w:sz w:val="28"/>
          <w:szCs w:val="28"/>
          <w:rtl w:val="true"/>
          <w:lang w:bidi="fa-IR"/>
        </w:rPr>
        <w:t>).</w:t>
      </w:r>
      <w:r>
        <w:rPr>
          <w:rStyle w:val="FootnoteAnchor"/>
          <w:rtl w:val="true"/>
        </w:rPr>
        <w:footnoteReference w:id="503"/>
      </w:r>
      <w:r>
        <w:rPr>
          <w:rFonts w:ascii="IRNazanin" w:hAnsi="IRNazanin" w:eastAsia="IRNazanin"/>
          <w:color w:val="111111"/>
          <w:sz w:val="28"/>
          <w:sz w:val="28"/>
          <w:szCs w:val="28"/>
          <w:rtl w:val="true"/>
          <w:lang w:bidi="fa-IR"/>
        </w:rPr>
        <w:t>علاّمه حلی در قواعد ؛ محقّق ثانی</w:t>
      </w:r>
      <w:r>
        <w:rPr>
          <w:rStyle w:val="FootnoteAnchor"/>
          <w:rtl w:val="true"/>
        </w:rPr>
        <w:footnoteReference w:id="504"/>
      </w:r>
      <w:r>
        <w:rPr>
          <w:rFonts w:ascii="IRNazanin" w:hAnsi="IRNazanin" w:eastAsia="IRNazanin"/>
          <w:color w:val="111111"/>
          <w:sz w:val="28"/>
          <w:sz w:val="28"/>
          <w:szCs w:val="28"/>
          <w:rtl w:val="true"/>
          <w:lang w:bidi="fa-IR"/>
        </w:rPr>
        <w:t>، محقّق حلّی در مختصر و شرایع</w:t>
      </w:r>
      <w:r>
        <w:rPr>
          <w:rStyle w:val="FootnoteAnchor"/>
          <w:rtl w:val="true"/>
        </w:rPr>
        <w:footnoteReference w:id="505"/>
      </w:r>
      <w:r>
        <w:rPr>
          <w:rFonts w:ascii="IRNazanin" w:hAnsi="IRNazanin" w:eastAsia="IRNazanin"/>
          <w:color w:val="111111"/>
          <w:sz w:val="28"/>
          <w:sz w:val="28"/>
          <w:szCs w:val="28"/>
          <w:rtl w:val="true"/>
          <w:lang w:bidi="fa-IR"/>
        </w:rPr>
        <w:t>، فاضل آبی</w:t>
      </w:r>
      <w:r>
        <w:rPr>
          <w:rStyle w:val="FootnoteAnchor"/>
          <w:rtl w:val="true"/>
        </w:rPr>
        <w:footnoteReference w:id="506"/>
      </w:r>
      <w:r>
        <w:rPr>
          <w:rFonts w:ascii="IRNazanin" w:hAnsi="IRNazanin" w:eastAsia="IRNazanin"/>
          <w:color w:val="111111"/>
          <w:sz w:val="28"/>
          <w:sz w:val="28"/>
          <w:szCs w:val="28"/>
          <w:rtl w:val="true"/>
          <w:lang w:bidi="fa-IR"/>
        </w:rPr>
        <w:t>، شهید ثانی در مسالک، صاحب ریاض</w:t>
      </w:r>
      <w:r>
        <w:rPr>
          <w:rStyle w:val="FootnoteAnchor"/>
          <w:rtl w:val="true"/>
        </w:rPr>
        <w:footnoteReference w:id="507"/>
      </w:r>
      <w:r>
        <w:rPr>
          <w:rFonts w:ascii="IRNazanin" w:hAnsi="IRNazanin" w:eastAsia="IRNazanin"/>
          <w:color w:val="111111"/>
          <w:sz w:val="28"/>
          <w:sz w:val="28"/>
          <w:szCs w:val="28"/>
          <w:rtl w:val="true"/>
          <w:lang w:bidi="fa-IR"/>
        </w:rPr>
        <w:t>و از متأخران و معاصران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w:t>
      </w:r>
      <w:r>
        <w:rPr>
          <w:rStyle w:val="FootnoteAnchor"/>
          <w:rtl w:val="true"/>
        </w:rPr>
        <w:footnoteReference w:id="508"/>
      </w:r>
      <w:r>
        <w:rPr>
          <w:rFonts w:ascii="IRNazanin" w:hAnsi="IRNazanin" w:eastAsia="IRNazanin"/>
          <w:color w:val="111111"/>
          <w:sz w:val="28"/>
          <w:sz w:val="28"/>
          <w:szCs w:val="28"/>
          <w:rtl w:val="true"/>
          <w:lang w:bidi="fa-IR"/>
        </w:rPr>
        <w:t>و امام خمینی</w:t>
      </w:r>
      <w:r>
        <w:rPr>
          <w:rStyle w:val="FootnoteAnchor"/>
          <w:rtl w:val="true"/>
        </w:rPr>
        <w:footnoteReference w:id="509"/>
      </w:r>
      <w:r>
        <w:rPr>
          <w:rFonts w:ascii="IRNazanin" w:hAnsi="IRNazanin" w:eastAsia="IRNazanin"/>
          <w:color w:val="111111"/>
          <w:sz w:val="28"/>
          <w:sz w:val="28"/>
          <w:szCs w:val="28"/>
          <w:rtl w:val="true"/>
          <w:lang w:bidi="fa-IR"/>
        </w:rPr>
        <w:t>از جمله فقهایی هستند که وقف صبی هر چند ممیّز و ده ساله باشد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دلیل یا دلایلی که این بزرگان برای این دیدگاه در منابع یاد</w:t>
      </w:r>
    </w:p>
    <w:p>
      <w:pPr>
        <w:pStyle w:val="BookText"/>
        <w:rPr/>
      </w:pPr>
      <w:r>
        <w:rPr>
          <w:rFonts w:ascii="IRNazanin" w:hAnsi="IRNazanin" w:eastAsia="IRNazanin"/>
          <w:color w:val="111111"/>
          <w:sz w:val="28"/>
          <w:sz w:val="28"/>
          <w:szCs w:val="28"/>
          <w:rtl w:val="true"/>
          <w:lang w:bidi="fa-IR"/>
        </w:rPr>
        <w:t>شده ذکر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تصرّف مالی است و کودک هر چند ممیّز باشد مَحْجورالتصرّف است و به تعبیر محقّق ثانی؛ عبارتش فاقد اعتبار است</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را تضعیف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و شیخ، خود در استبصار</w:t>
      </w:r>
      <w:r>
        <w:rPr>
          <w:rStyle w:val="FootnoteAnchor"/>
          <w:rtl w:val="true"/>
        </w:rPr>
        <w:footnoteReference w:id="511"/>
      </w:r>
      <w:r>
        <w:rPr>
          <w:rFonts w:ascii="IRNazanin" w:hAnsi="IRNazanin" w:eastAsia="IRNazanin"/>
          <w:color w:val="111111"/>
          <w:sz w:val="28"/>
          <w:sz w:val="28"/>
          <w:szCs w:val="28"/>
          <w:rtl w:val="true"/>
          <w:lang w:bidi="fa-IR"/>
        </w:rPr>
        <w:t>محدود به ده سالگی</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512"/>
      </w:r>
      <w:bookmarkStart w:id="295" w:name="pg4267_21862"/>
    </w:p>
    <w:p>
      <w:pPr>
        <w:pStyle w:val="BookText"/>
        <w:rPr/>
      </w:pPr>
      <w:bookmarkEnd w:id="295"/>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مسالک این روایات را شاذّ و مخالف اصول مذهب بل اجماع مسلمین می‌داند که برای تأسیس چنین حکمهایی صلاحیت ندارند</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بنابراین، قوّت قول به عدم صحّت وقف صَبی چندان به مؤونه نیاز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روایاتی هم که در باب جواز صدقه صَبیّ وارد شده است به صدقات جزئی که کودکان در زندگی خود دارند، مربوط است نه وقف که حدّاقلّ مشکوک است و اصل عدم صحّت آن می‌باشد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مطلب دیگر این که برخی از بزرگان تصریح کرده‌اند که اگر کودک ممیّز به وقف وصیّت کند، این وصیّت، صحیح و نافذ است وبر وصیّ است که آن را انجام دهد</w:t>
      </w:r>
      <w:r>
        <w:rPr>
          <w:rFonts w:eastAsia="IRNazanin" w:cs="IRNazanin"/>
          <w:color w:val="111111"/>
          <w:sz w:val="28"/>
          <w:szCs w:val="28"/>
          <w:rtl w:val="true"/>
          <w:lang w:bidi="fa-IR"/>
        </w:rPr>
        <w:t>.</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البتّه این نظر مبتنی بر این است که در باب وصیّت، وصیّت کودک ممیّز صحیح و نافذ باشد</w:t>
      </w:r>
      <w:r>
        <w:rPr>
          <w:rFonts w:eastAsia="IRNazanin" w:cs="IRNazanin"/>
          <w:color w:val="111111"/>
          <w:sz w:val="28"/>
          <w:szCs w:val="28"/>
          <w:rtl w:val="true"/>
          <w:lang w:bidi="fa-IR"/>
        </w:rPr>
        <w:t>.</w:t>
      </w:r>
    </w:p>
    <w:p>
      <w:pPr>
        <w:pStyle w:val="Heading4"/>
        <w:numPr>
          <w:ilvl w:val="3"/>
          <w:numId w:val="1"/>
        </w:numPr>
        <w:rPr/>
      </w:pPr>
      <w:bookmarkStart w:id="296" w:name="__RefHeading___Toc474097_1479056682"/>
      <w:bookmarkStart w:id="297" w:name="_Toc111"/>
      <w:bookmarkEnd w:id="296"/>
      <w:r>
        <w:rPr>
          <w:rtl w:val="true"/>
        </w:rPr>
        <w:t>شرط پنجم</w:t>
      </w:r>
      <w:r>
        <w:rPr>
          <w:rtl w:val="true"/>
        </w:rPr>
        <w:t xml:space="preserve">: </w:t>
      </w:r>
      <w:r>
        <w:rPr>
          <w:rtl w:val="true"/>
        </w:rPr>
        <w:t>اختیار و قصد</w:t>
      </w:r>
      <w:bookmarkEnd w:id="297"/>
    </w:p>
    <w:p>
      <w:pPr>
        <w:pStyle w:val="Heading5"/>
        <w:numPr>
          <w:ilvl w:val="4"/>
          <w:numId w:val="1"/>
        </w:numPr>
        <w:rPr/>
      </w:pPr>
      <w:bookmarkStart w:id="298" w:name="__RefHeading___Toc474099_1479056682"/>
      <w:bookmarkStart w:id="299" w:name="_Toc112"/>
      <w:bookmarkEnd w:id="298"/>
      <w:r>
        <w:rPr>
          <w:rtl w:val="true"/>
        </w:rPr>
        <w:t>دیدگاه امامیّه</w:t>
      </w:r>
      <w:bookmarkEnd w:id="299"/>
    </w:p>
    <w:p>
      <w:pPr>
        <w:pStyle w:val="BookText"/>
        <w:rPr/>
      </w:pPr>
      <w:r>
        <w:rPr>
          <w:rFonts w:ascii="IRNazanin" w:hAnsi="IRNazanin" w:eastAsia="IRNazanin"/>
          <w:color w:val="111111"/>
          <w:sz w:val="28"/>
          <w:sz w:val="28"/>
          <w:szCs w:val="28"/>
          <w:rtl w:val="true"/>
          <w:lang w:bidi="fa-IR"/>
        </w:rPr>
        <w:t>اختیار و قصد نیز از شرایطی هستند که همه اعلام در همه عقود و غیر آنها مفروغٌ‌عنه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که محلّ بحث ما در این جاست، این است که اگر کسی در انجام عملی چون وقف مُکرَه شد،امّا بعد از آن راضی گردید، آیا صحیح است یا رضایت بعدی تأثیر ندارد؟ صاحب مفتاح الکرامة از تحریر، نقل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در رضایت مُکرَه همانند اجازه مالک در وقف فضولی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خود ادامه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وقف، قصد قربت را معتبر ندانیم، اشکالی در نفوذ چنین وقفی نیست؛ همان‌طور که درباب بیعِ مُکرَه قایل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اگرقصد قربت را معتبربدانیم،</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به‌ذهن بیاید که قصد قربت بعد از عقد مؤثّرنیست</w:t>
      </w:r>
      <w:r>
        <w:rPr>
          <w:rFonts w:eastAsia="IRNazanin" w:cs="IRNazanin"/>
          <w:color w:val="111111"/>
          <w:sz w:val="28"/>
          <w:szCs w:val="28"/>
          <w:rtl w:val="true"/>
          <w:lang w:bidi="fa-IR"/>
        </w:rPr>
        <w:t>.</w:t>
      </w:r>
      <w:r>
        <w:rPr>
          <w:rStyle w:val="FootnoteAnchor"/>
          <w:rtl w:val="true"/>
        </w:rPr>
        <w:footnoteReference w:id="516"/>
      </w:r>
      <w:r>
        <w:rPr>
          <w:rFonts w:ascii="IRNazanin" w:hAnsi="IRNazanin" w:eastAsia="IRNazanin"/>
          <w:color w:val="111111"/>
          <w:sz w:val="28"/>
          <w:sz w:val="28"/>
          <w:szCs w:val="28"/>
          <w:rtl w:val="true"/>
          <w:lang w:bidi="fa-IR"/>
        </w:rPr>
        <w:t>صاحب مفتاح سپس خوداین عدم تأثیررا تضعیف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مطلب درمبحث وقف فضولی‌روشنتر خواهد </w:t>
      </w:r>
      <w:bookmarkStart w:id="300" w:name="pg4267_21863"/>
    </w:p>
    <w:p>
      <w:pPr>
        <w:pStyle w:val="Heading5"/>
        <w:numPr>
          <w:ilvl w:val="4"/>
          <w:numId w:val="1"/>
        </w:numPr>
        <w:rPr/>
      </w:pPr>
      <w:bookmarkStart w:id="301" w:name="__RefHeading___Toc474101_1479056682"/>
      <w:bookmarkStart w:id="302" w:name="_Toc113"/>
      <w:bookmarkEnd w:id="300"/>
      <w:bookmarkEnd w:id="301"/>
      <w:r>
        <w:rPr>
          <w:rtl w:val="true"/>
        </w:rPr>
        <w:t>دیدگاه دیگر مذاهب اسلامی</w:t>
      </w:r>
      <w:bookmarkEnd w:id="302"/>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در البحر الزّخّار به اشتراط بلوغ و اختیار، تصریح شده است</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مذاهب چهارگانه اهل سنّت نیز عقل، بلوغ، رشد و اختیار و قصد را از شرایطی می‌دانند که در واقف معتبر است</w:t>
      </w:r>
      <w:r>
        <w:rPr>
          <w:rFonts w:eastAsia="IRNazanin" w:cs="IRNazanin"/>
          <w:color w:val="111111"/>
          <w:sz w:val="28"/>
          <w:szCs w:val="28"/>
          <w:rtl w:val="true"/>
          <w:lang w:bidi="fa-IR"/>
        </w:rPr>
        <w:t>.</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البتّه، ابوزهره از بعضی از کتب فقهی نقل کرده است که وقف صبیّ ممیّز با اذن قاضی جایز است و این قول به ابوبکر اَصمّ، هم نسبت داده شده، امّا منقول در ظاهر مذهب، بطلان وقف صبیّ است، چه قاضی اذن دهد چه اذن ندهد و این با قواعد عامّه سازگار است؛ زیرا صبیّ ناقص الأهلیّه است، لذا حقّ تبرّع ندارد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در ضمن ابوحنیفه، وصیّت</w:t>
      </w:r>
    </w:p>
    <w:p>
      <w:pPr>
        <w:pStyle w:val="BookText"/>
        <w:rPr/>
      </w:pPr>
      <w:r>
        <w:rPr>
          <w:rFonts w:ascii="IRNazanin" w:hAnsi="IRNazanin" w:eastAsia="IRNazanin"/>
          <w:color w:val="111111"/>
          <w:sz w:val="28"/>
          <w:sz w:val="28"/>
          <w:szCs w:val="28"/>
          <w:rtl w:val="true"/>
          <w:lang w:bidi="fa-IR"/>
        </w:rPr>
        <w:t>سفیه به ثلث مالش را در صورتی که در راه خیر و احسان باشد، جایز می‌داند، هر چند این وصیّت به وقف باشد</w:t>
      </w:r>
      <w:r>
        <w:rPr>
          <w:rFonts w:eastAsia="IRNazanin" w:cs="IRNazanin"/>
          <w:color w:val="111111"/>
          <w:sz w:val="28"/>
          <w:szCs w:val="28"/>
          <w:rtl w:val="true"/>
          <w:lang w:bidi="fa-IR"/>
        </w:rPr>
        <w:t>.</w:t>
      </w:r>
      <w:r>
        <w:rPr>
          <w:rStyle w:val="FootnoteAnchor"/>
          <w:rtl w:val="true"/>
        </w:rPr>
        <w:footnoteReference w:id="520"/>
      </w:r>
    </w:p>
    <w:p>
      <w:pPr>
        <w:pStyle w:val="Heading4"/>
        <w:numPr>
          <w:ilvl w:val="3"/>
          <w:numId w:val="1"/>
        </w:numPr>
        <w:rPr/>
      </w:pPr>
      <w:bookmarkStart w:id="303" w:name="__RefHeading___Toc474103_1479056682"/>
      <w:bookmarkStart w:id="304" w:name="_Toc114"/>
      <w:bookmarkEnd w:id="303"/>
      <w:r>
        <w:rPr>
          <w:rtl w:val="true"/>
        </w:rPr>
        <w:t>شرط ششم</w:t>
      </w:r>
      <w:r>
        <w:rPr>
          <w:rtl w:val="true"/>
        </w:rPr>
        <w:t xml:space="preserve">: </w:t>
      </w:r>
      <w:r>
        <w:rPr>
          <w:rtl w:val="true"/>
        </w:rPr>
        <w:t>مالک بودن</w:t>
      </w:r>
      <w:bookmarkEnd w:id="304"/>
    </w:p>
    <w:p>
      <w:pPr>
        <w:pStyle w:val="Heading5"/>
        <w:numPr>
          <w:ilvl w:val="4"/>
          <w:numId w:val="1"/>
        </w:numPr>
        <w:rPr/>
      </w:pPr>
      <w:bookmarkStart w:id="305" w:name="__RefHeading___Toc474105_1479056682"/>
      <w:bookmarkStart w:id="306" w:name="_Toc115"/>
      <w:bookmarkEnd w:id="305"/>
      <w:r>
        <w:rPr>
          <w:rtl w:val="true"/>
        </w:rPr>
        <w:t>اشاره</w:t>
      </w:r>
      <w:bookmarkEnd w:id="306"/>
    </w:p>
    <w:p>
      <w:pPr>
        <w:pStyle w:val="BookText"/>
        <w:rPr/>
      </w:pPr>
      <w:r>
        <w:rPr>
          <w:rFonts w:ascii="IRNazanin" w:hAnsi="IRNazanin" w:eastAsia="IRNazanin"/>
          <w:color w:val="111111"/>
          <w:sz w:val="28"/>
          <w:sz w:val="28"/>
          <w:szCs w:val="28"/>
          <w:rtl w:val="true"/>
          <w:lang w:bidi="fa-IR"/>
        </w:rPr>
        <w:t xml:space="preserve">از شرایطی که در ابواب معاملات مطرح می‌شود مالک بودن عاقد است و به دنبال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می‌آید که آیا اگر کسی معامله و عقدی را به طور فضولی انجام داد مؤثّر هست به طوری که با اجازه مالک، نافذ گردد یا خیر؟</w:t>
      </w:r>
    </w:p>
    <w:p>
      <w:pPr>
        <w:pStyle w:val="Heading5"/>
        <w:numPr>
          <w:ilvl w:val="4"/>
          <w:numId w:val="1"/>
        </w:numPr>
        <w:rPr/>
      </w:pPr>
      <w:bookmarkStart w:id="307" w:name="__RefHeading___Toc474107_1479056682"/>
      <w:bookmarkStart w:id="308" w:name="_Toc116"/>
      <w:bookmarkEnd w:id="307"/>
      <w:r>
        <w:rPr>
          <w:rtl w:val="true"/>
        </w:rPr>
        <w:t>دیدگاه امامیّه</w:t>
      </w:r>
      <w:bookmarkEnd w:id="308"/>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نهایه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این است که واقف، مالک باشد و محجور التّصرّف هم نباشد؛ لذا اگر آنچه را مالک نیست وقف کند، وقف باطل است</w:t>
      </w:r>
      <w:r>
        <w:rPr>
          <w:rFonts w:eastAsia="IRNazanin" w:cs="IRNazanin"/>
          <w:color w:val="111111"/>
          <w:sz w:val="28"/>
          <w:szCs w:val="28"/>
          <w:rtl w:val="true"/>
          <w:lang w:bidi="fa-IR"/>
        </w:rPr>
        <w:t>.</w:t>
      </w:r>
      <w:r>
        <w:rPr>
          <w:rStyle w:val="FootnoteAnchor"/>
          <w:rtl w:val="true"/>
        </w:rPr>
        <w:footnoteReference w:id="521"/>
      </w:r>
      <w:r>
        <w:rPr>
          <w:rFonts w:ascii="IRNazanin" w:hAnsi="IRNazanin" w:eastAsia="IRNazanin"/>
          <w:color w:val="111111"/>
          <w:sz w:val="28"/>
          <w:sz w:val="28"/>
          <w:szCs w:val="28"/>
          <w:rtl w:val="true"/>
          <w:lang w:bidi="fa-IR"/>
        </w:rPr>
        <w:t xml:space="preserve">شیخ در </w:t>
      </w:r>
    </w:p>
    <w:p>
      <w:pPr>
        <w:pStyle w:val="BookText"/>
        <w:rPr/>
      </w:pPr>
      <w:r>
        <w:rPr>
          <w:rFonts w:ascii="IRNazanin" w:hAnsi="IRNazanin" w:eastAsia="IRNazanin"/>
          <w:color w:val="111111"/>
          <w:sz w:val="28"/>
          <w:sz w:val="28"/>
          <w:szCs w:val="28"/>
          <w:rtl w:val="true"/>
          <w:lang w:bidi="fa-IR"/>
        </w:rPr>
        <w:t>این جا اشاره‌ای نکرده است که اگر مالک بعدا اجازه داد، حکم آن چیست؟</w:t>
      </w:r>
    </w:p>
    <w:p>
      <w:pPr>
        <w:pStyle w:val="BookText"/>
        <w:rPr/>
      </w:pPr>
      <w:r>
        <w:rPr>
          <w:rFonts w:ascii="IRNazanin" w:hAnsi="IRNazanin" w:eastAsia="IRNazanin"/>
          <w:color w:val="111111"/>
          <w:sz w:val="28"/>
          <w:sz w:val="28"/>
          <w:szCs w:val="28"/>
          <w:rtl w:val="true"/>
          <w:lang w:bidi="fa-IR"/>
        </w:rPr>
        <w:t>علاّمه در قواعد تصریح کرده است که اگر مالک اجازه کرد، اَقرب، لزوم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وجه قُرب را این چنین توجیه کرده است که این عقدی است از انسانی عاقل، بالغ و 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در یک محلّ و مِلک قابلِ نقل صادر شده، مالک هم آن را اجازه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هم مقتضی موجود است و هم مانع مفقود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فخر در پایان به این دلیل که تقرّب با ملک دیگری ممکن نیست، قول به عدم صحّت را اقوی می‌داند</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فَخْر المحقّقین به عدم صحّتِ تقرّب، در صورتی که واقفِ فضولی، غاصب نباشد، محلّ تأمّل و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شهیدین در لمعه و روضه</w:t>
      </w:r>
      <w:r>
        <w:rPr>
          <w:rStyle w:val="FootnoteAnchor"/>
          <w:rtl w:val="true"/>
        </w:rPr>
        <w:footnoteReference w:id="523"/>
      </w:r>
      <w:r>
        <w:rPr>
          <w:rFonts w:ascii="Amiri" w:hAnsi="Amiri" w:eastAsia="Amiri" w:cs="Amiri"/>
          <w:color w:val="111111"/>
          <w:sz w:val="28"/>
          <w:sz w:val="28"/>
          <w:szCs w:val="28"/>
          <w:rtl w:val="true"/>
          <w:lang w:bidi="ar-SA"/>
        </w:rPr>
        <w:t>محقّق ثانی</w:t>
      </w:r>
      <w:r>
        <w:rPr>
          <w:rStyle w:val="FootnoteAnchor"/>
          <w:rtl w:val="true"/>
        </w:rPr>
        <w:footnoteReference w:id="524"/>
      </w:r>
      <w:r>
        <w:rPr>
          <w:rFonts w:ascii="Amiri" w:hAnsi="Amiri" w:eastAsia="Amiri" w:cs="Amiri"/>
          <w:color w:val="111111"/>
          <w:sz w:val="28"/>
          <w:sz w:val="28"/>
          <w:szCs w:val="28"/>
          <w:rtl w:val="true"/>
          <w:lang w:bidi="ar-SA"/>
        </w:rPr>
        <w:t>محقّق حلّی در شرایع</w:t>
      </w:r>
      <w:r>
        <w:rPr>
          <w:rStyle w:val="FootnoteAnchor"/>
          <w:rtl w:val="true"/>
        </w:rPr>
        <w:footnoteReference w:id="525"/>
      </w:r>
      <w:r>
        <w:rPr>
          <w:rFonts w:ascii="IRNazanin" w:hAnsi="IRNazanin" w:eastAsia="IRNazanin"/>
          <w:color w:val="111111"/>
          <w:sz w:val="28"/>
          <w:sz w:val="28"/>
          <w:szCs w:val="28"/>
          <w:rtl w:val="true"/>
          <w:lang w:bidi="fa-IR"/>
        </w:rPr>
        <w:t xml:space="preserve">و صاحب مفتاح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طور که از عبارتش پیداست</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فضولی را صحیح می‌دانند و معتقدند که با اجازه مالک، نافذ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w:t>
      </w:r>
      <w:r>
        <w:rPr>
          <w:rStyle w:val="FootnoteAnchor"/>
          <w:rtl w:val="true"/>
        </w:rPr>
        <w:footnoteReference w:id="527"/>
      </w:r>
      <w:r>
        <w:rPr>
          <w:rFonts w:ascii="IRNazanin" w:hAnsi="IRNazanin" w:eastAsia="IRNazanin"/>
          <w:color w:val="111111"/>
          <w:sz w:val="28"/>
          <w:sz w:val="28"/>
          <w:szCs w:val="28"/>
          <w:rtl w:val="true"/>
          <w:lang w:bidi="fa-IR"/>
        </w:rPr>
        <w:t>عدم صحّت وقف حتّی با اجازه را به قولی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دسته همان طورکه اشاره شد این است که تصرّف فضولی ملحوق به اجازه، همانند بیع فضولی است و نیز عقدی است که از انسان صحیح العبارة واقع شده و هیچ مانعی در آن نیست، جز وقوع آن بدون اذن مالک، که با اجازه مالک این مانع نیز زایل شده است؛ لذا در تحت عمومات امر به وفای عقود داخل می‌شود و در حقیقت همانند وقف مستأنَف خواهد 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دلیل آنان که چنین وقفی را صحیح نمی‌دانند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انسان فضولی بلا اثر است، زیرا وی مالک نیست و تصرّف در ملک دیگری هم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تأثیر اجازه در غیر مورد نصّ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نصّ بیع فضولی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نیست و میان بیع و وقف هم تفاوت است برای این که بعضی از اقسام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ملک است، همانند </w:t>
      </w:r>
      <w:bookmarkStart w:id="309" w:name="pg4267_21865"/>
    </w:p>
    <w:p>
      <w:pPr>
        <w:pStyle w:val="BookText"/>
        <w:rPr/>
      </w:pPr>
      <w:bookmarkEnd w:id="309"/>
      <w:r>
        <w:rPr>
          <w:rFonts w:ascii="IRNazanin" w:hAnsi="IRNazanin" w:eastAsia="IRNazanin"/>
          <w:color w:val="111111"/>
          <w:sz w:val="28"/>
          <w:sz w:val="28"/>
          <w:szCs w:val="28"/>
          <w:rtl w:val="true"/>
          <w:lang w:bidi="fa-IR"/>
        </w:rPr>
        <w:t>عتق ، لذا فضولی در آن راه ندارد</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از آن جا که اصل، عدم انتقال ملک از مالک آن جز با سبب شرعی قطعی است و نیز مستند اصلی فضولی در مورد بیع است، صحّت وقف فضولی، حتّی در صورت اجازه، محلّ تأمّل و اشکال است؛ مگر این که اجماع معتبر بر صحّت آن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مدنی نیز تصریح شده است که واقف باید مالک مالی باشد که وقف می‌کند و به علاوه دارای اهلیّتی باشد که در معاملات معتبر است</w:t>
      </w:r>
      <w:r>
        <w:rPr>
          <w:rFonts w:eastAsia="IRNazanin" w:cs="IRNazanin"/>
          <w:color w:val="111111"/>
          <w:sz w:val="28"/>
          <w:szCs w:val="28"/>
          <w:rtl w:val="true"/>
          <w:lang w:bidi="fa-IR"/>
        </w:rPr>
        <w:t>.</w:t>
      </w:r>
      <w:r>
        <w:rPr>
          <w:rStyle w:val="FootnoteAnchor"/>
          <w:rtl w:val="true"/>
        </w:rPr>
        <w:footnoteReference w:id="529"/>
      </w:r>
    </w:p>
    <w:p>
      <w:pPr>
        <w:pStyle w:val="Heading5"/>
        <w:numPr>
          <w:ilvl w:val="4"/>
          <w:numId w:val="1"/>
        </w:numPr>
        <w:rPr/>
      </w:pPr>
      <w:bookmarkStart w:id="310" w:name="__RefHeading___Toc474109_1479056682"/>
      <w:bookmarkStart w:id="311" w:name="_Toc117"/>
      <w:bookmarkEnd w:id="310"/>
      <w:r>
        <w:rPr>
          <w:rtl w:val="true"/>
        </w:rPr>
        <w:t>دیدگاه دیگر مذاهب</w:t>
      </w:r>
      <w:bookmarkEnd w:id="311"/>
    </w:p>
    <w:p>
      <w:pPr>
        <w:pStyle w:val="BookText"/>
        <w:rPr/>
      </w:pPr>
      <w:r>
        <w:rPr>
          <w:rFonts w:ascii="IRNazanin" w:hAnsi="IRNazanin" w:eastAsia="IRNazanin"/>
          <w:color w:val="111111"/>
          <w:sz w:val="28"/>
          <w:sz w:val="28"/>
          <w:szCs w:val="28"/>
          <w:rtl w:val="true"/>
          <w:lang w:bidi="fa-IR"/>
        </w:rPr>
        <w:t>ابوزهره</w:t>
      </w:r>
      <w:r>
        <w:rPr>
          <w:rStyle w:val="FootnoteAnchor"/>
          <w:rtl w:val="true"/>
        </w:rPr>
        <w:footnoteReference w:id="530"/>
      </w:r>
      <w:r>
        <w:rPr>
          <w:rFonts w:ascii="Amiri" w:hAnsi="Amiri" w:eastAsia="Amiri" w:cs="Amiri"/>
          <w:color w:val="111111"/>
          <w:sz w:val="28"/>
          <w:sz w:val="28"/>
          <w:szCs w:val="28"/>
          <w:rtl w:val="true"/>
          <w:lang w:bidi="ar-SA"/>
        </w:rPr>
        <w:t>و دکتر وَهْبَةُ الزُّحَیلی</w:t>
      </w:r>
      <w:r>
        <w:rPr>
          <w:rStyle w:val="FootnoteAnchor"/>
          <w:rtl w:val="true"/>
        </w:rPr>
        <w:footnoteReference w:id="531"/>
      </w:r>
      <w:r>
        <w:rPr>
          <w:rFonts w:ascii="IRNazanin" w:hAnsi="IRNazanin" w:eastAsia="IRNazanin"/>
          <w:color w:val="111111"/>
          <w:sz w:val="28"/>
          <w:sz w:val="28"/>
          <w:szCs w:val="28"/>
          <w:rtl w:val="true"/>
          <w:lang w:bidi="fa-IR"/>
        </w:rPr>
        <w:t>بدون بردن نام مذاهب، اشتراط مالک بودن واقف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اتّفاق نظر دارند که وقف، ناچار باید در عینی باشد که مملوک بَتّی واقف است؛ همچنین باید با یک تعریف کامل،مشخّص و معلوم باشد، هر چند حنفیّه به شهرت، اکتفا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حکم این است که وقف مربوط به زمانهای بسیار طولانی و مستمرّ است، لذا باید کاملاً مشخّص و معیّن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مالک عین یا مالک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صیغه و عقد وقف منعقد نخواهد شد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وی، متفرّع بر شرط فوق یاد آور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فقها وقف مشتری را در زمان خیار بایع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ملکیّت به طور قطعی و غیر قابل نقض به او</w:t>
      </w:r>
    </w:p>
    <w:p>
      <w:pPr>
        <w:pStyle w:val="BookText"/>
        <w:rPr/>
      </w:pPr>
      <w:r>
        <w:rPr>
          <w:rFonts w:ascii="IRNazanin" w:hAnsi="IRNazanin" w:eastAsia="IRNazanin"/>
          <w:color w:val="111111"/>
          <w:sz w:val="28"/>
          <w:sz w:val="28"/>
          <w:szCs w:val="28"/>
          <w:rtl w:val="true"/>
          <w:lang w:bidi="fa-IR"/>
        </w:rPr>
        <w:t>منتقل نشده است؛ امّا وقف بایع در فرض یاد شده و وقف مشتری در زمان خیار خودش بلا اشکال است؛ زیرا در این صورت، وقف کردن به معنای اسقاط حقّ خیار توسّط صاحب آن است</w:t>
      </w:r>
      <w:r>
        <w:rPr>
          <w:rFonts w:eastAsia="IRNazanin" w:cs="IRNazanin"/>
          <w:color w:val="111111"/>
          <w:sz w:val="28"/>
          <w:szCs w:val="28"/>
          <w:rtl w:val="true"/>
          <w:lang w:bidi="fa-IR"/>
        </w:rPr>
        <w:t>.</w:t>
      </w:r>
      <w:r>
        <w:rPr>
          <w:rStyle w:val="FootnoteAnchor"/>
          <w:rtl w:val="true"/>
        </w:rPr>
        <w:footnoteReference w:id="533"/>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ادامه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بین وقف فضولی و وقف غاصب فرق گذاشته‌اند و وقف غاصب را باطل می‌دانند، زیرا غاصب ملک دیگری را به عنوان ملک خود وقف کرده است؛ امّا وقف فضولی را، در صورت اجازه مالک، صحیح و نافذ می‌دانند؛ زیرا شخص </w:t>
      </w:r>
      <w:bookmarkStart w:id="312" w:name="pg4267_21866"/>
    </w:p>
    <w:p>
      <w:pPr>
        <w:pStyle w:val="BookText"/>
        <w:rPr/>
      </w:pPr>
      <w:bookmarkEnd w:id="312"/>
      <w:r>
        <w:rPr>
          <w:rFonts w:ascii="IRNazanin" w:hAnsi="IRNazanin" w:eastAsia="IRNazanin"/>
          <w:color w:val="111111"/>
          <w:sz w:val="28"/>
          <w:sz w:val="28"/>
          <w:szCs w:val="28"/>
          <w:rtl w:val="true"/>
          <w:lang w:bidi="fa-IR"/>
        </w:rPr>
        <w:t>فضولی ملک را به غیر خود اسناد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در پایان، وقف ملک دیگری، بالحوق اجازه را به 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وقف غاصب و چه وقف فضولی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دانسته است</w:t>
      </w:r>
      <w:r>
        <w:rPr>
          <w:rFonts w:eastAsia="IRNazanin" w:cs="IRNazanin"/>
          <w:color w:val="111111"/>
          <w:sz w:val="28"/>
          <w:szCs w:val="28"/>
          <w:rtl w:val="true"/>
          <w:lang w:bidi="fa-IR"/>
        </w:rPr>
        <w:t>.</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با همه اینها در الشّرح الصّغیر و بُلغة السّالک که در فقه مالکی می‌باشند تصریح شده است که وقف فضولی، حتّی در صورت اجازه مالک، باطل است و نباید آن را با بیع فضولی قیاس کرد</w:t>
      </w:r>
      <w:r>
        <w:rPr>
          <w:rFonts w:eastAsia="IRNazanin" w:cs="IRNazanin"/>
          <w:color w:val="111111"/>
          <w:sz w:val="28"/>
          <w:szCs w:val="28"/>
          <w:rtl w:val="true"/>
          <w:lang w:bidi="fa-IR"/>
        </w:rPr>
        <w:t>.</w:t>
      </w:r>
      <w:r>
        <w:rPr>
          <w:rStyle w:val="FootnoteAnchor"/>
          <w:rtl w:val="true"/>
        </w:rPr>
        <w:footnoteReference w:id="535"/>
      </w:r>
    </w:p>
    <w:p>
      <w:pPr>
        <w:pStyle w:val="Heading4"/>
        <w:numPr>
          <w:ilvl w:val="3"/>
          <w:numId w:val="1"/>
        </w:numPr>
        <w:rPr/>
      </w:pPr>
      <w:bookmarkStart w:id="313" w:name="__RefHeading___Toc474111_1479056682"/>
      <w:bookmarkStart w:id="314" w:name="_Toc118"/>
      <w:bookmarkEnd w:id="313"/>
      <w:r>
        <w:rPr>
          <w:rtl w:val="true"/>
        </w:rPr>
        <w:t>شرط هفتم</w:t>
      </w:r>
      <w:r>
        <w:rPr>
          <w:rtl w:val="true"/>
        </w:rPr>
        <w:t xml:space="preserve">: </w:t>
      </w:r>
      <w:r>
        <w:rPr>
          <w:rtl w:val="true"/>
        </w:rPr>
        <w:t>اسلام</w:t>
      </w:r>
      <w:bookmarkEnd w:id="314"/>
    </w:p>
    <w:p>
      <w:pPr>
        <w:pStyle w:val="Heading5"/>
        <w:numPr>
          <w:ilvl w:val="4"/>
          <w:numId w:val="1"/>
        </w:numPr>
        <w:rPr/>
      </w:pPr>
      <w:bookmarkStart w:id="315" w:name="__RefHeading___Toc474113_1479056682"/>
      <w:bookmarkStart w:id="316" w:name="_Toc119"/>
      <w:bookmarkEnd w:id="315"/>
      <w:r>
        <w:rPr>
          <w:rtl w:val="true"/>
        </w:rPr>
        <w:t>اشاره</w:t>
      </w:r>
      <w:bookmarkEnd w:id="316"/>
    </w:p>
    <w:p>
      <w:pPr>
        <w:pStyle w:val="BookText"/>
        <w:rPr/>
      </w:pPr>
      <w:r>
        <w:rPr>
          <w:rFonts w:ascii="IRNazanin" w:hAnsi="IRNazanin" w:eastAsia="IRNazanin"/>
          <w:color w:val="111111"/>
          <w:sz w:val="28"/>
          <w:sz w:val="28"/>
          <w:szCs w:val="28"/>
          <w:rtl w:val="true"/>
          <w:lang w:bidi="fa-IR"/>
        </w:rPr>
        <w:t>از شرایطی که ممکن است در مورد واقف مطرح شود، اسلام است؛ آیا لازم است واقف مسلمان باشد یا وقف از جانب کافر هم صحیح است؟ بحث مفصّل در این زمینه در مبحث شرایط موقوفٌ عَلَیْه به مناسبت خواهد آمد، و از طرح آن در این جا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قدر اجمالاً یاد آور می‌شود که طبق نظر فقهای فَریقَیْن، وقف کافر نیز</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صاحب عروه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در قصد قربتِ کافر تردید شود زیرا اوّلاً گذشت که ما قصد قربت را در وقف معتبر نمی‌دانیم و ثانیا حصول قصد قربت از کافر هم ناممکن نیست، چون آنچه معتبر است حصول قصد قربت است نه حصول قُرْب و ظاهرا اجماع نیز بر صحّت وقف کافر، حتّی بر چیزهایی که در مذهب ما صحیح نیست مثل آتشکده‌ها، کواکب، وقف خنزیر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محقّق است و روشن است که صحّت در این موارد، واقعی نیست، بلکه از بابت اقرار آنها بر دین خودشان می‌باشد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نکته دیگر این که مطابق دیدگاه اهل سنّت در منابع یاد شده، وقف کافر در قُرَب دینیّه مانند وقف بر مسجد صحیح نیست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17" w:name="__RefHeading___Toc474115_1479056682"/>
      <w:bookmarkStart w:id="318" w:name="_Toc120"/>
      <w:bookmarkEnd w:id="317"/>
      <w:r>
        <w:rPr>
          <w:rtl w:val="true"/>
        </w:rPr>
        <w:t>دیدگاه فقهای امامیّه</w:t>
      </w:r>
      <w:bookmarkStart w:id="319" w:name="pg4267_21867"/>
      <w:bookmarkEnd w:id="318"/>
    </w:p>
    <w:p>
      <w:pPr>
        <w:pStyle w:val="BookText"/>
        <w:rPr/>
      </w:pPr>
      <w:bookmarkEnd w:id="319"/>
      <w:r>
        <w:rPr>
          <w:rFonts w:ascii="IRNazanin" w:hAnsi="IRNazanin" w:eastAsia="IRNazanin"/>
          <w:color w:val="111111"/>
          <w:sz w:val="28"/>
          <w:sz w:val="28"/>
          <w:szCs w:val="28"/>
          <w:rtl w:val="true"/>
          <w:lang w:bidi="fa-IR"/>
        </w:rPr>
        <w:t xml:space="preserve">شیخ مفید در مقنعه، ظاهر شیخ طوسی در مبسوط، ابن ادریس، علاّمه در قواعد، محقّق اوّل در شرایع و المختصر النافع، فیض کاشانی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از فقهای معاصر، امام خمینی، به صحّت وقف کافر بر اماکن و معابد خودشان تصریح کرده‌اند</w:t>
      </w:r>
      <w:r>
        <w:rPr>
          <w:rFonts w:eastAsia="IRNazanin" w:cs="IRNazanin"/>
          <w:color w:val="111111"/>
          <w:sz w:val="28"/>
          <w:szCs w:val="28"/>
          <w:rtl w:val="true"/>
          <w:lang w:bidi="fa-IR"/>
        </w:rPr>
        <w:t>.</w:t>
      </w:r>
      <w:r>
        <w:rPr>
          <w:rStyle w:val="FootnoteAnchor"/>
          <w:rtl w:val="true"/>
        </w:rPr>
        <w:footnoteReference w:id="538"/>
      </w:r>
    </w:p>
    <w:p>
      <w:pPr>
        <w:pStyle w:val="Heading5"/>
        <w:numPr>
          <w:ilvl w:val="4"/>
          <w:numId w:val="1"/>
        </w:numPr>
        <w:rPr/>
      </w:pPr>
      <w:bookmarkStart w:id="320" w:name="__RefHeading___Toc474117_1479056682"/>
      <w:bookmarkStart w:id="321" w:name="_Toc121"/>
      <w:bookmarkEnd w:id="320"/>
      <w:r>
        <w:rPr>
          <w:rtl w:val="true"/>
        </w:rPr>
        <w:t>دیدگاه فقهای اهل سنّت</w:t>
      </w:r>
      <w:bookmarkEnd w:id="321"/>
    </w:p>
    <w:p>
      <w:pPr>
        <w:pStyle w:val="BookText"/>
        <w:rPr/>
      </w:pPr>
      <w:r>
        <w:rPr>
          <w:rFonts w:ascii="IRNazanin" w:hAnsi="IRNazanin" w:eastAsia="IRNazanin"/>
          <w:color w:val="111111"/>
          <w:sz w:val="28"/>
          <w:sz w:val="28"/>
          <w:szCs w:val="28"/>
          <w:rtl w:val="true"/>
          <w:lang w:bidi="fa-IR"/>
        </w:rPr>
        <w:t>وَهبةُ 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 بر بطلان وقف غیر مسلمان بر جهت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در دین ما و نه در دین خود او قربت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نظر دارند؛ امّا در مواردی که اَنظار</w:t>
      </w:r>
    </w:p>
    <w:p>
      <w:pPr>
        <w:pStyle w:val="BookText"/>
        <w:rPr/>
      </w:pPr>
      <w:r>
        <w:rPr>
          <w:rFonts w:ascii="IRNazanin" w:hAnsi="IRNazanin" w:eastAsia="IRNazanin"/>
          <w:color w:val="111111"/>
          <w:sz w:val="28"/>
          <w:sz w:val="28"/>
          <w:szCs w:val="28"/>
          <w:rtl w:val="true"/>
          <w:lang w:bidi="fa-IR"/>
        </w:rPr>
        <w:t>ادیان، گوناگون است، اختلاف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ذمّی بایدجهت موقوفٌ‌علیه هم درنزد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هم در نزد خودشان قربت باشد، مانند وقف بر فقرا یا بر مسجد 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مسجدالاقصی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 در اعتقاد واقف و هم در نظر اسلام قربت است؛ امّا وقف غیر مسلم بر مسجد و همچنین</w:t>
      </w:r>
    </w:p>
    <w:p>
      <w:pPr>
        <w:pStyle w:val="BookText"/>
        <w:rPr/>
      </w:pPr>
      <w:r>
        <w:rPr>
          <w:rFonts w:ascii="IRNazanin" w:hAnsi="IRNazanin" w:eastAsia="IRNazanin"/>
          <w:color w:val="111111"/>
          <w:sz w:val="28"/>
          <w:sz w:val="28"/>
          <w:szCs w:val="28"/>
          <w:rtl w:val="true"/>
          <w:lang w:bidi="fa-IR"/>
        </w:rPr>
        <w:t xml:space="preserve">وقف او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که در اعتقاد خودش قربت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ابن رشد از آنها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کافر ذمّی بر کَنیسه‌ای وقف کند، اگر وقف بر ترمیم یا بر مجروحان و بیماران در آن جا باشد، صحیح است و به آن عمل می‌شود؛ امّا اگر در دعاوی خود به ما مراجعه کنند، حاکم اسلامی به حکم اسلام بین آنها حکم می‌کند؛ لذا در موارد نامبرده حکم به صحّت وقف می‌کند؛ امّا</w:t>
      </w:r>
    </w:p>
    <w:p>
      <w:pPr>
        <w:pStyle w:val="BookText"/>
        <w:rPr/>
      </w:pPr>
      <w:r>
        <w:rPr>
          <w:rFonts w:ascii="IRNazanin" w:hAnsi="IRNazanin" w:eastAsia="IRNazanin"/>
          <w:color w:val="111111"/>
          <w:sz w:val="28"/>
          <w:sz w:val="28"/>
          <w:szCs w:val="28"/>
          <w:rtl w:val="true"/>
          <w:lang w:bidi="fa-IR"/>
        </w:rPr>
        <w:t>اگر وقف بر عُبّاد کنایس باشد حکم به بطلان آن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ملاک، قربت در اعتقاد واقف است در احوال جایزه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نظر معتمد در نزد مالکیّه، بطلان وقف ذمّی بر</w:t>
      </w:r>
    </w:p>
    <w:p>
      <w:pPr>
        <w:pStyle w:val="BookText"/>
        <w:rPr/>
      </w:pPr>
      <w:r>
        <w:rPr>
          <w:rFonts w:ascii="IRNazanin" w:hAnsi="IRNazanin" w:eastAsia="IRNazanin"/>
          <w:color w:val="111111"/>
          <w:sz w:val="28"/>
          <w:sz w:val="28"/>
          <w:szCs w:val="28"/>
          <w:rtl w:val="true"/>
          <w:lang w:bidi="fa-IR"/>
        </w:rPr>
        <w:t>کَنیسه به طور مطلق و بطلان وقف کافر بر مثل مسجد، رباط،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قربات اسلامیّه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ملاک، همان جهت خیر و قربت در نزد آنها و ما با هم است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شافعیّه و حنابله می‌گویند ملاک قربت بودن در نظر اسلام است، خواه در اعتقاد واقف، قربت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وقف کافر بر مسجد صحیح است، زیرا این کار در اسلام قربت است، امّا وقف او بر کَنیسه، آتشکده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چون در نظر اسلام، قربت </w:t>
      </w:r>
      <w:bookmarkStart w:id="322" w:name="pg4267_21868"/>
    </w:p>
    <w:p>
      <w:pPr>
        <w:pStyle w:val="BookText"/>
        <w:rPr/>
      </w:pPr>
      <w:bookmarkEnd w:id="322"/>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539"/>
      </w:r>
    </w:p>
    <w:p>
      <w:pPr>
        <w:pStyle w:val="Heading3"/>
        <w:numPr>
          <w:ilvl w:val="2"/>
          <w:numId w:val="1"/>
        </w:numPr>
        <w:rPr/>
      </w:pPr>
      <w:bookmarkStart w:id="323" w:name="__RefHeading___Toc474119_1479056682"/>
      <w:bookmarkStart w:id="324" w:name="_Toc122"/>
      <w:bookmarkEnd w:id="323"/>
      <w:r>
        <w:rPr>
          <w:rtl w:val="true"/>
        </w:rPr>
        <w:t>فصل سوم</w:t>
      </w:r>
      <w:r>
        <w:rPr>
          <w:rtl w:val="true"/>
        </w:rPr>
        <w:t xml:space="preserve">: </w:t>
      </w:r>
      <w:r>
        <w:rPr>
          <w:rtl w:val="true"/>
        </w:rPr>
        <w:t>مال موقوف؛ شرایط</w:t>
      </w:r>
      <w:bookmarkEnd w:id="324"/>
    </w:p>
    <w:p>
      <w:pPr>
        <w:pStyle w:val="Heading4"/>
        <w:numPr>
          <w:ilvl w:val="3"/>
          <w:numId w:val="1"/>
        </w:numPr>
        <w:rPr/>
      </w:pPr>
      <w:bookmarkStart w:id="325" w:name="__RefHeading___Toc474121_1479056682"/>
      <w:bookmarkStart w:id="326" w:name="_Toc123"/>
      <w:bookmarkEnd w:id="325"/>
      <w:r>
        <w:rPr>
          <w:rtl w:val="true"/>
        </w:rPr>
        <w:t>شرط اوّل</w:t>
      </w:r>
      <w:r>
        <w:rPr>
          <w:rtl w:val="true"/>
        </w:rPr>
        <w:t xml:space="preserve">: </w:t>
      </w:r>
      <w:r>
        <w:rPr>
          <w:rtl w:val="true"/>
        </w:rPr>
        <w:t>عین قابل انتفاع</w:t>
      </w:r>
      <w:bookmarkEnd w:id="326"/>
    </w:p>
    <w:p>
      <w:pPr>
        <w:pStyle w:val="Heading5"/>
        <w:numPr>
          <w:ilvl w:val="4"/>
          <w:numId w:val="1"/>
        </w:numPr>
        <w:rPr/>
      </w:pPr>
      <w:bookmarkStart w:id="327" w:name="__RefHeading___Toc474123_1479056682"/>
      <w:bookmarkStart w:id="328" w:name="_Toc124"/>
      <w:bookmarkEnd w:id="327"/>
      <w:r>
        <w:rPr>
          <w:rtl w:val="true"/>
        </w:rPr>
        <w:t>دیدگاه امامیّه</w:t>
      </w:r>
      <w:bookmarkEnd w:id="328"/>
    </w:p>
    <w:p>
      <w:pPr>
        <w:pStyle w:val="Heading6"/>
        <w:numPr>
          <w:ilvl w:val="5"/>
          <w:numId w:val="1"/>
        </w:numPr>
        <w:rPr/>
      </w:pPr>
      <w:bookmarkStart w:id="329" w:name="__RefHeading___Toc474125_1479056682"/>
      <w:bookmarkStart w:id="330" w:name="_Toc125"/>
      <w:bookmarkEnd w:id="329"/>
      <w:r>
        <w:rPr>
          <w:rtl w:val="true"/>
        </w:rPr>
        <w:t>اشاره</w:t>
      </w:r>
      <w:bookmarkEnd w:id="330"/>
    </w:p>
    <w:p>
      <w:pPr>
        <w:pStyle w:val="BookText"/>
        <w:rPr/>
      </w:pPr>
      <w:r>
        <w:rPr>
          <w:rFonts w:ascii="IRNazanin" w:hAnsi="IRNazanin" w:eastAsia="IRNazanin"/>
          <w:color w:val="111111"/>
          <w:sz w:val="28"/>
          <w:sz w:val="28"/>
          <w:szCs w:val="28"/>
          <w:rtl w:val="true"/>
          <w:lang w:bidi="fa-IR"/>
        </w:rPr>
        <w:t>از شرایطی که‌عموم فقها آن‌را مطرح کرده و دروقف معتبر دانسته‌اند این است که مال‌موقوف باید عینی باشد که با بقاواستمرار آن، قابل انتفاع باشد و مانند طعام‌وامثال آن نباشد که باانتفاع ازآن مستهلک شود و نتواند برای صدقه جاریه و مستمر،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عینی که بیع آن جایز و انتفاع از آن با بقای آن ممکن باشد، وقف آن جایز است؛ همانند اراضی، املاک ، خانه‌ها، حیوانات، سلاح و</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وی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خلاف برای این مسأله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برای این مسأله عموم اخبار در جواز وقف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عَلی حَسَب ما یَشْرطُ الواقِفُ و این بیان بر عموم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بخواهد آن را تخصیص بزند بر اوست که دلیل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روایت </w:t>
      </w:r>
      <w:bookmarkStart w:id="331" w:name="pg4267_21869"/>
    </w:p>
    <w:p>
      <w:pPr>
        <w:pStyle w:val="BookText"/>
        <w:rPr/>
      </w:pPr>
      <w:bookmarkEnd w:id="331"/>
      <w:r>
        <w:rPr>
          <w:rFonts w:ascii="IRNazanin" w:hAnsi="IRNazanin" w:eastAsia="IRNazanin"/>
          <w:color w:val="111111"/>
          <w:sz w:val="28"/>
          <w:sz w:val="28"/>
          <w:szCs w:val="28"/>
          <w:rtl w:val="true"/>
          <w:lang w:bidi="fa-IR"/>
        </w:rPr>
        <w:t>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 مِعْقَل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رسول خدا صلی‌الله‌علیه‌و‌آله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اَبُومِعقَل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خویش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و من عازم حجّ هستم آیا می‌توانم برآن سوار شوم؟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و عمره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سبیل‌اللّه هستند</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به نظر می‌رسد استدلال اوّل شیخ محلّ تأمّل و بحث باشد، زیرا منظور امام علیه‌السلام از وقوف، در روایت، وقفهای صحیح دارای شرایط لازم است و این که همه وقفها چنین باشند؛ اوّل کلام 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قانون مدنی نیز تصریح شده است که فقط وقفِ مالی جایز است که با بقای عین، بتوان از آن منتفع شد، اعمّ از این که منقول باشد یا غیر منقول، مشاع باشد یا مَفْروز</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همان طور که قبلاً هم اشاره شد تا این جا محلّ بحث و تردید نیست و تقریبا همه اَعلام، هم آن را مطرح کرده‌اند و هم پذیرفته‌اند؛ امّا بزرگان، مطالب و مسائل و فروعی را بر این شرط متفرّع و مترتّب ساخته‌اند که به اَهَمّ آنها اشاره می‌شود</w:t>
      </w:r>
      <w:r>
        <w:rPr>
          <w:rFonts w:eastAsia="IRNazanin" w:cs="IRNazanin"/>
          <w:color w:val="111111"/>
          <w:sz w:val="28"/>
          <w:szCs w:val="28"/>
          <w:rtl w:val="true"/>
          <w:lang w:bidi="fa-IR"/>
        </w:rPr>
        <w:t>:</w:t>
      </w:r>
    </w:p>
    <w:p>
      <w:pPr>
        <w:pStyle w:val="Heading6"/>
        <w:numPr>
          <w:ilvl w:val="5"/>
          <w:numId w:val="1"/>
        </w:numPr>
        <w:rPr/>
      </w:pPr>
      <w:bookmarkStart w:id="332" w:name="__RefHeading___Toc474127_1479056682"/>
      <w:bookmarkStart w:id="333" w:name="_Toc126"/>
      <w:bookmarkEnd w:id="332"/>
      <w:r>
        <w:rPr/>
        <w:t>1</w:t>
      </w:r>
      <w:r>
        <w:rPr>
          <w:rtl w:val="true"/>
        </w:rPr>
        <w:t xml:space="preserve">- </w:t>
      </w:r>
      <w:r>
        <w:rPr>
          <w:rtl w:val="true"/>
        </w:rPr>
        <w:t xml:space="preserve">وقف مال غیر معیّن یا کلّی </w:t>
      </w:r>
      <w:r>
        <w:rPr>
          <w:rtl w:val="true"/>
        </w:rPr>
        <w:t>(</w:t>
      </w:r>
      <w:r>
        <w:rPr>
          <w:rtl w:val="true"/>
        </w:rPr>
        <w:t>در ذمّه</w:t>
      </w:r>
      <w:r>
        <w:rPr>
          <w:rtl w:val="true"/>
        </w:rPr>
        <w:t xml:space="preserve">) </w:t>
      </w:r>
      <w:r>
        <w:rPr>
          <w:rtl w:val="true"/>
        </w:rPr>
        <w:t>جایز نیست</w:t>
      </w:r>
      <w:bookmarkEnd w:id="333"/>
    </w:p>
    <w:p>
      <w:pPr>
        <w:pStyle w:val="BookText"/>
        <w:rPr/>
      </w:pPr>
      <w:r>
        <w:rPr>
          <w:rFonts w:ascii="IRNazanin" w:hAnsi="IRNazanin" w:eastAsia="IRNazanin"/>
          <w:color w:val="111111"/>
          <w:sz w:val="28"/>
          <w:sz w:val="28"/>
          <w:szCs w:val="28"/>
          <w:rtl w:val="true"/>
          <w:lang w:bidi="fa-IR"/>
        </w:rPr>
        <w:t>شیخ در مبسوط</w:t>
      </w:r>
      <w:r>
        <w:rPr>
          <w:rStyle w:val="FootnoteAnchor"/>
          <w:rtl w:val="true"/>
        </w:rPr>
        <w:footnoteReference w:id="543"/>
      </w:r>
      <w:r>
        <w:rPr>
          <w:rFonts w:ascii="IRNazanin" w:hAnsi="IRNazanin" w:eastAsia="IRNazanin"/>
          <w:color w:val="111111"/>
          <w:sz w:val="28"/>
          <w:sz w:val="28"/>
          <w:szCs w:val="28"/>
          <w:rtl w:val="true"/>
          <w:lang w:bidi="fa-IR"/>
        </w:rPr>
        <w:t>، علاّمه در قواعد</w:t>
      </w:r>
      <w:r>
        <w:rPr>
          <w:rStyle w:val="FootnoteAnchor"/>
          <w:rtl w:val="true"/>
        </w:rPr>
        <w:footnoteReference w:id="544"/>
      </w:r>
      <w:r>
        <w:rPr>
          <w:rFonts w:ascii="IRNazanin" w:hAnsi="IRNazanin" w:eastAsia="IRNazanin"/>
          <w:color w:val="111111"/>
          <w:sz w:val="28"/>
          <w:sz w:val="28"/>
          <w:szCs w:val="28"/>
          <w:rtl w:val="true"/>
          <w:lang w:bidi="fa-IR"/>
        </w:rPr>
        <w:t>، ابن ادریس،</w:t>
      </w:r>
      <w:r>
        <w:rPr>
          <w:rStyle w:val="FootnoteAnchor"/>
          <w:rtl w:val="true"/>
        </w:rPr>
        <w:footnoteReference w:id="545"/>
      </w:r>
      <w:r>
        <w:rPr>
          <w:rFonts w:ascii="Amiri" w:hAnsi="Amiri" w:eastAsia="Amiri" w:cs="Amiri"/>
          <w:color w:val="111111"/>
          <w:sz w:val="28"/>
          <w:sz w:val="28"/>
          <w:szCs w:val="28"/>
          <w:rtl w:val="true"/>
          <w:lang w:bidi="ar-SA"/>
        </w:rPr>
        <w:t>محقّق ثانی،</w:t>
      </w:r>
      <w:r>
        <w:rPr>
          <w:rStyle w:val="FootnoteAnchor"/>
          <w:rtl w:val="true"/>
        </w:rPr>
        <w:footnoteReference w:id="546"/>
      </w:r>
      <w:r>
        <w:rPr>
          <w:rFonts w:ascii="IRNazanin" w:hAnsi="IRNazanin" w:eastAsia="IRNazanin"/>
          <w:color w:val="111111"/>
          <w:sz w:val="28"/>
          <w:sz w:val="28"/>
          <w:szCs w:val="28"/>
          <w:rtl w:val="true"/>
          <w:lang w:bidi="fa-IR"/>
        </w:rPr>
        <w:t>صاحب مفتاح الکرامه،</w:t>
      </w:r>
      <w:r>
        <w:rPr>
          <w:rStyle w:val="FootnoteAnchor"/>
          <w:rtl w:val="true"/>
        </w:rPr>
        <w:footnoteReference w:id="547"/>
      </w:r>
      <w:r>
        <w:rPr>
          <w:rFonts w:ascii="IRNazanin" w:hAnsi="IRNazanin" w:eastAsia="IRNazanin"/>
          <w:color w:val="111111"/>
          <w:sz w:val="28"/>
          <w:sz w:val="28"/>
          <w:szCs w:val="28"/>
          <w:rtl w:val="true"/>
          <w:lang w:bidi="fa-IR"/>
        </w:rPr>
        <w:t>صاحب جواهر،</w:t>
      </w:r>
      <w:r>
        <w:rPr>
          <w:rStyle w:val="FootnoteAnchor"/>
          <w:rtl w:val="true"/>
        </w:rPr>
        <w:footnoteReference w:id="548"/>
      </w:r>
      <w:r>
        <w:rPr>
          <w:rFonts w:ascii="IRNazanin" w:hAnsi="IRNazanin" w:eastAsia="IRNazanin"/>
          <w:color w:val="111111"/>
          <w:sz w:val="28"/>
          <w:sz w:val="28"/>
          <w:szCs w:val="28"/>
          <w:rtl w:val="true"/>
          <w:lang w:bidi="fa-IR"/>
        </w:rPr>
        <w:t>شهیدین در لمعه و روضه</w:t>
      </w:r>
      <w:r>
        <w:rPr>
          <w:rStyle w:val="FootnoteAnchor"/>
          <w:rtl w:val="true"/>
        </w:rPr>
        <w:footnoteReference w:id="549"/>
      </w:r>
      <w:r>
        <w:rPr>
          <w:rFonts w:ascii="IRNazanin" w:hAnsi="IRNazanin" w:eastAsia="IRNazanin"/>
          <w:color w:val="111111"/>
          <w:sz w:val="28"/>
          <w:sz w:val="28"/>
          <w:szCs w:val="28"/>
          <w:rtl w:val="true"/>
          <w:lang w:bidi="fa-IR"/>
        </w:rPr>
        <w:t>و فیض کاشانی</w:t>
      </w:r>
      <w:r>
        <w:rPr>
          <w:rStyle w:val="FootnoteAnchor"/>
          <w:rtl w:val="true"/>
        </w:rPr>
        <w:footnoteReference w:id="550"/>
      </w:r>
      <w:r>
        <w:rPr>
          <w:rFonts w:ascii="IRNazanin" w:hAnsi="IRNazanin" w:eastAsia="IRNazanin"/>
          <w:color w:val="111111"/>
          <w:sz w:val="28"/>
          <w:sz w:val="28"/>
          <w:szCs w:val="28"/>
          <w:rtl w:val="true"/>
          <w:lang w:bidi="fa-IR"/>
        </w:rPr>
        <w:t>و از فقهای متأخّر و معاصر، صاحب عروه</w:t>
      </w:r>
      <w:r>
        <w:rPr>
          <w:rStyle w:val="FootnoteAnchor"/>
          <w:rtl w:val="true"/>
        </w:rPr>
        <w:footnoteReference w:id="551"/>
      </w:r>
      <w:r>
        <w:rPr>
          <w:rFonts w:ascii="IRNazanin" w:hAnsi="IRNazanin" w:eastAsia="IRNazanin"/>
          <w:color w:val="111111"/>
          <w:sz w:val="28"/>
          <w:sz w:val="28"/>
          <w:szCs w:val="28"/>
          <w:rtl w:val="true"/>
          <w:lang w:bidi="fa-IR"/>
        </w:rPr>
        <w:t>، امام خمینی</w:t>
      </w:r>
      <w:r>
        <w:rPr>
          <w:rStyle w:val="FootnoteAnchor"/>
          <w:rtl w:val="true"/>
        </w:rPr>
        <w:footnoteReference w:id="55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تصریح کرده‌اند که وقف اموال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اموال نامعیّن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 اگر در ذمّه یا مطلق باشد، مثل این که بگوید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اسبی یا عبدی را وقف کردم، وقف او جایز نیست، زیرا تا زمانی که مال موقوف یک عین معیّن نباشد، وقف آن جایز نیست</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 xml:space="preserve">مفتاح الکرامة بجز استناد به اجماع معلوم و منقول، </w:t>
      </w:r>
      <w:bookmarkStart w:id="334" w:name="pg4267_21870"/>
    </w:p>
    <w:p>
      <w:pPr>
        <w:pStyle w:val="BookText"/>
        <w:rPr/>
      </w:pPr>
      <w:bookmarkEnd w:id="334"/>
      <w:r>
        <w:rPr>
          <w:rFonts w:ascii="IRNazanin" w:hAnsi="IRNazanin" w:eastAsia="IRNazanin"/>
          <w:color w:val="111111"/>
          <w:sz w:val="28"/>
          <w:sz w:val="28"/>
          <w:szCs w:val="28"/>
          <w:rtl w:val="true"/>
          <w:lang w:bidi="fa-IR"/>
        </w:rPr>
        <w:t>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ادلّه، در کتاب و سنّت مختصّ مواردی است که این شرایط را دارا باشند و در مواردی که شرایط در آنها مجتمع نیستند، دخولشان در وقف مشکوک است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از این گذشته از شرایط وقف، اقباض است و در اموال کلّی و غیرمعیّن، اقباض ممکن نیست برای همین است که وقفِ عبد فراری و اشیاء گمشده را جایز ندانسته‌اند</w:t>
      </w:r>
      <w:r>
        <w:rPr>
          <w:rFonts w:eastAsia="IRNazanin" w:cs="IRNazanin"/>
          <w:color w:val="111111"/>
          <w:sz w:val="28"/>
          <w:szCs w:val="28"/>
          <w:rtl w:val="true"/>
          <w:lang w:bidi="fa-IR"/>
        </w:rPr>
        <w:t>.</w:t>
      </w:r>
      <w:r>
        <w:rPr>
          <w:rStyle w:val="FootnoteAnchor"/>
          <w:rtl w:val="true"/>
        </w:rPr>
        <w:footnoteReference w:id="555"/>
      </w:r>
      <w:r>
        <w:rPr>
          <w:rFonts w:ascii="IRNazanin" w:hAnsi="IRNazanin" w:eastAsia="IRNazanin"/>
          <w:color w:val="111111"/>
          <w:sz w:val="28"/>
          <w:sz w:val="28"/>
          <w:szCs w:val="28"/>
          <w:rtl w:val="true"/>
          <w:lang w:bidi="fa-IR"/>
        </w:rPr>
        <w:t>همچنین وقف رهن را قبل از فَکِّ آن، به این دلیل که قابل اقباض نیست، منع کرده‌اند</w:t>
      </w:r>
      <w:r>
        <w:rPr>
          <w:rStyle w:val="FootnoteAnchor"/>
          <w:rtl w:val="true"/>
        </w:rPr>
        <w:footnoteReference w:id="556"/>
      </w:r>
    </w:p>
    <w:p>
      <w:pPr>
        <w:pStyle w:val="Heading6"/>
        <w:numPr>
          <w:ilvl w:val="5"/>
          <w:numId w:val="1"/>
        </w:numPr>
        <w:rPr/>
      </w:pPr>
      <w:bookmarkStart w:id="335" w:name="__RefHeading___Toc474129_1479056682"/>
      <w:bookmarkStart w:id="336" w:name="_Toc127"/>
      <w:bookmarkEnd w:id="335"/>
      <w:r>
        <w:rPr/>
        <w:t>2</w:t>
      </w:r>
      <w:r>
        <w:rPr>
          <w:rtl w:val="true"/>
        </w:rPr>
        <w:t xml:space="preserve">- </w:t>
      </w:r>
      <w:r>
        <w:rPr>
          <w:rtl w:val="true"/>
        </w:rPr>
        <w:t>وقف اموال منقول جایز است</w:t>
      </w:r>
      <w:bookmarkEnd w:id="336"/>
    </w:p>
    <w:p>
      <w:pPr>
        <w:pStyle w:val="BookText"/>
        <w:rPr/>
      </w:pP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اموال منقول، جز در کُراع و سِلاح و غِلمان، به تبع اراضی موقوفه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امّا فقهای امامیّه،عموما تصریح کرده‌اند که وقف اراضی، املاک، خانه، برده، حیوان، سلاح و هر عینی که بتوان با</w:t>
      </w:r>
    </w:p>
    <w:p>
      <w:pPr>
        <w:pStyle w:val="BookText"/>
        <w:rPr/>
      </w:pPr>
      <w:r>
        <w:rPr>
          <w:rFonts w:ascii="IRNazanin" w:hAnsi="IRNazanin" w:eastAsia="IRNazanin"/>
          <w:color w:val="111111"/>
          <w:sz w:val="28"/>
          <w:sz w:val="28"/>
          <w:szCs w:val="28"/>
          <w:rtl w:val="true"/>
          <w:lang w:bidi="fa-IR"/>
        </w:rPr>
        <w:t>بقا و استمرار آن، از آن بهره و انتفاع برد، صحیح است</w:t>
      </w:r>
      <w:r>
        <w:rPr>
          <w:rFonts w:eastAsia="IRNazanin" w:cs="IRNazanin"/>
          <w:color w:val="111111"/>
          <w:sz w:val="28"/>
          <w:szCs w:val="28"/>
          <w:rtl w:val="true"/>
          <w:lang w:bidi="fa-IR"/>
        </w:rPr>
        <w:t>.</w:t>
      </w:r>
      <w:r>
        <w:rPr>
          <w:rStyle w:val="FootnoteAnchor"/>
          <w:rtl w:val="true"/>
        </w:rPr>
        <w:footnoteReference w:id="557"/>
      </w:r>
      <w:r>
        <w:rPr>
          <w:rFonts w:ascii="IRNazanin" w:hAnsi="IRNazanin" w:eastAsia="IRNazanin"/>
          <w:color w:val="111111"/>
          <w:sz w:val="28"/>
          <w:sz w:val="28"/>
          <w:szCs w:val="28"/>
          <w:rtl w:val="true"/>
          <w:lang w:bidi="fa-IR"/>
        </w:rPr>
        <w:t>و از متأخران و معاصران، صاحب عروه،</w:t>
      </w:r>
      <w:r>
        <w:rPr>
          <w:rStyle w:val="FootnoteAnchor"/>
          <w:rtl w:val="true"/>
        </w:rPr>
        <w:footnoteReference w:id="558"/>
      </w:r>
      <w:r>
        <w:rPr>
          <w:rFonts w:ascii="IRNazanin" w:hAnsi="IRNazanin" w:eastAsia="IRNazanin"/>
          <w:color w:val="111111"/>
          <w:sz w:val="28"/>
          <w:sz w:val="28"/>
          <w:szCs w:val="28"/>
          <w:rtl w:val="true"/>
          <w:lang w:bidi="fa-IR"/>
        </w:rPr>
        <w:t>امام خمینی،</w:t>
      </w:r>
      <w:r>
        <w:rPr>
          <w:rStyle w:val="FootnoteAnchor"/>
          <w:rtl w:val="true"/>
        </w:rPr>
        <w:footnoteReference w:id="559"/>
      </w:r>
      <w:r>
        <w:rPr>
          <w:rFonts w:ascii="IRNazanin" w:hAnsi="IRNazanin" w:eastAsia="IRNazanin"/>
          <w:color w:val="111111"/>
          <w:sz w:val="28"/>
          <w:sz w:val="28"/>
          <w:szCs w:val="28"/>
          <w:rtl w:val="true"/>
          <w:lang w:bidi="fa-IR"/>
        </w:rPr>
        <w:t>سیّد ابوالحسن اصفهانی</w:t>
      </w:r>
      <w:r>
        <w:rPr>
          <w:rStyle w:val="FootnoteAnchor"/>
          <w:rtl w:val="true"/>
        </w:rPr>
        <w:footnoteReference w:id="5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بزرگانی هستند که با صراحت وقف اموال منقول را صحیح و جایز دانسته‌اند؛ البتّه وقف اطعمه و اَشرِبه، چون</w:t>
      </w:r>
    </w:p>
    <w:p>
      <w:pPr>
        <w:pStyle w:val="BookText"/>
        <w:rPr/>
      </w:pPr>
      <w:r>
        <w:rPr>
          <w:rFonts w:ascii="IRNazanin" w:hAnsi="IRNazanin" w:eastAsia="IRNazanin"/>
          <w:color w:val="111111"/>
          <w:sz w:val="28"/>
          <w:sz w:val="28"/>
          <w:szCs w:val="28"/>
          <w:rtl w:val="true"/>
          <w:lang w:bidi="fa-IR"/>
        </w:rPr>
        <w:t>با استفاده و انتفاع مستهلک می‌شوند، به اتّفاق اَعلام باطل است</w:t>
      </w:r>
      <w:r>
        <w:rPr>
          <w:rFonts w:eastAsia="IRNazanin" w:cs="IRNazanin"/>
          <w:color w:val="111111"/>
          <w:sz w:val="28"/>
          <w:szCs w:val="28"/>
          <w:rtl w:val="true"/>
          <w:lang w:bidi="fa-IR"/>
        </w:rPr>
        <w:t>.</w:t>
      </w:r>
    </w:p>
    <w:p>
      <w:pPr>
        <w:pStyle w:val="Heading6"/>
        <w:numPr>
          <w:ilvl w:val="5"/>
          <w:numId w:val="1"/>
        </w:numPr>
        <w:rPr/>
      </w:pPr>
      <w:bookmarkStart w:id="337" w:name="__RefHeading___Toc474131_1479056682"/>
      <w:bookmarkStart w:id="338" w:name="_Toc128"/>
      <w:bookmarkEnd w:id="337"/>
      <w:r>
        <w:rPr/>
        <w:t>3</w:t>
      </w:r>
      <w:r>
        <w:rPr>
          <w:rtl w:val="true"/>
        </w:rPr>
        <w:t xml:space="preserve">- </w:t>
      </w:r>
      <w:r>
        <w:rPr>
          <w:rtl w:val="true"/>
        </w:rPr>
        <w:t xml:space="preserve">وقف درهم و دینار و </w:t>
      </w:r>
      <w:r>
        <w:rPr>
          <w:rtl w:val="true"/>
        </w:rPr>
        <w:t>...</w:t>
      </w:r>
      <w:bookmarkEnd w:id="338"/>
    </w:p>
    <w:p>
      <w:pPr>
        <w:pStyle w:val="BookText"/>
        <w:rPr/>
      </w:pPr>
      <w:r>
        <w:rPr>
          <w:rFonts w:ascii="IRNazanin" w:hAnsi="IRNazanin" w:eastAsia="IRNazanin"/>
          <w:color w:val="111111"/>
          <w:sz w:val="28"/>
          <w:sz w:val="28"/>
          <w:szCs w:val="28"/>
          <w:rtl w:val="true"/>
          <w:lang w:bidi="fa-IR"/>
        </w:rPr>
        <w:t xml:space="preserve">متفرّع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قابل انتفاع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در وقف درهم و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لابد در زمان ما وقف اسکناس و سکّه‌های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و اشکال کرده‌اند، زیرا معتقدند این اموال با انتفاع مستهلک می‌شوند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علاّمه در قواعد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الدَراهِمِ وَالدَّنانیرِ اِشْکالٌ</w:t>
      </w:r>
      <w:r>
        <w:rPr>
          <w:rStyle w:val="FootnoteAnchor"/>
          <w:rtl w:val="true"/>
        </w:rPr>
        <w:footnoteReference w:id="561"/>
      </w:r>
      <w:r>
        <w:rPr>
          <w:rFonts w:ascii="IRNazanin" w:hAnsi="IRNazanin" w:eastAsia="IRNazanin"/>
          <w:color w:val="111111"/>
          <w:sz w:val="28"/>
          <w:sz w:val="28"/>
          <w:szCs w:val="28"/>
          <w:rtl w:val="true"/>
          <w:lang w:bidi="fa-IR"/>
        </w:rPr>
        <w:t xml:space="preserve">و فَخرالمحقّقین در توجیه </w:t>
      </w:r>
      <w:bookmarkStart w:id="339" w:name="pg4267_21871"/>
    </w:p>
    <w:p>
      <w:pPr>
        <w:pStyle w:val="BookText"/>
        <w:rPr/>
      </w:pPr>
      <w:bookmarkEnd w:id="339"/>
      <w:r>
        <w:rPr>
          <w:rFonts w:ascii="IRNazanin" w:hAnsi="IRNazanin" w:eastAsia="IRNazanin"/>
          <w:color w:val="111111"/>
          <w:sz w:val="28"/>
          <w:sz w:val="28"/>
          <w:szCs w:val="28"/>
          <w:rtl w:val="true"/>
          <w:lang w:bidi="fa-IR"/>
        </w:rPr>
        <w:t>آن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منشأ این اشکال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از درهم و دینار استفاده معتبر و قابل توجّهی برد و در عین حال، عین آن هم باقی باشد یا خیر؟</w:t>
      </w:r>
      <w:r>
        <w:rPr>
          <w:rStyle w:val="FootnoteAnchor"/>
          <w:rtl w:val="true"/>
        </w:rPr>
        <w:footnoteReference w:id="562"/>
      </w:r>
      <w:r>
        <w:rPr>
          <w:rFonts w:ascii="IRNazanin" w:hAnsi="IRNazanin" w:eastAsia="IRNazanin"/>
          <w:color w:val="111111"/>
          <w:sz w:val="28"/>
          <w:sz w:val="28"/>
          <w:szCs w:val="28"/>
          <w:rtl w:val="true"/>
          <w:lang w:bidi="fa-IR"/>
        </w:rPr>
        <w:t>و محقّق ثانی ذیل همین عبارت علاّمه، منشأ اشکال را همین ذکر کرده است که؛ از طرفی منفعت مطلوب از این اموال به انفاق و مصرف کردن آنهاست، که اتلاف است و از سوی دیگر استفاده از اینها به عنوان زیور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اظهار نظر می‌کند که اگر دارای منافع مقصوده‌ای،</w:t>
      </w:r>
    </w:p>
    <w:p>
      <w:pPr>
        <w:pStyle w:val="BookText"/>
        <w:rPr/>
      </w:pPr>
      <w:r>
        <w:rPr>
          <w:rFonts w:ascii="IRNazanin" w:hAnsi="IRNazanin" w:eastAsia="IRNazanin"/>
          <w:color w:val="111111"/>
          <w:sz w:val="28"/>
          <w:sz w:val="28"/>
          <w:szCs w:val="28"/>
          <w:rtl w:val="true"/>
          <w:lang w:bidi="fa-IR"/>
        </w:rPr>
        <w:t>جز انفاق آنها، باشند، وقفشان صحیح است</w:t>
      </w:r>
      <w:r>
        <w:rPr>
          <w:rFonts w:eastAsia="IRNazanin" w:cs="IRNazanin"/>
          <w:color w:val="111111"/>
          <w:sz w:val="28"/>
          <w:szCs w:val="28"/>
          <w:rtl w:val="true"/>
          <w:lang w:bidi="fa-IR"/>
        </w:rPr>
        <w:t>.</w:t>
      </w:r>
      <w:r>
        <w:rPr>
          <w:rStyle w:val="FootnoteAnchor"/>
          <w:rtl w:val="true"/>
        </w:rPr>
        <w:footnoteReference w:id="563"/>
      </w:r>
      <w:r>
        <w:rPr>
          <w:rFonts w:ascii="IRNazanin" w:hAnsi="IRNazanin" w:eastAsia="IRNazanin"/>
          <w:color w:val="111111"/>
          <w:sz w:val="28"/>
          <w:sz w:val="28"/>
          <w:szCs w:val="28"/>
          <w:rtl w:val="true"/>
          <w:lang w:bidi="fa-IR"/>
        </w:rPr>
        <w:t>نظیر همین بیان را ابن ادریس و شهید ثانی در مسالک مطرح کرده‌اند</w:t>
      </w:r>
      <w:r>
        <w:rPr>
          <w:rFonts w:eastAsia="IRNazanin" w:cs="IRNazanin"/>
          <w:color w:val="111111"/>
          <w:sz w:val="28"/>
          <w:szCs w:val="28"/>
          <w:rtl w:val="true"/>
          <w:lang w:bidi="fa-IR"/>
        </w:rPr>
        <w:t>.</w:t>
      </w:r>
      <w:r>
        <w:rPr>
          <w:rStyle w:val="FootnoteAnchor"/>
          <w:rtl w:val="true"/>
        </w:rPr>
        <w:footnoteReference w:id="564"/>
      </w:r>
      <w:r>
        <w:rPr>
          <w:rFonts w:ascii="IRNazanin" w:hAnsi="IRNazanin" w:eastAsia="IRNazanin"/>
          <w:color w:val="111111"/>
          <w:sz w:val="28"/>
          <w:sz w:val="28"/>
          <w:szCs w:val="28"/>
          <w:rtl w:val="true"/>
          <w:lang w:bidi="fa-IR"/>
        </w:rPr>
        <w:t>صاحب عروه نیز وقف دراهم و دنانیر را برای تزیین و مانند آن جایز می‌داند</w:t>
      </w:r>
      <w:r>
        <w:rPr>
          <w:rFonts w:eastAsia="IRNazanin" w:cs="IRNazanin"/>
          <w:color w:val="111111"/>
          <w:sz w:val="28"/>
          <w:szCs w:val="28"/>
          <w:rtl w:val="true"/>
          <w:lang w:bidi="fa-IR"/>
        </w:rPr>
        <w:t>.</w:t>
      </w:r>
      <w:r>
        <w:rPr>
          <w:rStyle w:val="FootnoteAnchor"/>
          <w:rtl w:val="true"/>
        </w:rPr>
        <w:footnoteReference w:id="565"/>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وجود اعتباریِ اسکناس و سکّه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در زمان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بگیریم و این که ارزش حقیقی در واقع از آن پشتوانه‌های این اوراق و سکّه هاست به</w:t>
      </w:r>
    </w:p>
    <w:p>
      <w:pPr>
        <w:pStyle w:val="BookText"/>
        <w:rPr/>
      </w:pPr>
      <w:r>
        <w:rPr>
          <w:rFonts w:ascii="IRNazanin" w:hAnsi="IRNazanin" w:eastAsia="IRNazanin"/>
          <w:color w:val="111111"/>
          <w:sz w:val="28"/>
          <w:sz w:val="28"/>
          <w:szCs w:val="28"/>
          <w:rtl w:val="true"/>
          <w:lang w:bidi="fa-IR"/>
        </w:rPr>
        <w:t xml:space="preserve">طوری که اگر کسی پولی را که از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عنوان امانت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است تعویض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کمترین واکنشی نشان نمی‌دهد و آن را غیر از پول خویش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 این مسأله را مطرح ساخت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کسی مثلاً یک میلیون تومان را وقف بر قرض الحسنه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مرکزی مثل بانک قراردهند و از آن جا به عنوان قرض الحسنه در اختیار افراد قرار گیرد و قرض گیرندگان هم بعد از رفع نیاز</w:t>
      </w:r>
    </w:p>
    <w:p>
      <w:pPr>
        <w:pStyle w:val="BookText"/>
        <w:rPr/>
      </w:pPr>
      <w:r>
        <w:rPr>
          <w:rFonts w:ascii="IRNazanin" w:hAnsi="IRNazanin" w:eastAsia="IRNazanin"/>
          <w:color w:val="111111"/>
          <w:sz w:val="28"/>
          <w:sz w:val="28"/>
          <w:szCs w:val="28"/>
          <w:rtl w:val="true"/>
          <w:lang w:bidi="fa-IR"/>
        </w:rPr>
        <w:t>یا در موعد مقرّر، آن را برگردانند؟</w:t>
      </w:r>
    </w:p>
    <w:p>
      <w:pPr>
        <w:pStyle w:val="Heading6"/>
        <w:numPr>
          <w:ilvl w:val="5"/>
          <w:numId w:val="1"/>
        </w:numPr>
        <w:rPr/>
      </w:pPr>
      <w:bookmarkStart w:id="340" w:name="__RefHeading___Toc474133_1479056682"/>
      <w:bookmarkStart w:id="341" w:name="_Toc129"/>
      <w:bookmarkEnd w:id="340"/>
      <w:r>
        <w:rPr/>
        <w:t>4</w:t>
      </w:r>
      <w:r>
        <w:rPr>
          <w:rtl w:val="true"/>
        </w:rPr>
        <w:t xml:space="preserve">- </w:t>
      </w:r>
      <w:r>
        <w:rPr>
          <w:rtl w:val="true"/>
        </w:rPr>
        <w:t>مال موقوف باید دارای منفعت مقصوده باشد</w:t>
      </w:r>
      <w:bookmarkEnd w:id="341"/>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قواعد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هر چیزی که بتواند با بقا و استمرار دارای منفعت محلّله باشد، جایز است</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محقّق ثانی در ذیل این عبارت علاّمه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علاّمه از این شرط؛ هر چیزی است که دارای منفعت مقصوده و قابل توجّه عرفی است؛ از این رو به نفع اندک که عادتا قابل توجّه نیست، اعتنا نمی‌شود</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 شهید اوّل در همین باره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دارای منفعت نباشد و یا دارای منافع حرام باشد، وقف آن باطل </w:t>
      </w:r>
      <w:bookmarkStart w:id="342" w:name="pg4267_21872"/>
    </w:p>
    <w:p>
      <w:pPr>
        <w:pStyle w:val="BookText"/>
        <w:rPr/>
      </w:pPr>
      <w:bookmarkEnd w:id="34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از فقهای معاصر، امام خمینی نیز به همین مضمون تصریح کرده است</w:t>
      </w:r>
      <w:r>
        <w:rPr>
          <w:rFonts w:eastAsia="IRNazanin" w:cs="IRNazanin"/>
          <w:color w:val="111111"/>
          <w:sz w:val="28"/>
          <w:szCs w:val="28"/>
          <w:rtl w:val="true"/>
          <w:lang w:bidi="fa-IR"/>
        </w:rPr>
        <w:t>.</w:t>
      </w:r>
      <w:r>
        <w:rPr>
          <w:rStyle w:val="FootnoteAnchor"/>
          <w:rtl w:val="true"/>
        </w:rPr>
        <w:footnoteReference w:id="569"/>
      </w:r>
    </w:p>
    <w:p>
      <w:pPr>
        <w:pStyle w:val="Heading6"/>
        <w:numPr>
          <w:ilvl w:val="5"/>
          <w:numId w:val="1"/>
        </w:numPr>
        <w:rPr/>
      </w:pPr>
      <w:bookmarkStart w:id="343" w:name="__RefHeading___Toc474135_1479056682"/>
      <w:bookmarkStart w:id="344" w:name="_Toc130"/>
      <w:bookmarkEnd w:id="343"/>
      <w:r>
        <w:rPr/>
        <w:t>5</w:t>
      </w:r>
      <w:r>
        <w:rPr>
          <w:rtl w:val="true"/>
        </w:rPr>
        <w:t xml:space="preserve">- </w:t>
      </w:r>
      <w:r>
        <w:rPr>
          <w:rtl w:val="true"/>
        </w:rPr>
        <w:t>حکم نماآتِ اموالِ موقوفه</w:t>
      </w:r>
      <w:bookmarkEnd w:id="344"/>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قواعد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 عَلَیْه مالک منافع متجدّد مال موقوف از قبیل، پشم، شیر، نتایج، اجرت چارپا،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ذیل این عبارت این چنین استدلال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عبارت است از تحبیس اصل و تسبیل منفعت، و مقتضای آن این است که فواید و منافع آن از آنِ موقوفٌ عَلَیْه باشد که به هر شکل می‌خواهد در آن تصرّف مالکانه کند و اگر مال موقوف، درخت</w:t>
      </w:r>
    </w:p>
    <w:p>
      <w:pPr>
        <w:pStyle w:val="BookText"/>
        <w:rPr/>
      </w:pPr>
      <w:r>
        <w:rPr>
          <w:rFonts w:ascii="IRNazanin" w:hAnsi="IRNazanin" w:eastAsia="IRNazanin"/>
          <w:color w:val="111111"/>
          <w:sz w:val="28"/>
          <w:sz w:val="28"/>
          <w:szCs w:val="28"/>
          <w:rtl w:val="true"/>
          <w:lang w:bidi="fa-IR"/>
        </w:rPr>
        <w:t>باشد، میوه‌هایش نیز ملک موقوفٌ عَلَیْه خواهد بود، امّا شاخه‌هایی که مانند میوه، ثمره</w:t>
      </w:r>
    </w:p>
    <w:p>
      <w:pPr>
        <w:pStyle w:val="BookText"/>
        <w:rPr/>
      </w:pPr>
      <w:r>
        <w:rPr>
          <w:rFonts w:ascii="IRNazanin" w:hAnsi="IRNazanin" w:eastAsia="IRNazanin"/>
          <w:color w:val="111111"/>
          <w:sz w:val="28"/>
          <w:sz w:val="28"/>
          <w:szCs w:val="28"/>
          <w:rtl w:val="true"/>
          <w:lang w:bidi="fa-IR"/>
        </w:rPr>
        <w:t>محسوب نمی‌شوند، حکم اصل درخت را دارند</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علاّمه در ادامه، پشم و شیر موجود در هنگام وقف را نیز ملک موقوفٌ عَلَیْه دانسته است؛ زیرا این اجناس جزء موقوف هستند و عقد وقف شامل آنها نیز می‌شود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علاّمه در مختلف همین دیدگاه را به ابن جُنَید نسبت داده و از شیخ در مبسوط نیز حکایت کرده است</w:t>
      </w:r>
      <w:r>
        <w:rPr>
          <w:rFonts w:eastAsia="IRNazanin" w:cs="IRNazanin"/>
          <w:color w:val="111111"/>
          <w:sz w:val="28"/>
          <w:szCs w:val="28"/>
          <w:rtl w:val="true"/>
          <w:lang w:bidi="fa-IR"/>
        </w:rPr>
        <w:t>.</w:t>
      </w:r>
      <w:r>
        <w:rPr>
          <w:rStyle w:val="FootnoteAnchor"/>
          <w:rtl w:val="true"/>
        </w:rPr>
        <w:footnoteReference w:id="572"/>
      </w:r>
      <w:r>
        <w:rPr>
          <w:rFonts w:ascii="IRNazanin" w:hAnsi="IRNazanin" w:eastAsia="IRNazanin"/>
          <w:color w:val="111111"/>
          <w:sz w:val="28"/>
          <w:sz w:val="28"/>
          <w:szCs w:val="28"/>
          <w:rtl w:val="true"/>
          <w:lang w:bidi="fa-IR"/>
        </w:rPr>
        <w:t>همچنین است محقّق در شرایع، صاحب جواهر در ذیل بیان محقّق ادّعای عدم خلاف کرده و آن را از عدّه‌ای از اَعلام نیز روایت نموده است</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IRNazanin" w:hAnsi="IRNazanin" w:eastAsia="IRNazanin"/>
          <w:color w:val="111111"/>
          <w:sz w:val="28"/>
          <w:sz w:val="28"/>
          <w:szCs w:val="28"/>
          <w:rtl w:val="true"/>
          <w:lang w:bidi="fa-IR"/>
        </w:rPr>
        <w:t>شایان ذکر است که حکمت وقف، استفاده موقوفٌ عَلَیْه از منافعِ مالِ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 طور که محقّق ثانی بیان داشت، فواید و نتایج آن مال، بدون اشکال از آن موقوفٌ عَلَیْه خواهد بود</w:t>
      </w:r>
      <w:r>
        <w:rPr>
          <w:rFonts w:eastAsia="IRNazanin" w:cs="IRNazanin"/>
          <w:color w:val="111111"/>
          <w:sz w:val="28"/>
          <w:szCs w:val="28"/>
          <w:rtl w:val="true"/>
          <w:lang w:bidi="fa-IR"/>
        </w:rPr>
        <w:t>.</w:t>
      </w:r>
    </w:p>
    <w:p>
      <w:pPr>
        <w:pStyle w:val="Heading6"/>
        <w:numPr>
          <w:ilvl w:val="5"/>
          <w:numId w:val="1"/>
        </w:numPr>
        <w:rPr/>
      </w:pPr>
      <w:bookmarkStart w:id="345" w:name="__RefHeading___Toc474137_1479056682"/>
      <w:bookmarkStart w:id="346" w:name="_Toc131"/>
      <w:bookmarkEnd w:id="345"/>
      <w:r>
        <w:rPr/>
        <w:t>6</w:t>
      </w:r>
      <w:r>
        <w:rPr>
          <w:rtl w:val="true"/>
        </w:rPr>
        <w:t xml:space="preserve">- </w:t>
      </w:r>
      <w:r>
        <w:rPr>
          <w:rtl w:val="true"/>
        </w:rPr>
        <w:t>وقف منافع و حقوق</w:t>
      </w:r>
      <w:bookmarkEnd w:id="34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وقف منافع علاّمه در قواعد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مستأجر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574"/>
      </w:r>
      <w:bookmarkStart w:id="347" w:name="pg4267_21873"/>
    </w:p>
    <w:p>
      <w:pPr>
        <w:pStyle w:val="BookText"/>
        <w:rPr/>
      </w:pPr>
      <w:bookmarkEnd w:id="347"/>
      <w:r>
        <w:rPr>
          <w:rFonts w:ascii="IRNazanin" w:hAnsi="IRNazanin" w:eastAsia="IRNazanin"/>
          <w:color w:val="111111"/>
          <w:sz w:val="28"/>
          <w:sz w:val="28"/>
          <w:szCs w:val="28"/>
          <w:rtl w:val="true"/>
          <w:lang w:bidi="fa-IR"/>
        </w:rPr>
        <w:t>محقّق ثانی در ذیل این عبارت توضیح داده است که احتمال می‌رود منظور مصنّف، این باشد که وقف عین مستأجره از ناحیه مالک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احتمال می‌رود که وقف از ناحیه مستأجر صحیح نباشد؛ زیرا مستأجِر، مالک عین نیست، لذا مالکِ نقل و حَبس آن نیز نخواهد بود، چون در منافع، معنای وقف متصوّر نیست</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مفتاح الکرامة از غنیه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عدم صحّت وقفِ منفعت هیچ خلافی نیست، هر چند کسانی</w:t>
      </w:r>
    </w:p>
    <w:p>
      <w:pPr>
        <w:pStyle w:val="BookText"/>
        <w:rPr/>
      </w:pPr>
      <w:r>
        <w:rPr>
          <w:rFonts w:ascii="IRNazanin" w:hAnsi="IRNazanin" w:eastAsia="IRNazanin"/>
          <w:color w:val="111111"/>
          <w:sz w:val="28"/>
          <w:sz w:val="28"/>
          <w:szCs w:val="28"/>
          <w:rtl w:val="true"/>
          <w:lang w:bidi="fa-IR"/>
        </w:rPr>
        <w:t>که متعرّض وقف منفعت شده‌اند،</w:t>
      </w:r>
      <w:r>
        <w:rPr>
          <w:rStyle w:val="FootnoteAnchor"/>
          <w:rtl w:val="true"/>
        </w:rPr>
        <w:footnoteReference w:id="576"/>
      </w:r>
      <w:r>
        <w:rPr>
          <w:rFonts w:ascii="IRNazanin" w:hAnsi="IRNazanin" w:eastAsia="IRNazanin"/>
          <w:color w:val="111111"/>
          <w:sz w:val="28"/>
          <w:sz w:val="28"/>
          <w:szCs w:val="28"/>
          <w:rtl w:val="true"/>
          <w:lang w:bidi="fa-IR"/>
        </w:rPr>
        <w:t>اندکند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از مضمون و مفهوم عبارات همه کسانی که در مال موقوف، عین بودن را شرط می‌دانند، می‌توان استفاده کرد که وقفِ منافع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حدیث نبوی صلی‌الله‌علیه‌و‌آله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حَبِّس اْلاَصْلَ وَ سَبِّلِ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واضح است که در منافع اصلی تصوّر نمی‌شود تا محبوس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بر این مسأله ادّعای ضرورت مذهب، بلکه دین را کرده است،</w:t>
      </w:r>
    </w:p>
    <w:p>
      <w:pPr>
        <w:pStyle w:val="BookText"/>
        <w:rPr/>
      </w:pPr>
      <w:r>
        <w:rPr>
          <w:rFonts w:ascii="IRNazanin" w:hAnsi="IRNazanin" w:eastAsia="IRNazanin"/>
          <w:color w:val="111111"/>
          <w:sz w:val="28"/>
          <w:sz w:val="28"/>
          <w:szCs w:val="28"/>
          <w:rtl w:val="true"/>
          <w:lang w:bidi="fa-IR"/>
        </w:rPr>
        <w:t>هر چند ابوالصّلاح حلبی در کافی همان تسبیل منفعت را در وقف کافی می‌داند</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IRNazanin" w:hAnsi="IRNazanin" w:eastAsia="IRNazanin"/>
          <w:color w:val="111111"/>
          <w:sz w:val="28"/>
          <w:sz w:val="28"/>
          <w:szCs w:val="28"/>
          <w:rtl w:val="true"/>
          <w:lang w:bidi="fa-IR"/>
        </w:rPr>
        <w:t>نکته دیگری که توجّه به آن در این جا مفید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بِنا، درخت و مانند اینها که در زمینهای استیجاری و یا اراضی خِراجِیَه قرار دارند، امّا ملک افراد</w:t>
      </w:r>
    </w:p>
    <w:p>
      <w:pPr>
        <w:pStyle w:val="BookText"/>
        <w:rPr/>
      </w:pPr>
      <w:r>
        <w:rPr>
          <w:rFonts w:ascii="IRNazanin" w:hAnsi="IRNazanin" w:eastAsia="IRNazanin"/>
          <w:color w:val="111111"/>
          <w:sz w:val="28"/>
          <w:sz w:val="28"/>
          <w:szCs w:val="28"/>
          <w:rtl w:val="true"/>
          <w:lang w:bidi="fa-IR"/>
        </w:rPr>
        <w:t>هستند، باید بلامانع باشد؛ زیرا هر چند زمین ملک واقف نیست، امّا اموال یاد شده شرایط مال موقوف را دارند؛ یعنی عینِ قابل انتفاعی هستند که انتفاع از آنها موجب اتلاف و استهلاکشان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در مورد وقفِ چنین اموالی احتمال</w:t>
      </w:r>
    </w:p>
    <w:p>
      <w:pPr>
        <w:pStyle w:val="BookText"/>
        <w:rPr/>
      </w:pPr>
      <w:r>
        <w:rPr>
          <w:rFonts w:ascii="IRNazanin" w:hAnsi="IRNazanin" w:eastAsia="IRNazanin"/>
          <w:color w:val="111111"/>
          <w:sz w:val="28"/>
          <w:sz w:val="28"/>
          <w:szCs w:val="28"/>
          <w:rtl w:val="true"/>
          <w:lang w:bidi="fa-IR"/>
        </w:rPr>
        <w:t>صحّت داده است و دلیل را همان وجود همه شرایط صحّت ذکر کرده است</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 xml:space="preserve">با روشن شدن این مسأله حکم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حقوق از این حیث از منافع هم ضعیفتر می‌باشند</w:t>
      </w:r>
      <w:r>
        <w:rPr>
          <w:rFonts w:eastAsia="IRNazanin" w:cs="IRNazanin"/>
          <w:color w:val="111111"/>
          <w:sz w:val="28"/>
          <w:szCs w:val="28"/>
          <w:rtl w:val="true"/>
          <w:lang w:bidi="fa-IR"/>
        </w:rPr>
        <w:t>.</w:t>
      </w:r>
    </w:p>
    <w:p>
      <w:pPr>
        <w:pStyle w:val="Heading6"/>
        <w:numPr>
          <w:ilvl w:val="5"/>
          <w:numId w:val="1"/>
        </w:numPr>
        <w:rPr/>
      </w:pPr>
      <w:bookmarkStart w:id="348" w:name="__RefHeading___Toc474139_1479056682"/>
      <w:bookmarkStart w:id="349" w:name="_Toc132"/>
      <w:bookmarkEnd w:id="348"/>
      <w:r>
        <w:rPr/>
        <w:t>7</w:t>
      </w:r>
      <w:r>
        <w:rPr>
          <w:rtl w:val="true"/>
        </w:rPr>
        <w:t xml:space="preserve">- </w:t>
      </w:r>
      <w:r>
        <w:rPr>
          <w:rtl w:val="true"/>
        </w:rPr>
        <w:t>وقف مُشاع</w:t>
      </w:r>
      <w:bookmarkEnd w:id="34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علاّمه در تذکره صحّت وقفِ مشاع را به همه علمای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یَصِیحُّ وَقْفُ الْمُشاعِ عِنْدَ عُلَمائنا اَجْمَع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در خلاف، مبسوط و نهایه و شیخ مفید در </w:t>
      </w:r>
    </w:p>
    <w:p>
      <w:pPr>
        <w:pStyle w:val="BookText"/>
        <w:rPr/>
      </w:pPr>
      <w:r>
        <w:rPr>
          <w:rFonts w:ascii="IRNazanin" w:hAnsi="IRNazanin" w:eastAsia="IRNazanin"/>
          <w:color w:val="111111"/>
          <w:sz w:val="28"/>
          <w:sz w:val="28"/>
          <w:szCs w:val="28"/>
          <w:rtl w:val="true"/>
          <w:lang w:bidi="fa-IR"/>
        </w:rPr>
        <w:t>مقنعه نیز به جواز وقف مشاع تصریح کرده‌اند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و مسالک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وقف مُشاع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عموم فقهای امامیّه بر این مسأله اتّفاق نظر دارند و صاحب</w:t>
      </w:r>
    </w:p>
    <w:p>
      <w:pPr>
        <w:pStyle w:val="BookText"/>
        <w:rPr/>
      </w:pPr>
      <w:r>
        <w:rPr>
          <w:rFonts w:ascii="IRNazanin" w:hAnsi="IRNazanin" w:eastAsia="IRNazanin"/>
          <w:color w:val="111111"/>
          <w:sz w:val="28"/>
          <w:sz w:val="28"/>
          <w:szCs w:val="28"/>
          <w:rtl w:val="true"/>
          <w:lang w:bidi="fa-IR"/>
        </w:rPr>
        <w:t xml:space="preserve">جواهر، ادّعای تحقّق هر دو قسم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و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مسأله کرده است</w:t>
      </w:r>
      <w:r>
        <w:rPr>
          <w:rFonts w:eastAsia="IRNazanin" w:cs="IRNazanin"/>
          <w:color w:val="111111"/>
          <w:sz w:val="28"/>
          <w:szCs w:val="28"/>
          <w:rtl w:val="true"/>
          <w:lang w:bidi="fa-IR"/>
        </w:rPr>
        <w:t>.</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 xml:space="preserve">شیخ در خلاف نیز دلیل مسأله را ابتدا اجماع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و در ادامه</w:t>
      </w:r>
    </w:p>
    <w:p>
      <w:pPr>
        <w:pStyle w:val="BookText"/>
        <w:rPr/>
      </w:pPr>
      <w:r>
        <w:rPr>
          <w:rFonts w:ascii="IRNazanin" w:hAnsi="IRNazanin" w:eastAsia="IRNazanin"/>
          <w:color w:val="111111"/>
          <w:sz w:val="28"/>
          <w:sz w:val="28"/>
          <w:szCs w:val="28"/>
          <w:rtl w:val="true"/>
          <w:lang w:bidi="fa-IR"/>
        </w:rPr>
        <w:t>استدلال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مشاع همچنان که در بیع، صحیح و ممکن بود در این جا هم صحیح است؛ زیرا قبض در واقع همان، متمکّن ساختن تحویل گیرنده از تصّرف در مقبوض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این که پیامبر صلی‌الله‌علیه‌و‌آلهاراضی خَیْبَر را بین مسلمین تقسیم نکرد و آن اراضی به طور مشاع بین مسلمین مشترک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حال افرادی چون عمر سهام خویش را وقف کردند</w:t>
      </w:r>
      <w:r>
        <w:rPr>
          <w:rFonts w:eastAsia="IRNazanin" w:cs="IRNazanin"/>
          <w:color w:val="111111"/>
          <w:sz w:val="28"/>
          <w:szCs w:val="28"/>
          <w:rtl w:val="true"/>
          <w:lang w:bidi="fa-IR"/>
        </w:rPr>
        <w:t>).</w:t>
      </w:r>
      <w:r>
        <w:rPr>
          <w:rStyle w:val="FootnoteAnchor"/>
          <w:rtl w:val="true"/>
        </w:rPr>
        <w:footnoteReference w:id="581"/>
      </w:r>
      <w:r>
        <w:rPr>
          <w:rFonts w:ascii="Amiri" w:hAnsi="Amiri" w:eastAsia="Amiri" w:cs="Amiri"/>
          <w:color w:val="111111"/>
          <w:sz w:val="28"/>
          <w:sz w:val="28"/>
          <w:szCs w:val="28"/>
          <w:rtl w:val="true"/>
          <w:lang w:bidi="ar-SA"/>
        </w:rPr>
        <w:t>محقّق ثانی،</w:t>
      </w:r>
      <w:r>
        <w:rPr>
          <w:rStyle w:val="FootnoteAnchor"/>
          <w:rtl w:val="true"/>
        </w:rPr>
        <w:footnoteReference w:id="582"/>
      </w:r>
      <w:r>
        <w:rPr>
          <w:rFonts w:ascii="IRNazanin" w:hAnsi="IRNazanin" w:eastAsia="IRNazanin"/>
          <w:color w:val="111111"/>
          <w:sz w:val="28"/>
          <w:sz w:val="28"/>
          <w:szCs w:val="28"/>
          <w:rtl w:val="true"/>
          <w:lang w:bidi="fa-IR"/>
        </w:rPr>
        <w:t>شهیدثانی</w:t>
      </w:r>
      <w:r>
        <w:rPr>
          <w:rStyle w:val="FootnoteAnchor"/>
          <w:rtl w:val="true"/>
        </w:rPr>
        <w:footnoteReference w:id="583"/>
      </w:r>
      <w:r>
        <w:rPr>
          <w:rFonts w:ascii="IRNazanin" w:hAnsi="IRNazanin" w:eastAsia="IRNazanin"/>
          <w:color w:val="111111"/>
          <w:sz w:val="28"/>
          <w:sz w:val="28"/>
          <w:szCs w:val="28"/>
          <w:rtl w:val="true"/>
          <w:lang w:bidi="fa-IR"/>
        </w:rPr>
        <w:t>، ابن ادریس حلّی،</w:t>
      </w:r>
      <w:r>
        <w:rPr>
          <w:rStyle w:val="FootnoteAnchor"/>
          <w:rtl w:val="true"/>
        </w:rPr>
        <w:footnoteReference w:id="58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مشابه</w:t>
      </w:r>
    </w:p>
    <w:p>
      <w:pPr>
        <w:pStyle w:val="BookText"/>
        <w:rPr/>
      </w:pPr>
      <w:r>
        <w:rPr>
          <w:rFonts w:ascii="IRNazanin" w:hAnsi="IRNazanin" w:eastAsia="IRNazanin"/>
          <w:color w:val="111111"/>
          <w:sz w:val="28"/>
          <w:sz w:val="28"/>
          <w:szCs w:val="28"/>
          <w:rtl w:val="true"/>
          <w:lang w:bidi="fa-IR"/>
        </w:rPr>
        <w:t>همین بیانات را با همین استدلالهامطرح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وقف ملک مشاع، به‌دلیل دارابودن همه شرایط مال موقوف و نیز اجماع یاد شده و امکان قبض، خالی از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البتّه روشن است و شهید اوّل نیز به آن تصریح کرده، این است که در وقف مشاع، قبض باید با اذن شریک نیز باشد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البتّه اصل وقف کردن، همان طور که شهید ثانی در روضه تصریح کرده است، بر اذن شریک توقّف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تخلیه و قبض آن مستلزم تصرّف در ملک غیر نیست</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جالب است که مختار شهید ثانی در مسالک این است که وقف مشاع اگر منقول باشد؛ اذن شریک لازم است، امّا در غیر منقول چنین شرطی نیست</w:t>
      </w:r>
      <w:r>
        <w:rPr>
          <w:rFonts w:eastAsia="IRNazanin" w:cs="IRNazanin"/>
          <w:color w:val="111111"/>
          <w:sz w:val="28"/>
          <w:szCs w:val="28"/>
          <w:rtl w:val="true"/>
          <w:lang w:bidi="fa-IR"/>
        </w:rPr>
        <w:t>.</w:t>
      </w:r>
      <w:r>
        <w:rPr>
          <w:rStyle w:val="FootnoteAnchor"/>
          <w:rtl w:val="true"/>
        </w:rPr>
        <w:footnoteReference w:id="587"/>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مطلب دیگر این که، شیخ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سهم خود را از ملک مشاع وقف کند برای شریک او حقّ شُفْعه ثابت نمی‌شود، زیرا وقف بیع نیست و حقّ </w:t>
      </w:r>
      <w:bookmarkStart w:id="350" w:name="pg4267_21875"/>
    </w:p>
    <w:p>
      <w:pPr>
        <w:pStyle w:val="BookText"/>
        <w:rPr/>
      </w:pPr>
      <w:bookmarkEnd w:id="350"/>
      <w:r>
        <w:rPr>
          <w:rFonts w:ascii="IRNazanin" w:hAnsi="IRNazanin" w:eastAsia="IRNazanin"/>
          <w:color w:val="111111"/>
          <w:sz w:val="28"/>
          <w:sz w:val="28"/>
          <w:szCs w:val="28"/>
          <w:rtl w:val="true"/>
          <w:lang w:bidi="fa-IR"/>
        </w:rPr>
        <w:t>شُفعه تنها در بیع ثابت است</w:t>
      </w:r>
      <w:r>
        <w:rPr>
          <w:rFonts w:eastAsia="IRNazanin" w:cs="IRNazanin"/>
          <w:color w:val="111111"/>
          <w:sz w:val="28"/>
          <w:szCs w:val="28"/>
          <w:rtl w:val="true"/>
          <w:lang w:bidi="fa-IR"/>
        </w:rPr>
        <w:t>.</w:t>
      </w:r>
      <w:r>
        <w:rPr>
          <w:rStyle w:val="FootnoteAnchor"/>
          <w:rtl w:val="true"/>
        </w:rPr>
        <w:footnoteReference w:id="588"/>
      </w:r>
    </w:p>
    <w:p>
      <w:pPr>
        <w:pStyle w:val="BookText"/>
        <w:rPr/>
      </w:pPr>
      <w:r>
        <w:rPr>
          <w:rFonts w:ascii="IRNazanin" w:hAnsi="IRNazanin" w:eastAsia="IRNazanin"/>
          <w:color w:val="111111"/>
          <w:sz w:val="28"/>
          <w:sz w:val="28"/>
          <w:szCs w:val="28"/>
          <w:rtl w:val="true"/>
          <w:lang w:bidi="fa-IR"/>
        </w:rPr>
        <w:t>تقسیم وقف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تقسیم و جداساختن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یا خیر؟</w:t>
      </w:r>
    </w:p>
    <w:p>
      <w:pPr>
        <w:pStyle w:val="BookText"/>
        <w:rPr/>
      </w:pPr>
      <w:r>
        <w:rPr>
          <w:rFonts w:ascii="IRNazanin" w:hAnsi="IRNazanin" w:eastAsia="IRNazanin"/>
          <w:color w:val="111111"/>
          <w:sz w:val="28"/>
          <w:sz w:val="28"/>
          <w:szCs w:val="28"/>
          <w:rtl w:val="true"/>
          <w:lang w:bidi="fa-IR"/>
        </w:rPr>
        <w:t>شیخ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قسمت را بیع بدانیم، تقسیم جایز نیست؛ برای این که بیعِ وقف صحیح نمی‌باشد؛ امّا اگر قسمت را تمیز و جدا سازی یکی از دو حقّ از دیگری بدانیم، قسمت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هیچ یک از طرفین مُلزَم به پرداختن ما به التفاوت نباشند و اگر مُلزم هستند از ناحیه وقف باشد، امّا اگر پرداخت از ناحیه ملک</w:t>
      </w:r>
    </w:p>
    <w:p>
      <w:pPr>
        <w:pStyle w:val="BookText"/>
        <w:rPr/>
      </w:pPr>
      <w:r>
        <w:rPr>
          <w:rFonts w:ascii="IRNazanin" w:hAnsi="IRNazanin" w:eastAsia="IRNazanin"/>
          <w:color w:val="111111"/>
          <w:sz w:val="28"/>
          <w:sz w:val="28"/>
          <w:szCs w:val="28"/>
          <w:rtl w:val="true"/>
          <w:lang w:bidi="fa-IR"/>
        </w:rPr>
        <w:t>طلق باشد، جایز نیست؛ زیرا این در حقیقت فروش جزئی از وقف است که جایز نیست</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علاّمه در قواعد، محقّق ثانی</w:t>
      </w:r>
      <w:r>
        <w:rPr>
          <w:rStyle w:val="FootnoteAnchor"/>
          <w:rtl w:val="true"/>
        </w:rPr>
        <w:footnoteReference w:id="590"/>
      </w:r>
      <w:r>
        <w:rPr>
          <w:rFonts w:ascii="IRNazanin" w:hAnsi="IRNazanin" w:eastAsia="IRNazanin"/>
          <w:color w:val="111111"/>
          <w:sz w:val="28"/>
          <w:sz w:val="28"/>
          <w:szCs w:val="28"/>
          <w:rtl w:val="true"/>
          <w:lang w:bidi="fa-IR"/>
        </w:rPr>
        <w:t>، صاحب مفتاح</w:t>
      </w:r>
      <w:r>
        <w:rPr>
          <w:rStyle w:val="FootnoteAnchor"/>
          <w:rtl w:val="true"/>
        </w:rPr>
        <w:footnoteReference w:id="591"/>
      </w:r>
      <w:r>
        <w:rPr>
          <w:rFonts w:ascii="IRNazanin" w:hAnsi="IRNazanin" w:eastAsia="IRNazanin"/>
          <w:color w:val="111111"/>
          <w:sz w:val="28"/>
          <w:sz w:val="28"/>
          <w:szCs w:val="28"/>
          <w:rtl w:val="true"/>
          <w:lang w:bidi="fa-IR"/>
        </w:rPr>
        <w:t>، و محقّق اردبیلی</w:t>
      </w:r>
      <w:r>
        <w:rPr>
          <w:rStyle w:val="FootnoteAnchor"/>
          <w:rtl w:val="true"/>
        </w:rPr>
        <w:footnoteReference w:id="592"/>
      </w:r>
      <w:r>
        <w:rPr>
          <w:rFonts w:ascii="IRNazanin" w:hAnsi="IRNazanin" w:eastAsia="IRNazanin"/>
          <w:color w:val="111111"/>
          <w:sz w:val="28"/>
          <w:sz w:val="28"/>
          <w:szCs w:val="28"/>
          <w:rtl w:val="true"/>
          <w:lang w:bidi="fa-IR"/>
        </w:rPr>
        <w:t>از دیگر اَعلامی</w:t>
      </w:r>
    </w:p>
    <w:p>
      <w:pPr>
        <w:pStyle w:val="BookText"/>
        <w:rPr/>
      </w:pPr>
      <w:r>
        <w:rPr>
          <w:rFonts w:ascii="IRNazanin" w:hAnsi="IRNazanin" w:eastAsia="IRNazanin"/>
          <w:color w:val="111111"/>
          <w:sz w:val="28"/>
          <w:sz w:val="28"/>
          <w:szCs w:val="28"/>
          <w:rtl w:val="true"/>
          <w:lang w:bidi="fa-IR"/>
        </w:rPr>
        <w:t xml:space="preserve">هستند که با بیاناتی مشابه، به صحّت قسمت حصّه وقف از حصّه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صورتی که مستلزم پرداخت ما به التفاوت از جانب طلق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مخالفی سراغ ندارم و ظاهر تذکره و مجمع الفائدة و البُرهان نیز، اجماع بر این مطلب است</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با توجه به این که شرعا و عرفا قسمت به هیچ وجه بیع نیست ظاهرا جدا سازی مال وقف از بخش 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کامل حقّ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اشکال است</w:t>
      </w:r>
      <w:r>
        <w:rPr>
          <w:rFonts w:eastAsia="IRNazanin" w:cs="IRNazanin"/>
          <w:color w:val="111111"/>
          <w:sz w:val="28"/>
          <w:szCs w:val="28"/>
          <w:rtl w:val="true"/>
          <w:lang w:bidi="fa-IR"/>
        </w:rPr>
        <w:t>.</w:t>
      </w:r>
    </w:p>
    <w:p>
      <w:pPr>
        <w:pStyle w:val="Heading5"/>
        <w:numPr>
          <w:ilvl w:val="4"/>
          <w:numId w:val="1"/>
        </w:numPr>
        <w:rPr/>
      </w:pPr>
      <w:bookmarkStart w:id="351" w:name="__RefHeading___Toc474141_1479056682"/>
      <w:bookmarkStart w:id="352" w:name="_Toc133"/>
      <w:bookmarkEnd w:id="351"/>
      <w:r>
        <w:rPr>
          <w:rtl w:val="true"/>
        </w:rPr>
        <w:t>قسمت مال موقوف بین دو یا چند نفر</w:t>
      </w:r>
      <w:bookmarkEnd w:id="352"/>
    </w:p>
    <w:p>
      <w:pPr>
        <w:pStyle w:val="BookText"/>
        <w:rPr/>
      </w:pPr>
      <w:r>
        <w:rPr>
          <w:rFonts w:ascii="IRNazanin" w:hAnsi="IRNazanin" w:eastAsia="IRNazanin"/>
          <w:color w:val="111111"/>
          <w:sz w:val="28"/>
          <w:sz w:val="28"/>
          <w:szCs w:val="28"/>
          <w:rtl w:val="true"/>
          <w:lang w:bidi="fa-IR"/>
        </w:rPr>
        <w:t>مسأله دیگر این است که آیا می‌توان یک مال موقوف را بین ارباب آن تقسیم کرد، به طوری که هر یک از آنها بخشی را تحویل گیرد و مستقلاً از آن بهره ببرد، یا خیر؟</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ارشاد به عدم صّحت، تصریح کرده، امّا در قواعد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w:t>
      </w:r>
      <w:bookmarkStart w:id="353" w:name="pg4267_21876"/>
    </w:p>
    <w:p>
      <w:pPr>
        <w:pStyle w:val="BookText"/>
        <w:rPr/>
      </w:pPr>
      <w:bookmarkEnd w:id="353"/>
      <w:r>
        <w:rPr>
          <w:rFonts w:ascii="Amiri" w:hAnsi="Amiri" w:eastAsia="Amiri" w:cs="Amiri"/>
          <w:color w:val="111111"/>
          <w:sz w:val="28"/>
          <w:sz w:val="28"/>
          <w:szCs w:val="28"/>
          <w:rtl w:val="true"/>
          <w:lang w:bidi="ar-SA"/>
        </w:rPr>
        <w:t>واقف و موقوفٌ عَلَیْه یکی باشند، اقرب، منع است</w:t>
      </w:r>
      <w:r>
        <w:rPr>
          <w:rFonts w:eastAsia="Amiri" w:cs="Amiri" w:ascii="Amiri" w:hAnsi="Amiri"/>
          <w:color w:val="111111"/>
          <w:sz w:val="28"/>
          <w:szCs w:val="28"/>
          <w:rtl w:val="true"/>
          <w:lang w:bidi="ar-SA"/>
        </w:rPr>
        <w:t>.</w:t>
      </w:r>
      <w:r>
        <w:rPr>
          <w:rStyle w:val="FootnoteAnchor"/>
          <w:rtl w:val="true"/>
        </w:rPr>
        <w:footnoteReference w:id="594"/>
      </w:r>
      <w:r>
        <w:rPr>
          <w:rFonts w:ascii="IRNazanin" w:hAnsi="IRNazanin" w:eastAsia="IRNazanin"/>
          <w:color w:val="111111"/>
          <w:sz w:val="28"/>
          <w:sz w:val="28"/>
          <w:szCs w:val="28"/>
          <w:rtl w:val="true"/>
          <w:lang w:bidi="fa-IR"/>
        </w:rPr>
        <w:t>محقّق اردبیلی برای این مسأله استدلال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این چنین وقف برخلاف وضع واقف است</w:t>
      </w:r>
      <w:r>
        <w:rPr>
          <w:rFonts w:eastAsia="IRNazanin" w:cs="IRNazanin"/>
          <w:color w:val="111111"/>
          <w:sz w:val="28"/>
          <w:szCs w:val="28"/>
          <w:rtl w:val="true"/>
          <w:lang w:bidi="fa-IR"/>
        </w:rPr>
        <w:t>.</w:t>
      </w:r>
      <w:r>
        <w:rPr>
          <w:rStyle w:val="FootnoteAnchor"/>
          <w:rtl w:val="true"/>
        </w:rPr>
        <w:footnoteReference w:id="595"/>
      </w:r>
      <w:r>
        <w:rPr>
          <w:rFonts w:ascii="IRNazanin" w:hAnsi="IRNazanin" w:eastAsia="IRNazanin"/>
          <w:color w:val="111111"/>
          <w:sz w:val="28"/>
          <w:sz w:val="28"/>
          <w:szCs w:val="28"/>
          <w:rtl w:val="true"/>
          <w:lang w:bidi="fa-IR"/>
        </w:rPr>
        <w:t>و محقّق ثانی همین دلیل را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قسمتی متضمّن تغییر وقف است، زیرا حقّ در شرکای فعلی منحصر نیست، بطون بعدی هم دارای حقّ هستند که حقّ خود را مستقیما از واقف دریافت می‌کنند نه از بطن اوّل و به عنوان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هر چه باقی مانده</w:t>
      </w:r>
    </w:p>
    <w:p>
      <w:pPr>
        <w:pStyle w:val="BookText"/>
        <w:rPr/>
      </w:pPr>
      <w:r>
        <w:rPr>
          <w:rFonts w:ascii="Amiri" w:hAnsi="Amiri" w:eastAsia="Amiri" w:cs="Amiri"/>
          <w:color w:val="111111"/>
          <w:sz w:val="28"/>
          <w:sz w:val="28"/>
          <w:szCs w:val="28"/>
          <w:rtl w:val="true"/>
          <w:lang w:bidi="ar-SA"/>
        </w:rPr>
        <w:t>حقّشان باشد</w:t>
      </w:r>
      <w:r>
        <w:rPr>
          <w:rFonts w:eastAsia="Amiri" w:cs="Amiri" w:ascii="Amiri" w:hAnsi="Amiri"/>
          <w:color w:val="111111"/>
          <w:sz w:val="28"/>
          <w:szCs w:val="28"/>
          <w:rtl w:val="true"/>
          <w:lang w:bidi="ar-SA"/>
        </w:rPr>
        <w:t>)</w:t>
      </w:r>
      <w:r>
        <w:rPr>
          <w:rStyle w:val="FootnoteAnchor"/>
          <w:rtl w:val="true"/>
        </w:rPr>
        <w:footnoteReference w:id="5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تعدّد، مثل این که دو شریک باشند و هر یک جداگانه سهم خود را بر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موقوفٌ عَلَیْه شریکش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این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حقّ قسمت و افراز حقّ خویش را دارد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 xml:space="preserve">فرق این صورت با صورت اتّحاد این است که در این فرض استدلال محقّق اردبیلی و محقّق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اندکی پیش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نخواهد بود، زیرا قسمت بر خلاف وضعِ واقف نخواهد بود</w:t>
      </w:r>
      <w:r>
        <w:rPr>
          <w:rFonts w:eastAsia="IRNazanin" w:cs="IRNazanin"/>
          <w:color w:val="111111"/>
          <w:sz w:val="28"/>
          <w:szCs w:val="28"/>
          <w:rtl w:val="true"/>
          <w:lang w:bidi="fa-IR"/>
        </w:rPr>
        <w:t>.</w:t>
      </w:r>
    </w:p>
    <w:p>
      <w:pPr>
        <w:pStyle w:val="Heading5"/>
        <w:numPr>
          <w:ilvl w:val="4"/>
          <w:numId w:val="1"/>
        </w:numPr>
        <w:rPr/>
      </w:pPr>
      <w:bookmarkStart w:id="354" w:name="__RefHeading___Toc474143_1479056682"/>
      <w:bookmarkStart w:id="355" w:name="_Toc134"/>
      <w:bookmarkEnd w:id="354"/>
      <w:r>
        <w:rPr>
          <w:rtl w:val="true"/>
        </w:rPr>
        <w:t>دیدگاه دیگر مذاهب</w:t>
      </w:r>
      <w:bookmarkEnd w:id="355"/>
    </w:p>
    <w:p>
      <w:pPr>
        <w:pStyle w:val="BookText"/>
        <w:rPr/>
      </w:pPr>
      <w:r>
        <w:rPr>
          <w:rFonts w:ascii="IRNazanin" w:hAnsi="IRNazanin" w:eastAsia="IRNazanin"/>
          <w:color w:val="111111"/>
          <w:sz w:val="28"/>
          <w:sz w:val="28"/>
          <w:szCs w:val="28"/>
          <w:rtl w:val="true"/>
          <w:lang w:bidi="fa-IR"/>
        </w:rPr>
        <w:t>فقهای مذاهب اهل سنّت نیز بر این نظرند که مال موقوف باید عینی باشد که با بقای آن قابل انتفاع باشد، به این دلیل که وقف صدقه جاریه است و باید دوام و استمرار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خوردنیها، آشامیدنیها و مانند اینها که جز با استهلاک قابل انتفاع</w:t>
      </w:r>
    </w:p>
    <w:p>
      <w:pPr>
        <w:pStyle w:val="BookText"/>
        <w:rPr/>
      </w:pPr>
      <w:r>
        <w:rPr>
          <w:rFonts w:ascii="IRNazanin" w:hAnsi="IRNazanin" w:eastAsia="IRNazanin"/>
          <w:color w:val="111111"/>
          <w:sz w:val="28"/>
          <w:sz w:val="28"/>
          <w:szCs w:val="28"/>
          <w:rtl w:val="true"/>
          <w:lang w:bidi="fa-IR"/>
        </w:rPr>
        <w:t>نیستند،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فقها وقفِ آب را، در صورتی که دائمی و مستمر باشد، استثنا کرده‌اند</w:t>
      </w:r>
      <w:r>
        <w:rPr>
          <w:rFonts w:eastAsia="IRNazanin" w:cs="IRNazanin"/>
          <w:color w:val="111111"/>
          <w:sz w:val="28"/>
          <w:szCs w:val="28"/>
          <w:rtl w:val="true"/>
          <w:lang w:bidi="fa-IR"/>
        </w:rPr>
        <w:t>.</w:t>
      </w:r>
      <w:r>
        <w:rPr>
          <w:rStyle w:val="FootnoteAnchor"/>
          <w:rtl w:val="true"/>
        </w:rPr>
        <w:footnoteReference w:id="598"/>
      </w:r>
    </w:p>
    <w:p>
      <w:pPr>
        <w:pStyle w:val="Heading5"/>
        <w:numPr>
          <w:ilvl w:val="4"/>
          <w:numId w:val="1"/>
        </w:numPr>
        <w:rPr/>
      </w:pPr>
      <w:bookmarkStart w:id="356" w:name="__RefHeading___Toc474145_1479056682"/>
      <w:bookmarkStart w:id="357" w:name="_Toc135"/>
      <w:bookmarkEnd w:id="356"/>
      <w:r>
        <w:rPr>
          <w:rtl w:val="true"/>
        </w:rPr>
        <w:t>فروع مترتّب بر این شرط</w:t>
      </w:r>
      <w:bookmarkEnd w:id="357"/>
    </w:p>
    <w:p>
      <w:pPr>
        <w:pStyle w:val="Heading6"/>
        <w:numPr>
          <w:ilvl w:val="5"/>
          <w:numId w:val="1"/>
        </w:numPr>
        <w:rPr/>
      </w:pPr>
      <w:bookmarkStart w:id="358" w:name="__RefHeading___Toc474147_1479056682"/>
      <w:bookmarkStart w:id="359" w:name="_Toc136"/>
      <w:bookmarkEnd w:id="358"/>
      <w:r>
        <w:rPr/>
        <w:t>1</w:t>
      </w:r>
      <w:r>
        <w:rPr>
          <w:rtl w:val="true"/>
        </w:rPr>
        <w:t xml:space="preserve">- </w:t>
      </w:r>
      <w:r>
        <w:rPr>
          <w:rtl w:val="true"/>
        </w:rPr>
        <w:t>وقف اموال منقول</w:t>
      </w:r>
      <w:bookmarkEnd w:id="35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مالکیّه، شافعیّه و حنابله وقف هر چه را که بیع آن جایز باشد و با بقا و استمرار عین، </w:t>
      </w:r>
      <w:bookmarkStart w:id="360" w:name="pg4267_21877"/>
    </w:p>
    <w:p>
      <w:pPr>
        <w:pStyle w:val="BookText"/>
        <w:rPr/>
      </w:pPr>
      <w:bookmarkEnd w:id="360"/>
      <w:r>
        <w:rPr>
          <w:rFonts w:ascii="IRNazanin" w:hAnsi="IRNazanin" w:eastAsia="IRNazanin"/>
          <w:color w:val="111111"/>
          <w:sz w:val="28"/>
          <w:sz w:val="28"/>
          <w:szCs w:val="28"/>
          <w:rtl w:val="true"/>
          <w:lang w:bidi="fa-IR"/>
        </w:rPr>
        <w:t>قابل دوام و استمرار باشد، جایز می‌دانند؛ همانند اراضی، املاک، حیوانات، سلاح، اثاث و نظایر اینها، امّا چیزهایی که جز با اتلاف و استهلاک قابل استفاده نیستند، وقفشان</w:t>
      </w:r>
    </w:p>
    <w:p>
      <w:pPr>
        <w:pStyle w:val="BookText"/>
        <w:rPr/>
      </w:pPr>
      <w:r>
        <w:rPr>
          <w:rFonts w:ascii="IRNazanin" w:hAnsi="IRNazanin" w:eastAsia="IRNazanin"/>
          <w:color w:val="111111"/>
          <w:sz w:val="28"/>
          <w:sz w:val="28"/>
          <w:szCs w:val="28"/>
          <w:rtl w:val="true"/>
          <w:lang w:bidi="fa-IR"/>
        </w:rPr>
        <w:t>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فقها، بجز حنفیّه بر جواز وقفِ منقول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حنفیّه، وقف منقول را، جز در مواردی که تابع املاک باشند و یا نصّ خاصّی در مورد</w:t>
      </w:r>
    </w:p>
    <w:p>
      <w:pPr>
        <w:pStyle w:val="BookText"/>
        <w:rPr/>
      </w:pPr>
      <w:r>
        <w:rPr>
          <w:rFonts w:ascii="IRNazanin" w:hAnsi="IRNazanin" w:eastAsia="IRNazanin"/>
          <w:color w:val="111111"/>
          <w:sz w:val="28"/>
          <w:sz w:val="28"/>
          <w:szCs w:val="28"/>
          <w:rtl w:val="true"/>
          <w:lang w:bidi="fa-IR"/>
        </w:rPr>
        <w:t xml:space="preserve">آنها رسیده باشد، جایز نمی‌دانند؛ لذا حنفیّه وقف غِلمان را به تَبَع عقار و وقف سلاح و اسب را به دلیل نصّ جایز می‌دانند، البتّه وقف در مواردی هم که سیره عرف بر آنها جاری باشد، مثل وقف کتب، مصاحف، نفایس، ظروف، ادوات جنازه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حنفیّه جایز است به دلیل روایت ابن‌مسعود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رآه الْمُسْلِمونَ حَسَنا فَهُوَ عِنْدَاللّه‌ِ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برای این که ثابت به عرف، ثابت به شرع هم هست</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 xml:space="preserve">شایان ذکر است که دلیل حنفیّه برای عدم صحّت وقف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منقول بودن با شرط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زیرا منقول در شُرُف هلاک و استهلاک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وَهبة الزُّحَیْلی تصریح کرده است که وقف کُراع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سِلاح</w:t>
      </w:r>
    </w:p>
    <w:p>
      <w:pPr>
        <w:pStyle w:val="BookText"/>
        <w:rPr/>
      </w:pPr>
      <w:r>
        <w:rPr>
          <w:rFonts w:ascii="IRNazanin" w:hAnsi="IRNazanin" w:eastAsia="IRNazanin"/>
          <w:color w:val="111111"/>
          <w:sz w:val="28"/>
          <w:sz w:val="28"/>
          <w:szCs w:val="28"/>
          <w:rtl w:val="true"/>
          <w:lang w:bidi="fa-IR"/>
        </w:rPr>
        <w:t xml:space="preserve">فی سبیل‌اللّه هم در نزد خود ابوحنیفه صحیح نیست و صاحِبَیْن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 یوسف و محمّدبن حسن 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اینها را تصحیح و تجویز کرده‌اند</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ابن حزم از فقهای ظاهریّه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خانه، زمین و آنچه در آن است مانند درخت، بنا، در، و نیز وقف مَصاحف، دفاتر، عَبید، سلاح و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و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در غیر این موارد وقف جایز نیست</w:t>
      </w:r>
      <w:r>
        <w:rPr>
          <w:rFonts w:eastAsia="IRNazanin" w:cs="IRNazanin"/>
          <w:color w:val="111111"/>
          <w:sz w:val="28"/>
          <w:szCs w:val="28"/>
          <w:rtl w:val="true"/>
          <w:lang w:bidi="fa-IR"/>
        </w:rPr>
        <w:t>.</w:t>
      </w:r>
      <w:r>
        <w:rPr>
          <w:rStyle w:val="FootnoteAnchor"/>
          <w:rtl w:val="true"/>
        </w:rPr>
        <w:footnoteReference w:id="601"/>
      </w:r>
    </w:p>
    <w:p>
      <w:pPr>
        <w:pStyle w:val="Heading6"/>
        <w:numPr>
          <w:ilvl w:val="5"/>
          <w:numId w:val="1"/>
        </w:numPr>
        <w:rPr/>
      </w:pPr>
      <w:bookmarkStart w:id="361" w:name="__RefHeading___Toc474149_1479056682"/>
      <w:bookmarkStart w:id="362" w:name="_Toc137"/>
      <w:bookmarkEnd w:id="361"/>
      <w:r>
        <w:rPr/>
        <w:t>2</w:t>
      </w:r>
      <w:r>
        <w:rPr>
          <w:rtl w:val="true"/>
        </w:rPr>
        <w:t xml:space="preserve">- </w:t>
      </w:r>
      <w:r>
        <w:rPr>
          <w:rtl w:val="true"/>
        </w:rPr>
        <w:t>وقف درهم و دینار</w:t>
      </w:r>
      <w:bookmarkEnd w:id="362"/>
    </w:p>
    <w:p>
      <w:pPr>
        <w:pStyle w:val="BookText"/>
        <w:rPr/>
      </w:pPr>
      <w:r>
        <w:rPr>
          <w:rFonts w:ascii="IRNazanin" w:hAnsi="IRNazanin" w:eastAsia="IRNazanin"/>
          <w:color w:val="111111"/>
          <w:sz w:val="28"/>
          <w:sz w:val="28"/>
          <w:szCs w:val="28"/>
          <w:rtl w:val="true"/>
          <w:lang w:bidi="fa-IR"/>
        </w:rPr>
        <w:t>المصطلحات الوقفیّه به جمهور فقها، بجز حنابله، نسبت داده است که وقف دراهم و دنانیر را، برای اغراضی چون به کار انداختن آنها در مُضارَبه و انفاق سود آن و نیز برای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وامِ قرض‌الحسنه، جایز می‌دانند؛ امّا حنابله وقف درهم و دینار را صحیح نمی‌دانند و </w:t>
      </w:r>
      <w:bookmarkStart w:id="363" w:name="pg4267_21878"/>
    </w:p>
    <w:p>
      <w:pPr>
        <w:pStyle w:val="BookText"/>
        <w:rPr/>
      </w:pPr>
      <w:bookmarkEnd w:id="363"/>
      <w:r>
        <w:rPr>
          <w:rFonts w:ascii="IRNazanin" w:hAnsi="IRNazanin" w:eastAsia="IRNazanin"/>
          <w:color w:val="111111"/>
          <w:sz w:val="28"/>
          <w:sz w:val="28"/>
          <w:szCs w:val="28"/>
          <w:rtl w:val="true"/>
          <w:lang w:bidi="fa-IR"/>
        </w:rPr>
        <w:t>دلیلشان این است که وقف، تحبیس اصل وتسبیل منفعت است و این امر در درهم و دینار که با انتفاع، مستهلک می‌شوند، ممکن نیست</w:t>
      </w:r>
      <w:r>
        <w:rPr>
          <w:rFonts w:eastAsia="IRNazanin" w:cs="IRNazanin"/>
          <w:color w:val="111111"/>
          <w:sz w:val="28"/>
          <w:szCs w:val="28"/>
          <w:rtl w:val="true"/>
          <w:lang w:bidi="fa-IR"/>
        </w:rPr>
        <w:t>.</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زهدی یکن در احکام الوقف خود، در این مورد به مذهب شافعی نسبت خلاف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تصریح کرده است که وقف دراهم و دنانیر به هدف تجارت و صرف سود آن در جهت خیر و بِرّ در مذهب حنفیّه و مالکیّه صحیح، امّا در مذهب حنابله جایز نیست</w:t>
      </w:r>
      <w:r>
        <w:rPr>
          <w:rFonts w:eastAsia="IRNazanin" w:cs="IRNazanin"/>
          <w:color w:val="111111"/>
          <w:sz w:val="28"/>
          <w:szCs w:val="28"/>
          <w:rtl w:val="true"/>
          <w:lang w:bidi="fa-IR"/>
        </w:rPr>
        <w:t>.</w:t>
      </w:r>
      <w:r>
        <w:rPr>
          <w:rStyle w:val="FootnoteAnchor"/>
          <w:rtl w:val="true"/>
        </w:rPr>
        <w:footnoteReference w:id="603"/>
      </w:r>
      <w:r>
        <w:rPr>
          <w:rFonts w:ascii="IRNazanin" w:hAnsi="IRNazanin" w:eastAsia="IRNazanin"/>
          <w:color w:val="111111"/>
          <w:sz w:val="28"/>
          <w:sz w:val="28"/>
          <w:szCs w:val="28"/>
          <w:rtl w:val="true"/>
          <w:lang w:bidi="fa-IR"/>
        </w:rPr>
        <w:t>این دیدگاه در مُغنی ابن قُدامه نیز با صراحت آمده است</w:t>
      </w:r>
      <w:r>
        <w:rPr>
          <w:rFonts w:eastAsia="IRNazanin" w:cs="IRNazanin"/>
          <w:color w:val="111111"/>
          <w:sz w:val="28"/>
          <w:szCs w:val="28"/>
          <w:rtl w:val="true"/>
          <w:lang w:bidi="fa-IR"/>
        </w:rPr>
        <w:t>.</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همان طور که قبلاً نیز اشاره شد، حقیقت این است که وقف درهم و دینار و در زمان حاضر اسکناس و به طور کلّی پول رایج، برای اغراض و اهدافی که ذکر شد، نه با اصول و مقتضای وقف ناسازگار است و نه با حکم و اصلی از احکام و اصول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مسأله قابل بحث و بررسی و تأمّل بیشتر است</w:t>
      </w:r>
      <w:r>
        <w:rPr>
          <w:rFonts w:eastAsia="IRNazanin" w:cs="IRNazanin"/>
          <w:color w:val="111111"/>
          <w:sz w:val="28"/>
          <w:szCs w:val="28"/>
          <w:rtl w:val="true"/>
          <w:lang w:bidi="fa-IR"/>
        </w:rPr>
        <w:t>.</w:t>
      </w:r>
    </w:p>
    <w:p>
      <w:pPr>
        <w:pStyle w:val="Heading6"/>
        <w:numPr>
          <w:ilvl w:val="5"/>
          <w:numId w:val="1"/>
        </w:numPr>
        <w:rPr/>
      </w:pPr>
      <w:bookmarkStart w:id="364" w:name="__RefHeading___Toc474151_1479056682"/>
      <w:bookmarkStart w:id="365" w:name="_Toc138"/>
      <w:bookmarkEnd w:id="364"/>
      <w:r>
        <w:rPr/>
        <w:t>3</w:t>
      </w:r>
      <w:r>
        <w:rPr>
          <w:rtl w:val="true"/>
        </w:rPr>
        <w:t xml:space="preserve">- </w:t>
      </w:r>
      <w:r>
        <w:rPr>
          <w:rtl w:val="true"/>
        </w:rPr>
        <w:t>وقف اموال کلّی، نامعیّن و غیرقابل اقباض</w:t>
      </w:r>
      <w:bookmarkEnd w:id="365"/>
    </w:p>
    <w:p>
      <w:pPr>
        <w:pStyle w:val="BookText"/>
        <w:rPr/>
      </w:pPr>
      <w:r>
        <w:rPr>
          <w:rFonts w:ascii="IRNazanin" w:hAnsi="IRNazanin" w:eastAsia="IRNazanin"/>
          <w:color w:val="111111"/>
          <w:sz w:val="28"/>
          <w:sz w:val="28"/>
          <w:szCs w:val="28"/>
          <w:rtl w:val="true"/>
          <w:lang w:bidi="fa-IR"/>
        </w:rPr>
        <w:t xml:space="preserve">در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وقف یکی از دو شی‌ء غیرمعیّن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مورد مجهول است و تعیین آن در آینده نیز کفایت نمی‌کند، چه آن که وقف، برخلاف عتق در ذمّه ثابت نمی‌شود</w:t>
      </w:r>
      <w:r>
        <w:rPr>
          <w:rFonts w:eastAsia="IRNazanin" w:cs="IRNazanin"/>
          <w:color w:val="111111"/>
          <w:sz w:val="28"/>
          <w:szCs w:val="28"/>
          <w:rtl w:val="true"/>
          <w:lang w:bidi="fa-IR"/>
        </w:rPr>
        <w:t>.</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وَهْبَهُ‌الزُحیْلی از حنفیّه نقل کرده است که مال موقوف باید معلوم و معیّن باشد و وقف مجهول، به این دلیل که جهل، به نزاع و درگیری منجر می‌شود،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شافعیّه و حنابله نیز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موقوف باید عین معیّن باشد و در ذمّه نباشد؛ بنابراین ثوب در ذمّه و نیز وقف یکی از دو خانه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606"/>
      </w:r>
      <w:r>
        <w:rPr>
          <w:rFonts w:ascii="IRNazanin" w:hAnsi="IRNazanin" w:eastAsia="IRNazanin"/>
          <w:color w:val="111111"/>
          <w:sz w:val="28"/>
          <w:sz w:val="28"/>
          <w:szCs w:val="28"/>
          <w:rtl w:val="true"/>
          <w:lang w:bidi="fa-IR"/>
        </w:rPr>
        <w:t>وی همچنین عدم صحّت وقف مرهون را به جمهور فقها، بجز حنفیّه، نسبت داده است</w:t>
      </w:r>
      <w:r>
        <w:rPr>
          <w:rFonts w:eastAsia="IRNazanin" w:cs="IRNazanin"/>
          <w:color w:val="111111"/>
          <w:sz w:val="28"/>
          <w:szCs w:val="28"/>
          <w:rtl w:val="true"/>
          <w:lang w:bidi="fa-IR"/>
        </w:rPr>
        <w:t>.</w:t>
      </w:r>
      <w:r>
        <w:rPr>
          <w:rStyle w:val="FootnoteAnchor"/>
          <w:rtl w:val="true"/>
        </w:rPr>
        <w:footnoteReference w:id="607"/>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همه فقهای اسلامی این است که مال موقوف باید عین </w:t>
      </w:r>
      <w:bookmarkStart w:id="366" w:name="pg4267_21879"/>
    </w:p>
    <w:p>
      <w:pPr>
        <w:pStyle w:val="BookText"/>
        <w:rPr/>
      </w:pPr>
      <w:bookmarkEnd w:id="366"/>
      <w:r>
        <w:rPr>
          <w:rFonts w:ascii="IRNazanin" w:hAnsi="IRNazanin" w:eastAsia="IRNazanin"/>
          <w:color w:val="111111"/>
          <w:sz w:val="28"/>
          <w:sz w:val="28"/>
          <w:szCs w:val="28"/>
          <w:rtl w:val="true"/>
          <w:lang w:bidi="fa-IR"/>
        </w:rPr>
        <w:t xml:space="preserve">معیّن، غیر کلّی و قابل اقباض و تحویل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6"/>
        <w:numPr>
          <w:ilvl w:val="5"/>
          <w:numId w:val="1"/>
        </w:numPr>
        <w:rPr/>
      </w:pPr>
      <w:bookmarkStart w:id="367" w:name="__RefHeading___Toc474153_1479056682"/>
      <w:bookmarkStart w:id="368" w:name="_Toc139"/>
      <w:bookmarkEnd w:id="367"/>
      <w:r>
        <w:rPr/>
        <w:t>4</w:t>
      </w:r>
      <w:r>
        <w:rPr>
          <w:rtl w:val="true"/>
        </w:rPr>
        <w:t xml:space="preserve">- </w:t>
      </w:r>
      <w:r>
        <w:rPr>
          <w:rtl w:val="true"/>
        </w:rPr>
        <w:t>وقف منافع و حقوق</w:t>
      </w:r>
      <w:bookmarkEnd w:id="368"/>
    </w:p>
    <w:p>
      <w:pPr>
        <w:pStyle w:val="BookText"/>
        <w:rPr/>
      </w:pPr>
      <w:r>
        <w:rPr>
          <w:rFonts w:ascii="IRNazanin" w:hAnsi="IRNazanin" w:eastAsia="IRNazanin"/>
          <w:color w:val="111111"/>
          <w:sz w:val="28"/>
          <w:sz w:val="28"/>
          <w:szCs w:val="28"/>
          <w:rtl w:val="true"/>
          <w:lang w:bidi="fa-IR"/>
        </w:rPr>
        <w:t>حنفیّه و حنابله دیدگاهشان این است که مستأجر نمی‌تواند عین مستأجره را وقف کند؛ زیرا در وقف دوام شرط است و اجاره، غیر مؤبّد است؛ امّا موُجر می‌تواند عین مستأجره را وقف کند زیرا این عین ملک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 از آن جا که در وقف تأبید را شرط نمی‌دانند و از طرفی منافع هم مملوک است، نظرشان این است که مستأجر حق دارد منفعت عین مستأجره را، که در طول مّدت اجاره ملک اوست، وقف کند، امّا وقف عین مستأجره برای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نیز نظر حنفیّه و حنابله را دارند و چنین وقفی را صحیح نمی‌دانند، امّا معتقدند؛ اگر مستأجر در زمین مورد اجاره، بنا یا درختی را که خود، مالک آن است،</w:t>
      </w:r>
    </w:p>
    <w:p>
      <w:pPr>
        <w:pStyle w:val="BookText"/>
        <w:rPr/>
      </w:pPr>
      <w:r>
        <w:rPr>
          <w:rFonts w:ascii="IRNazanin" w:hAnsi="IRNazanin" w:eastAsia="IRNazanin"/>
          <w:color w:val="111111"/>
          <w:sz w:val="28"/>
          <w:sz w:val="28"/>
          <w:szCs w:val="28"/>
          <w:rtl w:val="true"/>
          <w:lang w:bidi="fa-IR"/>
        </w:rPr>
        <w:t>وقف کند، اصحّ جواز آن است و استمرار آن تا پایان مدّت اجاره، که ممکن است مالک آنها را قطع کند، کافی است</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خلاصه وقف عین مستأجره نزد جمهور صحیح است، امّا نزد مالکیّه صحیح نیست و وقف منفعت نزد مالکیّه صحیح است و نزد جمهور،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دیگری که برای عدم صحّت وقف منفعت ذکر کرده‌اند این است که مال موقوف باید عین معلوم و قابل انتفاع باشد، انتفاع دائم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منفعت به تنهایی</w:t>
      </w:r>
    </w:p>
    <w:p>
      <w:pPr>
        <w:pStyle w:val="BookText"/>
        <w:rPr/>
      </w:pPr>
      <w:r>
        <w:rPr>
          <w:rFonts w:ascii="Amiri" w:hAnsi="Amiri" w:eastAsia="Amiri" w:cs="Amiri"/>
          <w:color w:val="111111"/>
          <w:sz w:val="28"/>
          <w:sz w:val="28"/>
          <w:szCs w:val="28"/>
          <w:rtl w:val="true"/>
          <w:lang w:bidi="ar-SA"/>
        </w:rPr>
        <w:t>و بدون رَقَبه، صحیح نیست</w:t>
      </w:r>
      <w:r>
        <w:rPr>
          <w:rFonts w:eastAsia="Amiri" w:cs="Amiri" w:ascii="Amiri" w:hAnsi="Amiri"/>
          <w:color w:val="111111"/>
          <w:sz w:val="28"/>
          <w:szCs w:val="28"/>
          <w:rtl w:val="true"/>
          <w:lang w:bidi="ar-SA"/>
        </w:rPr>
        <w:t>.</w:t>
      </w:r>
      <w:r>
        <w:rPr>
          <w:rStyle w:val="FootnoteAnchor"/>
          <w:rtl w:val="true"/>
        </w:rPr>
        <w:footnoteReference w:id="609"/>
      </w:r>
    </w:p>
    <w:p>
      <w:pPr>
        <w:pStyle w:val="BookText"/>
        <w:rPr/>
      </w:pPr>
      <w:r>
        <w:rPr>
          <w:rFonts w:ascii="IRNazanin" w:hAnsi="IRNazanin" w:eastAsia="IRNazanin"/>
          <w:color w:val="111111"/>
          <w:sz w:val="28"/>
          <w:sz w:val="28"/>
          <w:szCs w:val="28"/>
          <w:rtl w:val="true"/>
          <w:lang w:bidi="fa-IR"/>
        </w:rPr>
        <w:t>در فقه مالکی تصریح شده است که موقوفٌ عَلَیْه نمی‌تواند منفعتی را که از وقف به دست آورده است، وقف کند، زیرا این منفعت مملوک نیست چون موقوفٌ عَلَیْه، تنها مالک انتفاع است نه مالک منفعت</w:t>
      </w:r>
      <w:r>
        <w:rPr>
          <w:rFonts w:eastAsia="IRNazanin" w:cs="IRNazanin"/>
          <w:color w:val="111111"/>
          <w:sz w:val="28"/>
          <w:szCs w:val="28"/>
          <w:rtl w:val="true"/>
          <w:lang w:bidi="fa-IR"/>
        </w:rPr>
        <w:t>.</w:t>
      </w:r>
      <w:r>
        <w:rPr>
          <w:rStyle w:val="FootnoteAnchor"/>
          <w:rtl w:val="true"/>
        </w:rPr>
        <w:footnoteReference w:id="610"/>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وقف حقوق، ابوزهره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مجرد باشد وقف آن صحیح </w:t>
      </w:r>
      <w:bookmarkStart w:id="369" w:name="pg4267_21880"/>
    </w:p>
    <w:p>
      <w:pPr>
        <w:pStyle w:val="BookText"/>
        <w:rPr/>
      </w:pPr>
      <w:bookmarkEnd w:id="369"/>
      <w:r>
        <w:rPr>
          <w:rFonts w:ascii="IRNazanin" w:hAnsi="IRNazanin" w:eastAsia="IRNazanin"/>
          <w:color w:val="111111"/>
          <w:sz w:val="28"/>
          <w:sz w:val="28"/>
          <w:szCs w:val="28"/>
          <w:rtl w:val="true"/>
          <w:lang w:bidi="fa-IR"/>
        </w:rPr>
        <w:t>نیست، مثل حقّ مستأجِر نسبت به منفعت؛ زیرا در این صورت حقوقی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عین باشد، تابع آن عین خواهد بود، اگر وقف آن عین صحیح باشد</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پیروی از آن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فقهای حنفی به جواز وصیّت به حقوق اِرْتِفاق، تصریح کرده‌اند؛ امّا آیا وقف آن هم صحیح است یا نه؟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اگر مانند</w:t>
      </w:r>
    </w:p>
    <w:p>
      <w:pPr>
        <w:pStyle w:val="BookText"/>
        <w:rPr/>
      </w:pPr>
      <w:r>
        <w:rPr>
          <w:rFonts w:ascii="IRNazanin" w:hAnsi="IRNazanin" w:eastAsia="IRNazanin"/>
          <w:color w:val="111111"/>
          <w:sz w:val="28"/>
          <w:sz w:val="28"/>
          <w:szCs w:val="28"/>
          <w:rtl w:val="true"/>
          <w:lang w:bidi="fa-IR"/>
        </w:rPr>
        <w:t>مجرای آب، وابسته به عین باشد، وقف آن جایز است به این دلیل مورد، از املاک می‌شود و وقف آن جایز است؛ البتّه تا زمانی معیّن و دارای حدود مشخّص</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در حقیقت از دیدگاه این فقها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وصف حق بودن جایز نیست و صحّت و جواز در مواردی که جایز و صحیح است به دلیل صحّت وقف اعیانی است که بستر این حقوق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که در مذهب مالک، بیع هوا و فضای بالای خانه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ظاهر این است که براین اساس وقف آن هم باید جایز باشد، که اگر وقف صحیح بودمنافعِ بنا باید بین مالکِ زمین و جهتِ مَوْقُوفٌ عَلَیْه تقسیم شود</w:t>
      </w:r>
      <w:r>
        <w:rPr>
          <w:rFonts w:eastAsia="IRNazanin" w:cs="IRNazanin"/>
          <w:color w:val="111111"/>
          <w:sz w:val="28"/>
          <w:szCs w:val="28"/>
          <w:rtl w:val="true"/>
          <w:lang w:bidi="fa-IR"/>
        </w:rPr>
        <w:t>.</w:t>
      </w:r>
      <w:r>
        <w:rPr>
          <w:rStyle w:val="FootnoteAnchor"/>
          <w:rtl w:val="true"/>
        </w:rPr>
        <w:footnoteReference w:id="612"/>
      </w:r>
    </w:p>
    <w:p>
      <w:pPr>
        <w:pStyle w:val="Heading6"/>
        <w:numPr>
          <w:ilvl w:val="5"/>
          <w:numId w:val="1"/>
        </w:numPr>
        <w:rPr/>
      </w:pPr>
      <w:bookmarkStart w:id="370" w:name="__RefHeading___Toc474155_1479056682"/>
      <w:bookmarkStart w:id="371" w:name="_Toc140"/>
      <w:bookmarkEnd w:id="370"/>
      <w:r>
        <w:rPr/>
        <w:t>5</w:t>
      </w:r>
      <w:r>
        <w:rPr>
          <w:rtl w:val="true"/>
        </w:rPr>
        <w:t xml:space="preserve">- </w:t>
      </w:r>
      <w:r>
        <w:rPr>
          <w:rtl w:val="true"/>
        </w:rPr>
        <w:t>وقف اقطاعات و اراضی خراجیّه</w:t>
      </w:r>
      <w:bookmarkEnd w:id="371"/>
    </w:p>
    <w:p>
      <w:pPr>
        <w:pStyle w:val="BookText"/>
        <w:rPr/>
      </w:pPr>
      <w:r>
        <w:rPr>
          <w:rFonts w:ascii="IRNazanin" w:hAnsi="IRNazanin" w:eastAsia="IRNazanin"/>
          <w:color w:val="111111"/>
          <w:sz w:val="28"/>
          <w:sz w:val="28"/>
          <w:szCs w:val="28"/>
          <w:rtl w:val="true"/>
          <w:lang w:bidi="fa-IR"/>
        </w:rPr>
        <w:t>اقطاعات، اراضی مملوکِ دولت هستند که دولت آنها را در برابر مالیاتی معیّن برای استغلال در اختیار بعضی از شهروندان قرار می‌دهد؛ امّا مالکیّت آنها برای دولت باقی</w:t>
      </w:r>
    </w:p>
    <w:p>
      <w:pPr>
        <w:pStyle w:val="BookText"/>
        <w:rPr/>
      </w:pPr>
      <w:r>
        <w:rPr>
          <w:rFonts w:ascii="IRNazanin" w:hAnsi="IRNazanin" w:eastAsia="IRNazanin"/>
          <w:color w:val="111111"/>
          <w:sz w:val="28"/>
          <w:sz w:val="28"/>
          <w:szCs w:val="28"/>
          <w:rtl w:val="true"/>
          <w:lang w:bidi="fa-IR"/>
        </w:rPr>
        <w:t>است، لذا کسانی که به آنها واگذار شده، حقّ وقف آنها را ندارند، چون مالک نیستند</w:t>
      </w:r>
      <w:r>
        <w:rPr>
          <w:rFonts w:eastAsia="IRNazanin" w:cs="IRNazanin"/>
          <w:color w:val="111111"/>
          <w:sz w:val="28"/>
          <w:szCs w:val="28"/>
          <w:rtl w:val="true"/>
          <w:lang w:bidi="fa-IR"/>
        </w:rPr>
        <w:t>.</w:t>
      </w:r>
      <w:r>
        <w:rPr>
          <w:rStyle w:val="FootnoteAnchor"/>
          <w:rtl w:val="true"/>
        </w:rPr>
        <w:footnoteReference w:id="613"/>
      </w:r>
    </w:p>
    <w:p>
      <w:pPr>
        <w:pStyle w:val="BookText"/>
        <w:rPr/>
      </w:pPr>
      <w:r>
        <w:rPr>
          <w:rFonts w:ascii="IRNazanin" w:hAnsi="IRNazanin" w:eastAsia="IRNazanin"/>
          <w:color w:val="111111"/>
          <w:sz w:val="28"/>
          <w:sz w:val="28"/>
          <w:szCs w:val="28"/>
          <w:rtl w:val="true"/>
          <w:lang w:bidi="fa-IR"/>
        </w:rPr>
        <w:t>درباره اراضی خراجیّه طَحاوی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علم در احکام آنها اختلاف دارند که آیا این اراضی ملک متصرّفین است یا خیر؟ گروهی از آنها، ملک اهل آن جا می‌دانند که وقف آنها و دیگر تصرّفات مالکانه برای آنها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و ثوری و اصحاب آنها از این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دیگری این اراضی را مملوک نمی‌دانند، لذا وقفشان هم صحیح</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 شافعی و بسیاری از اهل مدینه از این گروهند</w:t>
      </w:r>
      <w:r>
        <w:rPr>
          <w:rFonts w:eastAsia="IRNazanin" w:cs="IRNazanin"/>
          <w:color w:val="111111"/>
          <w:sz w:val="28"/>
          <w:szCs w:val="28"/>
          <w:rtl w:val="true"/>
          <w:lang w:bidi="fa-IR"/>
        </w:rPr>
        <w:t>.</w:t>
      </w:r>
      <w:r>
        <w:rPr>
          <w:rStyle w:val="FootnoteAnchor"/>
          <w:rtl w:val="true"/>
        </w:rPr>
        <w:footnoteReference w:id="61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ماوردی در کتاب خود درباره اراضی عراق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مذهب شافعی این </w:t>
      </w:r>
      <w:bookmarkStart w:id="372" w:name="pg4267_21881"/>
    </w:p>
    <w:p>
      <w:pPr>
        <w:pStyle w:val="BookText"/>
        <w:rPr/>
      </w:pPr>
      <w:bookmarkEnd w:id="372"/>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این اراضی را بر همه مسلمین وقف کرد و سپس با خراج در دست اربابان آنها باقی گذاشت و با این وقف، این اراضی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همانند خیبر، اموال بنی‌النّضیر</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پیدا کردند که خراج آنها صرف مصالح مسلمین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نقل و انتقال</w:t>
      </w:r>
    </w:p>
    <w:p>
      <w:pPr>
        <w:pStyle w:val="BookText"/>
        <w:rPr/>
      </w:pPr>
      <w:r>
        <w:rPr>
          <w:rFonts w:ascii="IRNazanin" w:hAnsi="IRNazanin" w:eastAsia="IRNazanin"/>
          <w:color w:val="111111"/>
          <w:sz w:val="28"/>
          <w:sz w:val="28"/>
          <w:szCs w:val="28"/>
          <w:rtl w:val="true"/>
          <w:lang w:bidi="fa-IR"/>
        </w:rPr>
        <w:t>رقبه این اراضی جایز نیست</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ابویَعلی همین دیدگاه را به احمد نیز نسبت داده است و آن را نتیجه اشاره و پیشنهاد علی‌بن‌ابی‌طالب علیه‌السلام می‌داند و با این وقف حکم سایر اوقاف را دارد و در نتیجه خرید و فروش و نقل و انتقال در آنها جایز نیست</w:t>
      </w:r>
      <w:r>
        <w:rPr>
          <w:rFonts w:eastAsia="IRNazanin" w:cs="IRNazanin"/>
          <w:color w:val="111111"/>
          <w:sz w:val="28"/>
          <w:szCs w:val="28"/>
          <w:rtl w:val="true"/>
          <w:lang w:bidi="fa-IR"/>
        </w:rPr>
        <w:t>.</w:t>
      </w:r>
      <w:r>
        <w:rPr>
          <w:rStyle w:val="FootnoteAnchor"/>
          <w:rtl w:val="true"/>
        </w:rPr>
        <w:footnoteReference w:id="616"/>
      </w:r>
    </w:p>
    <w:p>
      <w:pPr>
        <w:pStyle w:val="Heading6"/>
        <w:numPr>
          <w:ilvl w:val="5"/>
          <w:numId w:val="1"/>
        </w:numPr>
        <w:rPr/>
      </w:pPr>
      <w:bookmarkStart w:id="373" w:name="__RefHeading___Toc474157_1479056682"/>
      <w:bookmarkStart w:id="374" w:name="_Toc141"/>
      <w:bookmarkEnd w:id="373"/>
      <w:r>
        <w:rPr/>
        <w:t>6</w:t>
      </w:r>
      <w:r>
        <w:rPr>
          <w:rtl w:val="true"/>
        </w:rPr>
        <w:t xml:space="preserve">- </w:t>
      </w:r>
      <w:r>
        <w:rPr>
          <w:rtl w:val="true"/>
        </w:rPr>
        <w:t>وقف مُشاع</w:t>
      </w:r>
      <w:bookmarkEnd w:id="374"/>
    </w:p>
    <w:p>
      <w:pPr>
        <w:pStyle w:val="Heading6"/>
        <w:numPr>
          <w:ilvl w:val="5"/>
          <w:numId w:val="1"/>
        </w:numPr>
        <w:rPr/>
      </w:pPr>
      <w:bookmarkStart w:id="375" w:name="__RefHeading___Toc474159_1479056682"/>
      <w:bookmarkStart w:id="376" w:name="_Toc142"/>
      <w:bookmarkEnd w:id="375"/>
      <w:r>
        <w:rPr>
          <w:rtl w:val="true"/>
        </w:rPr>
        <w:t>اشاره</w:t>
      </w:r>
      <w:bookmarkEnd w:id="376"/>
    </w:p>
    <w:p>
      <w:pPr>
        <w:pStyle w:val="BookText"/>
        <w:rPr/>
      </w:pPr>
      <w:r>
        <w:rPr>
          <w:rFonts w:ascii="IRNazanin" w:hAnsi="IRNazanin" w:eastAsia="IRNazanin"/>
          <w:color w:val="111111"/>
          <w:sz w:val="28"/>
          <w:sz w:val="28"/>
          <w:szCs w:val="28"/>
          <w:rtl w:val="true"/>
          <w:lang w:bidi="fa-IR"/>
        </w:rPr>
        <w:t>جمهور فقها بجز مالکیّه وقف مُشاعی را که قسمت بردار نیست مثل حمام، اتومبیل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این دلیل که وقف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هِبه مُشاع غیرِقابل قسمت،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مالکیّه، وقف حصّه شایعه را در اموری که قابل قسمت نیستند جایز نمی‌دانند، زیرا از شرایط صحّت وقف، قبض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مُشاع قابل قسمت، ابویوسف به جواز وقف آن فتوا داده است، برای این که قسمت مُتَمّم قبض است و ابویوسف در تمامیّت وقف، قبض را شرط نمی‌داند و این نظر با رأی مالکیّه، شافعیّه و حنابله موافق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محمّد که اکثر مَشایخ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او را گرفته‌اند،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مُشاع جایز نیست؛ زیرا اصل قبض در نزد او شرط تمامیّت وقف است و در مُشاع، قبض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تصریح به صحّت وقف مُشاع، به وقف عمر اشاره کرده که سهام خود را از خیبر با این که مشاع بودند، وقف کرد</w:t>
      </w:r>
      <w:r>
        <w:rPr>
          <w:rFonts w:eastAsia="IRNazanin" w:cs="IRNazanin"/>
          <w:color w:val="111111"/>
          <w:sz w:val="28"/>
          <w:szCs w:val="28"/>
          <w:rtl w:val="true"/>
          <w:lang w:bidi="fa-IR"/>
        </w:rPr>
        <w:t>.</w:t>
      </w:r>
      <w:r>
        <w:rPr>
          <w:rStyle w:val="FootnoteAnchor"/>
          <w:rtl w:val="true"/>
        </w:rPr>
        <w:footnoteReference w:id="618"/>
      </w:r>
      <w:r>
        <w:rPr>
          <w:rFonts w:ascii="IRNazanin" w:hAnsi="IRNazanin" w:eastAsia="IRNazanin"/>
          <w:color w:val="111111"/>
          <w:sz w:val="28"/>
          <w:sz w:val="28"/>
          <w:szCs w:val="28"/>
          <w:rtl w:val="true"/>
          <w:lang w:bidi="fa-IR"/>
        </w:rPr>
        <w:t xml:space="preserve">ابن‌قُدامه نیز صحّت وقف مُشاع را به مالک، شافعی و ابویوسف نسبت داده است و عدم صحّت را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بن‌الحسن الشیبانی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قبض آن ممکن نیست وقفش هم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ابن‌قُدامه نیز دلیل صحّت را وقف عمر ذکر کرده است</w:t>
      </w:r>
      <w:r>
        <w:rPr>
          <w:rFonts w:eastAsia="IRNazanin" w:cs="IRNazanin"/>
          <w:color w:val="111111"/>
          <w:sz w:val="28"/>
          <w:szCs w:val="28"/>
          <w:rtl w:val="true"/>
          <w:lang w:bidi="fa-IR"/>
        </w:rPr>
        <w:t>.</w:t>
      </w:r>
      <w:r>
        <w:rPr>
          <w:rStyle w:val="FootnoteAnchor"/>
          <w:rtl w:val="true"/>
        </w:rPr>
        <w:footnoteReference w:id="619"/>
      </w:r>
      <w:bookmarkStart w:id="377" w:name="pg4267_21882"/>
    </w:p>
    <w:p>
      <w:pPr>
        <w:pStyle w:val="BookText"/>
        <w:rPr/>
      </w:pPr>
      <w:bookmarkEnd w:id="377"/>
      <w:r>
        <w:rPr>
          <w:rFonts w:ascii="Amiri" w:hAnsi="Amiri" w:eastAsia="Amiri" w:cs="Amiri"/>
          <w:color w:val="111111"/>
          <w:sz w:val="28"/>
          <w:sz w:val="28"/>
          <w:szCs w:val="28"/>
          <w:rtl w:val="true"/>
          <w:lang w:bidi="ar-SA"/>
        </w:rPr>
        <w:t xml:space="preserve">ابن‌حَجَر نیز از بخاری، جواز وقف مُشاع را نقل کرده و این که در صحیح بخاری بابی است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ما اِذا وَقَفَ جَماعَةٌ اَرْضا مُشاعا فَهُوَ جائِزٌ</w:t>
      </w:r>
      <w:r>
        <w:rPr>
          <w:rFonts w:eastAsia="Amiri" w:cs="Amiri" w:ascii="Amiri" w:hAnsi="Amiri"/>
          <w:color w:val="111111"/>
          <w:sz w:val="28"/>
          <w:szCs w:val="28"/>
          <w:rtl w:val="true"/>
          <w:lang w:bidi="ar-SA"/>
        </w:rPr>
        <w:t>».</w:t>
      </w:r>
      <w:r>
        <w:rPr>
          <w:rStyle w:val="FootnoteAnchor"/>
          <w:rtl w:val="true"/>
        </w:rPr>
        <w:footnoteReference w:id="620"/>
      </w:r>
    </w:p>
    <w:p>
      <w:pPr>
        <w:pStyle w:val="Heading6"/>
        <w:numPr>
          <w:ilvl w:val="5"/>
          <w:numId w:val="1"/>
        </w:numPr>
        <w:rPr/>
      </w:pPr>
      <w:bookmarkStart w:id="378" w:name="__RefHeading___Toc474161_1479056682"/>
      <w:bookmarkStart w:id="379" w:name="_Toc143"/>
      <w:bookmarkEnd w:id="378"/>
      <w:r>
        <w:rPr>
          <w:rtl w:val="true"/>
        </w:rPr>
        <w:t>قسمت وقف از طِلق</w:t>
      </w:r>
      <w:bookmarkEnd w:id="379"/>
    </w:p>
    <w:p>
      <w:pPr>
        <w:pStyle w:val="BookText"/>
        <w:rPr/>
      </w:pP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شوکانی از البحر الزّخّار نقل کرده است که امام یحیی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امامان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مُشاع را جایز نمی‌دانند و از شرایط وقف، تعیین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واضحترین استدلال برای منع بیع مُشاع این است که در مُشاع هر جزء آن مشترک و مملوک دو شریک است و با وقف یکی از دو شریک لازم می‌آید که بر این مال به دو حکم مختلف و متضادّ حکم شود و</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 xml:space="preserve">درباره جداسازی وقف از طلق، ابن قُدامه معتقد است؛ اگر قسمت را تمیز حق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صحیح هم همین است، قسمت جایز است، حتّی در صورتی که مابه‌التفاوت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پرداخت از جانب ارباب وقف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پرداخت از جانب صاحب طِلق باشد، قسمت جایز نیست، زیرا این کار به معنای فروش بخشی از وقف است</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این دیدگاه و تفصیل دقیقا مشابه دیدگاه فقهای امامیّه در این مورد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اندلسی وقف مُشاع را، چه در اموال قابل تقسیم و چه غیرقابل تقسیم، صحیح می‌داند و دلیل آن را همان صحّت و امکان قبض در مُشاع ذکر می‌کند</w:t>
      </w:r>
      <w:r>
        <w:rPr>
          <w:rFonts w:eastAsia="IRNazanin" w:cs="IRNazanin"/>
          <w:color w:val="111111"/>
          <w:sz w:val="28"/>
          <w:szCs w:val="28"/>
          <w:rtl w:val="true"/>
          <w:lang w:bidi="fa-IR"/>
        </w:rPr>
        <w:t>.</w:t>
      </w:r>
      <w:r>
        <w:rPr>
          <w:rStyle w:val="FootnoteAnchor"/>
          <w:rtl w:val="true"/>
        </w:rPr>
        <w:footnoteReference w:id="623"/>
      </w:r>
    </w:p>
    <w:p>
      <w:pPr>
        <w:pStyle w:val="Heading4"/>
        <w:numPr>
          <w:ilvl w:val="3"/>
          <w:numId w:val="1"/>
        </w:numPr>
        <w:rPr/>
      </w:pPr>
      <w:bookmarkStart w:id="380" w:name="__RefHeading___Toc474163_1479056682"/>
      <w:bookmarkStart w:id="381" w:name="_Toc144"/>
      <w:bookmarkEnd w:id="380"/>
      <w:r>
        <w:rPr>
          <w:rtl w:val="true"/>
        </w:rPr>
        <w:t>شرط دوم</w:t>
      </w:r>
      <w:r>
        <w:rPr>
          <w:rtl w:val="true"/>
        </w:rPr>
        <w:t xml:space="preserve">: </w:t>
      </w:r>
      <w:r>
        <w:rPr>
          <w:rtl w:val="true"/>
        </w:rPr>
        <w:t>قابلیّت تملّک</w:t>
      </w:r>
      <w:bookmarkEnd w:id="381"/>
    </w:p>
    <w:p>
      <w:pPr>
        <w:pStyle w:val="Heading5"/>
        <w:numPr>
          <w:ilvl w:val="4"/>
          <w:numId w:val="1"/>
        </w:numPr>
        <w:rPr/>
      </w:pPr>
      <w:bookmarkStart w:id="382" w:name="__RefHeading___Toc474165_1479056682"/>
      <w:bookmarkStart w:id="383" w:name="_Toc145"/>
      <w:bookmarkEnd w:id="382"/>
      <w:r>
        <w:rPr>
          <w:rtl w:val="true"/>
        </w:rPr>
        <w:t>فقه امامیّه</w:t>
      </w:r>
      <w:bookmarkEnd w:id="383"/>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قواعد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مانند خمروخنزیر قابلیّت تملّک نداشته باشد، وقف آن صحیح نیست؛ امّا اگر کافری این اشیاء را وقف کند، اقرب، </w:t>
      </w:r>
    </w:p>
    <w:p>
      <w:pPr>
        <w:pStyle w:val="BookText"/>
        <w:rPr/>
      </w:pPr>
      <w:r>
        <w:rPr>
          <w:rFonts w:ascii="IRNazanin" w:hAnsi="IRNazanin" w:eastAsia="IRNazanin"/>
          <w:color w:val="111111"/>
          <w:sz w:val="28"/>
          <w:sz w:val="28"/>
          <w:szCs w:val="28"/>
          <w:rtl w:val="true"/>
          <w:lang w:bidi="fa-IR"/>
        </w:rPr>
        <w:t>صحّت وقف اوست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محقّق ثانی در ذیل این عبارت چنین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قرب این است که این اشیاء به ملکیّت کافر در می‌آید، لذا نقل و انتقال آنها از طرف او صحیح است و مانع از</w:t>
      </w:r>
    </w:p>
    <w:p>
      <w:pPr>
        <w:pStyle w:val="BookText"/>
        <w:rPr/>
      </w:pPr>
      <w:r>
        <w:rPr>
          <w:rFonts w:ascii="IRNazanin" w:hAnsi="IRNazanin" w:eastAsia="IRNazanin"/>
          <w:color w:val="111111"/>
          <w:sz w:val="28"/>
          <w:sz w:val="28"/>
          <w:szCs w:val="28"/>
          <w:rtl w:val="true"/>
          <w:lang w:bidi="fa-IR"/>
        </w:rPr>
        <w:t>وقف آنها از جانب مسلم نیز تنها همین عدم مملوکیّت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بحث درا ین مسأله فرع صحّت وقف از جانب کافر است و نیز صحّت در صورتی محقّق می‌شود که قصد قربت را شرط ندانیم و یا به تقرّب کافر به حسب اعتقاد خودش اکتفا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زیرا هیچ عبادتی از کفار صحیح نیست</w:t>
      </w:r>
      <w:r>
        <w:rPr>
          <w:rFonts w:eastAsia="IRNazanin" w:cs="IRNazanin"/>
          <w:color w:val="111111"/>
          <w:sz w:val="28"/>
          <w:szCs w:val="28"/>
          <w:rtl w:val="true"/>
          <w:lang w:bidi="fa-IR"/>
        </w:rPr>
        <w:t>.</w:t>
      </w:r>
      <w:r>
        <w:rPr>
          <w:rStyle w:val="FootnoteAnchor"/>
          <w:rtl w:val="true"/>
        </w:rPr>
        <w:footnoteReference w:id="625"/>
      </w:r>
      <w:r>
        <w:rPr>
          <w:rFonts w:ascii="IRNazanin" w:hAnsi="IRNazanin" w:eastAsia="IRNazanin"/>
          <w:color w:val="111111"/>
          <w:sz w:val="28"/>
          <w:sz w:val="28"/>
          <w:szCs w:val="28"/>
          <w:rtl w:val="true"/>
          <w:lang w:bidi="fa-IR"/>
        </w:rPr>
        <w:t>شهید در دروس، صحّت تملّک نسبت به واقف را معتبر دانسته تا بدین وسیله صحّت وقف این اشیاء را از جانب کافر تصحیح کرده باشد</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صاحب مفتاح‌الکرامة و صاحب جواهر نیز همین مطلب را با بیانی مشابه در کتب خویش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بسیاری از اعلام متعرّض</w:t>
      </w:r>
    </w:p>
    <w:p>
      <w:pPr>
        <w:pStyle w:val="BookText"/>
        <w:rPr/>
      </w:pPr>
      <w:r>
        <w:rPr>
          <w:rFonts w:ascii="IRNazanin" w:hAnsi="IRNazanin" w:eastAsia="IRNazanin"/>
          <w:color w:val="111111"/>
          <w:sz w:val="28"/>
          <w:sz w:val="28"/>
          <w:szCs w:val="28"/>
          <w:rtl w:val="true"/>
          <w:lang w:bidi="fa-IR"/>
        </w:rPr>
        <w:t>این فرع نشده‌اند این است که آنان وقف ذمّی بر بیع و کنایس را صحیح می‌دانند، لذا وقف خمروخنزیر نیز همین طور است، برای این که در وقف کافر بین گوسفند و خنزیر فرقی نیست، چون هر دو در نظر شارع برای کافر مملوک هستند و شرط قربت هم مربوط به مصرف است نه خود مال</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صاحب ریاض بر این شرط، ادّعای عدم خلاف کرده است</w:t>
      </w:r>
      <w:r>
        <w:rPr>
          <w:rFonts w:eastAsia="IRNazanin" w:cs="IRNazanin"/>
          <w:color w:val="111111"/>
          <w:sz w:val="28"/>
          <w:szCs w:val="28"/>
          <w:rtl w:val="true"/>
          <w:lang w:bidi="fa-IR"/>
        </w:rPr>
        <w:t>.</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متفرّع بر این شرط شیخ طوسی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کلب جایز نیست، زیرا قابلیّت تملّک ندارد، امّا آن دسته از سگها که مملوک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سگ چوپان، سگ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نگهبان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این است که چون قابل انتفاعند، وقفشان صحیح است</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از فقهای متأخّر و معاصر؛ کاشف‌الغطاء؛</w:t>
      </w:r>
      <w:r>
        <w:rPr>
          <w:rStyle w:val="FootnoteAnchor"/>
          <w:rtl w:val="true"/>
        </w:rPr>
        <w:footnoteReference w:id="630"/>
      </w:r>
      <w:r>
        <w:rPr>
          <w:rFonts w:ascii="IRNazanin" w:hAnsi="IRNazanin" w:eastAsia="IRNazanin"/>
          <w:color w:val="111111"/>
          <w:sz w:val="28"/>
          <w:sz w:val="28"/>
          <w:szCs w:val="28"/>
          <w:rtl w:val="true"/>
          <w:lang w:bidi="fa-IR"/>
        </w:rPr>
        <w:t>صاحب عروه؛</w:t>
      </w:r>
      <w:r>
        <w:rPr>
          <w:rStyle w:val="FootnoteAnchor"/>
          <w:rtl w:val="true"/>
        </w:rPr>
        <w:footnoteReference w:id="631"/>
      </w:r>
      <w:r>
        <w:rPr>
          <w:rFonts w:ascii="IRNazanin" w:hAnsi="IRNazanin" w:eastAsia="IRNazanin"/>
          <w:color w:val="111111"/>
          <w:sz w:val="28"/>
          <w:sz w:val="28"/>
          <w:szCs w:val="28"/>
          <w:rtl w:val="true"/>
          <w:lang w:bidi="fa-IR"/>
        </w:rPr>
        <w:t>صاحب وسیله؛</w:t>
      </w:r>
      <w:r>
        <w:rPr>
          <w:rStyle w:val="FootnoteAnchor"/>
          <w:rtl w:val="true"/>
        </w:rPr>
        <w:footnoteReference w:id="632"/>
      </w:r>
      <w:r>
        <w:rPr>
          <w:rFonts w:ascii="IRNazanin" w:hAnsi="IRNazanin" w:eastAsia="IRNazanin"/>
          <w:color w:val="111111"/>
          <w:sz w:val="28"/>
          <w:sz w:val="28"/>
          <w:szCs w:val="28"/>
          <w:rtl w:val="true"/>
          <w:lang w:bidi="fa-IR"/>
        </w:rPr>
        <w:t>امام‌خمینی؛</w:t>
      </w:r>
      <w:r>
        <w:rPr>
          <w:rStyle w:val="FootnoteAnchor"/>
          <w:rtl w:val="true"/>
        </w:rPr>
        <w:footnoteReference w:id="633"/>
      </w:r>
      <w:r>
        <w:rPr>
          <w:rFonts w:ascii="Amiri" w:hAnsi="Amiri" w:eastAsia="Amiri" w:cs="Amiri"/>
          <w:color w:val="111111"/>
          <w:sz w:val="28"/>
          <w:sz w:val="28"/>
          <w:szCs w:val="28"/>
          <w:rtl w:val="true"/>
          <w:lang w:bidi="ar-SA"/>
        </w:rPr>
        <w:t xml:space="preserve">آیه‌اللّه </w:t>
      </w:r>
      <w:bookmarkStart w:id="384" w:name="pg4267_21884"/>
    </w:p>
    <w:p>
      <w:pPr>
        <w:pStyle w:val="BookText"/>
        <w:rPr/>
      </w:pPr>
      <w:bookmarkEnd w:id="384"/>
      <w:r>
        <w:rPr>
          <w:rFonts w:ascii="IRNazanin" w:hAnsi="IRNazanin" w:eastAsia="IRNazanin"/>
          <w:color w:val="111111"/>
          <w:sz w:val="28"/>
          <w:sz w:val="28"/>
          <w:szCs w:val="28"/>
          <w:rtl w:val="true"/>
          <w:lang w:bidi="fa-IR"/>
        </w:rPr>
        <w:t>خویی</w:t>
      </w:r>
      <w:r>
        <w:rPr>
          <w:rStyle w:val="FootnoteAnchor"/>
          <w:rtl w:val="true"/>
        </w:rPr>
        <w:footnoteReference w:id="634"/>
      </w:r>
      <w:r>
        <w:rPr>
          <w:rFonts w:ascii="IRNazanin" w:hAnsi="IRNazanin" w:eastAsia="IRNazanin"/>
          <w:color w:val="111111"/>
          <w:sz w:val="28"/>
          <w:sz w:val="28"/>
          <w:szCs w:val="28"/>
          <w:rtl w:val="true"/>
          <w:lang w:bidi="fa-IR"/>
        </w:rPr>
        <w:t>و دیگران نیز به اعتبار این شرط در مال موقوف تصریح کرده‌اند</w:t>
      </w:r>
      <w:r>
        <w:rPr>
          <w:rFonts w:eastAsia="IRNazanin" w:cs="IRNazanin"/>
          <w:color w:val="111111"/>
          <w:sz w:val="28"/>
          <w:szCs w:val="28"/>
          <w:rtl w:val="true"/>
          <w:lang w:bidi="fa-IR"/>
        </w:rPr>
        <w:t>.</w:t>
      </w:r>
    </w:p>
    <w:p>
      <w:pPr>
        <w:pStyle w:val="Heading5"/>
        <w:numPr>
          <w:ilvl w:val="4"/>
          <w:numId w:val="1"/>
        </w:numPr>
        <w:rPr/>
      </w:pPr>
      <w:bookmarkStart w:id="385" w:name="__RefHeading___Toc474167_1479056682"/>
      <w:bookmarkStart w:id="386" w:name="_Toc146"/>
      <w:bookmarkEnd w:id="385"/>
      <w:r>
        <w:rPr>
          <w:rtl w:val="true"/>
        </w:rPr>
        <w:t>دیدگاه دیگر مذاهب</w:t>
      </w:r>
      <w:bookmarkEnd w:id="386"/>
    </w:p>
    <w:p>
      <w:pPr>
        <w:pStyle w:val="BookText"/>
        <w:rPr/>
      </w:pPr>
      <w:r>
        <w:rPr>
          <w:rFonts w:ascii="Amiri" w:hAnsi="Amiri" w:eastAsia="Amiri" w:cs="Amiri"/>
          <w:color w:val="111111"/>
          <w:sz w:val="28"/>
          <w:sz w:val="28"/>
          <w:szCs w:val="28"/>
          <w:rtl w:val="true"/>
          <w:lang w:bidi="ar-SA"/>
        </w:rPr>
        <w:t xml:space="preserve">در البحرالزّخّار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زیدیّه</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وقف سگ و باز شکاری، به این دلیل که قابل انتفاع عقلایی هستند، تجویز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مذاهب اربعه نیز مملوک و مال بودن را از شرایط صحّت و جواز وقف ذکر کرده‌اند و متفرّع بر آن، وقف اشیاء و مواردی چون وقف حُرّ، خمر و خنزیر را صحیح نمی‌دانند و درباره وقف کلب مُعلَّم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مالکیّه و حنابله وقف کلب صید و مانند آن را صحیح می‌دانند</w:t>
      </w:r>
      <w:r>
        <w:rPr>
          <w:rFonts w:eastAsia="IRNazanin" w:cs="IRNazanin"/>
          <w:color w:val="111111"/>
          <w:sz w:val="28"/>
          <w:szCs w:val="28"/>
          <w:rtl w:val="true"/>
          <w:lang w:bidi="fa-IR"/>
        </w:rPr>
        <w:t>.</w:t>
      </w:r>
      <w:r>
        <w:rPr>
          <w:rStyle w:val="FootnoteAnchor"/>
          <w:rtl w:val="true"/>
        </w:rPr>
        <w:footnoteReference w:id="636"/>
      </w:r>
      <w:r>
        <w:rPr>
          <w:rFonts w:ascii="IRNazanin" w:hAnsi="IRNazanin" w:eastAsia="IRNazanin"/>
          <w:color w:val="111111"/>
          <w:sz w:val="28"/>
          <w:sz w:val="28"/>
          <w:szCs w:val="28"/>
          <w:rtl w:val="true"/>
          <w:lang w:bidi="fa-IR"/>
        </w:rPr>
        <w:t>امّا شافعیّه چنین سگهایی را مملوک نمی‌دانند، لذا وقفشان را نیز صحیح نمی‌دانند</w:t>
      </w:r>
      <w:r>
        <w:rPr>
          <w:rFonts w:eastAsia="IRNazanin" w:cs="IRNazanin"/>
          <w:color w:val="111111"/>
          <w:sz w:val="28"/>
          <w:szCs w:val="28"/>
          <w:rtl w:val="true"/>
          <w:lang w:bidi="fa-IR"/>
        </w:rPr>
        <w:t>.</w:t>
      </w:r>
      <w:r>
        <w:rPr>
          <w:rStyle w:val="FootnoteAnchor"/>
          <w:rtl w:val="true"/>
        </w:rPr>
        <w:footnoteReference w:id="637"/>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در این مبحث تنها دو شرط اصلی برای مال موقوف بیان شد، لیکن شرایطی نیز به عنوان فروع و امور مترتب بر شرط اوّل در ضمن همان شرط مورد بررسی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 دیگری نیز در مبحث اوّل از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بررسی خواهد شد</w:t>
      </w:r>
      <w:r>
        <w:rPr>
          <w:rFonts w:eastAsia="IRNazanin" w:cs="IRNazanin"/>
          <w:color w:val="111111"/>
          <w:sz w:val="28"/>
          <w:szCs w:val="28"/>
          <w:rtl w:val="true"/>
          <w:lang w:bidi="fa-IR"/>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7" w:name="pg4267_21886"/>
      <w:bookmarkStart w:id="388" w:name="pg4267_21886"/>
      <w:bookmarkEnd w:id="388"/>
    </w:p>
    <w:p>
      <w:pPr>
        <w:pStyle w:val="Heading3"/>
        <w:numPr>
          <w:ilvl w:val="2"/>
          <w:numId w:val="1"/>
        </w:numPr>
        <w:rPr/>
      </w:pPr>
      <w:bookmarkStart w:id="389" w:name="pg4267_21886"/>
      <w:bookmarkStart w:id="390" w:name="__RefHeading___Toc474169_1479056682"/>
      <w:bookmarkStart w:id="391" w:name="_Toc147"/>
      <w:bookmarkEnd w:id="389"/>
      <w:bookmarkEnd w:id="390"/>
      <w:r>
        <w:rPr>
          <w:rtl w:val="true"/>
        </w:rPr>
        <w:t>فصل چهارم</w:t>
      </w:r>
      <w:r>
        <w:rPr>
          <w:rtl w:val="true"/>
        </w:rPr>
        <w:t xml:space="preserve">: </w:t>
      </w:r>
      <w:r>
        <w:rPr>
          <w:rtl w:val="true"/>
        </w:rPr>
        <w:t xml:space="preserve">موقوفٌ عَلَیْه؛ شرایط و </w:t>
      </w:r>
      <w:r>
        <w:rPr>
          <w:rtl w:val="true"/>
        </w:rPr>
        <w:t>...</w:t>
      </w:r>
      <w:bookmarkEnd w:id="391"/>
    </w:p>
    <w:p>
      <w:pPr>
        <w:pStyle w:val="Heading4"/>
        <w:numPr>
          <w:ilvl w:val="3"/>
          <w:numId w:val="1"/>
        </w:numPr>
        <w:rPr/>
      </w:pPr>
      <w:bookmarkStart w:id="392" w:name="__RefHeading___Toc474171_1479056682"/>
      <w:bookmarkStart w:id="393" w:name="_Toc148"/>
      <w:bookmarkEnd w:id="392"/>
      <w:r>
        <w:rPr>
          <w:rtl w:val="true"/>
        </w:rPr>
        <w:t>مبحث اوّل</w:t>
      </w:r>
      <w:r>
        <w:rPr>
          <w:rtl w:val="true"/>
        </w:rPr>
        <w:t xml:space="preserve">: </w:t>
      </w:r>
      <w:r>
        <w:rPr>
          <w:rtl w:val="true"/>
        </w:rPr>
        <w:t>وقف خاصّ و عامّ</w:t>
      </w:r>
      <w:bookmarkEnd w:id="393"/>
    </w:p>
    <w:p>
      <w:pPr>
        <w:pStyle w:val="BookText"/>
        <w:rPr/>
      </w:pPr>
      <w:r>
        <w:rPr>
          <w:rFonts w:ascii="IRNazanin" w:hAnsi="IRNazanin" w:eastAsia="IRNazanin"/>
          <w:color w:val="111111"/>
          <w:sz w:val="28"/>
          <w:sz w:val="28"/>
          <w:szCs w:val="28"/>
          <w:rtl w:val="true"/>
          <w:lang w:bidi="fa-IR"/>
        </w:rPr>
        <w:t>موقوفٌ علیه یعنی کسی یا جهتی که مستحقّ درآمد وقف و انتفاع از عین موقوفه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به اعتبار موقوفٌ عَلَیه به دو قسم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و آن، وقف بر شخص یا اشخاص معیّن، مثل وقف بر اولاد و ذریّه و یا وقف برزید و ذریّه اوست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عامّ، و آن وقف بر جهت و مصلحت عامّ مثل وقف بر مساجد، راهها، پلها و یا وقف بر عناوین عامّ مثل فقرا، ایتام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 xml:space="preserve">البتّه گاهی از وقف بر مثل فقرا و ایتام به وقف بر عناوین عامّ و از وقف بر جهت و مصلحت عامّه به وقف بر جهات عامّ نیز تعبیر می‌شود؛ هر چند گاهی بر شقّ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وقف بر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bookmarkStart w:id="394" w:name="pg4267_21887"/>
    </w:p>
    <w:p>
      <w:pPr>
        <w:pStyle w:val="Heading4"/>
        <w:numPr>
          <w:ilvl w:val="3"/>
          <w:numId w:val="1"/>
        </w:numPr>
        <w:rPr/>
      </w:pPr>
      <w:bookmarkStart w:id="395" w:name="__RefHeading___Toc474173_1479056682"/>
      <w:bookmarkStart w:id="396" w:name="_Toc149"/>
      <w:bookmarkEnd w:id="394"/>
      <w:bookmarkEnd w:id="395"/>
      <w:r>
        <w:rPr>
          <w:rtl w:val="true"/>
        </w:rPr>
        <w:t>مبحث دوم</w:t>
      </w:r>
      <w:r>
        <w:rPr>
          <w:rtl w:val="true"/>
        </w:rPr>
        <w:t xml:space="preserve">: </w:t>
      </w:r>
      <w:r>
        <w:rPr>
          <w:rtl w:val="true"/>
        </w:rPr>
        <w:t>شرایط موقوفٌ عَلَیْه</w:t>
      </w:r>
      <w:bookmarkEnd w:id="396"/>
    </w:p>
    <w:p>
      <w:pPr>
        <w:pStyle w:val="Heading5"/>
        <w:numPr>
          <w:ilvl w:val="4"/>
          <w:numId w:val="1"/>
        </w:numPr>
        <w:rPr/>
      </w:pPr>
      <w:bookmarkStart w:id="397" w:name="__RefHeading___Toc474175_1479056682"/>
      <w:bookmarkStart w:id="398" w:name="_Toc150"/>
      <w:bookmarkEnd w:id="397"/>
      <w:r>
        <w:rPr>
          <w:rtl w:val="true"/>
        </w:rPr>
        <w:t>اشاره</w:t>
      </w:r>
      <w:bookmarkEnd w:id="398"/>
    </w:p>
    <w:p>
      <w:pPr>
        <w:pStyle w:val="BookText"/>
        <w:rPr/>
      </w:pPr>
      <w:r>
        <w:rPr>
          <w:rFonts w:ascii="IRNazanin" w:hAnsi="IRNazanin" w:eastAsia="IRNazanin"/>
          <w:color w:val="111111"/>
          <w:sz w:val="28"/>
          <w:sz w:val="28"/>
          <w:szCs w:val="28"/>
          <w:rtl w:val="true"/>
          <w:lang w:bidi="fa-IR"/>
        </w:rPr>
        <w:t>فقهای مذاهب برای موقوفٌ‌عَلَیه، شرایطی را ذکر کرده‌اند که در این‌جا مورد بررسی قرار می‌گیرند</w:t>
      </w:r>
      <w:r>
        <w:rPr>
          <w:rFonts w:eastAsia="IRNazanin" w:cs="IRNazanin"/>
          <w:color w:val="111111"/>
          <w:sz w:val="28"/>
          <w:szCs w:val="28"/>
          <w:rtl w:val="true"/>
          <w:lang w:bidi="fa-IR"/>
        </w:rPr>
        <w:t>:</w:t>
      </w:r>
    </w:p>
    <w:p>
      <w:pPr>
        <w:pStyle w:val="Heading5"/>
        <w:numPr>
          <w:ilvl w:val="4"/>
          <w:numId w:val="1"/>
        </w:numPr>
        <w:rPr/>
      </w:pPr>
      <w:bookmarkStart w:id="399" w:name="__RefHeading___Toc474177_1479056682"/>
      <w:bookmarkStart w:id="400" w:name="_Toc151"/>
      <w:bookmarkEnd w:id="399"/>
      <w:r>
        <w:rPr>
          <w:rtl w:val="true"/>
        </w:rPr>
        <w:t>شرط اوّل</w:t>
      </w:r>
      <w:r>
        <w:rPr>
          <w:rtl w:val="true"/>
        </w:rPr>
        <w:t xml:space="preserve">: </w:t>
      </w:r>
      <w:r>
        <w:rPr>
          <w:rtl w:val="true"/>
        </w:rPr>
        <w:t>وجود</w:t>
      </w:r>
      <w:bookmarkEnd w:id="400"/>
    </w:p>
    <w:p>
      <w:pPr>
        <w:pStyle w:val="Heading6"/>
        <w:numPr>
          <w:ilvl w:val="5"/>
          <w:numId w:val="1"/>
        </w:numPr>
        <w:rPr/>
      </w:pPr>
      <w:bookmarkStart w:id="401" w:name="__RefHeading___Toc474179_1479056682"/>
      <w:bookmarkStart w:id="402" w:name="_Toc152"/>
      <w:bookmarkEnd w:id="401"/>
      <w:r>
        <w:rPr>
          <w:rtl w:val="true"/>
        </w:rPr>
        <w:t>دیدگاه امامیّه</w:t>
      </w:r>
      <w:bookmarkEnd w:id="402"/>
    </w:p>
    <w:p>
      <w:pPr>
        <w:pStyle w:val="Heading6"/>
        <w:numPr>
          <w:ilvl w:val="5"/>
          <w:numId w:val="1"/>
        </w:numPr>
        <w:rPr/>
      </w:pPr>
      <w:bookmarkStart w:id="403" w:name="__RefHeading___Toc474181_1479056682"/>
      <w:bookmarkStart w:id="404" w:name="_Toc153"/>
      <w:bookmarkEnd w:id="403"/>
      <w:r>
        <w:rPr>
          <w:rtl w:val="true"/>
        </w:rPr>
        <w:t>اشاره</w:t>
      </w:r>
      <w:bookmarkEnd w:id="404"/>
    </w:p>
    <w:p>
      <w:pPr>
        <w:pStyle w:val="BookText"/>
        <w:rPr/>
      </w:pPr>
      <w:r>
        <w:rPr>
          <w:rFonts w:ascii="IRNazanin" w:hAnsi="IRNazanin" w:eastAsia="IRNazanin"/>
          <w:color w:val="111111"/>
          <w:sz w:val="28"/>
          <w:sz w:val="28"/>
          <w:szCs w:val="28"/>
          <w:rtl w:val="true"/>
          <w:lang w:bidi="fa-IR"/>
        </w:rPr>
        <w:t>فقهای امامیّه به طور عموم وقف بر معدوم را ابتداء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مبسوط، اجماع و صاحب مفتاح از غنیه و سرائر نفی خلاف را حکایت کرده‌اند</w:t>
      </w:r>
      <w:r>
        <w:rPr>
          <w:rFonts w:eastAsia="IRNazanin" w:cs="IRNazanin"/>
          <w:color w:val="111111"/>
          <w:sz w:val="28"/>
          <w:szCs w:val="28"/>
          <w:rtl w:val="true"/>
          <w:lang w:bidi="fa-IR"/>
        </w:rPr>
        <w:t>.</w:t>
      </w:r>
      <w:r>
        <w:rPr>
          <w:rStyle w:val="FootnoteAnchor"/>
          <w:rtl w:val="true"/>
        </w:rPr>
        <w:footnoteReference w:id="639"/>
      </w:r>
      <w:r>
        <w:rPr>
          <w:rFonts w:ascii="IRNazanin" w:hAnsi="IRNazanin" w:eastAsia="IRNazanin"/>
          <w:color w:val="111111"/>
          <w:sz w:val="28"/>
          <w:sz w:val="28"/>
          <w:szCs w:val="28"/>
          <w:rtl w:val="true"/>
          <w:lang w:bidi="fa-IR"/>
        </w:rPr>
        <w:t>مفید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کسی که موجود نیست، بجز بعد از وقف بر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تبع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نمی‌باشد</w:t>
      </w:r>
      <w:r>
        <w:rPr>
          <w:rFonts w:eastAsia="IRNazanin" w:cs="IRNazanin"/>
          <w:color w:val="111111"/>
          <w:sz w:val="28"/>
          <w:szCs w:val="28"/>
          <w:rtl w:val="true"/>
          <w:lang w:bidi="fa-IR"/>
        </w:rPr>
        <w:t>.</w:t>
      </w:r>
      <w:r>
        <w:rPr>
          <w:rStyle w:val="FootnoteAnchor"/>
          <w:rtl w:val="true"/>
        </w:rPr>
        <w:footnoteReference w:id="640"/>
      </w:r>
      <w:r>
        <w:rPr>
          <w:rFonts w:ascii="IRNazanin" w:hAnsi="IRNazanin" w:eastAsia="IRNazanin"/>
          <w:color w:val="111111"/>
          <w:sz w:val="28"/>
          <w:sz w:val="28"/>
          <w:szCs w:val="28"/>
          <w:rtl w:val="true"/>
          <w:lang w:bidi="fa-IR"/>
        </w:rPr>
        <w:t xml:space="preserve">سلّار بن‌عبدالعزیز در مراسم، شیخ طوسی درنهایه، حلبی در کافی شهید در دروس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عدم جواز و عدم صحّت وقف بر معدوم تصریح</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از فقهای متأخّر و معاصر، صاحب عروه، امام خمینی در تحریر و آیه‌اللّه حکیم نیز به‌این شرط تصریح کرده‌اند</w:t>
      </w:r>
      <w:r>
        <w:rPr>
          <w:rFonts w:eastAsia="IRNazanin" w:cs="IRNazanin"/>
          <w:color w:val="111111"/>
          <w:sz w:val="28"/>
          <w:szCs w:val="28"/>
          <w:rtl w:val="true"/>
          <w:lang w:bidi="fa-IR"/>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دلیل فقها بر عدم جواز وقف بر معدوم و اشتراط وجود در موقوفٌ عَلَیْه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تملیک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عین یا منفعت و عین 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تملیک به شخص یا اشخاص معدوم ممکن نیست</w:t>
      </w:r>
      <w:r>
        <w:rPr>
          <w:rFonts w:eastAsia="IRNazanin" w:cs="IRNazanin"/>
          <w:color w:val="111111"/>
          <w:sz w:val="28"/>
          <w:szCs w:val="28"/>
          <w:rtl w:val="true"/>
          <w:lang w:bidi="fa-IR"/>
        </w:rPr>
        <w:t>.</w:t>
      </w:r>
      <w:r>
        <w:rPr>
          <w:rStyle w:val="FootnoteAnchor"/>
          <w:rtl w:val="true"/>
        </w:rPr>
        <w:footnoteReference w:id="643"/>
      </w:r>
    </w:p>
    <w:p>
      <w:pPr>
        <w:pStyle w:val="BookText"/>
        <w:rPr/>
      </w:pPr>
      <w:r>
        <w:rPr>
          <w:rFonts w:ascii="IRNazanin" w:hAnsi="IRNazanin" w:eastAsia="IRNazanin"/>
          <w:color w:val="111111"/>
          <w:sz w:val="28"/>
          <w:sz w:val="28"/>
          <w:szCs w:val="28"/>
          <w:rtl w:val="true"/>
          <w:lang w:bidi="fa-IR"/>
        </w:rPr>
        <w:t xml:space="preserve">قانون مدنی نیز به تبع فقهای امامیّه، وقف بر معدوم را صحیح نمی‌داند؛ امّا وقف بر معدوم به تبع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توضیحی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قانون مدنی بلامانع است</w:t>
      </w:r>
      <w:r>
        <w:rPr>
          <w:rFonts w:eastAsia="IRNazanin" w:cs="IRNazanin"/>
          <w:color w:val="111111"/>
          <w:sz w:val="28"/>
          <w:szCs w:val="28"/>
          <w:rtl w:val="true"/>
          <w:lang w:bidi="fa-IR"/>
        </w:rPr>
        <w:t>.</w:t>
      </w:r>
      <w:r>
        <w:rPr>
          <w:rStyle w:val="FootnoteAnchor"/>
          <w:rtl w:val="true"/>
        </w:rPr>
        <w:footnoteReference w:id="644"/>
      </w:r>
    </w:p>
    <w:p>
      <w:pPr>
        <w:pStyle w:val="BookText"/>
        <w:rPr/>
      </w:pPr>
      <w:r>
        <w:rPr>
          <w:rFonts w:ascii="IRNazanin" w:hAnsi="IRNazanin" w:eastAsia="IRNazanin"/>
          <w:color w:val="111111"/>
          <w:sz w:val="28"/>
          <w:sz w:val="28"/>
          <w:szCs w:val="28"/>
          <w:rtl w:val="true"/>
          <w:lang w:bidi="fa-IR"/>
        </w:rPr>
        <w:t>فقها بر این شرط مسائلی را متفرّع و مترتّب ساخته‌اند، از جمله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05" w:name="__RefHeading___Toc474183_1479056682"/>
      <w:bookmarkStart w:id="406" w:name="_Toc154"/>
      <w:bookmarkEnd w:id="405"/>
      <w:r>
        <w:rPr/>
        <w:t>1</w:t>
      </w:r>
      <w:r>
        <w:rPr>
          <w:rtl w:val="true"/>
        </w:rPr>
        <w:t xml:space="preserve">- </w:t>
      </w:r>
      <w:r>
        <w:rPr>
          <w:rtl w:val="true"/>
        </w:rPr>
        <w:t xml:space="preserve">عدم صحّت وقف بر حمل </w:t>
      </w:r>
      <w:r>
        <w:rPr>
          <w:rtl w:val="true"/>
        </w:rPr>
        <w:t>(</w:t>
      </w:r>
      <w:r>
        <w:rPr>
          <w:rtl w:val="true"/>
        </w:rPr>
        <w:t>جَنین</w:t>
      </w:r>
      <w:r>
        <w:rPr>
          <w:rtl w:val="true"/>
        </w:rPr>
        <w:t>)</w:t>
      </w:r>
      <w:bookmarkEnd w:id="406"/>
    </w:p>
    <w:p>
      <w:pPr>
        <w:pStyle w:val="BookText"/>
        <w:rPr/>
      </w:pPr>
      <w:r>
        <w:rPr>
          <w:rFonts w:ascii="IRNazanin" w:hAnsi="IRNazanin" w:eastAsia="IRNazanin"/>
          <w:color w:val="111111"/>
          <w:sz w:val="28"/>
          <w:sz w:val="28"/>
          <w:szCs w:val="28"/>
          <w:rtl w:val="true"/>
          <w:lang w:bidi="fa-IR"/>
        </w:rPr>
        <w:t xml:space="preserve">در مفتاح الکرامة برای این مسأله از خلاف و مبسوط، وسیله، فقه القرآن، غنیه و سرائر، شرایع، تذکره، تحریر، دروس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نفی خلاف کرده است و دلیلشان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یا تملیک عین و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تملیک منفعت به تنهایی است و حمل برای تملیک هیچ یک صلاحیت ندارد؛ هر چند در باب وصیّت برای وصیّت صلاحیت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وصیّت به آینده تعلّق دارد و در حال، نقلی صورت نمی‌گیرد، در صورتی که وقف تملیک در حال است، لذا اهلیّت و شایستگی موقوفٌ‌عَلَیْه در حال وقف معتبر است</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در مورد وقف بر حمل صاحب عروه نکات قابل توجهی را مطرح ساخته که از آنها نمی‌گذریم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ملحقات العروة</w:t>
      </w:r>
      <w:r>
        <w:rPr>
          <w:rStyle w:val="FootnoteAnchor"/>
          <w:rtl w:val="true"/>
        </w:rPr>
        <w:footnoteReference w:id="646"/>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عدم صحّت وقف بر حمل تمام نیست،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حمل موجود است و بین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جنین نزدیک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طفل شیرخوار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چگونه در وقف بر معدوم به تَبَع موجود تملیک به معدوم نیست، امّا در وقف بر حمل تملیک به معدوم است؟ ثالثا چگونه در تملیک کلّی در ذمّه و بیع ثِمار قبل از بروز آن با این که چیزی</w:t>
      </w:r>
    </w:p>
    <w:p>
      <w:pPr>
        <w:pStyle w:val="BookText"/>
        <w:rPr/>
      </w:pPr>
      <w:r>
        <w:rPr>
          <w:rFonts w:ascii="IRNazanin" w:hAnsi="IRNazanin" w:eastAsia="IRNazanin"/>
          <w:color w:val="111111"/>
          <w:sz w:val="28"/>
          <w:sz w:val="28"/>
          <w:szCs w:val="28"/>
          <w:rtl w:val="true"/>
          <w:lang w:bidi="fa-IR"/>
        </w:rPr>
        <w:t xml:space="preserve">موجود نیست، تملیک را صحیح می‌دانید؟ رابعا ، تحقیق این است که ملکیّت از امور اعتباری است و وجود آن عین اعتبار عقلاست؛ ملکیّت همانند سواد و بیاض نیست که محلّ خارجی لازم داشته باشد و تنها محلّ اعتباری برای آن کافی است؛ بلکه همه احکام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حرمت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گونه‌اند؛ یعنی اعتبارات عقلایی‌اند که حقیقتشان عین اعتبارات و وجود خارجی ندارند و خامسا، وقف تملیک نیست و ظاهرا در صحّت وقف بر حجّاج و زوّار اشکالی نیست، با این که در هنگام وقف ممکن است زایری نباشد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لذا انصاف این است که اگر برای عدم صحّت وقف بر معدوم از جمله حمل، اجماع ثابت شد که هیچ، و گرنه اقوی صحّت است، و تحقّق اجماع معتبر در این مورد، یعنی اجماع کاشف از نظر معصوم، دُونَهُ خَرْطُ الْقَتاد؛ زیرا روشن است که اجماع ادّعا شده </w:t>
      </w:r>
      <w:bookmarkStart w:id="407" w:name="pg4267_21889"/>
    </w:p>
    <w:p>
      <w:pPr>
        <w:pStyle w:val="BookText"/>
        <w:rPr/>
      </w:pPr>
      <w:bookmarkEnd w:id="407"/>
      <w:r>
        <w:rPr>
          <w:rFonts w:ascii="IRNazanin" w:hAnsi="IRNazanin" w:eastAsia="IRNazanin"/>
          <w:color w:val="111111"/>
          <w:sz w:val="28"/>
          <w:sz w:val="28"/>
          <w:szCs w:val="28"/>
          <w:rtl w:val="true"/>
          <w:lang w:bidi="fa-IR"/>
        </w:rPr>
        <w:t xml:space="preserve">محتمل المدرکیّه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قطعی المدرکیّه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صدر نیز عدم صحّت وقف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اشکال می‌داند</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و امام‌خمینی</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بر عنوان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مصادیق آن در زمان وقف شرط نیست، لذا اگر در زمان وقفِ بستانی بر فقرا، فقیری هم در بلد نباشد، امّا در آینده موجود می‌شود، وقف صحیح است</w:t>
      </w:r>
      <w:r>
        <w:rPr>
          <w:rFonts w:eastAsia="IRNazanin" w:cs="IRNazanin"/>
          <w:color w:val="111111"/>
          <w:sz w:val="28"/>
          <w:szCs w:val="28"/>
          <w:rtl w:val="true"/>
          <w:lang w:bidi="fa-IR"/>
        </w:rPr>
        <w:t>.</w:t>
      </w:r>
      <w:r>
        <w:rPr>
          <w:rStyle w:val="FootnoteAnchor"/>
          <w:rtl w:val="true"/>
        </w:rPr>
        <w:footnoteReference w:id="648"/>
      </w:r>
    </w:p>
    <w:p>
      <w:pPr>
        <w:pStyle w:val="Heading6"/>
        <w:numPr>
          <w:ilvl w:val="5"/>
          <w:numId w:val="1"/>
        </w:numPr>
        <w:rPr/>
      </w:pPr>
      <w:bookmarkStart w:id="408" w:name="__RefHeading___Toc474185_1479056682"/>
      <w:bookmarkStart w:id="409" w:name="_Toc155"/>
      <w:bookmarkEnd w:id="408"/>
      <w:r>
        <w:rPr/>
        <w:t>2</w:t>
      </w:r>
      <w:r>
        <w:rPr>
          <w:rtl w:val="true"/>
        </w:rPr>
        <w:t xml:space="preserve">- </w:t>
      </w:r>
      <w:r>
        <w:rPr>
          <w:rtl w:val="true"/>
        </w:rPr>
        <w:t>وقف بر معدوم به تَبَع موجود</w:t>
      </w:r>
      <w:bookmarkEnd w:id="409"/>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دومین امر متفرّع بر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به تَبَع مَوْقُوفٌ عَلَیه موجود، بر معدوم وقف کند، وقف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مقنعه این‌بودکه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معدوم، جز بعد از وقف بر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تبع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و در قواعد، وقف بر معدوم را ابتداءا جایز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ابتداءا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موردی که به تَبَع موجود بر معدومی وقف می‌شود، احتراز جسته است، مثل این که کسی بر اولاد خود و کسانی که بعدا متولّد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نسلهای بعدی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عبارت دیگری به این امر، تصریح نیز کرده است</w:t>
      </w:r>
      <w:r>
        <w:rPr>
          <w:rFonts w:eastAsia="IRNazanin" w:cs="IRNazanin"/>
          <w:color w:val="111111"/>
          <w:sz w:val="28"/>
          <w:szCs w:val="28"/>
          <w:rtl w:val="true"/>
          <w:lang w:bidi="fa-IR"/>
        </w:rPr>
        <w:t>.</w:t>
      </w:r>
      <w:r>
        <w:rPr>
          <w:rStyle w:val="FootnoteAnchor"/>
          <w:rtl w:val="true"/>
        </w:rPr>
        <w:footnoteReference w:id="650"/>
      </w:r>
      <w:r>
        <w:rPr>
          <w:rFonts w:ascii="IRNazanin" w:hAnsi="IRNazanin" w:eastAsia="IRNazanin"/>
          <w:color w:val="111111"/>
          <w:sz w:val="28"/>
          <w:sz w:val="28"/>
          <w:szCs w:val="28"/>
          <w:rtl w:val="true"/>
          <w:lang w:bidi="fa-IR"/>
        </w:rPr>
        <w:t xml:space="preserve">جواهر برای این مسأله ادّعای عدم خلاف، بلکه تحقّق هر دو قسم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و 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آورده است، نصوص و روایاتی که به طور عامّ و خاصّ بر این امر دلالت دارند مستفیص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متواترند</w:t>
      </w:r>
      <w:r>
        <w:rPr>
          <w:rFonts w:eastAsia="IRNazanin" w:cs="IRNazanin"/>
          <w:color w:val="111111"/>
          <w:sz w:val="28"/>
          <w:szCs w:val="28"/>
          <w:rtl w:val="true"/>
          <w:lang w:bidi="fa-IR"/>
        </w:rPr>
        <w:t>.</w:t>
      </w:r>
      <w:r>
        <w:rPr>
          <w:rStyle w:val="FootnoteAnchor"/>
          <w:rtl w:val="true"/>
        </w:rPr>
        <w:footnoteReference w:id="651"/>
      </w:r>
      <w:r>
        <w:rPr>
          <w:rFonts w:ascii="IRNazanin" w:hAnsi="IRNazanin" w:eastAsia="IRNazanin"/>
          <w:color w:val="111111"/>
          <w:sz w:val="28"/>
          <w:sz w:val="28"/>
          <w:szCs w:val="28"/>
          <w:rtl w:val="true"/>
          <w:lang w:bidi="fa-IR"/>
        </w:rPr>
        <w:t>حدائق نیز در این مورد، ادّعای عدم خلاف کرده است</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مفتاح الکرامة آن را از قطعیّات و مقتضای کلام خاصّه و عامّه، بدون هیچ خلافی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شرط کرده است که وجود این تابع عادتا ممکن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نسلهای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وجود آن عادتا ممکن نباشد، مثل مَیّت، وقف، صحیح نخواهد بود</w:t>
      </w:r>
      <w:r>
        <w:rPr>
          <w:rFonts w:eastAsia="IRNazanin" w:cs="IRNazanin"/>
          <w:color w:val="111111"/>
          <w:sz w:val="28"/>
          <w:szCs w:val="28"/>
          <w:rtl w:val="true"/>
          <w:lang w:bidi="fa-IR"/>
        </w:rPr>
        <w:t>.</w:t>
      </w:r>
      <w:r>
        <w:rPr>
          <w:rStyle w:val="FootnoteAnchor"/>
          <w:rtl w:val="true"/>
        </w:rPr>
        <w:footnoteReference w:id="653"/>
      </w:r>
      <w:bookmarkStart w:id="410" w:name="pg4267_21890"/>
    </w:p>
    <w:p>
      <w:pPr>
        <w:pStyle w:val="BookText"/>
        <w:rPr/>
      </w:pPr>
      <w:bookmarkEnd w:id="410"/>
      <w:r>
        <w:rPr>
          <w:rFonts w:ascii="IRNazanin" w:hAnsi="IRNazanin" w:eastAsia="IRNazanin"/>
          <w:color w:val="111111"/>
          <w:sz w:val="28"/>
          <w:sz w:val="28"/>
          <w:szCs w:val="28"/>
          <w:rtl w:val="true"/>
          <w:lang w:bidi="fa-IR"/>
        </w:rPr>
        <w:t xml:space="preserve">توجّه به این نکته خالی از فایده نیست که؛ وقف بر معدوم به تَبَع موجود، گذشته از این که اجماعی است در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ثابت است</w:t>
      </w:r>
      <w:r>
        <w:rPr>
          <w:rFonts w:eastAsia="IRNazanin" w:cs="IRNazanin"/>
          <w:color w:val="111111"/>
          <w:sz w:val="28"/>
          <w:szCs w:val="28"/>
          <w:rtl w:val="true"/>
          <w:lang w:bidi="fa-IR"/>
        </w:rPr>
        <w:t>.</w:t>
      </w:r>
    </w:p>
    <w:p>
      <w:pPr>
        <w:pStyle w:val="Heading6"/>
        <w:numPr>
          <w:ilvl w:val="5"/>
          <w:numId w:val="1"/>
        </w:numPr>
        <w:rPr/>
      </w:pPr>
      <w:bookmarkStart w:id="411" w:name="__RefHeading___Toc474187_1479056682"/>
      <w:bookmarkStart w:id="412" w:name="_Toc156"/>
      <w:bookmarkEnd w:id="411"/>
      <w:r>
        <w:rPr>
          <w:rtl w:val="true"/>
        </w:rPr>
        <w:t>دیدگاه دیگر مذاهب</w:t>
      </w:r>
      <w:bookmarkEnd w:id="412"/>
    </w:p>
    <w:p>
      <w:pPr>
        <w:pStyle w:val="BookText"/>
        <w:rPr/>
      </w:pPr>
      <w:r>
        <w:rPr>
          <w:rFonts w:ascii="IRNazanin" w:hAnsi="IRNazanin" w:eastAsia="IRNazanin"/>
          <w:color w:val="111111"/>
          <w:sz w:val="28"/>
          <w:sz w:val="28"/>
          <w:szCs w:val="28"/>
          <w:rtl w:val="true"/>
          <w:lang w:bidi="fa-IR"/>
        </w:rPr>
        <w:t>حنفیّه و مالکیّه وقف بر کسانی را که اهلیّت تملک دارند، صحیح می‌دانند، خواه موجود باشند یا معدوم، مثل جنین؛</w:t>
      </w:r>
      <w:r>
        <w:rPr>
          <w:rStyle w:val="FootnoteAnchor"/>
          <w:rtl w:val="true"/>
        </w:rPr>
        <w:footnoteReference w:id="654"/>
      </w:r>
      <w:r>
        <w:rPr>
          <w:rFonts w:ascii="IRNazanin" w:hAnsi="IRNazanin" w:eastAsia="IRNazanin"/>
          <w:color w:val="111111"/>
          <w:sz w:val="28"/>
          <w:sz w:val="28"/>
          <w:szCs w:val="28"/>
          <w:rtl w:val="true"/>
          <w:lang w:bidi="fa-IR"/>
        </w:rPr>
        <w:t xml:space="preserve">زیرا اینان وجود موقوفٌ‌عَلَیه را هنگام وقف معتبر نمی‌دانند، لذا طبیعی است که وقف 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طریق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و حنابله ، وجود موقوف‌علیه در هنگام وقف را معتبر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مغنی‌المحتاج و المُهَّذب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موقوفٌ‌عَلَیه باید در حال وقف در خارج موجود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وقف بر فرزند برای کسی که فرزند ندارد، صحیح نیست؛ همچنین وقف بر فقرای از اولادش، در حالی که در هنگام وقف، فقیر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مباحث، قهرا</w:t>
      </w:r>
    </w:p>
    <w:p>
      <w:pPr>
        <w:pStyle w:val="BookText"/>
        <w:rPr/>
      </w:pPr>
      <w:r>
        <w:rPr>
          <w:rFonts w:ascii="IRNazanin" w:hAnsi="IRNazanin" w:eastAsia="IRNazanin"/>
          <w:color w:val="111111"/>
          <w:sz w:val="28"/>
          <w:sz w:val="28"/>
          <w:szCs w:val="28"/>
          <w:rtl w:val="true"/>
          <w:lang w:bidi="fa-IR"/>
        </w:rPr>
        <w:t>حنابله و شافعیّه وقف بر حمل را اصالتاً و ابتداءا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حمل، قبل از</w:t>
      </w:r>
    </w:p>
    <w:p>
      <w:pPr>
        <w:pStyle w:val="BookText"/>
        <w:rPr/>
      </w:pPr>
      <w:r>
        <w:rPr>
          <w:rFonts w:ascii="IRNazanin" w:hAnsi="IRNazanin" w:eastAsia="IRNazanin"/>
          <w:color w:val="111111"/>
          <w:sz w:val="28"/>
          <w:sz w:val="28"/>
          <w:szCs w:val="28"/>
          <w:rtl w:val="true"/>
          <w:lang w:bidi="fa-IR"/>
        </w:rPr>
        <w:t xml:space="preserve">انفصال،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نمی‌شود و فرق این مورد با باب ارث این است که در باب وقف تسمیه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امّا در باب ارث چنین شرطی نیست</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و امّا وقف بر معدوم به تَبَع موجود در نزد همه فقهای مذاهب بلااشکال است</w:t>
      </w:r>
      <w:r>
        <w:rPr>
          <w:rFonts w:eastAsia="IRNazanin" w:cs="IRNazanin"/>
          <w:color w:val="111111"/>
          <w:sz w:val="28"/>
          <w:szCs w:val="28"/>
          <w:rtl w:val="true"/>
          <w:lang w:bidi="fa-IR"/>
        </w:rPr>
        <w:t>.</w:t>
      </w:r>
      <w:r>
        <w:rPr>
          <w:rStyle w:val="FootnoteAnchor"/>
          <w:rtl w:val="true"/>
        </w:rPr>
        <w:footnoteReference w:id="656"/>
      </w:r>
    </w:p>
    <w:p>
      <w:pPr>
        <w:pStyle w:val="Heading5"/>
        <w:numPr>
          <w:ilvl w:val="4"/>
          <w:numId w:val="1"/>
        </w:numPr>
        <w:rPr/>
      </w:pPr>
      <w:bookmarkStart w:id="413" w:name="__RefHeading___Toc474189_1479056682"/>
      <w:bookmarkStart w:id="414" w:name="_Toc157"/>
      <w:bookmarkEnd w:id="413"/>
      <w:r>
        <w:rPr>
          <w:rtl w:val="true"/>
        </w:rPr>
        <w:t>شرط دوم</w:t>
      </w:r>
      <w:r>
        <w:rPr>
          <w:rtl w:val="true"/>
        </w:rPr>
        <w:t xml:space="preserve">: </w:t>
      </w:r>
      <w:r>
        <w:rPr>
          <w:rtl w:val="true"/>
        </w:rPr>
        <w:t>تعیین</w:t>
      </w:r>
      <w:bookmarkEnd w:id="414"/>
    </w:p>
    <w:p>
      <w:pPr>
        <w:pStyle w:val="Heading6"/>
        <w:numPr>
          <w:ilvl w:val="5"/>
          <w:numId w:val="1"/>
        </w:numPr>
        <w:rPr/>
      </w:pPr>
      <w:bookmarkStart w:id="415" w:name="__RefHeading___Toc474191_1479056682"/>
      <w:bookmarkStart w:id="416" w:name="_Toc158"/>
      <w:bookmarkEnd w:id="415"/>
      <w:r>
        <w:rPr>
          <w:rtl w:val="true"/>
        </w:rPr>
        <w:t>اشاره</w:t>
      </w:r>
      <w:bookmarkEnd w:id="41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شرایطی که فقها برای موقوفٌ‌عَلَیه ذکر کرده‌اند، تعیین است؛ یعنی وقف بر یکی از دو مسجد به طور غیر معیّن یا یکی از دو انسان و مانند اینها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وقف بدون ذکر مصرف و وقف بر غیرمحصور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شرط مربوط می‌شوند و جای بحثشان همین جاست</w:t>
      </w:r>
      <w:r>
        <w:rPr>
          <w:rFonts w:eastAsia="IRNazanin" w:cs="IRNazanin"/>
          <w:color w:val="111111"/>
          <w:sz w:val="28"/>
          <w:szCs w:val="28"/>
          <w:rtl w:val="true"/>
          <w:lang w:bidi="fa-IR"/>
        </w:rPr>
        <w:t xml:space="preserve">. </w:t>
      </w:r>
      <w:bookmarkStart w:id="417" w:name="pg4267_21891"/>
    </w:p>
    <w:p>
      <w:pPr>
        <w:pStyle w:val="Heading6"/>
        <w:numPr>
          <w:ilvl w:val="5"/>
          <w:numId w:val="1"/>
        </w:numPr>
        <w:rPr/>
      </w:pPr>
      <w:bookmarkStart w:id="418" w:name="__RefHeading___Toc474193_1479056682"/>
      <w:bookmarkStart w:id="419" w:name="_Toc159"/>
      <w:bookmarkEnd w:id="417"/>
      <w:bookmarkEnd w:id="418"/>
      <w:r>
        <w:rPr>
          <w:rtl w:val="true"/>
        </w:rPr>
        <w:t>دیدگاه امامیّه</w:t>
      </w:r>
      <w:bookmarkEnd w:id="419"/>
    </w:p>
    <w:p>
      <w:pPr>
        <w:pStyle w:val="Heading6"/>
        <w:numPr>
          <w:ilvl w:val="5"/>
          <w:numId w:val="1"/>
        </w:numPr>
        <w:rPr/>
      </w:pPr>
      <w:bookmarkStart w:id="420" w:name="__RefHeading___Toc474195_1479056682"/>
      <w:bookmarkStart w:id="421" w:name="_Toc160"/>
      <w:bookmarkEnd w:id="420"/>
      <w:r>
        <w:rPr>
          <w:rtl w:val="true"/>
        </w:rPr>
        <w:t>اشاره</w:t>
      </w:r>
      <w:bookmarkEnd w:id="421"/>
    </w:p>
    <w:p>
      <w:pPr>
        <w:pStyle w:val="BookText"/>
        <w:rPr/>
      </w:pPr>
      <w:r>
        <w:rPr>
          <w:rFonts w:ascii="IRNazanin" w:hAnsi="IRNazanin" w:eastAsia="IRNazanin"/>
          <w:color w:val="111111"/>
          <w:sz w:val="28"/>
          <w:sz w:val="28"/>
          <w:szCs w:val="28"/>
          <w:rtl w:val="true"/>
          <w:lang w:bidi="fa-IR"/>
        </w:rPr>
        <w:t>علاّمه در قواعد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را بر یکی از دو شخص و یا یکی از دو گروه و یا بر مرد یا زنی غیر معیّن وقف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کَرَکی دلیل این بطلان را موجود</w:t>
      </w:r>
    </w:p>
    <w:p>
      <w:pPr>
        <w:pStyle w:val="BookText"/>
        <w:rPr/>
      </w:pPr>
      <w:r>
        <w:rPr>
          <w:rFonts w:ascii="IRNazanin" w:hAnsi="IRNazanin" w:eastAsia="IRNazanin"/>
          <w:color w:val="111111"/>
          <w:sz w:val="28"/>
          <w:sz w:val="28"/>
          <w:szCs w:val="28"/>
          <w:rtl w:val="true"/>
          <w:lang w:bidi="fa-IR"/>
        </w:rPr>
        <w:t>نبودن موقوفٌ‌عَلَیه می‌داند؛ زیرا آنچه معیّن نیست موجود نیست، و نیز برای این که وقف مقتضی تملیک است و تملیک به غیر معیّن معقول نیست</w:t>
      </w:r>
      <w:r>
        <w:rPr>
          <w:rFonts w:eastAsia="IRNazanin" w:cs="IRNazanin"/>
          <w:color w:val="111111"/>
          <w:sz w:val="28"/>
          <w:szCs w:val="28"/>
          <w:rtl w:val="true"/>
          <w:lang w:bidi="fa-IR"/>
        </w:rPr>
        <w:t>.</w:t>
      </w:r>
      <w:r>
        <w:rPr>
          <w:rStyle w:val="FootnoteAnchor"/>
          <w:rtl w:val="true"/>
        </w:rPr>
        <w:footnoteReference w:id="657"/>
      </w:r>
    </w:p>
    <w:p>
      <w:pPr>
        <w:pStyle w:val="BookText"/>
        <w:rPr/>
      </w:pPr>
      <w:r>
        <w:rPr>
          <w:rFonts w:ascii="IRNazanin" w:hAnsi="IRNazanin" w:eastAsia="IRNazanin"/>
          <w:color w:val="111111"/>
          <w:sz w:val="28"/>
          <w:sz w:val="28"/>
          <w:szCs w:val="28"/>
          <w:rtl w:val="true"/>
          <w:lang w:bidi="fa-IR"/>
        </w:rPr>
        <w:t>ابن ادریس نیز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وقف این است که موقوفٌ‌عَلَیه معروف و متمیّز باشد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مفتاح الکرامة برای این مسأله از غنیه و سرائر حکایت اجماع کرده است و سپس استدلال محقّق ثانی را که ذکر شد، مطرح کرده است</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rtl w:val="true"/>
          <w:lang w:bidi="fa-IR"/>
        </w:rPr>
        <w:t>محقّق اوّل در شرایع، و المختصر النّافع،</w:t>
      </w:r>
      <w:r>
        <w:rPr>
          <w:rStyle w:val="FootnoteAnchor"/>
          <w:rtl w:val="true"/>
        </w:rPr>
        <w:footnoteReference w:id="660"/>
      </w:r>
      <w:r>
        <w:rPr>
          <w:rFonts w:ascii="IRNazanin" w:hAnsi="IRNazanin" w:eastAsia="IRNazanin"/>
          <w:color w:val="111111"/>
          <w:sz w:val="28"/>
          <w:sz w:val="28"/>
          <w:szCs w:val="28"/>
          <w:rtl w:val="true"/>
          <w:lang w:bidi="fa-IR"/>
        </w:rPr>
        <w:t>فاضل مقداد،</w:t>
      </w:r>
      <w:r>
        <w:rPr>
          <w:rStyle w:val="FootnoteAnchor"/>
          <w:rtl w:val="true"/>
        </w:rPr>
        <w:footnoteReference w:id="661"/>
      </w:r>
      <w:r>
        <w:rPr>
          <w:rFonts w:ascii="IRNazanin" w:hAnsi="IRNazanin" w:eastAsia="IRNazanin"/>
          <w:color w:val="111111"/>
          <w:sz w:val="28"/>
          <w:sz w:val="28"/>
          <w:szCs w:val="28"/>
          <w:rtl w:val="true"/>
          <w:lang w:bidi="fa-IR"/>
        </w:rPr>
        <w:t>شهید ثانی در مسالک</w:t>
      </w:r>
      <w:r>
        <w:rPr>
          <w:rStyle w:val="FootnoteAnchor"/>
          <w:rtl w:val="true"/>
        </w:rPr>
        <w:footnoteReference w:id="662"/>
      </w:r>
      <w:r>
        <w:rPr>
          <w:rFonts w:ascii="IRNazanin" w:hAnsi="IRNazanin" w:eastAsia="IRNazanin"/>
          <w:color w:val="111111"/>
          <w:sz w:val="28"/>
          <w:sz w:val="28"/>
          <w:szCs w:val="28"/>
          <w:rtl w:val="true"/>
          <w:lang w:bidi="fa-IR"/>
        </w:rPr>
        <w:t>و از معاصران، آیه‌اللّه حکیم</w:t>
      </w:r>
      <w:r>
        <w:rPr>
          <w:rStyle w:val="FootnoteAnchor"/>
          <w:rtl w:val="true"/>
        </w:rPr>
        <w:footnoteReference w:id="663"/>
      </w:r>
      <w:r>
        <w:rPr>
          <w:rFonts w:ascii="IRNazanin" w:hAnsi="IRNazanin" w:eastAsia="IRNazanin"/>
          <w:color w:val="111111"/>
          <w:sz w:val="28"/>
          <w:sz w:val="28"/>
          <w:szCs w:val="28"/>
          <w:rtl w:val="true"/>
          <w:lang w:bidi="fa-IR"/>
        </w:rPr>
        <w:t>، امام خمینی</w:t>
      </w:r>
      <w:r>
        <w:rPr>
          <w:rStyle w:val="FootnoteAnchor"/>
          <w:rtl w:val="true"/>
        </w:rPr>
        <w:footnoteReference w:id="664"/>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اَعاظمی هستند که به اعتبار این شرط در موقوفٌ‌عَلَیه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شرط چند مطلب در ذیل چند فرع به‌اختصار مورد بررسی قرار می‌گیرند</w:t>
      </w:r>
      <w:r>
        <w:rPr>
          <w:rFonts w:eastAsia="IRNazanin" w:cs="IRNazanin"/>
          <w:color w:val="111111"/>
          <w:sz w:val="28"/>
          <w:szCs w:val="28"/>
          <w:rtl w:val="true"/>
          <w:lang w:bidi="fa-IR"/>
        </w:rPr>
        <w:t>:</w:t>
      </w:r>
    </w:p>
    <w:p>
      <w:pPr>
        <w:pStyle w:val="Heading6"/>
        <w:numPr>
          <w:ilvl w:val="5"/>
          <w:numId w:val="1"/>
        </w:numPr>
        <w:rPr/>
      </w:pPr>
      <w:bookmarkStart w:id="422" w:name="__RefHeading___Toc474197_1479056682"/>
      <w:bookmarkStart w:id="423" w:name="_Toc161"/>
      <w:bookmarkEnd w:id="422"/>
      <w:r>
        <w:rPr/>
        <w:t>1</w:t>
      </w:r>
      <w:r>
        <w:rPr>
          <w:rtl w:val="true"/>
        </w:rPr>
        <w:t xml:space="preserve">- </w:t>
      </w:r>
      <w:r>
        <w:rPr>
          <w:rtl w:val="true"/>
        </w:rPr>
        <w:t>وقف بدون ذکر مصرف</w:t>
      </w:r>
      <w:bookmarkEnd w:id="423"/>
    </w:p>
    <w:p>
      <w:pPr>
        <w:pStyle w:val="BookText"/>
        <w:rPr/>
      </w:pPr>
      <w:r>
        <w:rPr>
          <w:rFonts w:ascii="IRNazanin" w:hAnsi="IRNazanin" w:eastAsia="IRNazanin"/>
          <w:color w:val="111111"/>
          <w:sz w:val="28"/>
          <w:sz w:val="28"/>
          <w:szCs w:val="28"/>
          <w:rtl w:val="true"/>
          <w:lang w:bidi="fa-IR"/>
        </w:rPr>
        <w:t>اگر کسی مالی را به طور مطلق وقف کند و مورد مصرف آن را ذکر نکند، حکم آن چیست؟</w:t>
      </w:r>
    </w:p>
    <w:p>
      <w:pPr>
        <w:pStyle w:val="BookText"/>
        <w:rPr/>
      </w:pPr>
      <w:r>
        <w:rPr>
          <w:rFonts w:ascii="IRNazanin" w:hAnsi="IRNazanin" w:eastAsia="IRNazanin"/>
          <w:color w:val="111111"/>
          <w:sz w:val="28"/>
          <w:sz w:val="28"/>
          <w:szCs w:val="28"/>
          <w:rtl w:val="true"/>
          <w:lang w:bidi="fa-IR"/>
        </w:rPr>
        <w:t>شیخ در خلاف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مالی را به طور مطلق وقف کند و موقوفٌ‌عَلَیه را ذکر نکند،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یا مِلک را وقف کردم و ساکت شود،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او صحیح نیست، و دلیل عدم صحّت، این است که اوّلاً صحّت وقف به دلیل شرعی نیاز دارد و صحّتِ چنین وقفی دلیل ندارد؛ ثانیا وقتی وقف بر موقوفٌ‌عَلَیه </w:t>
      </w:r>
    </w:p>
    <w:p>
      <w:pPr>
        <w:pStyle w:val="BookText"/>
        <w:rPr/>
      </w:pPr>
      <w:r>
        <w:rPr>
          <w:rFonts w:ascii="IRNazanin" w:hAnsi="IRNazanin" w:eastAsia="IRNazanin"/>
          <w:color w:val="111111"/>
          <w:sz w:val="28"/>
          <w:sz w:val="28"/>
          <w:szCs w:val="28"/>
          <w:rtl w:val="true"/>
          <w:lang w:bidi="fa-IR"/>
        </w:rPr>
        <w:t>مجهول، باطل باشد، در این فرض به طریق اَوْلی باطل است</w:t>
      </w:r>
      <w:r>
        <w:rPr>
          <w:rFonts w:eastAsia="IRNazanin" w:cs="IRNazanin"/>
          <w:color w:val="111111"/>
          <w:sz w:val="28"/>
          <w:szCs w:val="28"/>
          <w:rtl w:val="true"/>
          <w:lang w:bidi="fa-IR"/>
        </w:rPr>
        <w:t>.</w:t>
      </w:r>
      <w:r>
        <w:rPr>
          <w:rStyle w:val="FootnoteAnchor"/>
          <w:rtl w:val="true"/>
        </w:rPr>
        <w:footnoteReference w:id="665"/>
      </w:r>
      <w:r>
        <w:rPr>
          <w:rFonts w:ascii="IRNazanin" w:hAnsi="IRNazanin" w:eastAsia="IRNazanin"/>
          <w:color w:val="111111"/>
          <w:sz w:val="28"/>
          <w:sz w:val="28"/>
          <w:szCs w:val="28"/>
          <w:rtl w:val="true"/>
          <w:lang w:bidi="fa-IR"/>
        </w:rPr>
        <w:t>تقریبا عین همین بیان در مبسوط آمده است</w:t>
      </w:r>
      <w:r>
        <w:rPr>
          <w:rFonts w:eastAsia="IRNazanin" w:cs="IRNazanin"/>
          <w:color w:val="111111"/>
          <w:sz w:val="28"/>
          <w:szCs w:val="28"/>
          <w:rtl w:val="true"/>
          <w:lang w:bidi="fa-IR"/>
        </w:rPr>
        <w:t>.</w:t>
      </w:r>
      <w:r>
        <w:rPr>
          <w:rStyle w:val="FootnoteAnchor"/>
          <w:rtl w:val="true"/>
        </w:rPr>
        <w:footnoteReference w:id="666"/>
      </w:r>
      <w:r>
        <w:rPr>
          <w:rFonts w:ascii="IRNazanin" w:hAnsi="IRNazanin" w:eastAsia="IRNazanin"/>
          <w:color w:val="111111"/>
          <w:sz w:val="28"/>
          <w:sz w:val="28"/>
          <w:szCs w:val="28"/>
          <w:rtl w:val="true"/>
          <w:lang w:bidi="fa-IR"/>
        </w:rPr>
        <w:t>علاّمه در قواعد، محقّق ثانی</w:t>
      </w:r>
      <w:r>
        <w:rPr>
          <w:rStyle w:val="FootnoteAnchor"/>
          <w:rtl w:val="true"/>
        </w:rPr>
        <w:footnoteReference w:id="667"/>
      </w:r>
      <w:r>
        <w:rPr>
          <w:rFonts w:ascii="IRNazanin" w:hAnsi="IRNazanin" w:eastAsia="IRNazanin"/>
          <w:color w:val="111111"/>
          <w:sz w:val="28"/>
          <w:sz w:val="28"/>
          <w:szCs w:val="28"/>
          <w:rtl w:val="true"/>
          <w:lang w:bidi="fa-IR"/>
        </w:rPr>
        <w:t>فیض کاشانی؛</w:t>
      </w:r>
      <w:r>
        <w:rPr>
          <w:rStyle w:val="FootnoteAnchor"/>
          <w:rtl w:val="true"/>
        </w:rPr>
        <w:footnoteReference w:id="668"/>
      </w:r>
      <w:r>
        <w:rPr>
          <w:rFonts w:ascii="Amiri" w:hAnsi="Amiri" w:eastAsia="Amiri" w:cs="Amiri"/>
          <w:color w:val="111111"/>
          <w:sz w:val="28"/>
          <w:sz w:val="28"/>
          <w:szCs w:val="28"/>
          <w:rtl w:val="true"/>
          <w:lang w:bidi="ar-SA"/>
        </w:rPr>
        <w:t>محقّق اوّل، شهید ثانی</w:t>
      </w:r>
      <w:r>
        <w:rPr>
          <w:rStyle w:val="FootnoteAnchor"/>
          <w:rtl w:val="true"/>
        </w:rPr>
        <w:footnoteReference w:id="66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بطلان چنین وقفی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غنیه و سرائر، مبنی بر شرط معروف و متمیّز بودن موقوفٌ‌عَلَیه، از ادلّه این مسأله است</w:t>
      </w:r>
      <w:r>
        <w:rPr>
          <w:rFonts w:eastAsia="IRNazanin" w:cs="IRNazanin"/>
          <w:color w:val="111111"/>
          <w:sz w:val="28"/>
          <w:szCs w:val="28"/>
          <w:rtl w:val="true"/>
          <w:lang w:bidi="fa-IR"/>
        </w:rPr>
        <w:t>.</w:t>
      </w:r>
      <w:r>
        <w:rPr>
          <w:rStyle w:val="FootnoteAnchor"/>
          <w:rtl w:val="true"/>
        </w:rPr>
        <w:footnoteReference w:id="670"/>
      </w:r>
      <w:r>
        <w:rPr>
          <w:rFonts w:ascii="IRNazanin" w:hAnsi="IRNazanin" w:eastAsia="IRNazanin"/>
          <w:color w:val="111111"/>
          <w:sz w:val="28"/>
          <w:sz w:val="28"/>
          <w:szCs w:val="28"/>
          <w:rtl w:val="true"/>
          <w:lang w:bidi="fa-IR"/>
        </w:rPr>
        <w:t xml:space="preserve">تذکره، عدم صحّت را به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در میان فقهای امامیّه کسی که از عباراتش خلاف نظر اَعلام استفاده می‌شود، ابن جُنید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صدقه، برای خداست، و متصدّقٌ عَلَیه را ذکر نکند،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باید به مصرف کسانی برسد که خداوند آنها را به عنوان موارد مصرف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r>
        <w:rPr>
          <w:rStyle w:val="FootnoteAnchor"/>
          <w:rtl w:val="true"/>
        </w:rPr>
        <w:footnoteReference w:id="672"/>
      </w:r>
      <w:r>
        <w:rPr>
          <w:rFonts w:ascii="IRNazanin" w:hAnsi="IRNazanin" w:eastAsia="IRNazanin"/>
          <w:color w:val="111111"/>
          <w:sz w:val="28"/>
          <w:sz w:val="28"/>
          <w:szCs w:val="28"/>
          <w:rtl w:val="true"/>
          <w:lang w:bidi="fa-IR"/>
        </w:rPr>
        <w:t>علامه در مختلف ضمن تمایل به این نظر ، آن را از ابی علیّ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برای این قول این است که؛ غرض در وقف صدقه و قربت است و اشکالی ندارد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عَلَیَّ اَنْ اَتَصَدَّقَ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ایراد این استدلال این است که معلوم نیست در وقف، مطلق قربت مورد نظر واقف بوده باشد، بلکه ممکن است نوعی خاصّ از قربت را در نظر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موقوفٌ‌عَلَیه یکی از ارکان وقف است که در این فرض اصلاً به حساب نیامده است و نمی‌توان مورد را بر اراده عمومیت وقف حمل کرد</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جامع المقاصد</w:t>
      </w:r>
      <w:r>
        <w:rPr>
          <w:rStyle w:val="FootnoteAnchor"/>
          <w:rtl w:val="true"/>
        </w:rPr>
        <w:footnoteReference w:id="674"/>
      </w:r>
      <w:r>
        <w:rPr>
          <w:rFonts w:ascii="IRNazanin" w:hAnsi="IRNazanin" w:eastAsia="IRNazanin"/>
          <w:color w:val="111111"/>
          <w:sz w:val="28"/>
          <w:sz w:val="28"/>
          <w:szCs w:val="28"/>
          <w:rtl w:val="true"/>
          <w:lang w:bidi="fa-IR"/>
        </w:rPr>
        <w:t>نیز دیدگاه ابن جنید را تضعیف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ابن جنید، مورد مصرف چنین وقفی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می‌کرد، مختارش بیشتر قابل دفاع بود؛ زیرا این مطلب بخوبی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صیغه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 استفاده می‌شود، مگر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برای بیان قصد قربت است و ربطی به بیان مصرف ندارد، یا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موارد </w:t>
      </w:r>
      <w:bookmarkStart w:id="424" w:name="pg4267_21893"/>
    </w:p>
    <w:p>
      <w:pPr>
        <w:pStyle w:val="BookText"/>
        <w:rPr/>
      </w:pPr>
      <w:bookmarkEnd w:id="424"/>
      <w:r>
        <w:rPr>
          <w:rFonts w:ascii="IRNazanin" w:hAnsi="IRNazanin" w:eastAsia="IRNazanin"/>
          <w:color w:val="111111"/>
          <w:sz w:val="28"/>
          <w:sz w:val="28"/>
          <w:szCs w:val="28"/>
          <w:rtl w:val="true"/>
          <w:lang w:bidi="fa-IR"/>
        </w:rPr>
        <w:t xml:space="preserve">مصرف زکات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دیدگاه و بیان ابن جنید در این جا قابل تأمّل و دقّت و توجّه است</w:t>
      </w:r>
      <w:r>
        <w:rPr>
          <w:rFonts w:eastAsia="IRNazanin" w:cs="IRNazanin"/>
          <w:color w:val="111111"/>
          <w:sz w:val="28"/>
          <w:szCs w:val="28"/>
          <w:rtl w:val="true"/>
          <w:lang w:bidi="fa-IR"/>
        </w:rPr>
        <w:t>.</w:t>
      </w:r>
    </w:p>
    <w:p>
      <w:pPr>
        <w:pStyle w:val="Heading6"/>
        <w:numPr>
          <w:ilvl w:val="5"/>
          <w:numId w:val="1"/>
        </w:numPr>
        <w:rPr/>
      </w:pPr>
      <w:bookmarkStart w:id="425" w:name="__RefHeading___Toc474199_1479056682"/>
      <w:bookmarkStart w:id="426" w:name="_Toc162"/>
      <w:bookmarkEnd w:id="425"/>
      <w:r>
        <w:rPr/>
        <w:t>2</w:t>
      </w:r>
      <w:r>
        <w:rPr>
          <w:rtl w:val="true"/>
        </w:rPr>
        <w:t xml:space="preserve">- </w:t>
      </w:r>
      <w:r>
        <w:rPr>
          <w:rtl w:val="true"/>
        </w:rPr>
        <w:t>وقف بر موارد غیر محصور</w:t>
      </w:r>
      <w:bookmarkEnd w:id="426"/>
    </w:p>
    <w:p>
      <w:pPr>
        <w:pStyle w:val="BookText"/>
        <w:rPr/>
      </w:pPr>
      <w:r>
        <w:rPr>
          <w:rFonts w:ascii="IRNazanin" w:hAnsi="IRNazanin" w:eastAsia="IRNazanin"/>
          <w:color w:val="111111"/>
          <w:sz w:val="28"/>
          <w:sz w:val="28"/>
          <w:szCs w:val="28"/>
          <w:rtl w:val="true"/>
          <w:lang w:bidi="fa-IR"/>
        </w:rPr>
        <w:t xml:space="preserve">از مواردی که 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وقف بر افراد غیرمحصور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منتشر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یا خیر؟</w:t>
      </w:r>
    </w:p>
    <w:p>
      <w:pPr>
        <w:pStyle w:val="BookText"/>
        <w:rPr/>
      </w:pPr>
      <w:r>
        <w:rPr>
          <w:rFonts w:ascii="IRNazanin" w:hAnsi="IRNazanin" w:eastAsia="IRNazanin"/>
          <w:color w:val="111111"/>
          <w:sz w:val="28"/>
          <w:sz w:val="28"/>
          <w:szCs w:val="28"/>
          <w:rtl w:val="true"/>
          <w:lang w:bidi="fa-IR"/>
        </w:rPr>
        <w:t>شیخ طوسی در مبسوط و خلاف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مثل بنی‌تمیم و بنی‌هاشم، هر چند غیرمحصور باشند، صحیح است</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علاّمه در قواعد نیز تصریح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 قبیله عظیمی، چون قریش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ثانی در ذیل این عبارت ضمن استفاده اجماع از ظاهر عبارت تذکره، دلیل صحّت را این امر</w:t>
      </w:r>
    </w:p>
    <w:p>
      <w:pPr>
        <w:pStyle w:val="BookText"/>
        <w:rPr/>
      </w:pPr>
      <w:r>
        <w:rPr>
          <w:rFonts w:ascii="IRNazanin" w:hAnsi="IRNazanin" w:eastAsia="IRNazanin"/>
          <w:color w:val="111111"/>
          <w:sz w:val="28"/>
          <w:sz w:val="28"/>
          <w:szCs w:val="28"/>
          <w:rtl w:val="true"/>
          <w:lang w:bidi="fa-IR"/>
        </w:rPr>
        <w:t>می‌داند که؛ انتشار و گستردگی قبیله مانع از صحّت وقف نیست، همچنان که وقف بر فقرا و مساکین به اتّفاق اَعلام، صحیح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در ضمن از عبارت محقّق ثانی، استفاده اجماع می‌شود،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کاربرده است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برای این مسأله این گونه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 افراد غیر منحصر در حقیقت وقف بر جهت مخصوصه است، نه بر اشخاص، و برای همین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وقف 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درآمد چنین وقفی در همه اشخاص داخل و مندرج در این صنف، واجب نیست و تنها صرف افراد موجود در بَلَدِ وقف می‌شود و حتَّی در وجوب استیعابِ کسانی که در بلد هستند نیز خلاف است و اظهر، عدم وجوب است و در روایت نیز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برای حاضران در بلدِ واقف است و لازم نیست به دنبال کسی بگردی</w:t>
      </w:r>
      <w:r>
        <w:rPr>
          <w:rFonts w:eastAsia="IRNazanin" w:cs="IRNazanin"/>
          <w:color w:val="111111"/>
          <w:sz w:val="28"/>
          <w:szCs w:val="28"/>
          <w:rtl w:val="true"/>
          <w:lang w:bidi="fa-IR"/>
        </w:rPr>
        <w:t>»</w:t>
      </w:r>
      <w:r>
        <w:rPr>
          <w:rStyle w:val="FootnoteAnchor"/>
          <w:rtl w:val="true"/>
        </w:rPr>
        <w:footnoteReference w:id="677"/>
      </w:r>
      <w:r>
        <w:rPr>
          <w:rFonts w:ascii="IRNazanin" w:hAnsi="IRNazanin" w:eastAsia="IRNazanin"/>
          <w:color w:val="111111"/>
          <w:sz w:val="28"/>
          <w:sz w:val="28"/>
          <w:szCs w:val="28"/>
          <w:rtl w:val="true"/>
          <w:lang w:bidi="fa-IR"/>
        </w:rPr>
        <w:t>مفتاح الکرامة ضمن نقل این قول از بسیاری از اعاظم از ظاهر تحریر و مسالک استفاده اجماع کرده و از شرایع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المَذْهَبُ</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 xml:space="preserve">امام خمینی، از فقهای معاصر، نیز به صحّت وقف بر غیرمحصور و عدم وجوب استیعاب، تصریح کرده است؛ امّا اگر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فقرای بنی فلان وقف کرده باشد و آنها محصور باشند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bookmarkStart w:id="427" w:name="pg4267_21894"/>
    </w:p>
    <w:p>
      <w:pPr>
        <w:pStyle w:val="BookText"/>
        <w:rPr/>
      </w:pPr>
      <w:bookmarkEnd w:id="427"/>
      <w:r>
        <w:rPr>
          <w:rFonts w:ascii="IRNazanin" w:hAnsi="IRNazanin" w:eastAsia="IRNazanin"/>
          <w:color w:val="111111"/>
          <w:sz w:val="28"/>
          <w:sz w:val="28"/>
          <w:szCs w:val="28"/>
          <w:rtl w:val="true"/>
          <w:lang w:bidi="fa-IR"/>
        </w:rPr>
        <w:t>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 باشند تفحّص و تجسّس برای یافتن آنها به مقدار امکان واجب است</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بنابراین تقریبا اتّفاقی است که در این مورد وقف بلا اشکال است و دلیل آن هم این است که وقف در این صورت در حقیقت وقف بر جهت است نه بر افراد تا محصور نبودن آنها مشکل ایجاد کند</w:t>
      </w:r>
      <w:r>
        <w:rPr>
          <w:rFonts w:eastAsia="IRNazanin" w:cs="IRNazanin"/>
          <w:color w:val="111111"/>
          <w:sz w:val="28"/>
          <w:szCs w:val="28"/>
          <w:rtl w:val="true"/>
          <w:lang w:bidi="fa-IR"/>
        </w:rPr>
        <w:t>.</w:t>
      </w:r>
    </w:p>
    <w:p>
      <w:pPr>
        <w:pStyle w:val="Heading6"/>
        <w:numPr>
          <w:ilvl w:val="5"/>
          <w:numId w:val="1"/>
        </w:numPr>
        <w:rPr/>
      </w:pPr>
      <w:bookmarkStart w:id="428" w:name="__RefHeading___Toc474201_1479056682"/>
      <w:bookmarkStart w:id="429" w:name="_Toc163"/>
      <w:bookmarkEnd w:id="428"/>
      <w:r>
        <w:rPr>
          <w:rtl w:val="true"/>
        </w:rPr>
        <w:t>دیدگاه دیگر مذاهب</w:t>
      </w:r>
      <w:bookmarkEnd w:id="429"/>
    </w:p>
    <w:p>
      <w:pPr>
        <w:pStyle w:val="Heading6"/>
        <w:numPr>
          <w:ilvl w:val="5"/>
          <w:numId w:val="1"/>
        </w:numPr>
        <w:rPr/>
      </w:pPr>
      <w:bookmarkStart w:id="430" w:name="__RefHeading___Toc474203_1479056682"/>
      <w:bookmarkStart w:id="431" w:name="_Toc164"/>
      <w:bookmarkEnd w:id="430"/>
      <w:r>
        <w:rPr>
          <w:rtl w:val="true"/>
        </w:rPr>
        <w:t>اشاره</w:t>
      </w:r>
      <w:bookmarkEnd w:id="431"/>
    </w:p>
    <w:p>
      <w:pPr>
        <w:pStyle w:val="BookText"/>
        <w:rPr/>
      </w:pPr>
      <w:r>
        <w:rPr>
          <w:rFonts w:ascii="IRNazanin" w:hAnsi="IRNazanin" w:eastAsia="IRNazanin"/>
          <w:color w:val="111111"/>
          <w:sz w:val="28"/>
          <w:sz w:val="28"/>
          <w:szCs w:val="28"/>
          <w:rtl w:val="true"/>
          <w:lang w:bidi="fa-IR"/>
        </w:rPr>
        <w:t>وَهْبَهُ‌الزُّحَیلی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و حنابله وقف بر مجهول را صحیح نمی‌دانند و تعیین را در موقوفٌ‌عَلَیه شرط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وقف بر مثل، مسجدی، مردی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امّا چنین وقفی در نزد شافعیّه و مالکیّه بلامانع است</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عدم صحّت وقف بر یکی از دو شخص تصریح کرده است</w:t>
      </w:r>
      <w:r>
        <w:rPr>
          <w:rFonts w:eastAsia="IRNazanin" w:cs="IRNazanin"/>
          <w:color w:val="111111"/>
          <w:sz w:val="28"/>
          <w:szCs w:val="28"/>
          <w:rtl w:val="true"/>
          <w:lang w:bidi="fa-IR"/>
        </w:rPr>
        <w:t>.</w:t>
      </w:r>
      <w:r>
        <w:rPr>
          <w:rStyle w:val="FootnoteAnchor"/>
          <w:rtl w:val="true"/>
        </w:rPr>
        <w:footnoteReference w:id="681"/>
      </w:r>
    </w:p>
    <w:p>
      <w:pPr>
        <w:pStyle w:val="Heading6"/>
        <w:numPr>
          <w:ilvl w:val="5"/>
          <w:numId w:val="1"/>
        </w:numPr>
        <w:rPr/>
      </w:pPr>
      <w:bookmarkStart w:id="432" w:name="__RefHeading___Toc474205_1479056682"/>
      <w:bookmarkStart w:id="433" w:name="_Toc165"/>
      <w:bookmarkEnd w:id="432"/>
      <w:r>
        <w:rPr/>
        <w:t>1</w:t>
      </w:r>
      <w:r>
        <w:rPr>
          <w:rtl w:val="true"/>
        </w:rPr>
        <w:t xml:space="preserve">- </w:t>
      </w:r>
      <w:r>
        <w:rPr>
          <w:rtl w:val="true"/>
        </w:rPr>
        <w:t>وقف بدون ذکر مصرف</w:t>
      </w:r>
      <w:bookmarkEnd w:id="433"/>
    </w:p>
    <w:p>
      <w:pPr>
        <w:pStyle w:val="BookText"/>
        <w:rPr/>
      </w:pPr>
      <w:r>
        <w:rPr>
          <w:rFonts w:ascii="Amiri" w:hAnsi="Amiri" w:eastAsia="Amiri" w:cs="Amiri"/>
          <w:color w:val="111111"/>
          <w:sz w:val="28"/>
          <w:sz w:val="28"/>
          <w:szCs w:val="28"/>
          <w:rtl w:val="true"/>
          <w:lang w:bidi="ar-SA"/>
        </w:rPr>
        <w:t>فقه زیدیّه</w:t>
      </w:r>
    </w:p>
    <w:p>
      <w:pPr>
        <w:pStyle w:val="BookText"/>
        <w:rPr/>
      </w:pPr>
      <w:r>
        <w:rPr>
          <w:rFonts w:ascii="IRNazanin" w:hAnsi="IRNazanin" w:eastAsia="IRNazanin"/>
          <w:color w:val="111111"/>
          <w:sz w:val="28"/>
          <w:sz w:val="28"/>
          <w:szCs w:val="28"/>
          <w:rtl w:val="true"/>
          <w:lang w:bidi="fa-IR"/>
        </w:rPr>
        <w:t xml:space="preserve">وقف بدون ذکر مصرف صحیح است؛ به دلیل سخن رسول خدا صلی‌الله‌علیه‌و‌آله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 خدا تفصیل نداد که مورد مصرف ذکر شود یا نشود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مذاهب اربعه</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 فقهای مذاهب، بجز 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یکی از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جهت مصرف را در وقف شرط نکرده‌اند و وقف بدون ذکر مصرف را صحیح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قُدامه در مغنی ضمن نسبت دادن صحّت چنین وقفی به مالک، احمد 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این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وقفی ازاله ملک بر وجه قربت است، لذا باید به طور مطلق صحیح باشد، همانند اُضْحیّه و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در آمد این وقف به مصرف وقف منقطع بعد از انقراض موقوفٌ‌عَلَیه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683"/>
      </w:r>
      <w:r>
        <w:rPr>
          <w:rFonts w:ascii="Amiri" w:hAnsi="Amiri" w:eastAsia="Amiri" w:cs="Amiri"/>
          <w:color w:val="111111"/>
          <w:sz w:val="28"/>
          <w:sz w:val="28"/>
          <w:szCs w:val="28"/>
          <w:rtl w:val="true"/>
          <w:lang w:bidi="ar-SA"/>
        </w:rPr>
        <w:t xml:space="preserve">در الشّرح </w:t>
      </w:r>
      <w:bookmarkStart w:id="434" w:name="pg4267_21895"/>
    </w:p>
    <w:p>
      <w:pPr>
        <w:pStyle w:val="BookText"/>
        <w:rPr/>
      </w:pPr>
      <w:bookmarkEnd w:id="434"/>
      <w:r>
        <w:rPr>
          <w:rFonts w:ascii="IRNazanin" w:hAnsi="IRNazanin" w:eastAsia="IRNazanin"/>
          <w:color w:val="111111"/>
          <w:sz w:val="28"/>
          <w:sz w:val="28"/>
          <w:szCs w:val="28"/>
          <w:rtl w:val="true"/>
          <w:lang w:bidi="fa-IR"/>
        </w:rPr>
        <w:t>الصّغیر و بُلغة السالک ضمن تصریح به عدم اشتراط تعیین مصرف در وقف، مورد مصرف آن را مواردی می‌داند که مقتضای عرف غالب است و اگر چنین عرفی نبود به مصرف فقرا می‌رسد</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شیخ طوسی در خلاف، برای شافعی دراین مسأله دو قول ذکرکرده‌است</w:t>
      </w:r>
      <w:r>
        <w:rPr>
          <w:rFonts w:eastAsia="IRNazanin" w:cs="IRNazanin"/>
          <w:color w:val="111111"/>
          <w:sz w:val="28"/>
          <w:szCs w:val="28"/>
          <w:rtl w:val="true"/>
          <w:lang w:bidi="fa-IR"/>
        </w:rPr>
        <w:t>.</w:t>
      </w:r>
      <w:r>
        <w:rPr>
          <w:rStyle w:val="FootnoteAnchor"/>
          <w:rtl w:val="true"/>
        </w:rPr>
        <w:footnoteReference w:id="685"/>
      </w:r>
      <w:r>
        <w:rPr>
          <w:rFonts w:ascii="IRNazanin" w:hAnsi="IRNazanin" w:eastAsia="IRNazanin"/>
          <w:color w:val="111111"/>
          <w:sz w:val="28"/>
          <w:sz w:val="28"/>
          <w:szCs w:val="28"/>
          <w:rtl w:val="true"/>
          <w:lang w:bidi="fa-IR"/>
        </w:rPr>
        <w:t>از عبارات شافعی در الامّ نیز اشتراط تعیین مورد مصرف استفاده می‌شود</w:t>
      </w:r>
      <w:r>
        <w:rPr>
          <w:rFonts w:eastAsia="IRNazanin" w:cs="IRNazanin"/>
          <w:color w:val="111111"/>
          <w:sz w:val="28"/>
          <w:szCs w:val="28"/>
          <w:rtl w:val="true"/>
          <w:lang w:bidi="fa-IR"/>
        </w:rPr>
        <w:t>.</w:t>
      </w:r>
      <w:r>
        <w:rPr>
          <w:rStyle w:val="FootnoteAnchor"/>
          <w:rtl w:val="true"/>
        </w:rPr>
        <w:footnoteReference w:id="686"/>
      </w:r>
      <w:r>
        <w:rPr>
          <w:rFonts w:ascii="Amiri" w:hAnsi="Amiri" w:eastAsia="Amiri" w:cs="Amiri"/>
          <w:color w:val="111111"/>
          <w:sz w:val="28"/>
          <w:sz w:val="28"/>
          <w:szCs w:val="28"/>
          <w:rtl w:val="true"/>
          <w:lang w:bidi="ar-SA"/>
        </w:rPr>
        <w:t>در المُدَوّنه‌الکبری از</w:t>
      </w:r>
    </w:p>
    <w:p>
      <w:pPr>
        <w:pStyle w:val="BookText"/>
        <w:rPr/>
      </w:pPr>
      <w:r>
        <w:rPr>
          <w:rFonts w:ascii="IRNazanin" w:hAnsi="IRNazanin" w:eastAsia="IRNazanin"/>
          <w:color w:val="111111"/>
          <w:sz w:val="28"/>
          <w:sz w:val="28"/>
          <w:szCs w:val="28"/>
          <w:rtl w:val="true"/>
          <w:lang w:bidi="fa-IR"/>
        </w:rPr>
        <w:t>مالک نقل شده است که وقتی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وصیّت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من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مورد مصرف را ذکر نکرده است، چه باید کرد؟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این مال بر فقرا و مساکین،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687"/>
      </w:r>
      <w:r>
        <w:rPr>
          <w:rFonts w:ascii="IRNazanin" w:hAnsi="IRNazanin" w:eastAsia="IRNazanin"/>
          <w:color w:val="111111"/>
          <w:sz w:val="28"/>
          <w:sz w:val="28"/>
          <w:szCs w:val="28"/>
          <w:rtl w:val="true"/>
          <w:lang w:bidi="fa-IR"/>
        </w:rPr>
        <w:t>ابن حَجَر در ابن حَجَر در فتح‌الباری همین قول را به ابویوسف و محمّد نیز نسبت داده از بخاری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خانه من برای خدا صدقه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مصرف را بیان نکند، این وقف صحیح است و باید آن را به خویشان خود اعطا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برای این مسأله به حدیث ابوطلحه استناد کرده است که به پیامبر صلی‌الله‌علیه‌و‌آله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اموال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بَیْرُحا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باغی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صدقه است برای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اجازه داد 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نزدیکان خویش قرار ده</w:t>
      </w:r>
      <w:r>
        <w:rPr>
          <w:rFonts w:eastAsia="IRNazanin" w:cs="IRNazanin"/>
          <w:color w:val="111111"/>
          <w:sz w:val="28"/>
          <w:szCs w:val="28"/>
          <w:rtl w:val="true"/>
          <w:lang w:bidi="fa-IR"/>
        </w:rPr>
        <w:t>.</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فقه ظاهریّه</w:t>
      </w:r>
    </w:p>
    <w:p>
      <w:pPr>
        <w:pStyle w:val="BookText"/>
        <w:rPr/>
      </w:pPr>
      <w:r>
        <w:rPr>
          <w:rFonts w:ascii="IRNazanin" w:hAnsi="IRNazanin" w:eastAsia="IRNazanin"/>
          <w:color w:val="111111"/>
          <w:sz w:val="28"/>
          <w:sz w:val="28"/>
          <w:szCs w:val="28"/>
          <w:rtl w:val="true"/>
          <w:lang w:bidi="fa-IR"/>
        </w:rPr>
        <w:t>ابن حزم ظاهری تصریح کرده است که اگر کسی خانه خود را وقف کند و مورد مصرف را ذکر نکند، تا زنده است می‌تواند آن را به هر کسی بخواهد انفاق کند، و وقتی از دنیا رفت، درآمد این وقف به خویشان و کسانی که نسبت به دیگران به او نزدیکتر</w:t>
      </w:r>
    </w:p>
    <w:p>
      <w:pPr>
        <w:pStyle w:val="BookText"/>
        <w:rPr/>
      </w:pPr>
      <w:r>
        <w:rPr>
          <w:rFonts w:ascii="IRNazanin" w:hAnsi="IRNazanin" w:eastAsia="IRNazanin"/>
          <w:color w:val="111111"/>
          <w:sz w:val="28"/>
          <w:sz w:val="28"/>
          <w:szCs w:val="28"/>
          <w:rtl w:val="true"/>
          <w:lang w:bidi="fa-IR"/>
        </w:rPr>
        <w:t>هستند،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دلیل این مسأله را همان حدیث معروف ابوطلحه ذکر کرده است</w:t>
      </w:r>
      <w:r>
        <w:rPr>
          <w:rFonts w:eastAsia="IRNazanin" w:cs="IRNazanin"/>
          <w:color w:val="111111"/>
          <w:sz w:val="28"/>
          <w:szCs w:val="28"/>
          <w:rtl w:val="true"/>
          <w:lang w:bidi="fa-IR"/>
        </w:rPr>
        <w:t>.</w:t>
      </w:r>
      <w:r>
        <w:rPr>
          <w:rStyle w:val="FootnoteAnchor"/>
          <w:rtl w:val="true"/>
        </w:rPr>
        <w:footnoteReference w:id="689"/>
      </w:r>
    </w:p>
    <w:p>
      <w:pPr>
        <w:pStyle w:val="Heading6"/>
        <w:numPr>
          <w:ilvl w:val="5"/>
          <w:numId w:val="1"/>
        </w:numPr>
        <w:rPr/>
      </w:pPr>
      <w:bookmarkStart w:id="435" w:name="__RefHeading___Toc474207_1479056682"/>
      <w:bookmarkStart w:id="436" w:name="_Toc166"/>
      <w:bookmarkEnd w:id="435"/>
      <w:r>
        <w:rPr/>
        <w:t>2</w:t>
      </w:r>
      <w:r>
        <w:rPr>
          <w:rtl w:val="true"/>
        </w:rPr>
        <w:t xml:space="preserve">- </w:t>
      </w:r>
      <w:r>
        <w:rPr>
          <w:rtl w:val="true"/>
        </w:rPr>
        <w:t>وقف بر افراد غیر محصور</w:t>
      </w:r>
      <w:bookmarkEnd w:id="43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عبارت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وقف بر غیرمحصور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w:t>
      </w:r>
      <w:bookmarkStart w:id="437" w:name="pg4267_21896"/>
    </w:p>
    <w:p>
      <w:pPr>
        <w:pStyle w:val="BookText"/>
        <w:rPr/>
      </w:pPr>
      <w:bookmarkEnd w:id="437"/>
      <w:r>
        <w:rPr>
          <w:rFonts w:ascii="IRNazanin" w:hAnsi="IRNazanin" w:eastAsia="IRNazanin"/>
          <w:color w:val="111111"/>
          <w:sz w:val="28"/>
          <w:sz w:val="28"/>
          <w:szCs w:val="28"/>
          <w:rtl w:val="true"/>
          <w:lang w:bidi="fa-IR"/>
        </w:rPr>
        <w:t>ادامه می‌دهد اگر محصور باشند، درآمد وقف بر رؤوس آنها توزیع می‌شود، امّا اگر محصور نباشند، به‌مصرف جنس آنها می‌رسد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منظورش این است که استیعاب لازم نیست</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 xml:space="preserve">ابن قُدامة، وقف بر قبیله‌های بزرگ مثل قریش، بنی‌هاشم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وقف بر همه مسلمین و اهل یک اقلیم؛ و نیز بر انسان جایز است که بر عشیره و اهل شهر خویش وقف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ادامه از شافعی، در یکی از دو قولش، نقل کرده است که وقف بر کسانی که استیعاب و حصر آنها ممکن نباشد، بجز مساکین و مانند آنها، صحیح نیست؛ زیرا این وقف تصرّف در حقّ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ابن‌قُدامه، قول شافعی را به صحّتِ وقف بر فقرا و مساکین، نقض کرده است</w:t>
      </w:r>
      <w:r>
        <w:rPr>
          <w:rFonts w:eastAsia="IRNazanin" w:cs="IRNazanin"/>
          <w:color w:val="111111"/>
          <w:sz w:val="28"/>
          <w:szCs w:val="28"/>
          <w:rtl w:val="true"/>
          <w:lang w:bidi="fa-IR"/>
        </w:rPr>
        <w:t>.</w:t>
      </w:r>
      <w:r>
        <w:rPr>
          <w:rStyle w:val="FootnoteAnchor"/>
          <w:rtl w:val="true"/>
        </w:rPr>
        <w:footnoteReference w:id="691"/>
      </w:r>
    </w:p>
    <w:p>
      <w:pPr>
        <w:pStyle w:val="Heading6"/>
        <w:numPr>
          <w:ilvl w:val="5"/>
          <w:numId w:val="1"/>
        </w:numPr>
        <w:rPr/>
      </w:pPr>
      <w:bookmarkStart w:id="438" w:name="__RefHeading___Toc474209_1479056682"/>
      <w:bookmarkStart w:id="439" w:name="_Toc167"/>
      <w:bookmarkEnd w:id="438"/>
      <w:r>
        <w:rPr/>
        <w:t>3</w:t>
      </w:r>
      <w:r>
        <w:rPr>
          <w:rtl w:val="true"/>
        </w:rPr>
        <w:t xml:space="preserve">- </w:t>
      </w:r>
      <w:r>
        <w:rPr>
          <w:rtl w:val="true"/>
        </w:rPr>
        <w:t>موقوفات مجهول المصرف</w:t>
      </w:r>
      <w:bookmarkEnd w:id="439"/>
    </w:p>
    <w:p>
      <w:pPr>
        <w:pStyle w:val="BookText"/>
        <w:rPr/>
      </w:pPr>
      <w:r>
        <w:rPr>
          <w:rFonts w:ascii="IRNazanin" w:hAnsi="IRNazanin" w:eastAsia="IRNazanin"/>
          <w:color w:val="111111"/>
          <w:sz w:val="28"/>
          <w:sz w:val="28"/>
          <w:szCs w:val="28"/>
          <w:rtl w:val="true"/>
          <w:lang w:bidi="fa-IR"/>
        </w:rPr>
        <w:t>منظور از این عنوان، مواردی است که می‌دانیم وقف از آغاز به طور صحیح برای مصارف معیّنی انجام شده، امّا اکنون به دلایلی آن موارد مجهول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ارباب وقف شناخته نشوند، وقف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تعیین جهت موقوفٌ‌عَلَیه غیرممکن است، لذا حکم وقف بر مصلحتی پیدا می‌کند که رسم آن باطل شده است</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صاحب جواهر چنین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تأمّل نیست که مال وقف، در صورت ناشناخته بودن ارباب آن، در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 هر چند سبزواری در کفایه در این موارد توقّف کرده است، ولی این توقّف بجا نیست؛ زیرا بدیهی است که این مورد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اموال مجهول المالک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در روایت ابی‌علی‌بن راشد نیز آمده است 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امام علیه‌السلامپرسیدم؛ اگر صاحب ملک وقفی را نشناختم؟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آن را تصدّق کن</w:t>
      </w:r>
      <w:r>
        <w:rPr>
          <w:rFonts w:eastAsia="IRNazanin" w:cs="IRNazanin"/>
          <w:color w:val="111111"/>
          <w:sz w:val="28"/>
          <w:szCs w:val="28"/>
          <w:rtl w:val="true"/>
          <w:lang w:bidi="fa-IR"/>
        </w:rPr>
        <w:t>.»</w:t>
      </w:r>
      <w:r>
        <w:rPr>
          <w:rStyle w:val="FootnoteAnchor"/>
          <w:rtl w:val="true"/>
        </w:rPr>
        <w:footnoteReference w:id="693"/>
      </w:r>
      <w:r>
        <w:rPr>
          <w:rFonts w:ascii="IRNazanin" w:hAnsi="IRNazanin" w:eastAsia="IRNazanin"/>
          <w:color w:val="111111"/>
          <w:sz w:val="28"/>
          <w:sz w:val="28"/>
          <w:szCs w:val="28"/>
          <w:rtl w:val="true"/>
          <w:lang w:bidi="fa-IR"/>
        </w:rPr>
        <w:t>و این روایت در مطلبی که بیان شد صراحت دارد</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صاحب مفتاح الکرامة</w:t>
      </w:r>
      <w:r>
        <w:rPr>
          <w:rStyle w:val="FootnoteAnchor"/>
          <w:rtl w:val="true"/>
        </w:rPr>
        <w:footnoteReference w:id="695"/>
      </w:r>
      <w:r>
        <w:rPr>
          <w:rFonts w:ascii="IRNazanin" w:hAnsi="IRNazanin" w:eastAsia="IRNazanin"/>
          <w:color w:val="111111"/>
          <w:sz w:val="28"/>
          <w:sz w:val="28"/>
          <w:szCs w:val="28"/>
          <w:rtl w:val="true"/>
          <w:lang w:bidi="fa-IR"/>
        </w:rPr>
        <w:t>و از متأخّران و معاصران، صاحب عروه،</w:t>
      </w:r>
      <w:r>
        <w:rPr>
          <w:rStyle w:val="FootnoteAnchor"/>
          <w:rtl w:val="true"/>
        </w:rPr>
        <w:footnoteReference w:id="696"/>
      </w:r>
      <w:r>
        <w:rPr>
          <w:rFonts w:ascii="IRNazanin" w:hAnsi="IRNazanin" w:eastAsia="IRNazanin"/>
          <w:color w:val="111111"/>
          <w:sz w:val="28"/>
          <w:sz w:val="28"/>
          <w:szCs w:val="28"/>
          <w:rtl w:val="true"/>
          <w:lang w:bidi="fa-IR"/>
        </w:rPr>
        <w:t>و امام خمینی،</w:t>
      </w:r>
      <w:r>
        <w:rPr>
          <w:rStyle w:val="FootnoteAnchor"/>
          <w:rtl w:val="true"/>
        </w:rPr>
        <w:footnoteReference w:id="6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bookmarkStart w:id="440" w:name="pg4267_21897"/>
    </w:p>
    <w:p>
      <w:pPr>
        <w:pStyle w:val="BookText"/>
        <w:rPr/>
      </w:pPr>
      <w:bookmarkEnd w:id="440"/>
      <w:r>
        <w:rPr>
          <w:rFonts w:ascii="IRNazanin" w:hAnsi="IRNazanin" w:eastAsia="IRNazanin"/>
          <w:color w:val="111111"/>
          <w:sz w:val="28"/>
          <w:sz w:val="28"/>
          <w:szCs w:val="28"/>
          <w:rtl w:val="true"/>
          <w:lang w:bidi="fa-IR"/>
        </w:rPr>
        <w:t>لزوم صرف درآمد چنین وقفی در وجوه برّ، تصریح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مورد مصرف وقف بین چند عنوان یا چند شخص مشتبه شده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 فقها و نحویین، و محتملات هم متصادق نباشند، عدّه‌ای از اَعلام از جمله صاحب جواهر</w:t>
      </w:r>
      <w:r>
        <w:rPr>
          <w:rStyle w:val="FootnoteAnchor"/>
          <w:rtl w:val="true"/>
        </w:rPr>
        <w:footnoteReference w:id="698"/>
      </w:r>
      <w:r>
        <w:rPr>
          <w:rFonts w:ascii="IRNazanin" w:hAnsi="IRNazanin" w:eastAsia="IRNazanin"/>
          <w:color w:val="111111"/>
          <w:sz w:val="28"/>
          <w:sz w:val="28"/>
          <w:szCs w:val="28"/>
          <w:rtl w:val="true"/>
          <w:lang w:bidi="fa-IR"/>
        </w:rPr>
        <w:t>، صاحب عروه</w:t>
      </w:r>
      <w:r>
        <w:rPr>
          <w:rStyle w:val="FootnoteAnchor"/>
          <w:rtl w:val="true"/>
        </w:rPr>
        <w:footnoteReference w:id="699"/>
      </w:r>
      <w:r>
        <w:rPr>
          <w:rFonts w:ascii="IRNazanin" w:hAnsi="IRNazanin" w:eastAsia="IRNazanin"/>
          <w:color w:val="111111"/>
          <w:sz w:val="28"/>
          <w:sz w:val="28"/>
          <w:szCs w:val="28"/>
          <w:rtl w:val="true"/>
          <w:lang w:bidi="fa-IR"/>
        </w:rPr>
        <w:t>آیه‌اللّه خویی</w:t>
      </w:r>
      <w:r>
        <w:rPr>
          <w:rStyle w:val="FootnoteAnchor"/>
          <w:rtl w:val="true"/>
        </w:rPr>
        <w:footnoteReference w:id="70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قایل به قرعه شده‌اند؛ امّا اگر موارد مشتبه، متصادِق باشند؛ مثل این که بین وقف بر فقرا و وقف بر فقها دایر باشد، در موارد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فقهای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مصرف می‌رسد و در غیر این صورت، حکم، همان مصرف در موارد بِرّ است که بحث و بیان آن گذشت</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صاحب جواهر از تذکره علاّمه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جهل به مصرف، اگر واقف زنده باشد، لزوم رجوع به او در حلّ مشکل، بعید نیست؛ امّا این بیان محلّ اشکال</w:t>
      </w:r>
    </w:p>
    <w:p>
      <w:pPr>
        <w:pStyle w:val="BookText"/>
        <w:rPr/>
      </w:pPr>
      <w:r>
        <w:rPr>
          <w:rFonts w:ascii="IRNazanin" w:hAnsi="IRNazanin" w:eastAsia="IRNazanin"/>
          <w:color w:val="111111"/>
          <w:sz w:val="28"/>
          <w:sz w:val="28"/>
          <w:szCs w:val="28"/>
          <w:rtl w:val="true"/>
          <w:lang w:bidi="fa-IR"/>
        </w:rPr>
        <w:t>و ایراد است، چرا که واقف با وقف مال خویش نسبت به آن، حکم اجنبی را پیدا کرده است</w:t>
      </w:r>
      <w:r>
        <w:rPr>
          <w:rFonts w:eastAsia="IRNazanin" w:cs="IRNazanin"/>
          <w:color w:val="111111"/>
          <w:sz w:val="28"/>
          <w:szCs w:val="28"/>
          <w:rtl w:val="true"/>
          <w:lang w:bidi="fa-IR"/>
        </w:rPr>
        <w:t>.</w:t>
      </w:r>
      <w:r>
        <w:rPr>
          <w:rStyle w:val="FootnoteAnchor"/>
          <w:rtl w:val="true"/>
        </w:rPr>
        <w:footnoteReference w:id="702"/>
      </w:r>
      <w:r>
        <w:rPr>
          <w:rFonts w:ascii="IRNazanin" w:hAnsi="IRNazanin" w:eastAsia="IRNazanin"/>
          <w:color w:val="111111"/>
          <w:sz w:val="28"/>
          <w:sz w:val="28"/>
          <w:szCs w:val="28"/>
          <w:rtl w:val="true"/>
          <w:lang w:bidi="fa-IR"/>
        </w:rPr>
        <w:t xml:space="preserve">در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زیدیّه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اموالی که برای عمارت و آبادانی مسجد وقف شده چیزی زیاد بیاید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مصرف آن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مصرف اموری می‌رسد که به آبادانی و حیات بیشتر مسجد کمک می‌کند، همانند تدریس، مصاحف، کتابخانه، وعظ، حفر چاه، و </w:t>
      </w:r>
      <w:r>
        <w:rPr>
          <w:rFonts w:eastAsia="IRNazanin" w:cs="IRNazanin"/>
          <w:color w:val="111111"/>
          <w:sz w:val="28"/>
          <w:szCs w:val="28"/>
          <w:rtl w:val="true"/>
          <w:lang w:bidi="fa-IR"/>
        </w:rPr>
        <w:t>...</w:t>
      </w:r>
      <w:r>
        <w:rPr>
          <w:rStyle w:val="FootnoteAnchor"/>
          <w:rtl w:val="true"/>
        </w:rPr>
        <w:footnoteReference w:id="703"/>
      </w:r>
    </w:p>
    <w:p>
      <w:pPr>
        <w:pStyle w:val="BookText"/>
        <w:rPr/>
      </w:pPr>
      <w:r>
        <w:rPr>
          <w:rFonts w:ascii="IRNazanin" w:hAnsi="IRNazanin" w:eastAsia="IRNazanin"/>
          <w:color w:val="111111"/>
          <w:sz w:val="28"/>
          <w:sz w:val="28"/>
          <w:szCs w:val="28"/>
          <w:rtl w:val="true"/>
          <w:lang w:bidi="fa-IR"/>
        </w:rPr>
        <w:t>بنابراین به نظر می‌رسد مصرف وقف مجهول‌المصرف در وجوه بِرّ موجّه‌ترین مصرف باشد، زیرا گذشته از این که اکثر قریب به اتّفاق فقها این دیدگاه را برگزیده‌اند،</w:t>
      </w:r>
    </w:p>
    <w:p>
      <w:pPr>
        <w:pStyle w:val="BookText"/>
        <w:rPr/>
      </w:pPr>
      <w:r>
        <w:rPr>
          <w:rFonts w:ascii="IRNazanin" w:hAnsi="IRNazanin" w:eastAsia="IRNazanin"/>
          <w:color w:val="111111"/>
          <w:sz w:val="28"/>
          <w:sz w:val="28"/>
          <w:szCs w:val="28"/>
          <w:rtl w:val="true"/>
          <w:lang w:bidi="fa-IR"/>
        </w:rPr>
        <w:t>غالباً واقفان به این امر راضی هستند</w:t>
      </w:r>
      <w:r>
        <w:rPr>
          <w:rFonts w:eastAsia="IRNazanin" w:cs="IRNazanin"/>
          <w:color w:val="111111"/>
          <w:sz w:val="28"/>
          <w:szCs w:val="28"/>
          <w:rtl w:val="true"/>
          <w:lang w:bidi="fa-IR"/>
        </w:rPr>
        <w:t>.</w:t>
      </w:r>
    </w:p>
    <w:p>
      <w:pPr>
        <w:pStyle w:val="Heading6"/>
        <w:numPr>
          <w:ilvl w:val="5"/>
          <w:numId w:val="1"/>
        </w:numPr>
        <w:rPr/>
      </w:pPr>
      <w:bookmarkStart w:id="441" w:name="__RefHeading___Toc474211_1479056682"/>
      <w:bookmarkStart w:id="442" w:name="_Toc168"/>
      <w:bookmarkEnd w:id="441"/>
      <w:r>
        <w:rPr/>
        <w:t>4</w:t>
      </w:r>
      <w:r>
        <w:rPr>
          <w:rtl w:val="true"/>
        </w:rPr>
        <w:t xml:space="preserve">- </w:t>
      </w:r>
      <w:r>
        <w:rPr>
          <w:rtl w:val="true"/>
        </w:rPr>
        <w:t>اوقافی که رسم آنها باطل شده است</w:t>
      </w:r>
      <w:bookmarkEnd w:id="442"/>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این عنوان مواردی است که مالی بر جهت مصرفی وقف شده و اکنون دیگر آن جهت موضوعیّتی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مالی برای پلی معیّن وقف شده باشد و در حال حاضر، آن پل به هیچ وجه محلّ تردّد مردم نباشد و مشابه این موارد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مفید در مقنعه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مسلمان، مالی را بر مصلحتی وقف کند و بعد رسم آن مصلحت باطل شود، آن مال در وجوه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راههای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شیخ در نهایه ضمن تصریح به همین مطلب، وجوه بِرّ را به فقرا، مساکین و مصالح مسلمین ، تفسیر کرده است</w:t>
      </w:r>
      <w:r>
        <w:rPr>
          <w:rFonts w:eastAsia="IRNazanin" w:cs="IRNazanin"/>
          <w:color w:val="111111"/>
          <w:sz w:val="28"/>
          <w:szCs w:val="28"/>
          <w:rtl w:val="true"/>
          <w:lang w:bidi="fa-IR"/>
        </w:rPr>
        <w:t>.</w:t>
      </w:r>
      <w:r>
        <w:rPr>
          <w:rStyle w:val="FootnoteAnchor"/>
          <w:rtl w:val="true"/>
        </w:rPr>
        <w:footnoteReference w:id="705"/>
      </w:r>
      <w:r>
        <w:rPr>
          <w:rFonts w:ascii="IRNazanin" w:hAnsi="IRNazanin" w:eastAsia="IRNazanin"/>
          <w:color w:val="111111"/>
          <w:sz w:val="28"/>
          <w:sz w:val="28"/>
          <w:szCs w:val="28"/>
          <w:rtl w:val="true"/>
          <w:lang w:bidi="fa-IR"/>
        </w:rPr>
        <w:t>فیض کاشانی</w:t>
      </w:r>
      <w:r>
        <w:rPr>
          <w:rStyle w:val="FootnoteAnchor"/>
          <w:rtl w:val="true"/>
        </w:rPr>
        <w:footnoteReference w:id="706"/>
      </w:r>
      <w:r>
        <w:rPr>
          <w:rFonts w:ascii="Amiri" w:hAnsi="Amiri" w:eastAsia="Amiri" w:cs="Amiri"/>
          <w:color w:val="111111"/>
          <w:sz w:val="28"/>
          <w:sz w:val="28"/>
          <w:szCs w:val="28"/>
          <w:rtl w:val="true"/>
          <w:lang w:bidi="ar-SA"/>
        </w:rPr>
        <w:t>و شهید اوّل</w:t>
      </w:r>
      <w:r>
        <w:rPr>
          <w:rStyle w:val="FootnoteAnchor"/>
          <w:rtl w:val="true"/>
        </w:rPr>
        <w:footnoteReference w:id="70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دیدگاه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آن را به مشهور نسبت داده و خود نیز آن را صحیح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و صاحب جواهر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کسی را منکر و رد کننده این قول نیافتیم، بجز محقّق اوّل در المختصر النّافع که آن را به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البتّه در شرایع به همان نظر مشهور تصریح شده است</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دلیل اصحاب بر این حکم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با وقف از ملک واقف خارج شده است، لذا قطعا دوباره به ملک او باز نمی‌گردد، مورد خاصّی هم که وجود ندارد، در نتیجه بهترین موردِ ممکن، که نزدیکترین مورد به منظور و مراد واقف نیز هست، همان وجوه 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این که حکم به مصرف آن در موارد مشابهِ رسمِ باطل شده نمی‌شود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خروج آن از ملکِ واقف و بطلان مصلحت مورد نظرِ واقف، همه موارد وجوه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مشابه و 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وقف مساوی‌اند و مشابهت نیز موجب هیچ گونه اولویّتی نمی‌شود</w:t>
      </w:r>
      <w:r>
        <w:rPr>
          <w:rFonts w:eastAsia="IRNazanin" w:cs="IRNazanin"/>
          <w:color w:val="111111"/>
          <w:sz w:val="28"/>
          <w:szCs w:val="28"/>
          <w:rtl w:val="true"/>
          <w:lang w:bidi="fa-IR"/>
        </w:rPr>
        <w:t>.</w:t>
      </w:r>
      <w:r>
        <w:rPr>
          <w:rStyle w:val="FootnoteAnchor"/>
          <w:rtl w:val="true"/>
        </w:rPr>
        <w:footnoteReference w:id="709"/>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عدّه‌ای از اَعلام، مانند شهید در مسالک، فیض کاشانی در مفاتیح، فاضل مقداد در تنقیح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مسجد، پل و مانند اینها در حقیقت وقف بر مسلمین است و با بطلان مصلحت در یک مورد، مسلمین که منقرض نشده‌اند، لذا باید آن را در مصالح آنان مصرف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لازم است موردی انتخاب شود که به مصلحت باطل شده نزدیکتر باشد؛ مثلاً اگر وقف بر مسجد بوده به مصرف مسجد دیگری و اگر </w:t>
      </w:r>
      <w:bookmarkStart w:id="443" w:name="pg4267_21899"/>
    </w:p>
    <w:p>
      <w:pPr>
        <w:pStyle w:val="BookText"/>
        <w:rPr/>
      </w:pPr>
      <w:bookmarkEnd w:id="443"/>
      <w:r>
        <w:rPr>
          <w:rFonts w:ascii="IRNazanin" w:hAnsi="IRNazanin" w:eastAsia="IRNazanin"/>
          <w:color w:val="111111"/>
          <w:sz w:val="28"/>
          <w:sz w:val="28"/>
          <w:szCs w:val="28"/>
          <w:rtl w:val="true"/>
          <w:lang w:bidi="fa-IR"/>
        </w:rPr>
        <w:t xml:space="preserve">وقف بر پُل بوده به مصرف پُل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وقف بر روغن چراغ مسجد بوده، به مصرف هزینه برق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 زیرا زوال شخص، موجب زوال صنف نمی‌شود و ممکن است غرض و اقف به آن مورد خاصّ یا نوع آن تعلق گرفته باشد و با وجود نوع حتّی‌الامکان نباید به سراغ جنس رفت</w:t>
      </w:r>
      <w:r>
        <w:rPr>
          <w:rFonts w:eastAsia="IRNazanin" w:cs="IRNazanin"/>
          <w:color w:val="111111"/>
          <w:sz w:val="28"/>
          <w:szCs w:val="28"/>
          <w:rtl w:val="true"/>
          <w:lang w:bidi="fa-IR"/>
        </w:rPr>
        <w:t>.</w:t>
      </w:r>
      <w:r>
        <w:rPr>
          <w:rStyle w:val="FootnoteAnchor"/>
          <w:rtl w:val="true"/>
        </w:rPr>
        <w:footnoteReference w:id="710"/>
      </w:r>
    </w:p>
    <w:p>
      <w:pPr>
        <w:pStyle w:val="BookText"/>
        <w:rPr/>
      </w:pPr>
      <w:r>
        <w:rPr>
          <w:rFonts w:ascii="IRNazanin" w:hAnsi="IRNazanin" w:eastAsia="IRNazanin"/>
          <w:color w:val="111111"/>
          <w:sz w:val="28"/>
          <w:sz w:val="28"/>
          <w:szCs w:val="28"/>
          <w:rtl w:val="true"/>
          <w:lang w:bidi="fa-IR"/>
        </w:rPr>
        <w:t>صاحب مفتاح نیز ضمن بحثی نسبتا مفصّل، رعایتِ مورد نزدیکتر به مصلحت باطل شده را تقریب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واقف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مثل وقف بر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در نظر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بودن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معیّن، و با زوال یکی از سه چیز، آن دو امر دیگر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قاعده‌های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اَلْمَیْسُورُ لایَسْقُطُ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یُدْرَکُ کُلُّه لا یُتْرَکُ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نکته قابل توجّه این که اگر رسم باطل شده دوباره به حال اوّل باز گردد لازم است به همان عقد سابق عمل شود؛ زیرا تنها مورد تَعَذُّر از قاعده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 در نتیجه بقیه موارد در زیر این عنوان عامّ باقی می‌مانند</w:t>
      </w:r>
      <w:r>
        <w:rPr>
          <w:rFonts w:eastAsia="IRNazanin" w:cs="IRNazanin"/>
          <w:color w:val="111111"/>
          <w:sz w:val="28"/>
          <w:szCs w:val="28"/>
          <w:rtl w:val="true"/>
          <w:lang w:bidi="fa-IR"/>
        </w:rPr>
        <w:t>.</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به نظر می‌رسد مصرف چنین وقفی در موردی که صاحب مفتاح الکرامة تقریب کرده موجّه باشد، زیرا از سویی نظر بزرگانی که مورد را وجوه بِرّ می‌دانند تأمین شده است و از سوی دیگر از روح حاکم بر ادله وقف چنین برمی‌آید که؛ رعایت نظر واقف حتّی‌الامکان لازم است</w:t>
      </w:r>
      <w:r>
        <w:rPr>
          <w:rFonts w:eastAsia="IRNazanin" w:cs="IRNazanin"/>
          <w:color w:val="111111"/>
          <w:sz w:val="28"/>
          <w:szCs w:val="28"/>
          <w:rtl w:val="true"/>
          <w:lang w:bidi="fa-IR"/>
        </w:rPr>
        <w:t>.</w:t>
      </w:r>
    </w:p>
    <w:p>
      <w:pPr>
        <w:pStyle w:val="Heading6"/>
        <w:numPr>
          <w:ilvl w:val="5"/>
          <w:numId w:val="1"/>
        </w:numPr>
        <w:rPr/>
      </w:pPr>
      <w:bookmarkStart w:id="444" w:name="__RefHeading___Toc474213_1479056682"/>
      <w:bookmarkStart w:id="445" w:name="_Toc169"/>
      <w:bookmarkEnd w:id="444"/>
      <w:r>
        <w:rPr/>
        <w:t>5</w:t>
      </w:r>
      <w:r>
        <w:rPr>
          <w:rtl w:val="true"/>
        </w:rPr>
        <w:t xml:space="preserve">- </w:t>
      </w:r>
      <w:r>
        <w:rPr>
          <w:rtl w:val="true"/>
        </w:rPr>
        <w:t xml:space="preserve">وقف در صورت انقراض </w:t>
      </w:r>
      <w:r>
        <w:rPr>
          <w:rtl w:val="true"/>
        </w:rPr>
        <w:t>«</w:t>
      </w:r>
      <w:r>
        <w:rPr>
          <w:rtl w:val="true"/>
        </w:rPr>
        <w:t>موقوفٌ عَلَیهم</w:t>
      </w:r>
      <w:r>
        <w:rPr>
          <w:rtl w:val="true"/>
        </w:rPr>
        <w:t>»</w:t>
      </w:r>
      <w:bookmarkEnd w:id="445"/>
    </w:p>
    <w:p>
      <w:pPr>
        <w:pStyle w:val="BookText"/>
        <w:rPr/>
      </w:pPr>
      <w:r>
        <w:rPr>
          <w:rFonts w:ascii="IRNazanin" w:hAnsi="IRNazanin" w:eastAsia="IRNazanin"/>
          <w:color w:val="111111"/>
          <w:sz w:val="28"/>
          <w:sz w:val="28"/>
          <w:szCs w:val="28"/>
          <w:rtl w:val="true"/>
          <w:lang w:bidi="fa-IR"/>
        </w:rPr>
        <w:t xml:space="preserve">گاه می‌شود که واقف، ازآغازمالی‌را برمواردی‌وقف‌می‌کندکه‌قطعا یا عادتا منقرض می‌شوند که چنین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منقطع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و بحث آن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دوام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شرایط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گاه وقف از آغاز، منقطع الآخر نیست، بلکه بعدها به دلایل گوناگونی مَوْقُوفٌ‌عَلَیْهم منقرض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پیرامون این فرض بحث مختصری می‌شود تا </w:t>
      </w:r>
      <w:bookmarkStart w:id="446" w:name="pg4267_21900"/>
    </w:p>
    <w:p>
      <w:pPr>
        <w:pStyle w:val="BookText"/>
        <w:rPr/>
      </w:pPr>
      <w:bookmarkEnd w:id="446"/>
      <w:r>
        <w:rPr>
          <w:rFonts w:ascii="IRNazanin" w:hAnsi="IRNazanin" w:eastAsia="IRNazanin"/>
          <w:color w:val="111111"/>
          <w:sz w:val="28"/>
          <w:sz w:val="28"/>
          <w:szCs w:val="28"/>
          <w:rtl w:val="true"/>
          <w:lang w:bidi="fa-IR"/>
        </w:rPr>
        <w:t>تکرار هم لازم نیاید</w:t>
      </w:r>
      <w:r>
        <w:rPr>
          <w:rFonts w:eastAsia="IRNazanin" w:cs="IRNazanin"/>
          <w:color w:val="111111"/>
          <w:sz w:val="28"/>
          <w:szCs w:val="28"/>
          <w:rtl w:val="true"/>
          <w:lang w:bidi="fa-IR"/>
        </w:rPr>
        <w:t>.</w:t>
      </w:r>
    </w:p>
    <w:p>
      <w:pPr>
        <w:pStyle w:val="Heading6"/>
        <w:numPr>
          <w:ilvl w:val="5"/>
          <w:numId w:val="1"/>
        </w:numPr>
        <w:rPr/>
      </w:pPr>
      <w:bookmarkStart w:id="447" w:name="__RefHeading___Toc474215_1479056682"/>
      <w:bookmarkStart w:id="448" w:name="_Toc170"/>
      <w:bookmarkEnd w:id="447"/>
      <w:r>
        <w:rPr>
          <w:rtl w:val="true"/>
        </w:rPr>
        <w:t>دیدگاه امامیّه</w:t>
      </w:r>
      <w:bookmarkEnd w:id="448"/>
    </w:p>
    <w:p>
      <w:pPr>
        <w:pStyle w:val="BookText"/>
        <w:rPr/>
      </w:pPr>
      <w:r>
        <w:rPr>
          <w:rFonts w:ascii="IRNazanin" w:hAnsi="IRNazanin" w:eastAsia="IRNazanin"/>
          <w:color w:val="111111"/>
          <w:sz w:val="28"/>
          <w:sz w:val="28"/>
          <w:szCs w:val="28"/>
          <w:rtl w:val="true"/>
          <w:lang w:bidi="fa-IR"/>
        </w:rPr>
        <w:t>همان طور که شهید در مسالک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در این مسأله سه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که مختار اکثر از جمله؛ علاّمه در بیشتر کُتبش</w:t>
      </w:r>
      <w:r>
        <w:rPr>
          <w:rStyle w:val="FootnoteAnchor"/>
          <w:rtl w:val="true"/>
        </w:rPr>
        <w:footnoteReference w:id="713"/>
      </w:r>
      <w:r>
        <w:rPr>
          <w:rFonts w:ascii="IRNazanin" w:hAnsi="IRNazanin" w:eastAsia="IRNazanin"/>
          <w:color w:val="111111"/>
          <w:sz w:val="28"/>
          <w:sz w:val="28"/>
          <w:szCs w:val="28"/>
          <w:rtl w:val="true"/>
          <w:lang w:bidi="fa-IR"/>
        </w:rPr>
        <w:t>هست، این است که؛ این مال به ورثه واقف باز می‌گردد، زیرا این مال بکلّی از مِلک او خارج نشده و تنها شامل</w:t>
      </w:r>
    </w:p>
    <w:p>
      <w:pPr>
        <w:pStyle w:val="BookText"/>
        <w:rPr/>
      </w:pPr>
      <w:r>
        <w:rPr>
          <w:rFonts w:ascii="Amiri" w:hAnsi="Amiri" w:eastAsia="Amiri" w:cs="Amiri"/>
          <w:color w:val="111111"/>
          <w:sz w:val="28"/>
          <w:sz w:val="28"/>
          <w:szCs w:val="28"/>
          <w:rtl w:val="true"/>
          <w:lang w:bidi="ar-SA"/>
        </w:rPr>
        <w:t>اشخاص شده است و نیز به دلیل حدیث عسکری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7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رعایت نظر واقف غیر ممکن شده به خود او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و نهایه نیز همین قول را تقریب، و به روایاتی نیز اشاره کرده است</w:t>
      </w:r>
      <w:r>
        <w:rPr>
          <w:rFonts w:eastAsia="IRNazanin" w:cs="IRNazanin"/>
          <w:color w:val="111111"/>
          <w:sz w:val="28"/>
          <w:szCs w:val="28"/>
          <w:rtl w:val="true"/>
          <w:lang w:bidi="fa-IR"/>
        </w:rPr>
        <w:t>.</w:t>
      </w:r>
      <w:r>
        <w:rPr>
          <w:rStyle w:val="FootnoteAnchor"/>
          <w:rtl w:val="true"/>
        </w:rPr>
        <w:footnoteReference w:id="715"/>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مفید</w:t>
      </w:r>
      <w:r>
        <w:rPr>
          <w:rStyle w:val="FootnoteAnchor"/>
          <w:rtl w:val="true"/>
        </w:rPr>
        <w:footnoteReference w:id="716"/>
      </w:r>
      <w:r>
        <w:rPr>
          <w:rFonts w:ascii="IRNazanin" w:hAnsi="IRNazanin" w:eastAsia="IRNazanin"/>
          <w:color w:val="111111"/>
          <w:sz w:val="28"/>
          <w:sz w:val="28"/>
          <w:szCs w:val="28"/>
          <w:rtl w:val="true"/>
          <w:lang w:bidi="fa-IR"/>
        </w:rPr>
        <w:t>و ابن ادریس</w:t>
      </w:r>
      <w:r>
        <w:rPr>
          <w:rStyle w:val="FootnoteAnchor"/>
          <w:rtl w:val="true"/>
        </w:rPr>
        <w:footnoteReference w:id="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رجوع به نزدیکترین مردم به آخرین طبقه منقرض شده از اصحاب وقف است؛ به این دلیل که قبل از انقراض مِلک از آنِ موقوفٌ‌عَلَیهم بوده است، لذا همین ملکیّت استصحاب می‌شود و برای عود آن به واقف بعد از خروج از ملک وی به دلیل و سببِ ناقل نیاز است که در این فرض موجود نیست، به علاوه وقف نوعی صدقه است و به متصدّق باز 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چنین مالی در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ابوالمکارم بن زهره این قول را برگزیده است و علاّمه نیز در مختلف از آن نفی بأس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از واقف خارج شده و دیگر به او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ورثه موقوف‌علیهم نیز تعلّق نگرفته است، لذا به آنها نیز منتقل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نزدیکترین مورد به غرض و مقصود واقف همان وجوه 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ضمن تضعیف دو قول اخیر، همان قول اوّل را اصحّ، می‌داند و بعد به این نکته می‌پردازد که این مال به کسانی می‌رسد که هنگام مرگ موقوفٌ‌عَلَیه وَرَثه واقف هستند،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احتمال می‌رود به وارث واقف هنگام مرگ خودش تا زمان انقراض موقوفٌ‌عَلَیه </w:t>
      </w:r>
      <w:bookmarkStart w:id="449" w:name="pg4267_21901"/>
    </w:p>
    <w:p>
      <w:pPr>
        <w:pStyle w:val="BookText"/>
        <w:rPr/>
      </w:pPr>
      <w:bookmarkEnd w:id="449"/>
      <w:r>
        <w:rPr>
          <w:rFonts w:ascii="IRNazanin" w:hAnsi="IRNazanin" w:eastAsia="IRNazanin"/>
          <w:color w:val="111111"/>
          <w:sz w:val="28"/>
          <w:sz w:val="28"/>
          <w:szCs w:val="28"/>
          <w:rtl w:val="true"/>
          <w:lang w:bidi="fa-IR"/>
        </w:rPr>
        <w:t xml:space="preserve">به نحو استرسال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 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معتقدند به واقف یا ورثه او باز می‌گردد یا باید وقف منقطع‌الآخِر و موقّت را صحیح بدانند و یا باید معتقد باشند که این فرض مورد نظر، وقف نیست و حبس است که از اوّل، مال، از ملک واقف خارج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صورت عَوْد معنا ندارد، چون از ملک او خارج نشده تا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چون مفید و ابن‌ادریس که</w:t>
      </w:r>
    </w:p>
    <w:p>
      <w:pPr>
        <w:pStyle w:val="BookText"/>
        <w:rPr/>
      </w:pPr>
      <w:r>
        <w:rPr>
          <w:rFonts w:ascii="IRNazanin" w:hAnsi="IRNazanin" w:eastAsia="IRNazanin"/>
          <w:color w:val="111111"/>
          <w:sz w:val="28"/>
          <w:sz w:val="28"/>
          <w:szCs w:val="28"/>
          <w:rtl w:val="true"/>
          <w:lang w:bidi="fa-IR"/>
        </w:rPr>
        <w:t>آن را میراث موقوفٌ‌عَلَیه می‌دانند که باید به ورثه او برسد باید نظرشان این باشد که به عنوان وقف در اختیار ورثه موقوفٌ‌عَلَیه قرار می‌گیرد نه به عنوان ملک طلق، و گرنه همان</w:t>
      </w:r>
    </w:p>
    <w:p>
      <w:pPr>
        <w:pStyle w:val="BookText"/>
        <w:rPr/>
      </w:pPr>
      <w:r>
        <w:rPr>
          <w:rFonts w:ascii="IRNazanin" w:hAnsi="IRNazanin" w:eastAsia="IRNazanin"/>
          <w:color w:val="111111"/>
          <w:sz w:val="28"/>
          <w:sz w:val="28"/>
          <w:szCs w:val="28"/>
          <w:rtl w:val="true"/>
          <w:lang w:bidi="fa-IR"/>
        </w:rPr>
        <w:t xml:space="preserve">ایرادی که ابن‌ادریس به شیخ وارد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خروج وقف از وقفیّت دلیل می‌خواهد و در این مورد دلیلی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ابن‌ادریس نیز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با توجه به این که این اموال از ملک واقف خارج شده و بازگشت دوباره به ملک وی بدون دلیل است و انتقال آن به ورثه موقوفٌ‌عَلَیه نیز دلیل ندارد،</w:t>
      </w:r>
    </w:p>
    <w:p>
      <w:pPr>
        <w:pStyle w:val="BookText"/>
        <w:rPr/>
      </w:pPr>
      <w:r>
        <w:rPr>
          <w:rFonts w:ascii="Amiri" w:hAnsi="Amiri" w:eastAsia="Amiri" w:cs="Amiri"/>
          <w:color w:val="111111"/>
          <w:sz w:val="28"/>
          <w:sz w:val="28"/>
          <w:szCs w:val="28"/>
          <w:rtl w:val="true"/>
          <w:lang w:bidi="ar-SA"/>
        </w:rPr>
        <w:t>مُوَجّه‌ترین نظر، صرف آن در وجوه بِرّ باشد</w:t>
      </w:r>
      <w:r>
        <w:rPr>
          <w:rFonts w:eastAsia="Amiri" w:cs="Amiri" w:ascii="Amiri" w:hAnsi="Amiri"/>
          <w:color w:val="111111"/>
          <w:sz w:val="28"/>
          <w:szCs w:val="28"/>
          <w:rtl w:val="true"/>
          <w:lang w:bidi="ar-SA"/>
        </w:rPr>
        <w:t>.</w:t>
      </w:r>
    </w:p>
    <w:p>
      <w:pPr>
        <w:pStyle w:val="Heading6"/>
        <w:numPr>
          <w:ilvl w:val="5"/>
          <w:numId w:val="1"/>
        </w:numPr>
        <w:rPr/>
      </w:pPr>
      <w:bookmarkStart w:id="450" w:name="__RefHeading___Toc474217_1479056682"/>
      <w:bookmarkStart w:id="451" w:name="_Toc171"/>
      <w:bookmarkEnd w:id="450"/>
      <w:r>
        <w:rPr>
          <w:rtl w:val="true"/>
        </w:rPr>
        <w:t>دیدگاه دیگر مذاهب</w:t>
      </w:r>
      <w:bookmarkEnd w:id="451"/>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در البحر الزّخّار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انقراض مَوْقُوفٌ عَلَیْه، موقوف به ملکیّت واقف یا ورثه او باز می‌گردد؛ زیرا وقف با انقراض و انقطاعِ موقوفٌ‌عَلَیه باطل</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مالکیّه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مالکیّه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در، الشّرح الصّغیر و بُلغة السالک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انقراض موقوفٌ‌عَلَیه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نزدیکترین فقرا از عَصَبه واقف</w:t>
      </w:r>
      <w:r>
        <w:rPr>
          <w:rStyle w:val="FootnoteAnchor"/>
          <w:rtl w:val="true"/>
        </w:rPr>
        <w:footnoteReference w:id="720"/>
      </w:r>
      <w:r>
        <w:rPr>
          <w:rFonts w:ascii="IRNazanin" w:hAnsi="IRNazanin" w:eastAsia="IRNazanin"/>
          <w:color w:val="111111"/>
          <w:sz w:val="28"/>
          <w:sz w:val="28"/>
          <w:szCs w:val="28"/>
          <w:rtl w:val="true"/>
          <w:lang w:bidi="fa-IR"/>
        </w:rPr>
        <w:t xml:space="preserve">خواهد </w:t>
      </w:r>
      <w:bookmarkStart w:id="452" w:name="pg4267_21902"/>
    </w:p>
    <w:p>
      <w:pPr>
        <w:pStyle w:val="BookText"/>
        <w:rPr/>
      </w:pPr>
      <w:bookmarkEnd w:id="45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پسر بر دیگران مقدّم است، بعد از او برادر، آن گاه پسر برادر، سپس جدّ، و بعد عمو و سپس پسر وی، و خود واقف، هر چند فقیر هم باشد، در این وقف داخل نیست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ابن قُدامه در مغنی برای احمد، سه قول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رجوع به ورثه واقف است و قول دوم این است که این مال بر عَصَبه واقف، 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سوم احمد، این است که به مساکین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ابویوسف 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یک قولش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قول اوّل را برگزیده‌اند و نظر محمدبن‌حسن و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 دیگرش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اصلاً وقف صحیح نیست، چون شرط تأبید در آن رعایت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ابن‌قُدامه خود، قول دوم را برگزیده است به این دلیل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واقف زایل شده است و دیگر به او باز نمی‌گردد، همانند عبدی که آزاد کرده باشد و دلیل صرف آن در عَصَبه و اَقارب واقف نیز این است که اینان به دلیل سخن رسول خدا صلی‌الله‌علیه‌و‌آله به عمر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صَدَقَتُکَ عَلی غَیْرِ رَحِمِکَ صَدَقَةٌ وَ صَدَقَتُکَ عَلی رَحِمِکَ صَدَقَةٌ وَصِلَةٌ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تصدّقِ تو به غیر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است امّا تصدّق به رحم هم صدقه است و هم صله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بقیه مردم اولویّت دارند و اگر واقف اقاربی نداشت به عنوان وقف به فقرا و مساکین می‌رسد، زیرا</w:t>
      </w:r>
    </w:p>
    <w:p>
      <w:pPr>
        <w:pStyle w:val="BookText"/>
        <w:rPr/>
      </w:pPr>
      <w:r>
        <w:rPr>
          <w:rFonts w:ascii="IRNazanin" w:hAnsi="IRNazanin" w:eastAsia="IRNazanin"/>
          <w:color w:val="111111"/>
          <w:sz w:val="28"/>
          <w:sz w:val="28"/>
          <w:szCs w:val="28"/>
          <w:rtl w:val="true"/>
          <w:lang w:bidi="fa-IR"/>
        </w:rPr>
        <w:t>نظر و غرض واقف از این وقف ثوابی است که به طور مستمرّ جاری باشد</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453" w:name="__RefHeading___Toc474219_1479056682"/>
      <w:bookmarkStart w:id="454" w:name="_Toc172"/>
      <w:bookmarkEnd w:id="453"/>
      <w:r>
        <w:rPr>
          <w:rtl w:val="true"/>
        </w:rPr>
        <w:t>شرط سوم</w:t>
      </w:r>
      <w:r>
        <w:rPr>
          <w:rtl w:val="true"/>
        </w:rPr>
        <w:t xml:space="preserve">: </w:t>
      </w:r>
      <w:r>
        <w:rPr>
          <w:rtl w:val="true"/>
        </w:rPr>
        <w:t>صحّت تملّک</w:t>
      </w:r>
      <w:bookmarkEnd w:id="454"/>
    </w:p>
    <w:p>
      <w:pPr>
        <w:pStyle w:val="Heading6"/>
        <w:numPr>
          <w:ilvl w:val="5"/>
          <w:numId w:val="1"/>
        </w:numPr>
        <w:rPr/>
      </w:pPr>
      <w:bookmarkStart w:id="455" w:name="__RefHeading___Toc474221_1479056682"/>
      <w:bookmarkStart w:id="456" w:name="_Toc173"/>
      <w:bookmarkEnd w:id="455"/>
      <w:r>
        <w:rPr>
          <w:rtl w:val="true"/>
        </w:rPr>
        <w:t>دیدگاه امامیّه</w:t>
      </w:r>
      <w:bookmarkEnd w:id="456"/>
    </w:p>
    <w:p>
      <w:pPr>
        <w:pStyle w:val="BookText"/>
        <w:rPr/>
      </w:pPr>
      <w:r>
        <w:rPr>
          <w:rFonts w:ascii="IRNazanin" w:hAnsi="IRNazanin" w:eastAsia="IRNazanin"/>
          <w:color w:val="111111"/>
          <w:sz w:val="28"/>
          <w:sz w:val="28"/>
          <w:szCs w:val="28"/>
          <w:rtl w:val="true"/>
          <w:lang w:bidi="fa-IR"/>
        </w:rPr>
        <w:t>شیخ در مبسوط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شرایط صحّت وقف این است که موقوفٌ عَلَیْه در هنگام وقف صلاحیت تملّک داشته باشد؛ بنابراین وقف بر افراد یا اشیائی که هنگام</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وقف برای تملّک صالح نیستند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برای این مسأله مواردی را چون وقف بر </w:t>
      </w:r>
    </w:p>
    <w:p>
      <w:pPr>
        <w:pStyle w:val="BookText"/>
        <w:rPr/>
      </w:pPr>
      <w:r>
        <w:rPr>
          <w:rFonts w:ascii="IRNazanin" w:hAnsi="IRNazanin" w:eastAsia="IRNazanin"/>
          <w:color w:val="111111"/>
          <w:sz w:val="28"/>
          <w:sz w:val="28"/>
          <w:szCs w:val="28"/>
          <w:rtl w:val="true"/>
          <w:lang w:bidi="fa-IR"/>
        </w:rPr>
        <w:t xml:space="preserve">عبد، وقف بر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ذکر کرده است</w:t>
      </w:r>
      <w:r>
        <w:rPr>
          <w:rFonts w:eastAsia="IRNazanin" w:cs="IRNazanin"/>
          <w:color w:val="111111"/>
          <w:sz w:val="28"/>
          <w:szCs w:val="28"/>
          <w:rtl w:val="true"/>
          <w:lang w:bidi="fa-IR"/>
        </w:rPr>
        <w:t>.</w:t>
      </w:r>
      <w:r>
        <w:rPr>
          <w:rStyle w:val="FootnoteAnchor"/>
          <w:rtl w:val="true"/>
        </w:rPr>
        <w:footnoteReference w:id="723"/>
      </w:r>
    </w:p>
    <w:p>
      <w:pPr>
        <w:pStyle w:val="BookText"/>
        <w:rPr/>
      </w:pPr>
      <w:r>
        <w:rPr>
          <w:rFonts w:ascii="IRNazanin" w:hAnsi="IRNazanin" w:eastAsia="IRNazanin"/>
          <w:color w:val="111111"/>
          <w:sz w:val="28"/>
          <w:sz w:val="28"/>
          <w:szCs w:val="28"/>
          <w:rtl w:val="true"/>
          <w:lang w:bidi="fa-IR"/>
        </w:rPr>
        <w:t>شهید در دروس</w:t>
      </w:r>
      <w:r>
        <w:rPr>
          <w:rStyle w:val="FootnoteAnchor"/>
          <w:rtl w:val="true"/>
        </w:rPr>
        <w:footnoteReference w:id="724"/>
      </w:r>
      <w:r>
        <w:rPr>
          <w:rFonts w:ascii="IRNazanin" w:hAnsi="IRNazanin" w:eastAsia="IRNazanin"/>
          <w:color w:val="111111"/>
          <w:sz w:val="28"/>
          <w:sz w:val="28"/>
          <w:szCs w:val="28"/>
          <w:rtl w:val="true"/>
          <w:lang w:bidi="fa-IR"/>
        </w:rPr>
        <w:t xml:space="preserve">ضمن تصریح به این شرط، برای عدم صحّت تملّک موارد و مثالهایی را چون وقف بر جماد، بهایم، عبد، جنّ و ملک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w:t>
      </w:r>
    </w:p>
    <w:p>
      <w:pPr>
        <w:pStyle w:val="BookText"/>
        <w:rPr/>
      </w:pPr>
      <w:r>
        <w:rPr>
          <w:rFonts w:ascii="IRNazanin" w:hAnsi="IRNazanin" w:eastAsia="IRNazanin"/>
          <w:color w:val="111111"/>
          <w:sz w:val="28"/>
          <w:sz w:val="28"/>
          <w:szCs w:val="28"/>
          <w:rtl w:val="true"/>
          <w:lang w:bidi="fa-IR"/>
        </w:rPr>
        <w:t>قواعد</w:t>
      </w:r>
      <w:r>
        <w:rPr>
          <w:rStyle w:val="FootnoteAnchor"/>
          <w:rtl w:val="true"/>
        </w:rPr>
        <w:footnoteReference w:id="725"/>
      </w:r>
      <w:r>
        <w:rPr>
          <w:rFonts w:ascii="IRNazanin" w:hAnsi="IRNazanin" w:eastAsia="IRNazanin"/>
          <w:color w:val="111111"/>
          <w:sz w:val="28"/>
          <w:sz w:val="28"/>
          <w:szCs w:val="28"/>
          <w:rtl w:val="true"/>
          <w:lang w:bidi="fa-IR"/>
        </w:rPr>
        <w:t>و تذکرة</w:t>
      </w:r>
      <w:r>
        <w:rPr>
          <w:rStyle w:val="FootnoteAnchor"/>
          <w:rtl w:val="true"/>
        </w:rPr>
        <w:footnoteReference w:id="726"/>
      </w:r>
      <w:r>
        <w:rPr>
          <w:rFonts w:ascii="IRNazanin" w:hAnsi="IRNazanin" w:eastAsia="IRNazanin"/>
          <w:color w:val="111111"/>
          <w:sz w:val="28"/>
          <w:sz w:val="28"/>
          <w:szCs w:val="28"/>
          <w:rtl w:val="true"/>
          <w:lang w:bidi="fa-IR"/>
        </w:rPr>
        <w:t>فیض کاشانی</w:t>
      </w:r>
      <w:r>
        <w:rPr>
          <w:rStyle w:val="FootnoteAnchor"/>
          <w:rtl w:val="true"/>
        </w:rPr>
        <w:footnoteReference w:id="727"/>
      </w:r>
      <w:r>
        <w:rPr>
          <w:rFonts w:ascii="IRNazanin" w:hAnsi="IRNazanin" w:eastAsia="IRNazanin"/>
          <w:color w:val="111111"/>
          <w:sz w:val="28"/>
          <w:sz w:val="28"/>
          <w:szCs w:val="28"/>
          <w:rtl w:val="true"/>
          <w:lang w:bidi="fa-IR"/>
        </w:rPr>
        <w:t>ابن حمزه در وسیلة</w:t>
      </w:r>
      <w:r>
        <w:rPr>
          <w:rStyle w:val="FootnoteAnchor"/>
          <w:rtl w:val="true"/>
        </w:rPr>
        <w:footnoteReference w:id="72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اعتبار این شرط در موقوفٌ‌عَلَیه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متأخّران نیز کاشف الغطاء</w:t>
      </w:r>
      <w:r>
        <w:rPr>
          <w:rStyle w:val="FootnoteAnchor"/>
          <w:rtl w:val="true"/>
        </w:rPr>
        <w:footnoteReference w:id="729"/>
      </w:r>
      <w:r>
        <w:rPr>
          <w:rFonts w:ascii="IRNazanin" w:hAnsi="IRNazanin" w:eastAsia="IRNazanin"/>
          <w:color w:val="111111"/>
          <w:sz w:val="28"/>
          <w:sz w:val="28"/>
          <w:szCs w:val="28"/>
          <w:rtl w:val="true"/>
          <w:lang w:bidi="fa-IR"/>
        </w:rPr>
        <w:t>، صاحب ریاض</w:t>
      </w:r>
      <w:r>
        <w:rPr>
          <w:rStyle w:val="FootnoteAnchor"/>
          <w:rtl w:val="true"/>
        </w:rPr>
        <w:footnoteReference w:id="7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کتابهای خویش صحّت تملّک را معتبر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متفرّع بر این شرط بیان چند نکته خالی از فایده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ایراد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شرط، وقف بر مصالحی چون مساجد، مشاهد، پلها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انسان نیستند و صلاحیت تملّک ندارند، نباید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ایراد، اغلب اَعلام درکتابهای خویش، تصریح کرده‌اندکه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مصالح نامبرده در حقیقت وقف بر مسلمین است که در بعضی از مصالح آنان به مصرف می‌رسد؛ زیرا کسانی که از این موقوفات بهره می‌برند مسلمین هستند؛ هر چند در لفظ نامی از مسلمین به میان نیامده است</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و شرط به مبحث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ربط دارد و در آن جا بحث عدم صحّت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و بررسی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نیز شهید اوّل، متفرّع بر این شرط،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دلیل که تملّک او ثابت نیست و نیز قطع به حیات او نداریم، باطل دانسته است</w:t>
      </w:r>
      <w:r>
        <w:rPr>
          <w:rFonts w:eastAsia="IRNazanin" w:cs="IRNazanin"/>
          <w:color w:val="111111"/>
          <w:sz w:val="28"/>
          <w:szCs w:val="28"/>
          <w:rtl w:val="true"/>
          <w:lang w:bidi="fa-IR"/>
        </w:rPr>
        <w:t>.</w:t>
      </w:r>
      <w:r>
        <w:rPr>
          <w:rStyle w:val="FootnoteAnchor"/>
          <w:rtl w:val="true"/>
        </w:rPr>
        <w:footnoteReference w:id="73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 جا مطرح می‌شود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حیات و عدم ملکیّت او به دلیل عدم قطع به حیات او باشد، ممکن است بگوییم اگر در زمانی </w:t>
      </w:r>
      <w:bookmarkStart w:id="457" w:name="pg4267_21904"/>
    </w:p>
    <w:p>
      <w:pPr>
        <w:pStyle w:val="BookText"/>
        <w:rPr/>
      </w:pPr>
      <w:bookmarkEnd w:id="45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پی‌بردن به حیات و عدم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آسانی شده است ، باز هم حکم به عدم صحّتِ تملّک او و در نتیجه، حکم به عدم صحّت وقف بر او خواهد شد؟</w:t>
      </w:r>
    </w:p>
    <w:p>
      <w:pPr>
        <w:pStyle w:val="Heading6"/>
        <w:numPr>
          <w:ilvl w:val="5"/>
          <w:numId w:val="1"/>
        </w:numPr>
        <w:rPr/>
      </w:pPr>
      <w:bookmarkStart w:id="458" w:name="__RefHeading___Toc474223_1479056682"/>
      <w:bookmarkStart w:id="459" w:name="_Toc174"/>
      <w:bookmarkEnd w:id="458"/>
      <w:r>
        <w:rPr>
          <w:rtl w:val="true"/>
        </w:rPr>
        <w:t>دیدگاه دیگر مذاهب</w:t>
      </w:r>
      <w:bookmarkEnd w:id="459"/>
    </w:p>
    <w:p>
      <w:pPr>
        <w:pStyle w:val="BookText"/>
        <w:rPr/>
      </w:pPr>
      <w:r>
        <w:rPr>
          <w:rFonts w:ascii="IRNazanin" w:hAnsi="IRNazanin" w:eastAsia="IRNazanin"/>
          <w:color w:val="111111"/>
          <w:sz w:val="28"/>
          <w:sz w:val="28"/>
          <w:szCs w:val="28"/>
          <w:rtl w:val="true"/>
          <w:lang w:bidi="fa-IR"/>
        </w:rPr>
        <w:t>جمهور فقهای زیدیّه، حنفیّه، مالکیّه، شافعیّه و حنابله اتّفاق نظر دارند که باید جهت موقوفٌ‌عَلَیه برای تملّک، شایستگی داشته باشد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 xml:space="preserve">متفرّع بر این شرط در مغنی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بر میّت، وقف بر حیوانات و همین طور هِبه و وصیّت در این موارد، صحیح نیست</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ابن‌قُدامه در مغنی با توجّه به این شرط، عدم صحّت وقف بر جنّ، مَلَک و شیاطین را نیز اضافه کرده است؛ و در پاسخ به این سؤل که چرا وقف بر مساجد و مانند آن از مصالح را تجویز کرده‌اید؟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در حقیقت وقف بر مسلمین است که به مورد خاصّی از منافع آنان اختصاص یافته است و امّا دلیل این که وقفِ بر کنایس و مانند</w:t>
      </w:r>
    </w:p>
    <w:p>
      <w:pPr>
        <w:pStyle w:val="BookText"/>
        <w:rPr/>
      </w:pPr>
      <w:r>
        <w:rPr>
          <w:rFonts w:ascii="IRNazanin" w:hAnsi="IRNazanin" w:eastAsia="IRNazanin"/>
          <w:color w:val="111111"/>
          <w:sz w:val="28"/>
          <w:sz w:val="28"/>
          <w:szCs w:val="28"/>
          <w:rtl w:val="true"/>
          <w:lang w:bidi="fa-IR"/>
        </w:rPr>
        <w:t>آن باطل است، این است که جهت وقف در این وقفها، جهت نفع نیست، بلکه جهت معصیت است</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در توجیهِ جواز صحّت وقف بر اسب و سلاح و ادوات جنگی برای جهاد فی‌سبیل‌اللّه، سَرَخسی در 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قربت و طاعت است، زیرا</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با مال است و جهاد جهتی است که تا دنیا دنیاست منقطع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صلی‌الله‌علیه‌و‌آلهفرمود؛ جهاد از آغاز بعثت من تا زمانی که آخرین گروه با دجّال نبرد کند، ادامه دارد</w:t>
      </w:r>
      <w:r>
        <w:rPr>
          <w:rFonts w:eastAsia="IRNazanin" w:cs="IRNazanin"/>
          <w:color w:val="111111"/>
          <w:sz w:val="28"/>
          <w:szCs w:val="28"/>
          <w:rtl w:val="true"/>
          <w:lang w:bidi="fa-IR"/>
        </w:rPr>
        <w:t>.</w:t>
      </w:r>
      <w:r>
        <w:rPr>
          <w:rStyle w:val="FootnoteAnchor"/>
          <w:rtl w:val="true"/>
        </w:rPr>
        <w:footnoteReference w:id="736"/>
      </w:r>
      <w:bookmarkStart w:id="460" w:name="pg4267_21905"/>
    </w:p>
    <w:p>
      <w:pPr>
        <w:pStyle w:val="Heading5"/>
        <w:numPr>
          <w:ilvl w:val="4"/>
          <w:numId w:val="1"/>
        </w:numPr>
        <w:rPr/>
      </w:pPr>
      <w:bookmarkStart w:id="461" w:name="__RefHeading___Toc474225_1479056682"/>
      <w:bookmarkStart w:id="462" w:name="_Toc175"/>
      <w:bookmarkEnd w:id="460"/>
      <w:bookmarkEnd w:id="461"/>
      <w:r>
        <w:rPr>
          <w:rtl w:val="true"/>
        </w:rPr>
        <w:t>شرط چهارم</w:t>
      </w:r>
      <w:r>
        <w:rPr>
          <w:rtl w:val="true"/>
        </w:rPr>
        <w:t xml:space="preserve">: </w:t>
      </w:r>
      <w:r>
        <w:rPr>
          <w:rtl w:val="true"/>
        </w:rPr>
        <w:t>فقر</w:t>
      </w:r>
      <w:bookmarkEnd w:id="462"/>
    </w:p>
    <w:p>
      <w:pPr>
        <w:pStyle w:val="Heading6"/>
        <w:numPr>
          <w:ilvl w:val="5"/>
          <w:numId w:val="1"/>
        </w:numPr>
        <w:rPr/>
      </w:pPr>
      <w:bookmarkStart w:id="463" w:name="__RefHeading___Toc474227_1479056682"/>
      <w:bookmarkStart w:id="464" w:name="_Toc176"/>
      <w:bookmarkEnd w:id="463"/>
      <w:r>
        <w:rPr>
          <w:rtl w:val="true"/>
        </w:rPr>
        <w:t>دیدگاه امامیّه</w:t>
      </w:r>
      <w:bookmarkEnd w:id="464"/>
    </w:p>
    <w:p>
      <w:pPr>
        <w:pStyle w:val="BookText"/>
        <w:rPr/>
      </w:pPr>
      <w:r>
        <w:rPr>
          <w:rFonts w:ascii="IRNazanin" w:hAnsi="IRNazanin" w:eastAsia="IRNazanin"/>
          <w:color w:val="111111"/>
          <w:sz w:val="28"/>
          <w:sz w:val="28"/>
          <w:szCs w:val="28"/>
          <w:rtl w:val="true"/>
          <w:lang w:bidi="fa-IR"/>
        </w:rPr>
        <w:t>ظاهرا بین فقهای امامیّه در جواز وقفِ بر اغنیا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تصریح کرده است که وقف بر غنی صحیح است، و صاحب مفتاح‌الکرامة در ذیل همین</w:t>
      </w:r>
    </w:p>
    <w:p>
      <w:pPr>
        <w:pStyle w:val="BookText"/>
        <w:rPr/>
      </w:pPr>
      <w:r>
        <w:rPr>
          <w:rFonts w:ascii="IRNazanin" w:hAnsi="IRNazanin" w:eastAsia="IRNazanin"/>
          <w:color w:val="111111"/>
          <w:sz w:val="28"/>
          <w:sz w:val="28"/>
          <w:szCs w:val="28"/>
          <w:rtl w:val="true"/>
          <w:lang w:bidi="fa-IR"/>
        </w:rPr>
        <w:t>عبارت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صحّت وقف بر غنی را از مسائل و مطالبی به شمار آورد که هیچ گونه خلافی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موقوفٌ علیه از کسانی باشد که بتوان با وقف کردن بر او تقرّب جست</w:t>
      </w:r>
      <w:r>
        <w:rPr>
          <w:rFonts w:eastAsia="IRNazanin" w:cs="IRNazanin"/>
          <w:color w:val="111111"/>
          <w:sz w:val="28"/>
          <w:szCs w:val="28"/>
          <w:rtl w:val="true"/>
          <w:lang w:bidi="fa-IR"/>
        </w:rPr>
        <w:t>.</w:t>
      </w:r>
      <w:r>
        <w:rPr>
          <w:rStyle w:val="FootnoteAnchor"/>
          <w:rtl w:val="true"/>
        </w:rPr>
        <w:footnoteReference w:id="737"/>
      </w:r>
    </w:p>
    <w:p>
      <w:pPr>
        <w:pStyle w:val="BookText"/>
        <w:rPr/>
      </w:pPr>
      <w:r>
        <w:rPr>
          <w:rFonts w:ascii="IRNazanin" w:hAnsi="IRNazanin" w:eastAsia="IRNazanin"/>
          <w:color w:val="111111"/>
          <w:sz w:val="28"/>
          <w:sz w:val="28"/>
          <w:szCs w:val="28"/>
          <w:rtl w:val="true"/>
          <w:lang w:bidi="fa-IR"/>
        </w:rPr>
        <w:t>از این رو از اطاله بحث در این مورد خودداری شد</w:t>
      </w:r>
      <w:r>
        <w:rPr>
          <w:rFonts w:eastAsia="IRNazanin" w:cs="IRNazanin"/>
          <w:color w:val="111111"/>
          <w:sz w:val="28"/>
          <w:szCs w:val="28"/>
          <w:rtl w:val="true"/>
          <w:lang w:bidi="fa-IR"/>
        </w:rPr>
        <w:t>.</w:t>
      </w:r>
    </w:p>
    <w:p>
      <w:pPr>
        <w:pStyle w:val="Heading6"/>
        <w:numPr>
          <w:ilvl w:val="5"/>
          <w:numId w:val="1"/>
        </w:numPr>
        <w:rPr/>
      </w:pPr>
      <w:bookmarkStart w:id="465" w:name="__RefHeading___Toc474229_1479056682"/>
      <w:bookmarkStart w:id="466" w:name="_Toc177"/>
      <w:bookmarkEnd w:id="465"/>
      <w:r>
        <w:rPr>
          <w:rtl w:val="true"/>
        </w:rPr>
        <w:t>دیدگاه دیگر مذاهب</w:t>
      </w:r>
      <w:bookmarkEnd w:id="466"/>
    </w:p>
    <w:p>
      <w:pPr>
        <w:pStyle w:val="BookText"/>
        <w:rPr/>
      </w:pPr>
      <w:r>
        <w:rPr>
          <w:rFonts w:ascii="IRNazanin" w:hAnsi="IRNazanin" w:eastAsia="IRNazanin"/>
          <w:color w:val="111111"/>
          <w:sz w:val="28"/>
          <w:sz w:val="28"/>
          <w:szCs w:val="28"/>
          <w:rtl w:val="true"/>
          <w:lang w:bidi="fa-IR"/>
        </w:rPr>
        <w:t>فقهای مذاهب اهل سنّت در حکم وقف بر اغنیا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و حنابله وقف بر اغنیا را صحیح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حنفیّه در وقف معتبر می‌دانند که در ذات خود فی‌الجمله قربت باشد و حنابله معتقدند باید جهت موقوفٌ‌عَلَیها،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حنفیّه عدم جواز را خاصّ موردی می‌دانند که تنها اغنیاء موقوفٌ‌عَلَیه باشند، امّا اگر</w:t>
      </w:r>
    </w:p>
    <w:p>
      <w:pPr>
        <w:pStyle w:val="BookText"/>
        <w:rPr/>
      </w:pPr>
      <w:r>
        <w:rPr>
          <w:rFonts w:ascii="IRNazanin" w:hAnsi="IRNazanin" w:eastAsia="IRNazanin"/>
          <w:color w:val="111111"/>
          <w:sz w:val="28"/>
          <w:sz w:val="28"/>
          <w:szCs w:val="28"/>
          <w:rtl w:val="true"/>
          <w:lang w:bidi="fa-IR"/>
        </w:rPr>
        <w:t>نهایت وقف را برای فقرا قرار دهد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قربت فی‌الجمله حاصل شده است</w:t>
      </w:r>
      <w:r>
        <w:rPr>
          <w:rFonts w:eastAsia="IRNazanin" w:cs="IRNazanin"/>
          <w:color w:val="111111"/>
          <w:sz w:val="28"/>
          <w:szCs w:val="28"/>
          <w:rtl w:val="true"/>
          <w:lang w:bidi="fa-IR"/>
        </w:rPr>
        <w:t>.</w:t>
      </w:r>
      <w:r>
        <w:rPr>
          <w:rStyle w:val="FootnoteAnchor"/>
          <w:rtl w:val="true"/>
        </w:rPr>
        <w:footnoteReference w:id="738"/>
      </w:r>
    </w:p>
    <w:p>
      <w:pPr>
        <w:pStyle w:val="BookText"/>
        <w:rPr/>
      </w:pPr>
      <w:r>
        <w:rPr>
          <w:rFonts w:ascii="IRNazanin" w:hAnsi="IRNazanin" w:eastAsia="IRNazanin"/>
          <w:color w:val="111111"/>
          <w:sz w:val="28"/>
          <w:sz w:val="28"/>
          <w:szCs w:val="28"/>
          <w:rtl w:val="true"/>
          <w:lang w:bidi="fa-IR"/>
        </w:rPr>
        <w:t>سرخسی نسبت به استفاده تساوی فقر و غِنا از سکونت در موقوفات جهادگران و حجّاج، رفع اشکال کرده است، امّا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این دو در این است که غنی با مال خود از صدقه بی‌نیاز است، امّا از استفاده اماکن و کاروانسراها و</w:t>
      </w:r>
    </w:p>
    <w:p>
      <w:pPr>
        <w:pStyle w:val="BookText"/>
        <w:rPr/>
      </w:pPr>
      <w:r>
        <w:rPr>
          <w:rFonts w:ascii="IRNazanin" w:hAnsi="IRNazanin" w:eastAsia="IRNazanin"/>
          <w:color w:val="111111"/>
          <w:sz w:val="28"/>
          <w:sz w:val="28"/>
          <w:szCs w:val="28"/>
          <w:rtl w:val="true"/>
          <w:lang w:bidi="fa-IR"/>
        </w:rPr>
        <w:t>منازل بی‌نیاز نیست</w:t>
      </w:r>
      <w:r>
        <w:rPr>
          <w:rFonts w:eastAsia="IRNazanin" w:cs="IRNazanin"/>
          <w:color w:val="111111"/>
          <w:sz w:val="28"/>
          <w:szCs w:val="28"/>
          <w:rtl w:val="true"/>
          <w:lang w:bidi="fa-IR"/>
        </w:rPr>
        <w:t>.</w:t>
      </w:r>
      <w:r>
        <w:rPr>
          <w:rStyle w:val="FootnoteAnchor"/>
          <w:rtl w:val="true"/>
        </w:rPr>
        <w:footnoteReference w:id="739"/>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زهدی یکن درباره دیدگاه مالکیّه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در مذهب مالک وقف </w:t>
      </w:r>
      <w:bookmarkStart w:id="467" w:name="pg4267_21906"/>
    </w:p>
    <w:p>
      <w:pPr>
        <w:pStyle w:val="BookText"/>
        <w:rPr/>
      </w:pPr>
      <w:bookmarkEnd w:id="467"/>
      <w:r>
        <w:rPr>
          <w:rFonts w:ascii="IRNazanin" w:hAnsi="IRNazanin" w:eastAsia="IRNazanin"/>
          <w:color w:val="111111"/>
          <w:sz w:val="28"/>
          <w:sz w:val="28"/>
          <w:szCs w:val="28"/>
          <w:rtl w:val="true"/>
          <w:lang w:bidi="fa-IR"/>
        </w:rPr>
        <w:t>موقّت صحیح است، لذا وقف بر اغنیا نیز بلامانع است</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شافعی با استناد به اوقاف و صدقات علی علیه‌السلام و فاطمه علیهاالسلام بر بنی‌هاشم و بنی‌عبدالمطّلب،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فاطمه علیهاالسلام در وقف خود تفصیل نداده‌اند و از غنی و فقیر اسمی نبرده‌اند؛ در عین حال بر کسانی وقف کرده‌اند که درمیان آنها هم</w:t>
      </w:r>
    </w:p>
    <w:p>
      <w:pPr>
        <w:pStyle w:val="BookText"/>
        <w:rPr/>
      </w:pPr>
      <w:r>
        <w:rPr>
          <w:rFonts w:ascii="IRNazanin" w:hAnsi="IRNazanin" w:eastAsia="IRNazanin"/>
          <w:color w:val="111111"/>
          <w:sz w:val="28"/>
          <w:sz w:val="28"/>
          <w:szCs w:val="28"/>
          <w:rtl w:val="true"/>
          <w:lang w:bidi="fa-IR"/>
        </w:rPr>
        <w:t>فقیر وجود داشته است و هم غنی</w:t>
      </w:r>
      <w:r>
        <w:rPr>
          <w:rFonts w:eastAsia="IRNazanin" w:cs="IRNazanin"/>
          <w:color w:val="111111"/>
          <w:sz w:val="28"/>
          <w:szCs w:val="28"/>
          <w:rtl w:val="true"/>
          <w:lang w:bidi="fa-IR"/>
        </w:rPr>
        <w:t>.</w:t>
      </w:r>
      <w:r>
        <w:rPr>
          <w:rStyle w:val="FootnoteAnchor"/>
          <w:rtl w:val="true"/>
        </w:rPr>
        <w:footnoteReference w:id="741"/>
      </w:r>
    </w:p>
    <w:p>
      <w:pPr>
        <w:pStyle w:val="BookText"/>
        <w:rPr/>
      </w:pPr>
      <w:r>
        <w:rPr>
          <w:rFonts w:ascii="IRNazanin" w:hAnsi="IRNazanin" w:eastAsia="IRNazanin"/>
          <w:color w:val="111111"/>
          <w:sz w:val="28"/>
          <w:sz w:val="28"/>
          <w:szCs w:val="28"/>
          <w:rtl w:val="true"/>
          <w:lang w:bidi="fa-IR"/>
        </w:rPr>
        <w:t xml:space="preserve">ابن حَجَر عَسقَلانی از تصدّق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فقرا، مساکین، ذوی‌القُربی و میهمان، استفاده کرده است که؛ وقف بر اغنیا جایز است برای این که در حدیث نامبرده ذَوِی‌القُربی و ضیف مقیّد به فقر و نیاز نشده‌اند</w:t>
      </w:r>
      <w:r>
        <w:rPr>
          <w:rFonts w:eastAsia="IRNazanin" w:cs="IRNazanin"/>
          <w:color w:val="111111"/>
          <w:sz w:val="28"/>
          <w:szCs w:val="28"/>
          <w:rtl w:val="true"/>
          <w:lang w:bidi="fa-IR"/>
        </w:rPr>
        <w:t>.</w:t>
      </w:r>
      <w:r>
        <w:rPr>
          <w:rStyle w:val="FootnoteAnchor"/>
          <w:rtl w:val="true"/>
        </w:rPr>
        <w:footnoteReference w:id="742"/>
      </w:r>
    </w:p>
    <w:p>
      <w:pPr>
        <w:pStyle w:val="Heading5"/>
        <w:numPr>
          <w:ilvl w:val="4"/>
          <w:numId w:val="1"/>
        </w:numPr>
        <w:rPr/>
      </w:pPr>
      <w:bookmarkStart w:id="468" w:name="__RefHeading___Toc474231_1479056682"/>
      <w:bookmarkStart w:id="469" w:name="_Toc178"/>
      <w:bookmarkEnd w:id="468"/>
      <w:r>
        <w:rPr>
          <w:rtl w:val="true"/>
        </w:rPr>
        <w:t>شرط پنجم</w:t>
      </w:r>
      <w:r>
        <w:rPr>
          <w:rtl w:val="true"/>
        </w:rPr>
        <w:t xml:space="preserve">: </w:t>
      </w:r>
      <w:r>
        <w:rPr>
          <w:rtl w:val="true"/>
        </w:rPr>
        <w:t>اسلام و ایمان</w:t>
      </w:r>
      <w:bookmarkEnd w:id="469"/>
    </w:p>
    <w:p>
      <w:pPr>
        <w:pStyle w:val="Heading6"/>
        <w:numPr>
          <w:ilvl w:val="5"/>
          <w:numId w:val="1"/>
        </w:numPr>
        <w:rPr/>
      </w:pPr>
      <w:bookmarkStart w:id="470" w:name="__RefHeading___Toc474233_1479056682"/>
      <w:bookmarkStart w:id="471" w:name="_Toc179"/>
      <w:bookmarkEnd w:id="470"/>
      <w:r>
        <w:rPr>
          <w:rtl w:val="true"/>
        </w:rPr>
        <w:t>اشاره</w:t>
      </w:r>
      <w:bookmarkEnd w:id="471"/>
    </w:p>
    <w:p>
      <w:pPr>
        <w:pStyle w:val="BookText"/>
        <w:rPr/>
      </w:pPr>
      <w:r>
        <w:rPr>
          <w:rFonts w:ascii="IRNazanin" w:hAnsi="IRNazanin" w:eastAsia="IRNazanin"/>
          <w:color w:val="111111"/>
          <w:sz w:val="28"/>
          <w:sz w:val="28"/>
          <w:szCs w:val="28"/>
          <w:rtl w:val="true"/>
          <w:lang w:bidi="fa-IR"/>
        </w:rPr>
        <w:t>در ذیل این شرط مطالب و مسائلی مورد بررسی قرار می‌گیرند</w:t>
      </w:r>
    </w:p>
    <w:p>
      <w:pPr>
        <w:pStyle w:val="Heading6"/>
        <w:numPr>
          <w:ilvl w:val="5"/>
          <w:numId w:val="1"/>
        </w:numPr>
        <w:rPr/>
      </w:pPr>
      <w:bookmarkStart w:id="472" w:name="__RefHeading___Toc474235_1479056682"/>
      <w:bookmarkStart w:id="473" w:name="_Toc180"/>
      <w:bookmarkEnd w:id="472"/>
      <w:r>
        <w:rPr/>
        <w:t>1</w:t>
      </w:r>
      <w:r>
        <w:rPr>
          <w:rtl w:val="true"/>
        </w:rPr>
        <w:t xml:space="preserve">- </w:t>
      </w:r>
      <w:r>
        <w:rPr>
          <w:rtl w:val="true"/>
        </w:rPr>
        <w:t>وقف بر کافر ذمّی</w:t>
      </w:r>
      <w:bookmarkEnd w:id="473"/>
    </w:p>
    <w:p>
      <w:pPr>
        <w:pStyle w:val="BookText"/>
        <w:rPr/>
      </w:pPr>
      <w:r>
        <w:rPr>
          <w:rFonts w:ascii="IRNazanin" w:hAnsi="IRNazanin" w:eastAsia="IRNazanin"/>
          <w:color w:val="111111"/>
          <w:sz w:val="28"/>
          <w:sz w:val="28"/>
          <w:szCs w:val="28"/>
          <w:rtl w:val="true"/>
          <w:lang w:bidi="fa-IR"/>
        </w:rPr>
        <w:t>در مورد وقف بر کافرذِمّی فقهای امامیّه به طور کلی دارای سه قول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وقف برذمّی به طور مطلق؛ این قول، مختار علامه در تذکره</w:t>
      </w:r>
      <w:r>
        <w:rPr>
          <w:rStyle w:val="FootnoteAnchor"/>
          <w:rtl w:val="true"/>
        </w:rPr>
        <w:footnoteReference w:id="743"/>
      </w:r>
      <w:r>
        <w:rPr>
          <w:rFonts w:ascii="IRNazanin" w:hAnsi="IRNazanin" w:eastAsia="IRNazanin"/>
          <w:color w:val="111111"/>
          <w:sz w:val="28"/>
          <w:sz w:val="28"/>
          <w:szCs w:val="28"/>
          <w:rtl w:val="true"/>
          <w:lang w:bidi="fa-IR"/>
        </w:rPr>
        <w:t>و محقّق در شرایع</w:t>
      </w:r>
      <w:r>
        <w:rPr>
          <w:rStyle w:val="FootnoteAnchor"/>
          <w:rtl w:val="true"/>
        </w:rPr>
        <w:footnoteReference w:id="74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علاّمه در قواعد نیز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وقف مسلمان بر ذمّی خلاف است و اقرب منع در کافر حربی و صحّت در مرتدّ غیر فطری است</w:t>
      </w:r>
      <w:r>
        <w:rPr>
          <w:rStyle w:val="FootnoteAnchor"/>
          <w:rtl w:val="true"/>
        </w:rPr>
        <w:footnoteReference w:id="7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دروس نیز همین قول، تقریب شده است</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مطلق؛ این قول مختار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است</w:t>
      </w:r>
      <w:r>
        <w:rPr>
          <w:rFonts w:eastAsia="IRNazanin" w:cs="IRNazanin"/>
          <w:color w:val="111111"/>
          <w:sz w:val="28"/>
          <w:szCs w:val="28"/>
          <w:rtl w:val="true"/>
          <w:lang w:bidi="fa-IR"/>
        </w:rPr>
        <w:t>.</w:t>
      </w:r>
      <w:r>
        <w:rPr>
          <w:rStyle w:val="FootnoteAnchor"/>
          <w:rtl w:val="true"/>
        </w:rPr>
        <w:footnoteReference w:id="747"/>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وقف بر خویشان؛ شیخ طوسی در کتب خویش وقف برذمّی را در </w:t>
      </w:r>
    </w:p>
    <w:p>
      <w:pPr>
        <w:pStyle w:val="BookText"/>
        <w:rPr/>
      </w:pPr>
      <w:r>
        <w:rPr>
          <w:rFonts w:ascii="IRNazanin" w:hAnsi="IRNazanin" w:eastAsia="IRNazanin"/>
          <w:color w:val="111111"/>
          <w:sz w:val="28"/>
          <w:sz w:val="28"/>
          <w:szCs w:val="28"/>
          <w:rtl w:val="true"/>
          <w:lang w:bidi="fa-IR"/>
        </w:rPr>
        <w:t>صورتی جایز می‌داند که از اَقارب و خویشان، و به تعبیر نهایه، رحم او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وقف</w:t>
      </w:r>
    </w:p>
    <w:p>
      <w:pPr>
        <w:pStyle w:val="BookText"/>
        <w:rPr/>
      </w:pPr>
      <w:r>
        <w:rPr>
          <w:rFonts w:ascii="IRNazanin" w:hAnsi="IRNazanin" w:eastAsia="IRNazanin"/>
          <w:color w:val="111111"/>
          <w:sz w:val="28"/>
          <w:sz w:val="28"/>
          <w:szCs w:val="28"/>
          <w:rtl w:val="true"/>
          <w:lang w:bidi="fa-IR"/>
        </w:rPr>
        <w:t>بر کفار ذمّی که این ویژگی را نداشته باشند، صحیح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دلیل این مسأله را اجماع فرقه و عدم دلیل بر صحّت وقف در غیر این موارد ذکر کرده است</w:t>
      </w:r>
      <w:r>
        <w:rPr>
          <w:rFonts w:eastAsia="IRNazanin" w:cs="IRNazanin"/>
          <w:color w:val="111111"/>
          <w:sz w:val="28"/>
          <w:szCs w:val="28"/>
          <w:rtl w:val="true"/>
          <w:lang w:bidi="fa-IR"/>
        </w:rPr>
        <w:t>.</w:t>
      </w:r>
      <w:r>
        <w:rPr>
          <w:rStyle w:val="FootnoteAnchor"/>
          <w:rtl w:val="true"/>
        </w:rPr>
        <w:footnoteReference w:id="748"/>
      </w:r>
      <w:r>
        <w:rPr>
          <w:rFonts w:ascii="IRNazanin" w:hAnsi="IRNazanin" w:eastAsia="IRNazanin"/>
          <w:color w:val="111111"/>
          <w:sz w:val="28"/>
          <w:sz w:val="28"/>
          <w:szCs w:val="28"/>
          <w:rtl w:val="true"/>
          <w:lang w:bidi="fa-IR"/>
        </w:rPr>
        <w:t>مختار شیخ مفید در مقنعه و ابوالصلاح حَلَبی در کافی نیز همین مختار شیخ است</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 xml:space="preserve">ابن ادریس در ابتدا تنها وقف بر والدین را به دلیل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وَصاحِبْهُما فی الدّنیا مَعْروفا</w:t>
      </w:r>
      <w:r>
        <w:rPr>
          <w:rFonts w:eastAsia="IRNazanin" w:cs="IRNazanin"/>
          <w:color w:val="111111"/>
          <w:sz w:val="28"/>
          <w:szCs w:val="28"/>
          <w:rtl w:val="true"/>
          <w:lang w:bidi="fa-IR"/>
        </w:rPr>
        <w:t>»</w:t>
      </w:r>
      <w:r>
        <w:rPr>
          <w:rStyle w:val="FootnoteAnchor"/>
          <w:rtl w:val="true"/>
        </w:rPr>
        <w:footnoteReference w:id="750"/>
      </w:r>
      <w:r>
        <w:rPr>
          <w:rFonts w:ascii="IRNazanin" w:hAnsi="IRNazanin" w:eastAsia="IRNazanin"/>
          <w:color w:val="111111"/>
          <w:sz w:val="28"/>
          <w:sz w:val="28"/>
          <w:szCs w:val="28"/>
          <w:rtl w:val="true"/>
          <w:lang w:bidi="fa-IR"/>
        </w:rPr>
        <w:t>تصحیح و تجویز کرده و وقف بر دیگر خویشان و اقربا را به هیچ وجه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دلیل این عدم جواز را عدم تحقّق قصد قربت می‌داند و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نقل شده از شیخ طوسی در جواز وقف بر کافر همگی اخباری آحاد هستند که فقط خود شیخ نقل کرده، امّا به آنها معتقد نیست وعمل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تصریح</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نزد من این است که همه ذوِی الارحام از کفّار، در این جهت، حکم</w:t>
      </w:r>
    </w:p>
    <w:p>
      <w:pPr>
        <w:pStyle w:val="BookText"/>
        <w:rPr/>
      </w:pPr>
      <w:r>
        <w:rPr>
          <w:rFonts w:ascii="IRNazanin" w:hAnsi="IRNazanin" w:eastAsia="IRNazanin"/>
          <w:color w:val="111111"/>
          <w:sz w:val="28"/>
          <w:sz w:val="28"/>
          <w:szCs w:val="28"/>
          <w:rtl w:val="true"/>
          <w:lang w:bidi="fa-IR"/>
        </w:rPr>
        <w:t>والدین را دارند و وقف بر آنها جایز است</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ascii="IRNazanin" w:hAnsi="IRNazanin" w:eastAsia="IRNazanin"/>
          <w:color w:val="111111"/>
          <w:sz w:val="28"/>
          <w:sz w:val="28"/>
          <w:szCs w:val="28"/>
          <w:rtl w:val="true"/>
          <w:lang w:bidi="fa-IR"/>
        </w:rPr>
        <w:t>ادله اقوال</w:t>
      </w:r>
    </w:p>
    <w:p>
      <w:pPr>
        <w:pStyle w:val="BookText"/>
        <w:rPr/>
      </w:pPr>
      <w:r>
        <w:rPr>
          <w:rFonts w:ascii="IRNazanin" w:hAnsi="IRNazanin" w:eastAsia="IRNazanin"/>
          <w:color w:val="111111"/>
          <w:sz w:val="28"/>
          <w:sz w:val="28"/>
          <w:szCs w:val="28"/>
          <w:rtl w:val="true"/>
          <w:lang w:bidi="fa-IR"/>
        </w:rPr>
        <w:t>قول به جواز</w:t>
      </w:r>
    </w:p>
    <w:p>
      <w:pPr>
        <w:pStyle w:val="BookText"/>
        <w:rPr/>
      </w:pPr>
      <w:r>
        <w:rPr>
          <w:rFonts w:ascii="Amiri" w:hAnsi="Amiri" w:eastAsia="Amiri" w:cs="Amiri"/>
          <w:color w:val="111111"/>
          <w:sz w:val="28"/>
          <w:sz w:val="28"/>
          <w:szCs w:val="28"/>
          <w:rtl w:val="true"/>
          <w:lang w:bidi="ar-SA"/>
        </w:rPr>
        <w:t>دلیل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برای قایلان به جواز وقف برذمّی به‌طور 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آیه کریمه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لایَنْهاکُمُ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عَنِ الَّذینَ لَمْ یُقاتِلوُکُم فِی‌الدّینِ وَ لَمْ یُخْرِجُوکُمْ مِنْ دِیارِکُمْ اَنْ تَبَرّوهُمْ وَ تُقْسِطُوا اِلَیْهِم</w:t>
      </w:r>
      <w:r>
        <w:rPr>
          <w:rFonts w:eastAsia="Amiri" w:cs="Amiri" w:ascii="Amiri" w:hAnsi="Amiri"/>
          <w:color w:val="111111"/>
          <w:sz w:val="28"/>
          <w:szCs w:val="28"/>
          <w:rtl w:val="true"/>
          <w:lang w:bidi="ar-SA"/>
        </w:rPr>
        <w:t>...»</w:t>
      </w:r>
      <w:r>
        <w:rPr>
          <w:rStyle w:val="FootnoteAnchor"/>
          <w:rtl w:val="true"/>
        </w:rPr>
        <w:footnoteReference w:id="7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شما را از نیکی و رفتار عادلانه نسبت به آن دسته از کفّار که با شما به جنگ برنخاستند و شما را از خانه هاتان بیرون نکردند، باز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طبق این آیه کریمه وقف کردن، که خود نوعی بِرّ، بلکه از مصادیق روشن آن است، بر این دسته از کفّار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w:t>
      </w:r>
      <w:r>
        <w:rPr>
          <w:rFonts w:eastAsia="IRNazanin" w:cs="IRNazanin"/>
          <w:color w:val="111111"/>
          <w:sz w:val="28"/>
          <w:szCs w:val="28"/>
          <w:rtl w:val="true"/>
          <w:lang w:bidi="fa-IR"/>
        </w:rPr>
        <w:t>.</w:t>
      </w:r>
      <w:r>
        <w:rPr>
          <w:rStyle w:val="FootnoteAnchor"/>
          <w:rtl w:val="true"/>
        </w:rPr>
        <w:footnoteReference w:id="753"/>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کُلِّ کَبِدٍ حَرِیٍّ 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سیراب کردن هر جگر </w:t>
      </w:r>
    </w:p>
    <w:p>
      <w:pPr>
        <w:pStyle w:val="BookText"/>
        <w:rPr/>
      </w:pPr>
      <w:r>
        <w:rPr>
          <w:rFonts w:ascii="IRNazanin" w:hAnsi="IRNazanin" w:eastAsia="IRNazanin"/>
          <w:color w:val="111111"/>
          <w:sz w:val="28"/>
          <w:sz w:val="28"/>
          <w:szCs w:val="28"/>
          <w:rtl w:val="true"/>
          <w:lang w:bidi="fa-IR"/>
        </w:rPr>
        <w:t xml:space="preserve">داغ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استفاده کرده‌اند که نیکی کردن به هر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هر 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کافر نیز از مصادیق نیکی به انسانهاست</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این است که وقف نیز نوعی صدقه است و صدقه دادن به کافر ذمّی بلامانع می‌باشد</w:t>
      </w:r>
      <w:r>
        <w:rPr>
          <w:rFonts w:eastAsia="IRNazanin" w:cs="IRNazanin"/>
          <w:color w:val="111111"/>
          <w:sz w:val="28"/>
          <w:szCs w:val="28"/>
          <w:rtl w:val="true"/>
          <w:lang w:bidi="fa-IR"/>
        </w:rPr>
        <w:t>.</w:t>
      </w:r>
      <w:r>
        <w:rPr>
          <w:rStyle w:val="FootnoteAnchor"/>
          <w:rtl w:val="true"/>
        </w:rPr>
        <w:footnoteReference w:id="755"/>
      </w:r>
    </w:p>
    <w:p>
      <w:pPr>
        <w:pStyle w:val="BookText"/>
        <w:rPr/>
      </w:pPr>
      <w:r>
        <w:rPr>
          <w:rFonts w:ascii="IRNazanin" w:hAnsi="IRNazanin" w:eastAsia="IRNazanin"/>
          <w:color w:val="111111"/>
          <w:sz w:val="28"/>
          <w:sz w:val="28"/>
          <w:szCs w:val="28"/>
          <w:rtl w:val="true"/>
          <w:lang w:bidi="fa-IR"/>
        </w:rPr>
        <w:t>دلیل مانعین</w:t>
      </w:r>
    </w:p>
    <w:p>
      <w:pPr>
        <w:pStyle w:val="BookText"/>
        <w:rPr/>
      </w:pPr>
      <w:r>
        <w:rPr>
          <w:rFonts w:ascii="IRNazanin" w:hAnsi="IRNazanin" w:eastAsia="IRNazanin"/>
          <w:color w:val="111111"/>
          <w:sz w:val="28"/>
          <w:sz w:val="28"/>
          <w:szCs w:val="28"/>
          <w:rtl w:val="true"/>
          <w:lang w:bidi="fa-IR"/>
        </w:rPr>
        <w:t>کسانی که مطلق وقف بر کفار را جایز نمی‌دانند به عموم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لاتَجِدُ قَوْما</w:t>
      </w:r>
    </w:p>
    <w:p>
      <w:pPr>
        <w:pStyle w:val="BookText"/>
        <w:rPr/>
      </w:pPr>
      <w:r>
        <w:rPr>
          <w:rFonts w:ascii="Amiri" w:hAnsi="Amiri" w:eastAsia="Amiri" w:cs="Amiri"/>
          <w:color w:val="111111"/>
          <w:sz w:val="28"/>
          <w:sz w:val="28"/>
          <w:szCs w:val="28"/>
          <w:rtl w:val="true"/>
          <w:lang w:bidi="ar-SA"/>
        </w:rPr>
        <w:t>یُؤمِنُون بِاللّهِ وَالْیَوْمِ الآخِرِ یُوادّونَ مَنْ حادَّ اللّهَ وَ رَسُولَهُ</w:t>
      </w:r>
      <w:r>
        <w:rPr>
          <w:rFonts w:eastAsia="Amiri" w:cs="Amiri" w:ascii="Amiri" w:hAnsi="Amiri"/>
          <w:color w:val="111111"/>
          <w:sz w:val="28"/>
          <w:szCs w:val="28"/>
          <w:rtl w:val="true"/>
          <w:lang w:bidi="ar-SA"/>
        </w:rPr>
        <w:t>...»</w:t>
      </w:r>
      <w:r>
        <w:rPr>
          <w:rStyle w:val="FootnoteAnchor"/>
          <w:rtl w:val="true"/>
        </w:rPr>
        <w:footnoteReference w:id="7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مردمی که به خدا و روز قیامت ایمان آورده‌اند چنین نخواهی یافت که با دشمنان خدا و رسول صلی‌الله‌علیه‌و‌آله دوستی کنند، هر چند آن دشمنان، پدران یا فرزندان و برادران و خویشان آنها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شریفه، مؤمنان را از دوستی و مراوده با دشمنان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از نزدیکترین خویشان آنها مانند والدین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 حَذَر داشته است و وقف نیز نوعی دوستی و رابطه است، لذا جایز نیست</w:t>
      </w:r>
      <w:r>
        <w:rPr>
          <w:rFonts w:eastAsia="IRNazanin" w:cs="IRNazanin"/>
          <w:color w:val="111111"/>
          <w:sz w:val="28"/>
          <w:szCs w:val="28"/>
          <w:rtl w:val="true"/>
          <w:lang w:bidi="fa-IR"/>
        </w:rPr>
        <w:t>.</w:t>
      </w:r>
      <w:r>
        <w:rPr>
          <w:rStyle w:val="FootnoteAnchor"/>
          <w:rtl w:val="true"/>
        </w:rPr>
        <w:footnoteReference w:id="757"/>
      </w:r>
      <w:r>
        <w:rPr>
          <w:rFonts w:ascii="IRNazanin" w:hAnsi="IRNazanin" w:eastAsia="IRNazanin"/>
          <w:color w:val="111111"/>
          <w:sz w:val="28"/>
          <w:sz w:val="28"/>
          <w:szCs w:val="28"/>
          <w:rtl w:val="true"/>
          <w:lang w:bidi="fa-IR"/>
        </w:rPr>
        <w:t>دلیل دیگر این است که به وقف بر کفّار، نمی‌توان تقرّب جست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دلیل قول سوم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صحّتِ وقف بر والدین کافر، همه آیات و روایاتی است که در آنها به نیکی و مودّت و احسان به پدر و مادر امر شده است و دلیل صحّت وقف بر مطلق ارحام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والدین و خواه غیرآنها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و تشویق رسول خدا صلی‌الله‌علیه‌و‌آله و به طور کلی روایات مربوط به صِله اَرحام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دلیل دیگر، اخباری است که مضمون بعضی از آنها جواز وقف بر </w:t>
      </w:r>
      <w:bookmarkStart w:id="474" w:name="pg4267_21909"/>
    </w:p>
    <w:p>
      <w:pPr>
        <w:pStyle w:val="BookText"/>
        <w:rPr/>
      </w:pPr>
      <w:bookmarkEnd w:id="474"/>
      <w:r>
        <w:rPr>
          <w:rFonts w:ascii="IRNazanin" w:hAnsi="IRNazanin" w:eastAsia="IRNazanin"/>
          <w:color w:val="111111"/>
          <w:sz w:val="28"/>
          <w:sz w:val="28"/>
          <w:szCs w:val="28"/>
          <w:rtl w:val="true"/>
          <w:lang w:bidi="fa-IR"/>
        </w:rPr>
        <w:t>والدین و مضمون بعضی جواز وقف بر دیگر خویشان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را شیخ طوسی در نهایه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سرائر</w:t>
      </w:r>
      <w:r>
        <w:rPr>
          <w:rStyle w:val="FootnoteAnchor"/>
          <w:rtl w:val="true"/>
        </w:rPr>
        <w:footnoteReference w:id="760"/>
      </w:r>
      <w:r>
        <w:rPr>
          <w:rFonts w:ascii="IRNazanin" w:hAnsi="IRNazanin" w:eastAsia="IRNazanin"/>
          <w:color w:val="111111"/>
          <w:sz w:val="28"/>
          <w:sz w:val="28"/>
          <w:szCs w:val="28"/>
          <w:rtl w:val="true"/>
          <w:lang w:bidi="fa-IR"/>
        </w:rPr>
        <w:t xml:space="preserve">چنان که گذشت، این اخبار را اخباری آحاد می‌داند که خود شیخ نیز به آنها معتقد نیست، امّا مفتاح‌الکرامة شهرت معلومه و اجماع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مجمع‌البیان و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جبران کننده ارسال این دسته از اخبار دانسته است</w:t>
      </w:r>
      <w:r>
        <w:rPr>
          <w:rFonts w:eastAsia="IRNazanin" w:cs="IRNazanin"/>
          <w:color w:val="111111"/>
          <w:sz w:val="28"/>
          <w:szCs w:val="28"/>
          <w:rtl w:val="true"/>
          <w:lang w:bidi="fa-IR"/>
        </w:rPr>
        <w:t>.</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به نظر می‌رسد در میان این اقوال، قول دوم که جواز وقفِ برذمیّ به طور مطلق است، اقرب و اظهر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 ادلّه‌ای که مُجَوّزین ذکر کردند در حقیقت عموماتی چون</w:t>
      </w:r>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را تخصیص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این استدلال مانعین که؛ نمی‌توان به وقف</w:t>
      </w:r>
    </w:p>
    <w:p>
      <w:pPr>
        <w:pStyle w:val="BookText"/>
        <w:rPr/>
      </w:pPr>
      <w:r>
        <w:rPr>
          <w:rFonts w:ascii="IRNazanin" w:hAnsi="IRNazanin" w:eastAsia="IRNazanin"/>
          <w:color w:val="111111"/>
          <w:sz w:val="28"/>
          <w:sz w:val="28"/>
          <w:szCs w:val="28"/>
          <w:rtl w:val="true"/>
          <w:lang w:bidi="fa-IR"/>
        </w:rPr>
        <w:t>بر کفّار تقرّب جست، در مورد کفّار غیر حربی محّل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مسلمانی به دلیل اغراض و اهدافی خاصّ به قصد قربت اموالی را بر کفّار وقف کند؛</w:t>
      </w:r>
    </w:p>
    <w:p>
      <w:pPr>
        <w:pStyle w:val="BookText"/>
        <w:rPr/>
      </w:pPr>
      <w:r>
        <w:rPr>
          <w:rFonts w:ascii="IRNazanin" w:hAnsi="IRNazanin" w:eastAsia="IRNazanin"/>
          <w:color w:val="111111"/>
          <w:sz w:val="28"/>
          <w:sz w:val="28"/>
          <w:szCs w:val="28"/>
          <w:rtl w:val="true"/>
          <w:lang w:bidi="fa-IR"/>
        </w:rPr>
        <w:t>بویژه در مورد کفار ذمّی که در داخل ممالک اسلامی زندگی می‌کنند و نیکیهای این گونه</w:t>
      </w:r>
    </w:p>
    <w:p>
      <w:pPr>
        <w:pStyle w:val="BookText"/>
        <w:rPr/>
      </w:pPr>
      <w:r>
        <w:rPr>
          <w:rFonts w:ascii="IRNazanin" w:hAnsi="IRNazanin" w:eastAsia="IRNazanin"/>
          <w:color w:val="111111"/>
          <w:sz w:val="28"/>
          <w:sz w:val="28"/>
          <w:szCs w:val="28"/>
          <w:rtl w:val="true"/>
          <w:lang w:bidi="fa-IR"/>
        </w:rPr>
        <w:t>در حقّ آنان ممکن است موجب گرایش و پیوستن آنان به مسلمانان شود</w:t>
      </w:r>
      <w:r>
        <w:rPr>
          <w:rFonts w:eastAsia="IRNazanin" w:cs="IRNazanin"/>
          <w:color w:val="111111"/>
          <w:sz w:val="28"/>
          <w:szCs w:val="28"/>
          <w:rtl w:val="true"/>
          <w:lang w:bidi="fa-IR"/>
        </w:rPr>
        <w:t>.</w:t>
      </w:r>
    </w:p>
    <w:p>
      <w:pPr>
        <w:pStyle w:val="Heading6"/>
        <w:numPr>
          <w:ilvl w:val="5"/>
          <w:numId w:val="1"/>
        </w:numPr>
        <w:rPr/>
      </w:pPr>
      <w:bookmarkStart w:id="475" w:name="__RefHeading___Toc474237_1479056682"/>
      <w:bookmarkStart w:id="476" w:name="_Toc181"/>
      <w:bookmarkEnd w:id="475"/>
      <w:r>
        <w:rPr/>
        <w:t>2</w:t>
      </w:r>
      <w:r>
        <w:rPr>
          <w:rtl w:val="true"/>
        </w:rPr>
        <w:t xml:space="preserve">- </w:t>
      </w:r>
      <w:r>
        <w:rPr>
          <w:rtl w:val="true"/>
        </w:rPr>
        <w:t>وقف بر کفّار حربی</w:t>
      </w:r>
      <w:bookmarkEnd w:id="476"/>
    </w:p>
    <w:p>
      <w:pPr>
        <w:pStyle w:val="Heading6"/>
        <w:numPr>
          <w:ilvl w:val="5"/>
          <w:numId w:val="1"/>
        </w:numPr>
        <w:rPr/>
      </w:pPr>
      <w:bookmarkStart w:id="477" w:name="__RefHeading___Toc474239_1479056682"/>
      <w:bookmarkStart w:id="478" w:name="_Toc182"/>
      <w:bookmarkEnd w:id="477"/>
      <w:r>
        <w:rPr>
          <w:rtl w:val="true"/>
        </w:rPr>
        <w:t>اشاره</w:t>
      </w:r>
      <w:bookmarkEnd w:id="478"/>
    </w:p>
    <w:p>
      <w:pPr>
        <w:pStyle w:val="BookText"/>
        <w:rPr/>
      </w:pPr>
      <w:r>
        <w:rPr>
          <w:rFonts w:ascii="IRNazanin" w:hAnsi="IRNazanin" w:eastAsia="IRNazanin"/>
          <w:color w:val="111111"/>
          <w:sz w:val="28"/>
          <w:sz w:val="28"/>
          <w:szCs w:val="28"/>
          <w:rtl w:val="true"/>
          <w:lang w:bidi="fa-IR"/>
        </w:rPr>
        <w:t xml:space="preserve">فقهای نامبرده و دیگران در منابع یاد شده و غیر آنها اتّفاق نظر دارند که وقف بر کافر حربی جایز نیست و ادلّه‌ای که مانعین وقف بر ذمّی ذکر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محلّ تردید و اشکال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مسلّم شامل وقف بر کفّار حربی می‌شوند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بعضی از اعلام، مثل علاّمه در قواعد، این مطلب را قطعی و مسلّم ندانسته‌اند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در قواعد آورده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وَالاَْقْرَبُ الْمَنْع فِی‌الْحَرْبی</w:t>
      </w:r>
      <w:r>
        <w:rPr>
          <w:rFonts w:eastAsia="Amiri" w:cs="Amiri" w:ascii="Amiri" w:hAnsi="Amiri"/>
          <w:color w:val="111111"/>
          <w:sz w:val="28"/>
          <w:szCs w:val="28"/>
          <w:rtl w:val="true"/>
          <w:lang w:bidi="ar-SA"/>
        </w:rPr>
        <w:t>»</w:t>
      </w:r>
      <w:r>
        <w:rPr>
          <w:rStyle w:val="FootnoteAnchor"/>
          <w:rtl w:val="true"/>
        </w:rPr>
        <w:footnoteReference w:id="762"/>
      </w:r>
      <w:r>
        <w:rPr>
          <w:rFonts w:ascii="IRNazanin" w:hAnsi="IRNazanin" w:eastAsia="IRNazanin"/>
          <w:color w:val="111111"/>
          <w:sz w:val="28"/>
          <w:sz w:val="28"/>
          <w:szCs w:val="28"/>
          <w:rtl w:val="true"/>
          <w:lang w:bidi="fa-IR"/>
        </w:rPr>
        <w:t xml:space="preserve">شهید در مسالک عدم جواز وقف بر حربی را به مشهور نسبت داده است و برای آن به آیه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مجادله، عدم تحقّق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 را در وقف شرط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بعد از تمامیّت واجب‌الوفا و تغییر آن حرام است، در حالی که مالِ حَربی فَیْ‌ء برای مسلمین است که اَخذ و نیز بَیْع آن صحیح است و این امر با صحّت وقف برای </w:t>
      </w:r>
      <w:bookmarkStart w:id="479" w:name="pg4267_21910"/>
    </w:p>
    <w:p>
      <w:pPr>
        <w:pStyle w:val="BookText"/>
        <w:rPr/>
      </w:pPr>
      <w:bookmarkEnd w:id="479"/>
      <w:r>
        <w:rPr>
          <w:rFonts w:ascii="IRNazanin" w:hAnsi="IRNazanin" w:eastAsia="IRNazanin"/>
          <w:color w:val="111111"/>
          <w:sz w:val="28"/>
          <w:sz w:val="28"/>
          <w:szCs w:val="28"/>
          <w:rtl w:val="true"/>
          <w:lang w:bidi="fa-IR"/>
        </w:rPr>
        <w:t>او منافات دارد</w:t>
      </w:r>
      <w:r>
        <w:rPr>
          <w:rFonts w:eastAsia="IRNazanin" w:cs="IRNazanin"/>
          <w:color w:val="111111"/>
          <w:sz w:val="28"/>
          <w:szCs w:val="28"/>
          <w:rtl w:val="true"/>
          <w:lang w:bidi="fa-IR"/>
        </w:rPr>
        <w:t>.</w:t>
      </w:r>
      <w:r>
        <w:rPr>
          <w:rStyle w:val="FootnoteAnchor"/>
          <w:rtl w:val="true"/>
        </w:rPr>
        <w:footnoteReference w:id="763"/>
      </w:r>
    </w:p>
    <w:p>
      <w:pPr>
        <w:pStyle w:val="BookText"/>
        <w:rPr/>
      </w:pPr>
      <w:r>
        <w:rPr>
          <w:rFonts w:ascii="IRNazanin" w:hAnsi="IRNazanin" w:eastAsia="IRNazanin"/>
          <w:color w:val="111111"/>
          <w:sz w:val="28"/>
          <w:sz w:val="28"/>
          <w:szCs w:val="28"/>
          <w:rtl w:val="true"/>
          <w:lang w:bidi="fa-IR"/>
        </w:rPr>
        <w:t xml:space="preserve">به‌نظر می‌رسد، اگر اجماع معتبر در مسأله تمام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گفت حدّاقلّ در مواردی که موقوفٌ علیه تنها مالک انتفاع است، نه مالک منفعت، دلیل مستحکمی برای عدم جواز وقف بر کفّار حربی نیز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احساس شود این کار موجب تقویت آنان یا تضعیف اسلام و مسلمین است، مسأله، صورت دیگری پیدا می‌کند</w:t>
      </w:r>
      <w:r>
        <w:rPr>
          <w:rFonts w:eastAsia="IRNazanin" w:cs="IRNazanin"/>
          <w:color w:val="111111"/>
          <w:sz w:val="28"/>
          <w:szCs w:val="28"/>
          <w:rtl w:val="true"/>
          <w:lang w:bidi="fa-IR"/>
        </w:rPr>
        <w:t>.</w:t>
      </w:r>
    </w:p>
    <w:p>
      <w:pPr>
        <w:pStyle w:val="Heading6"/>
        <w:numPr>
          <w:ilvl w:val="5"/>
          <w:numId w:val="1"/>
        </w:numPr>
        <w:rPr/>
      </w:pPr>
      <w:bookmarkStart w:id="480" w:name="__RefHeading___Toc474241_1479056682"/>
      <w:bookmarkStart w:id="481" w:name="_Toc183"/>
      <w:bookmarkEnd w:id="480"/>
      <w:r>
        <w:rPr>
          <w:rtl w:val="true"/>
        </w:rPr>
        <w:t>دیدگاه دیگر مذاهب</w:t>
      </w:r>
      <w:bookmarkEnd w:id="481"/>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البحرالزّخّار، متفرّع بر اعتبار بر قصد قربت، در صورت ذکر مصرف وقف،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اهل ذمّه نظر است</w:t>
      </w:r>
      <w:r>
        <w:rPr>
          <w:rFonts w:eastAsia="IRNazanin" w:cs="IRNazanin"/>
          <w:color w:val="111111"/>
          <w:sz w:val="28"/>
          <w:szCs w:val="28"/>
          <w:rtl w:val="true"/>
          <w:lang w:bidi="fa-IR"/>
        </w:rPr>
        <w:t>.</w:t>
      </w:r>
      <w:r>
        <w:rPr>
          <w:rStyle w:val="FootnoteAnchor"/>
          <w:rtl w:val="true"/>
        </w:rPr>
        <w:footnoteReference w:id="764"/>
      </w:r>
    </w:p>
    <w:p>
      <w:pPr>
        <w:pStyle w:val="BookText"/>
        <w:rPr/>
      </w:pPr>
      <w:r>
        <w:rPr>
          <w:rFonts w:ascii="IRNazanin" w:hAnsi="IRNazanin" w:eastAsia="IRNazanin"/>
          <w:color w:val="111111"/>
          <w:sz w:val="28"/>
          <w:sz w:val="28"/>
          <w:szCs w:val="28"/>
          <w:rtl w:val="true"/>
          <w:lang w:bidi="fa-IR"/>
        </w:rPr>
        <w:t>مذاهب اربعه</w:t>
      </w:r>
    </w:p>
    <w:p>
      <w:pPr>
        <w:pStyle w:val="BookText"/>
        <w:rPr/>
      </w:pPr>
      <w:r>
        <w:rPr>
          <w:rFonts w:ascii="IRNazanin" w:hAnsi="IRNazanin" w:eastAsia="IRNazanin"/>
          <w:color w:val="111111"/>
          <w:sz w:val="28"/>
          <w:sz w:val="28"/>
          <w:szCs w:val="28"/>
          <w:rtl w:val="true"/>
          <w:lang w:bidi="fa-IR"/>
        </w:rPr>
        <w:t>مذاهب اربعه وقف مسلمان بر کافرذمّی را جایز و صحیح می‌دانند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ابن‌قُدامه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اهل ذمّه صحیح است، زیرا آنان دارای ملکیّت محترم هستند و تصدّق بر آنان، همانند مسلمین جایز است و از صَفیّه، همسر رسول خدا صلی‌الله‌علیه‌و‌آله روایت شده است‌که بر برادر یهودی خود، اموالی را وقف کرد؛ دلیل دیگر این که هر کس وقف ذمّی بر او جایز باشد وقف مسلم نیز بر او جایز است؛ حتّی وقف بر کسانی که در کَنیسه‌ها و بِیَع وارد می‌شوند، نیز صحیح است</w:t>
      </w:r>
      <w:r>
        <w:rPr>
          <w:rFonts w:eastAsia="IRNazanin" w:cs="IRNazanin"/>
          <w:color w:val="111111"/>
          <w:sz w:val="28"/>
          <w:szCs w:val="28"/>
          <w:rtl w:val="true"/>
          <w:lang w:bidi="fa-IR"/>
        </w:rPr>
        <w:t>.</w:t>
      </w:r>
      <w:r>
        <w:rPr>
          <w:rStyle w:val="FootnoteAnchor"/>
          <w:rtl w:val="true"/>
        </w:rPr>
        <w:footnoteReference w:id="76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مغنی‌المحتاج شرط کرده است که در این وقف، قصد معصیت ظاهر نباشد؛ لذا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خادم کَنیسه وقف کردم، صحیح نیست همچنین، ذمّی باید از کسانی باشد که تملیک به او ممکن باشد؛ بنابراین وقفِ مُصْحَف، کتب علمی و عبد مسلمان برذمّی </w:t>
      </w:r>
      <w:bookmarkStart w:id="482" w:name="pg4267_21911"/>
    </w:p>
    <w:p>
      <w:pPr>
        <w:pStyle w:val="BookText"/>
        <w:rPr/>
      </w:pPr>
      <w:bookmarkEnd w:id="482"/>
      <w:r>
        <w:rPr>
          <w:rFonts w:ascii="IRNazanin" w:hAnsi="IRNazanin" w:eastAsia="IRNazanin"/>
          <w:color w:val="111111"/>
          <w:sz w:val="28"/>
          <w:sz w:val="28"/>
          <w:szCs w:val="28"/>
          <w:rtl w:val="true"/>
          <w:lang w:bidi="fa-IR"/>
        </w:rPr>
        <w:t>ممتنع است</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 xml:space="preserve">بلغه‌السّالک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صحّت وقف برذمّی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از مسلم یا ذمّی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وقف بر حربی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فقهای اهل سنّت نیز وقف بر حربی را جایز نمی‌دانند برای این که ما از برّ به کفار حربی منع شده‌ایم و نیز برای این که حربی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w:t>
      </w:r>
    </w:p>
    <w:p>
      <w:pPr>
        <w:pStyle w:val="BookText"/>
        <w:rPr/>
      </w:pPr>
      <w:r>
        <w:rPr>
          <w:rFonts w:ascii="IRNazanin" w:hAnsi="IRNazanin" w:eastAsia="IRNazanin"/>
          <w:color w:val="111111"/>
          <w:sz w:val="28"/>
          <w:sz w:val="28"/>
          <w:szCs w:val="28"/>
          <w:rtl w:val="true"/>
          <w:lang w:bidi="fa-IR"/>
        </w:rPr>
        <w:t>قتل است و دوام و استمرار ندارد، در حالی که وقف صدقه جاریه است و باید دائم و مستمرّ باشد؛ لذا وقف بر کفّار حربی و مرتدّ قطعا صحیح نیست</w:t>
      </w:r>
      <w:r>
        <w:rPr>
          <w:rFonts w:eastAsia="IRNazanin" w:cs="IRNazanin"/>
          <w:color w:val="111111"/>
          <w:sz w:val="28"/>
          <w:szCs w:val="28"/>
          <w:rtl w:val="true"/>
          <w:lang w:bidi="fa-IR"/>
        </w:rPr>
        <w:t>.</w:t>
      </w:r>
      <w:r>
        <w:rPr>
          <w:rStyle w:val="FootnoteAnchor"/>
          <w:rtl w:val="true"/>
        </w:rPr>
        <w:footnoteReference w:id="769"/>
      </w:r>
    </w:p>
    <w:p>
      <w:pPr>
        <w:pStyle w:val="Heading6"/>
        <w:numPr>
          <w:ilvl w:val="5"/>
          <w:numId w:val="1"/>
        </w:numPr>
        <w:rPr/>
      </w:pPr>
      <w:bookmarkStart w:id="483" w:name="__RefHeading___Toc474243_1479056682"/>
      <w:bookmarkStart w:id="484" w:name="_Toc184"/>
      <w:bookmarkEnd w:id="483"/>
      <w:r>
        <w:rPr/>
        <w:t>3</w:t>
      </w:r>
      <w:r>
        <w:rPr>
          <w:rtl w:val="true"/>
        </w:rPr>
        <w:t xml:space="preserve">- </w:t>
      </w:r>
      <w:r>
        <w:rPr>
          <w:rtl w:val="true"/>
        </w:rPr>
        <w:t xml:space="preserve">وقف بر بِیَع، کَنایس، تورات و انجیل، قُطّاع الطّریق و </w:t>
      </w:r>
      <w:r>
        <w:rPr>
          <w:rtl w:val="true"/>
        </w:rPr>
        <w:t>...</w:t>
      </w:r>
      <w:bookmarkEnd w:id="484"/>
    </w:p>
    <w:p>
      <w:pPr>
        <w:pStyle w:val="Heading6"/>
        <w:numPr>
          <w:ilvl w:val="5"/>
          <w:numId w:val="1"/>
        </w:numPr>
        <w:rPr/>
      </w:pPr>
      <w:bookmarkStart w:id="485" w:name="__RefHeading___Toc474245_1479056682"/>
      <w:bookmarkStart w:id="486" w:name="_Toc185"/>
      <w:bookmarkEnd w:id="485"/>
      <w:r>
        <w:rPr>
          <w:rtl w:val="true"/>
        </w:rPr>
        <w:t>اشاره</w:t>
      </w:r>
      <w:bookmarkEnd w:id="486"/>
    </w:p>
    <w:p>
      <w:pPr>
        <w:pStyle w:val="BookText"/>
        <w:rPr/>
      </w:pPr>
      <w:r>
        <w:rPr>
          <w:rStyle w:val="FootnoteAnchor"/>
          <w:rtl w:val="true"/>
        </w:rPr>
        <w:footnoteReference w:id="770"/>
      </w:r>
      <w:r>
        <w:rPr>
          <w:rFonts w:ascii="IRNazanin" w:hAnsi="IRNazanin" w:eastAsia="IRNazanin"/>
          <w:color w:val="111111"/>
          <w:sz w:val="28"/>
          <w:sz w:val="28"/>
          <w:szCs w:val="28"/>
          <w:rtl w:val="true"/>
          <w:lang w:bidi="fa-IR"/>
        </w:rPr>
        <w:t xml:space="preserve">تورات و انجیل، قُطّاع الطّریق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فقهای امامیّه وقف بر معابد یهود و نصارا، آتشکده‌ها، تورات و انجیل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مسلمانی مالی را برای عِمارت بِیعه، کَنیسه یا آتشکده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باطل است، و امّا وقف ذمّی بر این موارد،</w:t>
      </w:r>
    </w:p>
    <w:p>
      <w:pPr>
        <w:pStyle w:val="BookText"/>
        <w:rPr/>
      </w:pP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شیخ طوسی نیز در نهایه و مبسوط به بطلان و عدم جواز وقف مسلم بر این موارد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مبسوط در این باره، ادّعای عدم خلاف کرده است</w:t>
      </w:r>
      <w:r>
        <w:rPr>
          <w:rFonts w:eastAsia="IRNazanin" w:cs="IRNazanin"/>
          <w:color w:val="111111"/>
          <w:sz w:val="28"/>
          <w:szCs w:val="28"/>
          <w:rtl w:val="true"/>
          <w:lang w:bidi="fa-IR"/>
        </w:rPr>
        <w:t>.</w:t>
      </w:r>
      <w:r>
        <w:rPr>
          <w:rStyle w:val="FootnoteAnchor"/>
          <w:rtl w:val="true"/>
        </w:rPr>
        <w:footnoteReference w:id="77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بر این قول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اماکن، مدارس کفر، و جایگاه شَتم و بدگویی به پیامبران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است، لذا وقف بر این اماکن وقف بر معصیت است؛ امّا وقف بر کسانی که در این اماکن مسکن می‌گزینند بلامانع است وی همچنین در مورد عدم جواز وقف بر کتابهای تورات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عدم صحّت، این است که؛ این کتابها تحریف شده است، نه این که چون منسوخ شده؛ زیرا نسخ آنها موجب زوال حُرمتشان نمی‌شود، همچنان که در قرآن کریم نیز، آیات منسوخه وجود دارد، امّا حُرمت آنها باقی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Amiri" w:hAnsi="Amiri" w:eastAsia="Amiri" w:cs="Amiri"/>
          <w:color w:val="111111"/>
          <w:sz w:val="28"/>
          <w:sz w:val="28"/>
          <w:szCs w:val="28"/>
          <w:rtl w:val="true"/>
          <w:lang w:bidi="ar-SA"/>
        </w:rPr>
        <w:t>ابوالصّلاح حَلَبی،</w:t>
      </w:r>
      <w:r>
        <w:rPr>
          <w:rStyle w:val="FootnoteAnchor"/>
          <w:rtl w:val="true"/>
        </w:rPr>
        <w:footnoteReference w:id="774"/>
      </w:r>
      <w:r>
        <w:rPr>
          <w:rFonts w:ascii="IRNazanin" w:hAnsi="IRNazanin" w:eastAsia="IRNazanin"/>
          <w:color w:val="111111"/>
          <w:sz w:val="28"/>
          <w:sz w:val="28"/>
          <w:szCs w:val="28"/>
          <w:rtl w:val="true"/>
          <w:lang w:bidi="fa-IR"/>
        </w:rPr>
        <w:t>علاّمه در قواعد ؛ محقّق ثانی</w:t>
      </w:r>
      <w:r>
        <w:rPr>
          <w:rStyle w:val="FootnoteAnchor"/>
          <w:rtl w:val="true"/>
        </w:rPr>
        <w:footnoteReference w:id="775"/>
      </w:r>
      <w:r>
        <w:rPr>
          <w:rFonts w:ascii="IRNazanin" w:hAnsi="IRNazanin" w:eastAsia="IRNazanin"/>
          <w:color w:val="111111"/>
          <w:sz w:val="28"/>
          <w:sz w:val="28"/>
          <w:szCs w:val="28"/>
          <w:rtl w:val="true"/>
          <w:lang w:bidi="fa-IR"/>
        </w:rPr>
        <w:t>، فاضل آبی</w:t>
      </w:r>
      <w:r>
        <w:rPr>
          <w:rStyle w:val="FootnoteAnchor"/>
          <w:rtl w:val="true"/>
        </w:rPr>
        <w:footnoteReference w:id="776"/>
      </w:r>
      <w:r>
        <w:rPr>
          <w:rFonts w:ascii="Amiri" w:hAnsi="Amiri" w:eastAsia="Amiri" w:cs="Amiri"/>
          <w:color w:val="111111"/>
          <w:sz w:val="28"/>
          <w:sz w:val="28"/>
          <w:szCs w:val="28"/>
          <w:rtl w:val="true"/>
          <w:lang w:bidi="ar-SA"/>
        </w:rPr>
        <w:t>، محقّق اوّل در مختصر</w:t>
      </w:r>
      <w:r>
        <w:rPr>
          <w:rStyle w:val="FootnoteAnchor"/>
          <w:rtl w:val="true"/>
        </w:rPr>
        <w:footnoteReference w:id="777"/>
      </w:r>
      <w:r>
        <w:rPr>
          <w:rFonts w:ascii="IRNazanin" w:hAnsi="IRNazanin" w:eastAsia="IRNazanin"/>
          <w:color w:val="111111"/>
          <w:sz w:val="28"/>
          <w:sz w:val="28"/>
          <w:szCs w:val="28"/>
          <w:rtl w:val="true"/>
          <w:lang w:bidi="fa-IR"/>
        </w:rPr>
        <w:t>و شرایع، شهید ثانی</w:t>
      </w:r>
      <w:r>
        <w:rPr>
          <w:rStyle w:val="FootnoteAnchor"/>
          <w:rtl w:val="true"/>
        </w:rPr>
        <w:footnoteReference w:id="778"/>
      </w:r>
      <w:r>
        <w:rPr>
          <w:rFonts w:ascii="IRNazanin" w:hAnsi="IRNazanin" w:eastAsia="IRNazanin"/>
          <w:color w:val="111111"/>
          <w:sz w:val="28"/>
          <w:sz w:val="28"/>
          <w:szCs w:val="28"/>
          <w:rtl w:val="true"/>
          <w:lang w:bidi="fa-IR"/>
        </w:rPr>
        <w:t>و از متأخّران؛ آیه‌اللّه خویی، آیه‌اللّه حکیم، امام خمینی</w:t>
      </w:r>
      <w:r>
        <w:rPr>
          <w:rStyle w:val="FootnoteAnchor"/>
          <w:rtl w:val="true"/>
        </w:rPr>
        <w:footnoteReference w:id="77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عدم صحّت و عدم جواز وقف بر کنایس، بِیَع، تورات، انجیل، کتب ضلال، راهزنان، و خلاصه هر موردی که به نحوی اعانت بر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از مبسوط و غنیه حکایت نفی خلاف کرده است که ظاهرشان نفی خلاف بین مسلمین است و از ظاهر تنقیح، حکایت اجماع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تنقیح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مورد مخالفی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به وقف بر معونه زُناة و قُطّاع طریق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w:t>
      </w:r>
    </w:p>
    <w:p>
      <w:pPr>
        <w:pStyle w:val="BookText"/>
        <w:rPr/>
      </w:pPr>
      <w:r>
        <w:rPr>
          <w:rFonts w:ascii="Amiri" w:hAnsi="Amiri" w:eastAsia="Amiri" w:cs="Amiri"/>
          <w:color w:val="111111"/>
          <w:sz w:val="28"/>
          <w:sz w:val="28"/>
          <w:szCs w:val="28"/>
          <w:rtl w:val="true"/>
          <w:lang w:bidi="ar-SA"/>
        </w:rPr>
        <w:t>فی اَکْثَر الْکُتُب المُتقدَّمةِ</w:t>
      </w:r>
      <w:r>
        <w:rPr>
          <w:rFonts w:eastAsia="Amiri" w:cs="Amiri" w:ascii="Amiri" w:hAnsi="Amiri"/>
          <w:color w:val="111111"/>
          <w:sz w:val="28"/>
          <w:szCs w:val="28"/>
          <w:rtl w:val="true"/>
          <w:lang w:bidi="ar-SA"/>
        </w:rPr>
        <w:t>».</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در جواهر الکلام نیز، درباره عدم صحّت وقف مسلم بر کنایس و بیع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بِلاخِلافٍ اَجِدُه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این وقف در حقیقت اعانت به آنها بر کاری است که بر آنها</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علّت عدم جواز و عدم صحّت وقف بر معونه زُناة، قُطّاع طریق، شارب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اعانه بر اِثْم، ذکر کرده است</w:t>
      </w:r>
      <w:r>
        <w:rPr>
          <w:rFonts w:eastAsia="IRNazanin" w:cs="IRNazanin"/>
          <w:color w:val="111111"/>
          <w:sz w:val="28"/>
          <w:szCs w:val="28"/>
          <w:rtl w:val="true"/>
          <w:lang w:bidi="fa-IR"/>
        </w:rPr>
        <w:t>.</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فقهای نامبرده و دیگران در منابع یادشده و غیر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کفّار بر کنایس و بِیَع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مختصر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کافر بر این اماکن وقف کند، صحیح است؛ زیرا هر قوم و مردمی به دین و کیش خود متدین‌اند و به معبودی که به سوی او توجه می‌کنند، اعتراف دارند</w:t>
      </w:r>
      <w:r>
        <w:rPr>
          <w:rFonts w:eastAsia="IRNazanin" w:cs="IRNazanin"/>
          <w:color w:val="111111"/>
          <w:sz w:val="28"/>
          <w:szCs w:val="28"/>
          <w:rtl w:val="true"/>
          <w:lang w:bidi="fa-IR"/>
        </w:rPr>
        <w:t>».</w:t>
      </w:r>
      <w:r>
        <w:rPr>
          <w:rStyle w:val="FootnoteAnchor"/>
          <w:rtl w:val="true"/>
        </w:rPr>
        <w:footnoteReference w:id="782"/>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عملی هم در طول تاریخ این بوده است که کفار ذمّی برای خود معابد و کنایس می‌ساختند و اموالی را بر آنها وقف می‌کردند و موردی که از طرف معصومین علیه‌السلام نسبت به این کارها منع شده باشد، مشاهده نشده است </w:t>
      </w:r>
      <w:r>
        <w:rPr>
          <w:rFonts w:eastAsia="IRNazanin" w:cs="IRNazanin"/>
          <w:color w:val="111111"/>
          <w:sz w:val="28"/>
          <w:szCs w:val="28"/>
          <w:rtl w:val="true"/>
          <w:lang w:bidi="fa-IR"/>
        </w:rPr>
        <w:t xml:space="preserve">. </w:t>
      </w:r>
      <w:bookmarkStart w:id="487" w:name="pg4267_21913"/>
    </w:p>
    <w:p>
      <w:pPr>
        <w:pStyle w:val="Heading6"/>
        <w:numPr>
          <w:ilvl w:val="5"/>
          <w:numId w:val="1"/>
        </w:numPr>
        <w:rPr/>
      </w:pPr>
      <w:bookmarkStart w:id="488" w:name="__RefHeading___Toc474247_1479056682"/>
      <w:bookmarkStart w:id="489" w:name="_Toc186"/>
      <w:bookmarkEnd w:id="487"/>
      <w:bookmarkEnd w:id="488"/>
      <w:r>
        <w:rPr>
          <w:rtl w:val="true"/>
        </w:rPr>
        <w:t>قانون مدنی</w:t>
      </w:r>
      <w:bookmarkEnd w:id="489"/>
    </w:p>
    <w:p>
      <w:pPr>
        <w:pStyle w:val="BookText"/>
        <w:rPr/>
      </w:pPr>
      <w:r>
        <w:rPr>
          <w:rFonts w:ascii="IRNazanin" w:hAnsi="IRNazanin" w:eastAsia="IRNazanin"/>
          <w:color w:val="111111"/>
          <w:sz w:val="28"/>
          <w:sz w:val="28"/>
          <w:szCs w:val="28"/>
          <w:rtl w:val="true"/>
          <w:lang w:bidi="fa-IR"/>
        </w:rPr>
        <w:t>در قانون مدنی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 بر مقاصد غیرمشروع باطل است</w:t>
      </w:r>
      <w:r>
        <w:rPr>
          <w:rFonts w:eastAsia="IRNazanin" w:cs="IRNazanin"/>
          <w:color w:val="111111"/>
          <w:sz w:val="28"/>
          <w:szCs w:val="28"/>
          <w:rtl w:val="true"/>
          <w:lang w:bidi="fa-IR"/>
        </w:rPr>
        <w:t>.»</w:t>
      </w:r>
      <w:r>
        <w:rPr>
          <w:rStyle w:val="FootnoteAnchor"/>
          <w:rtl w:val="true"/>
        </w:rPr>
        <w:footnoteReference w:id="783"/>
      </w:r>
      <w:r>
        <w:rPr>
          <w:rFonts w:ascii="IRNazanin" w:hAnsi="IRNazanin" w:eastAsia="IRNazanin"/>
          <w:color w:val="111111"/>
          <w:sz w:val="28"/>
          <w:sz w:val="28"/>
          <w:szCs w:val="28"/>
          <w:rtl w:val="true"/>
          <w:lang w:bidi="fa-IR"/>
        </w:rPr>
        <w:t>سیدحسن امامی مقاصد غیرمشروع را به مواردی چون وقف بر انقلابیون و یاغیان، فاحشه خانه‌ها و امثال آنها و به طورکلی، عملی‌که قانون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جرم شناخته باشد، تفسیرکرده‌است</w:t>
      </w:r>
      <w:r>
        <w:rPr>
          <w:rFonts w:eastAsia="IRNazanin" w:cs="IRNazanin"/>
          <w:color w:val="111111"/>
          <w:sz w:val="28"/>
          <w:szCs w:val="28"/>
          <w:rtl w:val="true"/>
          <w:lang w:bidi="fa-IR"/>
        </w:rPr>
        <w:t>.</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ابوزهره از مادّه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درآمد وقف در صورتی که واقف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قتلی که مانع از میرات می‌شود این قاتل را نیز</w:t>
      </w:r>
    </w:p>
    <w:p>
      <w:pPr>
        <w:pStyle w:val="BookText"/>
        <w:rPr/>
      </w:pPr>
      <w:r>
        <w:rPr>
          <w:rFonts w:ascii="IRNazanin" w:hAnsi="IRNazanin" w:eastAsia="IRNazanin"/>
          <w:color w:val="111111"/>
          <w:sz w:val="28"/>
          <w:sz w:val="28"/>
          <w:szCs w:val="28"/>
          <w:rtl w:val="true"/>
          <w:lang w:bidi="fa-IR"/>
        </w:rPr>
        <w:t>محروم می‌کند و استحقاق به دیگر افراد از جمله افراد بعد از وی، هر چند ذریّه قاتل باشند، منتقل می‌شود</w:t>
      </w:r>
      <w:r>
        <w:rPr>
          <w:rFonts w:eastAsia="IRNazanin" w:cs="IRNazanin"/>
          <w:color w:val="111111"/>
          <w:sz w:val="28"/>
          <w:szCs w:val="28"/>
          <w:rtl w:val="true"/>
          <w:lang w:bidi="fa-IR"/>
        </w:rPr>
        <w:t>.</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نگارنده در میان کتب فقهی امامیّه به چنین مطلبی برنخورده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ابوزهره نیز اظهار داشته است که در میان امّهات وفتاوای مذهب حنفی چنین چیزی را نیافته است، هرچند کسانی در تفسیر مادّه نامبرده قانون، آن‌را ظاهر مذهب حنفیّه دانسته‌اند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و وصیّت برادرند و حنفیّه، قتل را موجب محرومیّت قاتل از وصیّت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 را</w:t>
      </w:r>
    </w:p>
    <w:p>
      <w:pPr>
        <w:pStyle w:val="BookText"/>
        <w:rPr/>
      </w:pPr>
      <w:r>
        <w:rPr>
          <w:rFonts w:ascii="IRNazanin" w:hAnsi="IRNazanin" w:eastAsia="IRNazanin"/>
          <w:color w:val="111111"/>
          <w:sz w:val="28"/>
          <w:sz w:val="28"/>
          <w:szCs w:val="28"/>
          <w:rtl w:val="true"/>
          <w:lang w:bidi="fa-IR"/>
        </w:rPr>
        <w:t>موجب حرمان از وقف نیز می‌دانند، که نوعی قیاس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ابوزهره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مقایسه را در احکام قتل از هیچ یک از ائمّه مذاهب و نه از مجتهدان و متّقیان سراغ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قیاس وقف به وصیّت نیز قیاس مَعَ‌الفارق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بعضی از وجوه اختلاف میان وقف و وصیّت پرداخته است</w:t>
      </w:r>
      <w:r>
        <w:rPr>
          <w:rFonts w:eastAsia="IRNazanin" w:cs="IRNazanin"/>
          <w:color w:val="111111"/>
          <w:sz w:val="28"/>
          <w:szCs w:val="28"/>
          <w:rtl w:val="true"/>
          <w:lang w:bidi="fa-IR"/>
        </w:rPr>
        <w:t>.</w:t>
      </w:r>
      <w:r>
        <w:rPr>
          <w:rStyle w:val="FootnoteAnchor"/>
          <w:rtl w:val="true"/>
        </w:rPr>
        <w:footnoteReference w:id="786"/>
      </w:r>
    </w:p>
    <w:p>
      <w:pPr>
        <w:pStyle w:val="Heading4"/>
        <w:numPr>
          <w:ilvl w:val="3"/>
          <w:numId w:val="1"/>
        </w:numPr>
        <w:rPr/>
      </w:pPr>
      <w:bookmarkStart w:id="490" w:name="__RefHeading___Toc474249_1479056682"/>
      <w:bookmarkStart w:id="491" w:name="_Toc187"/>
      <w:bookmarkEnd w:id="490"/>
      <w:r>
        <w:rPr>
          <w:rtl w:val="true"/>
        </w:rPr>
        <w:t>مبحث سوم</w:t>
      </w:r>
      <w:r>
        <w:rPr>
          <w:rtl w:val="true"/>
        </w:rPr>
        <w:t xml:space="preserve">: </w:t>
      </w:r>
      <w:r>
        <w:rPr>
          <w:rtl w:val="true"/>
        </w:rPr>
        <w:t>وقف بر اولاد</w:t>
      </w:r>
      <w:bookmarkEnd w:id="491"/>
    </w:p>
    <w:p>
      <w:pPr>
        <w:pStyle w:val="Heading5"/>
        <w:numPr>
          <w:ilvl w:val="4"/>
          <w:numId w:val="1"/>
        </w:numPr>
        <w:rPr/>
      </w:pPr>
      <w:bookmarkStart w:id="492" w:name="__RefHeading___Toc474251_1479056682"/>
      <w:bookmarkStart w:id="493" w:name="_Toc188"/>
      <w:bookmarkEnd w:id="492"/>
      <w:r>
        <w:rPr>
          <w:rtl w:val="true"/>
        </w:rPr>
        <w:t>اشاره</w:t>
      </w:r>
      <w:bookmarkEnd w:id="49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اوّلِ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وقف به اعتبارموقوف علیه به دو قسم اصلی تقسیم می‌شود</w:t>
      </w:r>
      <w:r>
        <w:rPr>
          <w:rFonts w:eastAsia="IRNazanin" w:cs="IRNazanin"/>
          <w:color w:val="111111"/>
          <w:sz w:val="28"/>
          <w:szCs w:val="28"/>
          <w:rtl w:val="true"/>
          <w:lang w:bidi="fa-IR"/>
        </w:rPr>
        <w:t xml:space="preserve">: </w:t>
      </w:r>
      <w:bookmarkStart w:id="494" w:name="pg4267_21914"/>
    </w:p>
    <w:p>
      <w:pPr>
        <w:pStyle w:val="BookText"/>
        <w:rPr/>
      </w:pPr>
      <w:bookmarkEnd w:id="494"/>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عامّ، شامل وقف بر مصالحی چون مساجد، مقابر، اماکنِ مورد استفاده</w:t>
      </w:r>
    </w:p>
    <w:p>
      <w:pPr>
        <w:pStyle w:val="BookText"/>
        <w:rPr/>
      </w:pPr>
      <w:r>
        <w:rPr>
          <w:rFonts w:ascii="IRNazanin" w:hAnsi="IRNazanin" w:eastAsia="IRNazanin"/>
          <w:color w:val="111111"/>
          <w:sz w:val="28"/>
          <w:sz w:val="28"/>
          <w:szCs w:val="28"/>
          <w:rtl w:val="true"/>
          <w:lang w:bidi="fa-IR"/>
        </w:rPr>
        <w:t>عموم، مانند راهها، پلها، مدارس و مشابه اینها و عناوین عامّی چون، فقرا، علما،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خاصّ که مربوط به مواردی است که موقوفٌ عَلَیْه، افراد خاصّ و معیّنی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روشن و غالب وقف خاص، همان وقف بر اولاد است که بخشی از مسائل و مطالب مربوط به آن در این مبحث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از وقف بر اولاد 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در برابر وقف خَیْری که مصداق آن وقف بر مساجد و مقابر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مطالب و مسائلی که در این مبحث بررسی شده‌اند</w:t>
      </w:r>
      <w:r>
        <w:rPr>
          <w:rFonts w:eastAsia="IRNazanin" w:cs="IRNazanin"/>
          <w:color w:val="111111"/>
          <w:sz w:val="28"/>
          <w:szCs w:val="28"/>
          <w:rtl w:val="true"/>
          <w:lang w:bidi="fa-IR"/>
        </w:rPr>
        <w:t>:</w:t>
      </w:r>
    </w:p>
    <w:p>
      <w:pPr>
        <w:pStyle w:val="Heading5"/>
        <w:numPr>
          <w:ilvl w:val="4"/>
          <w:numId w:val="1"/>
        </w:numPr>
        <w:rPr/>
      </w:pPr>
      <w:bookmarkStart w:id="495" w:name="__RefHeading___Toc474253_1479056682"/>
      <w:bookmarkStart w:id="496" w:name="_Toc189"/>
      <w:bookmarkEnd w:id="495"/>
      <w:r>
        <w:rPr/>
        <w:t>1</w:t>
      </w:r>
      <w:r>
        <w:rPr>
          <w:rtl w:val="true"/>
        </w:rPr>
        <w:t xml:space="preserve">- </w:t>
      </w:r>
      <w:r>
        <w:rPr>
          <w:rtl w:val="true"/>
        </w:rPr>
        <w:t>مشروعیّت وقف بر اولاد</w:t>
      </w:r>
      <w:bookmarkEnd w:id="496"/>
    </w:p>
    <w:p>
      <w:pPr>
        <w:pStyle w:val="BookText"/>
        <w:rPr/>
      </w:pPr>
      <w:r>
        <w:rPr>
          <w:rFonts w:ascii="IRNazanin" w:hAnsi="IRNazanin" w:eastAsia="IRNazanin"/>
          <w:color w:val="111111"/>
          <w:sz w:val="28"/>
          <w:sz w:val="28"/>
          <w:szCs w:val="28"/>
          <w:rtl w:val="true"/>
          <w:lang w:bidi="fa-IR"/>
        </w:rPr>
        <w:t xml:space="preserve">جمهور فقهای فریقین وقف بر اولاد را جایز دانسته‌اند و موارد متعدّدی از اوقاف و صدقات معصومین علیهم‌السلام که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وقف براولاد و یا خویشان نزدیک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جای انکار نیست که ممکن است کسانی از این حکم سوءِ استفاده کنند و آن را وسیله‌ای برای محرومیّت عدّه‌ای از ورثه یافرزندان، مانند فرزندان اِناث خویش قرار دهند؛ امّا این سوءِ استفاده به وقف اهلی و اولادی، بلکه حتّی به باب وقف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حکمی ازاحکام الهی ممکن است سوءِ استفاده 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ابوزهره در کتاب خویش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عصر صحابه سپری نشده بود که گروهی از واقفان از مقصد اصلی وقف منحرف شدند و آن را ابزاری برای تصرّف در بعض ترکه یاتمام آن، بعد از مرگ خویش،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عصر صحابه این امر که وقف را راهی برای محروم‌کردن فرزندان دختر از ارث قرار دهند، در میان بسیاری، شایع شده بود، به طوری که فریاد عایشه در انکار و توبیخ این کار بلند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امروز در صدقات خویش مصداق این آیه کریمه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قالُوا ما فِی بُطُون هذِهِ الاَنْعامِخالصةٌ لِذُکُورِنا </w:t>
      </w:r>
      <w:bookmarkStart w:id="497" w:name="pg4267_21915"/>
    </w:p>
    <w:p>
      <w:pPr>
        <w:pStyle w:val="BookText"/>
        <w:rPr/>
      </w:pPr>
      <w:bookmarkEnd w:id="497"/>
      <w:r>
        <w:rPr>
          <w:rFonts w:ascii="Amiri" w:hAnsi="Amiri" w:eastAsia="Amiri" w:cs="Amiri"/>
          <w:color w:val="111111"/>
          <w:sz w:val="28"/>
          <w:sz w:val="28"/>
          <w:szCs w:val="28"/>
          <w:rtl w:val="true"/>
          <w:lang w:bidi="ar-SA"/>
        </w:rPr>
        <w:t>وَ مُحَرَّمٌ عَلی اَزْواجِنا</w:t>
      </w:r>
      <w:r>
        <w:rPr>
          <w:rFonts w:eastAsia="Amiri" w:cs="Amiri" w:ascii="Amiri" w:hAnsi="Amiri"/>
          <w:color w:val="111111"/>
          <w:sz w:val="28"/>
          <w:szCs w:val="28"/>
          <w:rtl w:val="true"/>
          <w:lang w:bidi="ar-SA"/>
        </w:rPr>
        <w:t>...»</w:t>
      </w:r>
      <w:r>
        <w:rPr>
          <w:rStyle w:val="FootnoteAnchor"/>
          <w:rtl w:val="true"/>
        </w:rPr>
        <w:footnoteReference w:id="78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آنچه در شکم این چارپایان است مخصوص مردان ماست و بر زنان 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همین مشکل بود که عمربن‌عبدالعزیز به اِبطال صدقاتی که زنان ازآن محروم شده بودند، تصمیم گرفت، امّا اَجَل به او مهلت نداد</w:t>
      </w:r>
      <w:r>
        <w:rPr>
          <w:rFonts w:eastAsia="IRNazanin" w:cs="IRNazanin"/>
          <w:color w:val="111111"/>
          <w:sz w:val="28"/>
          <w:szCs w:val="28"/>
          <w:rtl w:val="true"/>
          <w:lang w:bidi="fa-IR"/>
        </w:rPr>
        <w:t>.</w:t>
      </w:r>
      <w:r>
        <w:rPr>
          <w:rStyle w:val="FootnoteAnchor"/>
          <w:rtl w:val="true"/>
        </w:rPr>
        <w:footnoteReference w:id="788"/>
      </w:r>
    </w:p>
    <w:p>
      <w:pPr>
        <w:pStyle w:val="BookText"/>
        <w:rPr/>
      </w:pPr>
      <w:r>
        <w:rPr>
          <w:rFonts w:ascii="IRNazanin" w:hAnsi="IRNazanin" w:eastAsia="IRNazanin"/>
          <w:color w:val="111111"/>
          <w:sz w:val="28"/>
          <w:sz w:val="28"/>
          <w:szCs w:val="28"/>
          <w:rtl w:val="true"/>
          <w:lang w:bidi="fa-IR"/>
        </w:rPr>
        <w:t>شاید اگر بجز متولّیان اوقاف، حکّام اسلامی نیز به طور صحیح بر اوقاف ومتولّیان و نُظّار آنها اِشراف ونظارت دقیق داشته باشند، مشکلات و سوء استفاده های کلان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درهر صورت مشروعیّت وقف اولادی مسلّم و مفروغٌ‌عنه است و سنّت و سیره عملی معصومین علیهم‌السلام و صحابه و تابعین نیز مؤیّد، بلکه مُثبِتِ آن است</w:t>
      </w:r>
      <w:r>
        <w:rPr>
          <w:rFonts w:eastAsia="IRNazanin" w:cs="IRNazanin"/>
          <w:color w:val="111111"/>
          <w:sz w:val="28"/>
          <w:szCs w:val="28"/>
          <w:rtl w:val="true"/>
          <w:lang w:bidi="fa-IR"/>
        </w:rPr>
        <w:t>.</w:t>
      </w:r>
    </w:p>
    <w:p>
      <w:pPr>
        <w:pStyle w:val="Heading5"/>
        <w:numPr>
          <w:ilvl w:val="4"/>
          <w:numId w:val="1"/>
        </w:numPr>
        <w:rPr/>
      </w:pPr>
      <w:bookmarkStart w:id="498" w:name="__RefHeading___Toc474255_1479056682"/>
      <w:bookmarkStart w:id="499" w:name="_Toc190"/>
      <w:bookmarkEnd w:id="498"/>
      <w:r>
        <w:rPr/>
        <w:t>2</w:t>
      </w:r>
      <w:r>
        <w:rPr>
          <w:rtl w:val="true"/>
        </w:rPr>
        <w:t xml:space="preserve">- </w:t>
      </w:r>
      <w:r>
        <w:rPr>
          <w:rtl w:val="true"/>
        </w:rPr>
        <w:t xml:space="preserve">دخول یا عدم دخول اولادِ اولاد در </w:t>
      </w:r>
      <w:r>
        <w:rPr>
          <w:rtl w:val="true"/>
        </w:rPr>
        <w:t>«</w:t>
      </w:r>
      <w:r>
        <w:rPr>
          <w:rtl w:val="true"/>
        </w:rPr>
        <w:t>اولاد</w:t>
      </w:r>
      <w:r>
        <w:rPr>
          <w:rtl w:val="true"/>
        </w:rPr>
        <w:t>»</w:t>
      </w:r>
      <w:bookmarkEnd w:id="499"/>
    </w:p>
    <w:p>
      <w:pPr>
        <w:pStyle w:val="Heading6"/>
        <w:numPr>
          <w:ilvl w:val="5"/>
          <w:numId w:val="1"/>
        </w:numPr>
        <w:rPr/>
      </w:pPr>
      <w:bookmarkStart w:id="500" w:name="__RefHeading___Toc474257_1479056682"/>
      <w:bookmarkStart w:id="501" w:name="_Toc191"/>
      <w:bookmarkEnd w:id="500"/>
      <w:r>
        <w:rPr>
          <w:rtl w:val="true"/>
        </w:rPr>
        <w:t>اشاره</w:t>
      </w:r>
      <w:bookmarkEnd w:id="501"/>
    </w:p>
    <w:p>
      <w:pPr>
        <w:pStyle w:val="BookText"/>
        <w:rPr/>
      </w:pPr>
      <w:r>
        <w:rPr>
          <w:rFonts w:ascii="IRNazanin" w:hAnsi="IRNazanin" w:eastAsia="IRNazanin"/>
          <w:color w:val="111111"/>
          <w:sz w:val="28"/>
          <w:sz w:val="28"/>
          <w:szCs w:val="28"/>
          <w:rtl w:val="true"/>
          <w:lang w:bidi="fa-IR"/>
        </w:rPr>
        <w:t>شیخ طوسی در مبسوط، تصریح کرده است که اگرکسی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را بر اولاد خود وقف کردم و هر گاه اولادم منقرض شدند وقف بر فقرا باشد، تنها اولاد صُلبی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مشمول این وقف خواهند بود و شامل اولادِاولاد او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اولاد اولاد، مجازا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می‌شوند، نه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صحیح است که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اگر فرزند من نیست فرزند فرزند من که هست همچنان که جدّ انسان مجازا پدر نامیده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ضمن اختیار این قول، از بعضی از علمای امامیّه نقل کرده است که در فرض فوق فرزندان فرزند، خواه از طریق پسر یا دختر، داخل خواهندبود</w:t>
      </w:r>
      <w:r>
        <w:rPr>
          <w:rFonts w:eastAsia="IRNazanin" w:cs="IRNazanin"/>
          <w:color w:val="111111"/>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شیخ مفید فرزندان</w:t>
      </w:r>
    </w:p>
    <w:p>
      <w:pPr>
        <w:pStyle w:val="BookText"/>
        <w:rPr/>
      </w:pPr>
      <w:r>
        <w:rPr>
          <w:rFonts w:ascii="IRNazanin" w:hAnsi="IRNazanin" w:eastAsia="IRNazanin"/>
          <w:color w:val="111111"/>
          <w:sz w:val="28"/>
          <w:sz w:val="28"/>
          <w:szCs w:val="28"/>
          <w:rtl w:val="true"/>
          <w:lang w:bidi="fa-IR"/>
        </w:rPr>
        <w:t>فرزند رادر وقف بر اولاد، داخل می‌داند</w:t>
      </w:r>
      <w:r>
        <w:rPr>
          <w:rFonts w:eastAsia="IRNazanin" w:cs="IRNazanin"/>
          <w:color w:val="111111"/>
          <w:sz w:val="28"/>
          <w:szCs w:val="28"/>
          <w:rtl w:val="true"/>
          <w:lang w:bidi="fa-IR"/>
        </w:rPr>
        <w:t>.</w:t>
      </w:r>
      <w:r>
        <w:rPr>
          <w:rStyle w:val="FootnoteAnchor"/>
          <w:rtl w:val="true"/>
        </w:rPr>
        <w:footnoteReference w:id="790"/>
      </w:r>
      <w:r>
        <w:rPr>
          <w:rFonts w:ascii="IRNazanin" w:hAnsi="IRNazanin" w:eastAsia="IRNazanin"/>
          <w:color w:val="111111"/>
          <w:sz w:val="28"/>
          <w:sz w:val="28"/>
          <w:szCs w:val="28"/>
          <w:rtl w:val="true"/>
          <w:lang w:bidi="fa-IR"/>
        </w:rPr>
        <w:t>بعید نیست منظور شیخ طوسی از عبارت مبسوط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باشد که چون نمی‌خواسته دیدگاهش را بپذیرند،</w:t>
      </w:r>
    </w:p>
    <w:p>
      <w:pPr>
        <w:pStyle w:val="BookText"/>
        <w:rPr/>
      </w:pPr>
      <w:r>
        <w:rPr>
          <w:rFonts w:ascii="IRNazanin" w:hAnsi="IRNazanin" w:eastAsia="IRNazanin"/>
          <w:color w:val="111111"/>
          <w:sz w:val="28"/>
          <w:sz w:val="28"/>
          <w:szCs w:val="28"/>
          <w:rtl w:val="true"/>
          <w:lang w:bidi="fa-IR"/>
        </w:rPr>
        <w:t>برای احترام نام وی را نبرده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در مختلف بعد از نقل قول شیخ در مبسوط آن را از ابن‌جُنید نیز نقل کرده </w:t>
      </w:r>
    </w:p>
    <w:p>
      <w:pPr>
        <w:pStyle w:val="BookText"/>
        <w:rPr/>
      </w:pPr>
      <w:r>
        <w:rPr>
          <w:rFonts w:ascii="IRNazanin" w:hAnsi="IRNazanin" w:eastAsia="IRNazanin"/>
          <w:color w:val="111111"/>
          <w:sz w:val="28"/>
          <w:sz w:val="28"/>
          <w:szCs w:val="28"/>
          <w:rtl w:val="true"/>
          <w:lang w:bidi="fa-IR"/>
        </w:rPr>
        <w:t>است، سپس خود تفصیل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قرینه‌ای بر اختصاص بطن اوّل یا عدم اختصاص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ودخول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بود که باید طبق آن قرینه عمل شود، در غیر این صورت تنها بر بطن اوّل حمل می‌شود، زیرا اطلاق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فرزند فرزند، اطلاقی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صحّت سلب دارد و صحّت سلب از نشانه‌های مجاز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شیخ مفید برای مختار خویش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791"/>
      </w:r>
      <w:r>
        <w:rPr>
          <w:rFonts w:ascii="IRNazanin" w:hAnsi="IRNazanin" w:eastAsia="IRNazanin"/>
          <w:color w:val="111111"/>
          <w:sz w:val="28"/>
          <w:sz w:val="28"/>
          <w:szCs w:val="28"/>
          <w:rtl w:val="true"/>
          <w:lang w:bidi="fa-IR"/>
        </w:rPr>
        <w:t>استناد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اولاد نیز، هر چه پایین روند، داخل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آیات دیگری از این قبیل نیز استناد کرده است؛ امّا علاّمه پاسخ داده</w:t>
      </w:r>
    </w:p>
    <w:p>
      <w:pPr>
        <w:pStyle w:val="BookText"/>
        <w:rPr/>
      </w:pPr>
      <w:r>
        <w:rPr>
          <w:rFonts w:ascii="IRNazanin" w:hAnsi="IRNazanin" w:eastAsia="IRNazanin"/>
          <w:color w:val="111111"/>
          <w:sz w:val="28"/>
          <w:sz w:val="28"/>
          <w:szCs w:val="28"/>
          <w:rtl w:val="true"/>
          <w:lang w:bidi="fa-IR"/>
        </w:rPr>
        <w:t>است که در همه این موارد، استعمال مجازی است و اگر بخواهد حقیقت باشد اشتراک لازم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مجاز از اشتراک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 مشکوک، لفظ بر معنای حقیقی‌اش حمل می‌شود</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همان طور که مفید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در قرآن کریم ذِکر ولد به میان آمده، شامل اولاد اولاد هم بشود؛ این سخن علاّمه که درهمه این موارد، کاربرد</w:t>
      </w:r>
    </w:p>
    <w:p>
      <w:pPr>
        <w:pStyle w:val="BookText"/>
        <w:rPr/>
      </w:pPr>
      <w:r>
        <w:rPr>
          <w:rFonts w:ascii="IRNazanin" w:hAnsi="IRNazanin" w:eastAsia="IRNazanin"/>
          <w:color w:val="111111"/>
          <w:sz w:val="28"/>
          <w:sz w:val="28"/>
          <w:szCs w:val="28"/>
          <w:rtl w:val="true"/>
          <w:lang w:bidi="fa-IR"/>
        </w:rPr>
        <w:t>مجازی است، محلّ تأمّل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 و لاتغفل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مذهب شیخ در مبسوط را تقویت کرده است</w:t>
      </w:r>
      <w:r>
        <w:rPr>
          <w:rFonts w:eastAsia="IRNazanin" w:cs="IRNazanin"/>
          <w:color w:val="111111"/>
          <w:sz w:val="28"/>
          <w:szCs w:val="28"/>
          <w:rtl w:val="true"/>
          <w:lang w:bidi="fa-IR"/>
        </w:rPr>
        <w:t>.</w:t>
      </w:r>
      <w:r>
        <w:rPr>
          <w:rStyle w:val="FootnoteAnchor"/>
          <w:rtl w:val="true"/>
        </w:rPr>
        <w:footnoteReference w:id="793"/>
      </w:r>
      <w:r>
        <w:rPr>
          <w:rFonts w:ascii="IRNazanin" w:hAnsi="IRNazanin" w:eastAsia="IRNazanin"/>
          <w:color w:val="111111"/>
          <w:sz w:val="28"/>
          <w:sz w:val="28"/>
          <w:szCs w:val="28"/>
          <w:rtl w:val="true"/>
          <w:lang w:bidi="fa-IR"/>
        </w:rPr>
        <w:t>علاّمه در قواعد، محقّق ثانی،</w:t>
      </w:r>
      <w:r>
        <w:rPr>
          <w:rStyle w:val="FootnoteAnchor"/>
          <w:rtl w:val="true"/>
        </w:rPr>
        <w:footnoteReference w:id="794"/>
      </w:r>
      <w:r>
        <w:rPr>
          <w:rFonts w:ascii="Amiri" w:hAnsi="Amiri" w:eastAsia="Amiri" w:cs="Amiri"/>
          <w:color w:val="111111"/>
          <w:sz w:val="28"/>
          <w:sz w:val="28"/>
          <w:szCs w:val="28"/>
          <w:rtl w:val="true"/>
          <w:lang w:bidi="ar-SA"/>
        </w:rPr>
        <w:t>محقّق اوّل در شرایع شهیداوّل</w:t>
      </w:r>
      <w:r>
        <w:rPr>
          <w:rStyle w:val="FootnoteAnchor"/>
          <w:rtl w:val="true"/>
        </w:rPr>
        <w:footnoteReference w:id="795"/>
      </w:r>
      <w:r>
        <w:rPr>
          <w:rFonts w:ascii="IRNazanin" w:hAnsi="IRNazanin" w:eastAsia="IRNazanin"/>
          <w:color w:val="111111"/>
          <w:sz w:val="28"/>
          <w:sz w:val="28"/>
          <w:szCs w:val="28"/>
          <w:rtl w:val="true"/>
          <w:lang w:bidi="fa-IR"/>
        </w:rPr>
        <w:t>صاحب جواهر،</w:t>
      </w:r>
      <w:r>
        <w:rPr>
          <w:rStyle w:val="FootnoteAnchor"/>
          <w:rtl w:val="true"/>
        </w:rPr>
        <w:footnoteReference w:id="796"/>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شهیدثانی</w:t>
      </w:r>
      <w:r>
        <w:rPr>
          <w:rStyle w:val="FootnoteAnchor"/>
          <w:rtl w:val="true"/>
        </w:rPr>
        <w:footnoteReference w:id="797"/>
      </w:r>
      <w:r>
        <w:rPr>
          <w:rFonts w:ascii="IRNazanin" w:hAnsi="IRNazanin" w:eastAsia="IRNazanin"/>
          <w:color w:val="111111"/>
          <w:sz w:val="28"/>
          <w:sz w:val="28"/>
          <w:szCs w:val="28"/>
          <w:rtl w:val="true"/>
          <w:lang w:bidi="fa-IR"/>
        </w:rPr>
        <w:t>علاّمه در تذکره و ارشاد</w:t>
      </w:r>
      <w:r>
        <w:rPr>
          <w:rStyle w:val="FootnoteAnchor"/>
          <w:rtl w:val="true"/>
        </w:rPr>
        <w:footnoteReference w:id="798"/>
      </w:r>
      <w:r>
        <w:rPr>
          <w:rFonts w:ascii="IRNazanin" w:hAnsi="IRNazanin" w:eastAsia="IRNazanin"/>
          <w:color w:val="111111"/>
          <w:sz w:val="28"/>
          <w:sz w:val="28"/>
          <w:szCs w:val="28"/>
          <w:rtl w:val="true"/>
          <w:lang w:bidi="fa-IR"/>
        </w:rPr>
        <w:t>و گروهی دیگر نیز همین قول را برگزیده‌اند؛ جواهرالکلام و حدائق نیز آن رابه مشهور و شهیدثانی در مسالک، به اکثرنسبت داده‌اند</w:t>
      </w:r>
      <w:r>
        <w:rPr>
          <w:rStyle w:val="FootnoteAnchor"/>
          <w:rtl w:val="true"/>
        </w:rPr>
        <w:footnoteReference w:id="799"/>
      </w:r>
      <w:r>
        <w:rPr>
          <w:rFonts w:ascii="Amiri" w:hAnsi="Amiri" w:eastAsia="Amiri" w:cs="Amiri"/>
          <w:color w:val="111111"/>
          <w:sz w:val="28"/>
          <w:sz w:val="28"/>
          <w:szCs w:val="28"/>
          <w:rtl w:val="true"/>
          <w:lang w:bidi="ar-SA"/>
        </w:rPr>
        <w:t xml:space="preserve">طرفداران این قول به آیه‌کریمه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وَوَصّی بِها اِبْراهیمُ بَنیهِ ویَعقوبُ</w:t>
      </w:r>
      <w:r>
        <w:rPr>
          <w:rFonts w:eastAsia="Amiri" w:cs="Amiri" w:ascii="Amiri" w:hAnsi="Amiri"/>
          <w:color w:val="111111"/>
          <w:sz w:val="28"/>
          <w:szCs w:val="28"/>
          <w:rtl w:val="true"/>
          <w:lang w:bidi="ar-SA"/>
        </w:rPr>
        <w:t>...»</w:t>
      </w:r>
      <w:r>
        <w:rPr>
          <w:rStyle w:val="FootnoteAnchor"/>
          <w:rtl w:val="true"/>
        </w:rPr>
        <w:footnoteReference w:id="8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بانصب 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استدلال کرده‌اند؛ زیرا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که حفید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شده است وعطف مقتضی </w:t>
      </w:r>
    </w:p>
    <w:p>
      <w:pPr>
        <w:pStyle w:val="BookText"/>
        <w:rPr/>
      </w:pPr>
      <w:r>
        <w:rPr>
          <w:rFonts w:ascii="IRNazanin" w:hAnsi="IRNazanin" w:eastAsia="IRNazanin"/>
          <w:color w:val="111111"/>
          <w:sz w:val="28"/>
          <w:sz w:val="28"/>
          <w:szCs w:val="28"/>
          <w:rtl w:val="true"/>
          <w:lang w:bidi="fa-IR"/>
        </w:rPr>
        <w:t>تغایراست</w:t>
      </w:r>
      <w:r>
        <w:rPr>
          <w:rFonts w:eastAsia="IRNazanin" w:cs="IRNazanin"/>
          <w:color w:val="111111"/>
          <w:sz w:val="28"/>
          <w:szCs w:val="28"/>
          <w:rtl w:val="true"/>
          <w:lang w:bidi="fa-IR"/>
        </w:rPr>
        <w:t>.</w:t>
      </w:r>
      <w:r>
        <w:rPr>
          <w:rStyle w:val="FootnoteAnchor"/>
          <w:rtl w:val="true"/>
        </w:rPr>
        <w:footnoteReference w:id="801"/>
      </w:r>
      <w:r>
        <w:rPr>
          <w:rFonts w:ascii="IRNazanin" w:hAnsi="IRNazanin" w:eastAsia="IRNazanin"/>
          <w:color w:val="111111"/>
          <w:sz w:val="28"/>
          <w:sz w:val="28"/>
          <w:szCs w:val="28"/>
          <w:rtl w:val="true"/>
          <w:lang w:bidi="fa-IR"/>
        </w:rPr>
        <w:t>وی خود در پایان همین نظر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برابر، بزرگانی چون ابن‌ادریس در سرائر، شهید اوّل در لمعه، ابوالصلاح حلبی در کافی، محقّق در مختصر و صاحب حدائق، از فقهایی هستند که مختار مفید رابرگزیده‌اند و اولاد اولاد را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می‌دانند</w:t>
      </w:r>
      <w:r>
        <w:rPr>
          <w:rFonts w:eastAsia="IRNazanin" w:cs="IRNazanin"/>
          <w:color w:val="111111"/>
          <w:sz w:val="28"/>
          <w:szCs w:val="28"/>
          <w:rtl w:val="true"/>
          <w:lang w:bidi="fa-IR"/>
        </w:rPr>
        <w:t>.</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سرائر</w:t>
      </w:r>
      <w:r>
        <w:rPr>
          <w:rStyle w:val="FootnoteAnchor"/>
          <w:rtl w:val="true"/>
        </w:rPr>
        <w:footnoteReference w:id="803"/>
      </w:r>
      <w:r>
        <w:rPr>
          <w:rFonts w:ascii="IRNazanin" w:hAnsi="IRNazanin" w:eastAsia="IRNazanin"/>
          <w:color w:val="111111"/>
          <w:sz w:val="28"/>
          <w:sz w:val="28"/>
          <w:szCs w:val="28"/>
          <w:rtl w:val="true"/>
          <w:lang w:bidi="fa-IR"/>
        </w:rPr>
        <w:t>برای این مسأله ادّعای اجماع کرده وادامه داده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و در شرع بر حفید نیز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همه مسلمین بر این که عیسی از اولاد آدم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او فرزند دختر آدم‌است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و رسول خدا صلی‌الله‌علیه‌و‌آله درباره حَسَنَیْن علیهماالسلام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اِبْنایَ هذانِ اِمامانِ قاما اَوْقَعَدا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مسلمین اتّفاق دارند بر حرمت نکاح دخترِ فرزند به دلیل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عَلَیْکُم</w:t>
      </w:r>
    </w:p>
    <w:p>
      <w:pPr>
        <w:pStyle w:val="BookText"/>
        <w:rPr/>
      </w:pPr>
      <w:r>
        <w:rPr>
          <w:rFonts w:ascii="Amiri" w:hAnsi="Amiri" w:eastAsia="Amiri" w:cs="Amiri"/>
          <w:color w:val="111111"/>
          <w:sz w:val="28"/>
          <w:sz w:val="28"/>
          <w:szCs w:val="28"/>
          <w:rtl w:val="true"/>
          <w:lang w:bidi="ar-SA"/>
        </w:rPr>
        <w:t>اُمَّهاتُکُم وَ بَناتُکُم</w:t>
      </w:r>
      <w:r>
        <w:rPr>
          <w:rFonts w:eastAsia="Amiri" w:cs="Amiri" w:ascii="Amiri" w:hAnsi="Amiri"/>
          <w:color w:val="111111"/>
          <w:sz w:val="28"/>
          <w:szCs w:val="28"/>
          <w:rtl w:val="true"/>
          <w:lang w:bidi="ar-SA"/>
        </w:rPr>
        <w:t>...»</w:t>
      </w:r>
      <w:r>
        <w:rPr>
          <w:rStyle w:val="FootnoteAnchor"/>
          <w:rtl w:val="true"/>
        </w:rPr>
        <w:footnoteReference w:id="804"/>
      </w:r>
    </w:p>
    <w:p>
      <w:pPr>
        <w:pStyle w:val="BookText"/>
        <w:rPr/>
      </w:pPr>
      <w:r>
        <w:rPr>
          <w:rFonts w:ascii="IRNazanin" w:hAnsi="IRNazanin" w:eastAsia="IRNazanin"/>
          <w:color w:val="111111"/>
          <w:sz w:val="28"/>
          <w:sz w:val="28"/>
          <w:szCs w:val="28"/>
          <w:rtl w:val="true"/>
          <w:lang w:bidi="fa-IR"/>
        </w:rPr>
        <w:t>صاحب حدائق نیز این شمول را مفهوم و مضمون آیات فراوانی در باب میراث و نکاح و اخبار مستفیضه می‌داند؛ مسالک نیز دلالت این آیات راپذیرفته و این مطلب را که اطلاق ولد بر فرزندان اولاد، صحّت سلب دارد، قبول نداریم و آنچه در حقیقت نفی می‌شود، فرزند بلاواسطه بودن است نه اصل فرزند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نیز وارد شده که امام صادق علیه‌السلام در پاسخ کسی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سلام کرده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وَاللّهِ اَنَا لَوَلَدُهُ</w:t>
      </w:r>
      <w:r>
        <w:rPr>
          <w:rFonts w:eastAsia="IRNazanin" w:cs="IRNazanin"/>
          <w:color w:val="111111"/>
          <w:sz w:val="28"/>
          <w:szCs w:val="28"/>
          <w:rtl w:val="true"/>
          <w:lang w:bidi="fa-IR"/>
        </w:rPr>
        <w:t>»</w:t>
      </w:r>
      <w:r>
        <w:rPr>
          <w:rStyle w:val="FootnoteAnchor"/>
          <w:rtl w:val="true"/>
        </w:rPr>
        <w:footnoteReference w:id="805"/>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بررسی مجموع ادلّه و مستندات طرفین، ادلّه مختار مفید موجّه‌تر به نظر می‌رسد، زیرا بعید است این همه اطلاقات و کاربردها در آیات و روایات را استعمال مجازی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مواردی که قرینه‌ای در کار باشد مسأله تفاوت می‌کند؛ زیرا در این که مجاز در قرآن کریم به‌کار رفته و با فصاحت آن هم هیچ منافاتی ندارد،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این است که بسیار بعید است در همه موارد، استعمال مجازی باشد</w:t>
      </w:r>
      <w:r>
        <w:rPr>
          <w:rFonts w:eastAsia="IRNazanin" w:cs="IRNazanin"/>
          <w:color w:val="111111"/>
          <w:sz w:val="28"/>
          <w:szCs w:val="28"/>
          <w:rtl w:val="true"/>
          <w:lang w:bidi="fa-IR"/>
        </w:rPr>
        <w:t xml:space="preserve">. </w:t>
      </w:r>
      <w:bookmarkStart w:id="502" w:name="pg4267_21918"/>
    </w:p>
    <w:p>
      <w:pPr>
        <w:pStyle w:val="Heading6"/>
        <w:numPr>
          <w:ilvl w:val="5"/>
          <w:numId w:val="1"/>
        </w:numPr>
        <w:rPr/>
      </w:pPr>
      <w:bookmarkStart w:id="503" w:name="__RefHeading___Toc474259_1479056682"/>
      <w:bookmarkStart w:id="504" w:name="_Toc192"/>
      <w:bookmarkEnd w:id="502"/>
      <w:bookmarkEnd w:id="503"/>
      <w:r>
        <w:rPr>
          <w:rtl w:val="true"/>
        </w:rPr>
        <w:t>دیدگاه دیگر مذاهب</w:t>
      </w:r>
      <w:bookmarkEnd w:id="504"/>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 xml:space="preserve">شوکانی‌درنَیْل‌الاَوْطار، هرچندعنوان باب‌را آن چنان مطرح کرده است که استفاده می‌شود؛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حقیقی صادق نیست، امّا بعد از ذکر روایاتی از جمله سخن رسول خدا صلی‌الله‌علیه‌و‌آلهبه‌صفیّه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اِنَّکِ لاِبنَةُ نَبِیٍ وَ اِنَّ عَمَّکِ 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احادیث استفاده می‌شود که حکم اولاد اولاد، همان حکم اولاداست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بر اولادش وقف کرد، اولاد اولاد نیز داخل هستند</w:t>
      </w:r>
      <w:r>
        <w:rPr>
          <w:rFonts w:eastAsia="IRNazanin" w:cs="IRNazanin"/>
          <w:color w:val="111111"/>
          <w:sz w:val="28"/>
          <w:szCs w:val="28"/>
          <w:rtl w:val="true"/>
          <w:lang w:bidi="fa-IR"/>
        </w:rPr>
        <w:t>.</w:t>
      </w:r>
      <w:r>
        <w:rPr>
          <w:rStyle w:val="FootnoteAnchor"/>
          <w:rtl w:val="true"/>
        </w:rPr>
        <w:footnoteReference w:id="806"/>
      </w:r>
    </w:p>
    <w:p>
      <w:pPr>
        <w:pStyle w:val="BookText"/>
        <w:rPr/>
      </w:pPr>
      <w:r>
        <w:rPr>
          <w:rFonts w:ascii="IRNazanin" w:hAnsi="IRNazanin" w:eastAsia="IRNazanin"/>
          <w:color w:val="111111"/>
          <w:sz w:val="28"/>
          <w:sz w:val="28"/>
          <w:szCs w:val="28"/>
          <w:rtl w:val="true"/>
          <w:lang w:bidi="fa-IR"/>
        </w:rPr>
        <w:t>مالکیّه و حنابله</w:t>
      </w:r>
    </w:p>
    <w:p>
      <w:pPr>
        <w:pStyle w:val="BookText"/>
        <w:rPr/>
      </w:pPr>
      <w:r>
        <w:rPr>
          <w:rFonts w:ascii="IRNazanin" w:hAnsi="IRNazanin" w:eastAsia="IRNazanin"/>
          <w:color w:val="111111"/>
          <w:sz w:val="28"/>
          <w:sz w:val="28"/>
          <w:szCs w:val="28"/>
          <w:rtl w:val="true"/>
          <w:lang w:bidi="fa-IR"/>
        </w:rPr>
        <w:t xml:space="preserve">در المُدَوَّنهُ‌الکُبری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 که فرزندان ولد نیز در وقف</w:t>
      </w:r>
    </w:p>
    <w:p>
      <w:pPr>
        <w:pStyle w:val="BookText"/>
        <w:rPr/>
      </w:pPr>
      <w:r>
        <w:rPr>
          <w:rFonts w:ascii="IRNazanin" w:hAnsi="IRNazanin" w:eastAsia="IRNazanin"/>
          <w:color w:val="111111"/>
          <w:sz w:val="28"/>
          <w:sz w:val="28"/>
          <w:szCs w:val="28"/>
          <w:rtl w:val="true"/>
          <w:lang w:bidi="fa-IR"/>
        </w:rPr>
        <w:t>بر پدرانشان داخل هستند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ابن‌قُدامه حنبلی نیز از احمدبن حنبل همین قول رانقل کرده است، احمدبن حنبل برای مختار خویش به آیات و روایاتی استناد کرده است از جمله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Style w:val="FootnoteAnchor"/>
          <w:rtl w:val="true"/>
        </w:rPr>
        <w:footnoteReference w:id="808"/>
      </w:r>
      <w:r>
        <w:rPr>
          <w:rFonts w:ascii="IRNazanin" w:hAnsi="IRNazanin" w:eastAsia="IRNazanin"/>
          <w:color w:val="111111"/>
          <w:sz w:val="28"/>
          <w:sz w:val="28"/>
          <w:szCs w:val="28"/>
          <w:rtl w:val="true"/>
          <w:lang w:bidi="fa-IR"/>
        </w:rPr>
        <w:t>که شامل احفاد نیز می‌شود و به طور کلی هر جا که خداوند متعال لفظ ولد را ذکر کرده ولد ولد رانیز شامل می‌شود، لذا در کلام آدمی</w:t>
      </w:r>
    </w:p>
    <w:p>
      <w:pPr>
        <w:pStyle w:val="BookText"/>
        <w:rPr/>
      </w:pPr>
      <w:r>
        <w:rPr>
          <w:rFonts w:ascii="IRNazanin" w:hAnsi="IRNazanin" w:eastAsia="IRNazanin"/>
          <w:color w:val="111111"/>
          <w:sz w:val="28"/>
          <w:sz w:val="28"/>
          <w:szCs w:val="28"/>
          <w:rtl w:val="true"/>
          <w:lang w:bidi="fa-IR"/>
        </w:rPr>
        <w:t>نیز اگر این لفظ اطلاق شد باید بر همان مطلق از کلام خداوند، حمل شود</w:t>
      </w:r>
      <w:r>
        <w:rPr>
          <w:rFonts w:eastAsia="IRNazanin" w:cs="IRNazanin"/>
          <w:color w:val="111111"/>
          <w:sz w:val="28"/>
          <w:szCs w:val="28"/>
          <w:rtl w:val="true"/>
          <w:lang w:bidi="fa-IR"/>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شافعیّه</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فقهای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بنابر قول اَصحّ، اولادِ اولاد در وقف بر اولاد داخل نیستند، زیرا واژه ولد بر ولدِ ولد به طور حقیقی اطلاق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همان صحّت سلب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کتاب وسنّت، کاربرد این لفظ در احفاد شایع است، امّا این استعمالات مجازی و به همراه قراین است و بحث ما جایی است که لفظ بدون هیچ قرینه‌ای به کار رود</w:t>
      </w:r>
      <w:r>
        <w:rPr>
          <w:rFonts w:eastAsia="IRNazanin" w:cs="IRNazanin"/>
          <w:color w:val="111111"/>
          <w:sz w:val="28"/>
          <w:szCs w:val="28"/>
          <w:rtl w:val="true"/>
          <w:lang w:bidi="fa-IR"/>
        </w:rPr>
        <w:t>.</w:t>
      </w:r>
      <w:r>
        <w:rPr>
          <w:rStyle w:val="FootnoteAnchor"/>
          <w:rtl w:val="true"/>
        </w:rPr>
        <w:footnoteReference w:id="810"/>
      </w:r>
      <w:r>
        <w:rPr>
          <w:rFonts w:ascii="IRNazanin" w:hAnsi="IRNazanin" w:eastAsia="IRNazanin"/>
          <w:color w:val="111111"/>
          <w:sz w:val="28"/>
          <w:sz w:val="28"/>
          <w:szCs w:val="28"/>
          <w:rtl w:val="true"/>
          <w:lang w:bidi="fa-IR"/>
        </w:rPr>
        <w:t xml:space="preserve">المصطلحات‌الوقفیّه نیز همین دیدگاه را از الفتاوی‌الهندیّه، </w:t>
      </w:r>
      <w:bookmarkStart w:id="505" w:name="pg4267_21919"/>
    </w:p>
    <w:p>
      <w:pPr>
        <w:pStyle w:val="BookText"/>
        <w:rPr/>
      </w:pPr>
      <w:bookmarkEnd w:id="505"/>
      <w:r>
        <w:rPr>
          <w:rFonts w:ascii="IRNazanin" w:hAnsi="IRNazanin" w:eastAsia="IRNazanin"/>
          <w:color w:val="111111"/>
          <w:sz w:val="28"/>
          <w:sz w:val="28"/>
          <w:szCs w:val="28"/>
          <w:rtl w:val="true"/>
          <w:lang w:bidi="fa-IR"/>
        </w:rPr>
        <w:t xml:space="preserve">الاسعاف فی احکام الاوقاف و ردّالمحتار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است</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506" w:name="__RefHeading___Toc474261_1479056682"/>
      <w:bookmarkStart w:id="507" w:name="_Toc193"/>
      <w:bookmarkEnd w:id="506"/>
      <w:r>
        <w:rPr/>
        <w:t>3</w:t>
      </w:r>
      <w:r>
        <w:rPr>
          <w:rtl w:val="true"/>
        </w:rPr>
        <w:t xml:space="preserve">- </w:t>
      </w:r>
      <w:r>
        <w:rPr>
          <w:rtl w:val="true"/>
        </w:rPr>
        <w:t>حکم دختران در وقف اولادی</w:t>
      </w:r>
      <w:bookmarkEnd w:id="507"/>
    </w:p>
    <w:p>
      <w:pPr>
        <w:pStyle w:val="Heading6"/>
        <w:numPr>
          <w:ilvl w:val="5"/>
          <w:numId w:val="1"/>
        </w:numPr>
        <w:rPr/>
      </w:pPr>
      <w:bookmarkStart w:id="508" w:name="__RefHeading___Toc474263_1479056682"/>
      <w:bookmarkStart w:id="509" w:name="_Toc194"/>
      <w:bookmarkEnd w:id="508"/>
      <w:r>
        <w:rPr>
          <w:rtl w:val="true"/>
        </w:rPr>
        <w:t>دیدگاه امامیّه</w:t>
      </w:r>
      <w:bookmarkEnd w:id="509"/>
    </w:p>
    <w:p>
      <w:pPr>
        <w:pStyle w:val="BookText"/>
        <w:rPr/>
      </w:pPr>
      <w:r>
        <w:rPr>
          <w:rFonts w:ascii="IRNazanin" w:hAnsi="IRNazanin" w:eastAsia="IRNazanin"/>
          <w:color w:val="111111"/>
          <w:sz w:val="28"/>
          <w:sz w:val="28"/>
          <w:szCs w:val="28"/>
          <w:rtl w:val="true"/>
          <w:lang w:bidi="fa-IR"/>
        </w:rPr>
        <w:t xml:space="preserve">اگر کسی مالی را بر اولاد اولاد خویش وقف کند یا بر اولاد خویش وقف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اولاد اولاد را نیز اولاد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اولاد و فرزندان دختر واقف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های دختری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مشمول این وقف هستند، یا این وقف تنها به فرزندان پسر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های پسری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دارد؟</w:t>
      </w:r>
    </w:p>
    <w:p>
      <w:pPr>
        <w:pStyle w:val="BookText"/>
        <w:rPr/>
      </w:pPr>
      <w:r>
        <w:rPr>
          <w:rFonts w:ascii="IRNazanin" w:hAnsi="IRNazanin" w:eastAsia="IRNazanin"/>
          <w:color w:val="111111"/>
          <w:sz w:val="28"/>
          <w:sz w:val="28"/>
          <w:szCs w:val="28"/>
          <w:rtl w:val="true"/>
          <w:lang w:bidi="fa-IR"/>
        </w:rPr>
        <w:t>شیخ طوسی در خلاف به تساوی اولاد بنات با اولاد بنین در این مورد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ادامه برای این قول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این ادّعا اجماع</w:t>
      </w:r>
    </w:p>
    <w:p>
      <w:pPr>
        <w:pStyle w:val="BookText"/>
        <w:rPr/>
      </w:pPr>
      <w:r>
        <w:rPr>
          <w:rFonts w:ascii="IRNazanin" w:hAnsi="IRNazanin" w:eastAsia="IRNazanin"/>
          <w:color w:val="111111"/>
          <w:sz w:val="28"/>
          <w:sz w:val="28"/>
          <w:szCs w:val="28"/>
          <w:rtl w:val="true"/>
          <w:lang w:bidi="fa-IR"/>
        </w:rPr>
        <w:t>مسلمین است بر این که عیسی‌بن‌مریم بااین که پدر نداشته است از اولاد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رسول خدا صلی‌الله‌علیه‌و‌آله از حسن‌بن علی علیه‌السلام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فرمود؛ امّا استناد بعضی به قول شاعر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بَنُونا بَنُو اَبْنائِنا وَ بَناتُنا بَنُوهُنَّ اَبْناء الرِّجالِ الاَباعِدِ</w:t>
      </w:r>
      <w:r>
        <w:rPr>
          <w:rFonts w:eastAsia="IRNazanin" w:cs="IRNazanin"/>
          <w:color w:val="111111"/>
          <w:sz w:val="28"/>
          <w:szCs w:val="28"/>
          <w:rtl w:val="true"/>
          <w:lang w:bidi="fa-IR"/>
        </w:rPr>
        <w:t>»</w:t>
      </w:r>
      <w:r>
        <w:rPr>
          <w:rStyle w:val="FootnoteAnchor"/>
          <w:rtl w:val="true"/>
        </w:rPr>
        <w:footnoteReference w:id="812"/>
      </w:r>
      <w:r>
        <w:rPr>
          <w:rFonts w:ascii="IRNazanin" w:hAnsi="IRNazanin" w:eastAsia="IRNazanin"/>
          <w:color w:val="111111"/>
          <w:sz w:val="28"/>
          <w:sz w:val="28"/>
          <w:szCs w:val="28"/>
          <w:rtl w:val="true"/>
          <w:lang w:bidi="fa-IR"/>
        </w:rPr>
        <w:t>، با اجماع امّت و معقول و سخن پیامبر صلی‌الله‌علیه‌و‌آله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منظور شاعراز این شعر نفی انتساب است، یعنی فرزندان دختر به پدرانشان، و نه به مادر و پدربزرگ مادری خود، منتسب هستند، و بحث ما این‌جا در انتساب نیست</w:t>
      </w:r>
      <w:r>
        <w:rPr>
          <w:rFonts w:eastAsia="IRNazanin" w:cs="IRNazanin"/>
          <w:color w:val="111111"/>
          <w:sz w:val="28"/>
          <w:szCs w:val="28"/>
          <w:rtl w:val="true"/>
          <w:lang w:bidi="fa-IR"/>
        </w:rPr>
        <w:t>.</w:t>
      </w:r>
      <w:r>
        <w:rPr>
          <w:rStyle w:val="FootnoteAnchor"/>
          <w:rtl w:val="true"/>
        </w:rPr>
        <w:footnoteReference w:id="813"/>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فقهای امامیّه نیز همین قول را برگزیده‌اند، از جمله؛ علاّمه در تذکره و قواعد و مختلف، محقّق در شرایع و مختصر، ابن ادریس ، صاحب حدائق، شهیدین در لمعه و روضه، محقّق ثانی در جامع المقاصد، فاضل مقداد و از معاصران؛ امام خمینی در تحریر، آیه‌اللّه خویی در منهاج‌الصّالحین و آیة اللّه حکیم در منهاج الصّالحین</w:t>
      </w:r>
      <w:r>
        <w:rPr>
          <w:rStyle w:val="FootnoteAnchor"/>
          <w:rtl w:val="true"/>
        </w:rPr>
        <w:footnoteReference w:id="8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و </w:t>
      </w:r>
      <w:bookmarkStart w:id="510" w:name="pg4267_21920"/>
    </w:p>
    <w:p>
      <w:pPr>
        <w:pStyle w:val="BookText"/>
        <w:rPr/>
      </w:pPr>
      <w:bookmarkEnd w:id="510"/>
      <w:r>
        <w:rPr>
          <w:rFonts w:ascii="IRNazanin" w:hAnsi="IRNazanin" w:eastAsia="IRNazanin"/>
          <w:color w:val="111111"/>
          <w:sz w:val="28"/>
          <w:sz w:val="28"/>
          <w:szCs w:val="28"/>
          <w:rtl w:val="true"/>
          <w:lang w:bidi="fa-IR"/>
        </w:rPr>
        <w:t>صاحب مفتاح الکرامة از تعداد قابل توجهی از اعلام برای این مسأله نقل اجماع کرده‌اند</w:t>
      </w:r>
    </w:p>
    <w:p>
      <w:pPr>
        <w:pStyle w:val="BookText"/>
        <w:rPr/>
      </w:pPr>
      <w:r>
        <w:rPr>
          <w:rFonts w:ascii="IRNazanin" w:hAnsi="IRNazanin" w:eastAsia="IRNazanin"/>
          <w:color w:val="111111"/>
          <w:sz w:val="28"/>
          <w:sz w:val="28"/>
          <w:szCs w:val="28"/>
          <w:rtl w:val="true"/>
          <w:lang w:bidi="fa-IR"/>
        </w:rPr>
        <w:t>و خود صاحب جواهرمی‌نویسد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این مسأله مخالفی را سراغ ندارم</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روشن است که اگر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 مسأله فرق می‌کند؛ یعنی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بر فرزندان پسرم یا فرزندان دخترم قضیّه روشن است و در مثال اوّل شامل نوه‌های دختری و در مثال دوم، شامل نوه‌های پسری نمی‌شود؛ امّا در فرض مورد بحث، حقّ همان است که مورد اتّفاق نظر فقهای امامیّه است و عرف و شرع نیز آن را تأیید می‌کنند</w:t>
      </w:r>
      <w:r>
        <w:rPr>
          <w:rFonts w:eastAsia="IRNazanin" w:cs="IRNazanin"/>
          <w:color w:val="111111"/>
          <w:sz w:val="28"/>
          <w:szCs w:val="28"/>
          <w:rtl w:val="true"/>
          <w:lang w:bidi="fa-IR"/>
        </w:rPr>
        <w:t>.</w:t>
      </w:r>
    </w:p>
    <w:p>
      <w:pPr>
        <w:pStyle w:val="Heading6"/>
        <w:numPr>
          <w:ilvl w:val="5"/>
          <w:numId w:val="1"/>
        </w:numPr>
        <w:rPr/>
      </w:pPr>
      <w:bookmarkStart w:id="511" w:name="__RefHeading___Toc474265_1479056682"/>
      <w:bookmarkStart w:id="512" w:name="_Toc195"/>
      <w:bookmarkEnd w:id="511"/>
      <w:r>
        <w:rPr>
          <w:rtl w:val="true"/>
        </w:rPr>
        <w:t>دیدگاه دیگر مذاهب</w:t>
      </w:r>
      <w:bookmarkEnd w:id="512"/>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در البحر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اولاد شامل اولاد بنات نمی‌شود</w:t>
      </w:r>
      <w:r>
        <w:rPr>
          <w:rFonts w:eastAsia="IRNazanin" w:cs="IRNazanin"/>
          <w:color w:val="111111"/>
          <w:sz w:val="28"/>
          <w:szCs w:val="28"/>
          <w:rtl w:val="true"/>
          <w:lang w:bidi="fa-IR"/>
        </w:rPr>
        <w:t>.</w:t>
      </w:r>
      <w:r>
        <w:rPr>
          <w:rStyle w:val="FootnoteAnchor"/>
          <w:rtl w:val="true"/>
        </w:rPr>
        <w:footnoteReference w:id="816"/>
      </w:r>
      <w:r>
        <w:rPr>
          <w:rFonts w:ascii="IRNazanin" w:hAnsi="IRNazanin" w:eastAsia="IRNazanin"/>
          <w:color w:val="111111"/>
          <w:sz w:val="28"/>
          <w:sz w:val="28"/>
          <w:szCs w:val="28"/>
          <w:rtl w:val="true"/>
          <w:lang w:bidi="fa-IR"/>
        </w:rPr>
        <w:t>این مطلب با</w:t>
      </w:r>
    </w:p>
    <w:p>
      <w:pPr>
        <w:pStyle w:val="BookText"/>
        <w:rPr/>
      </w:pPr>
      <w:r>
        <w:rPr>
          <w:rFonts w:ascii="IRNazanin" w:hAnsi="IRNazanin" w:eastAsia="IRNazanin"/>
          <w:color w:val="111111"/>
          <w:sz w:val="28"/>
          <w:sz w:val="28"/>
          <w:szCs w:val="28"/>
          <w:rtl w:val="true"/>
          <w:lang w:bidi="fa-IR"/>
        </w:rPr>
        <w:t xml:space="preserve">استناد شوکانی در نیل الاوطار برای تعمیم ولد به اولاد اولاد، به 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رسول</w:t>
      </w:r>
    </w:p>
    <w:p>
      <w:pPr>
        <w:pStyle w:val="BookText"/>
        <w:rPr/>
      </w:pPr>
      <w:r>
        <w:rPr>
          <w:rFonts w:ascii="IRNazanin" w:hAnsi="IRNazanin" w:eastAsia="IRNazanin"/>
          <w:color w:val="111111"/>
          <w:sz w:val="28"/>
          <w:sz w:val="28"/>
          <w:szCs w:val="28"/>
          <w:rtl w:val="true"/>
          <w:lang w:bidi="fa-IR"/>
        </w:rPr>
        <w:t>خدا صلی‌الله‌علیه‌و‌آله به صفیّه بنت حُیَّ بن اَخطب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لاِبْنَةُ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شوکانی در پایان با استناد به روایاتی از بخاری، مسلم، تِرمِذی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قایل به شمول است</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در خلاف به اصحاب ابوحنیفه و در مغنی به محمدبن‌الحسن نسبت داده‌اند که نوه‌های دختری، اولاد اولاد محسوب نمی‌شوند</w:t>
      </w:r>
      <w:r>
        <w:rPr>
          <w:rFonts w:eastAsia="IRNazanin" w:cs="IRNazanin"/>
          <w:color w:val="111111"/>
          <w:sz w:val="28"/>
          <w:szCs w:val="28"/>
          <w:rtl w:val="true"/>
          <w:lang w:bidi="fa-IR"/>
        </w:rPr>
        <w:t>.</w:t>
      </w:r>
      <w:r>
        <w:rPr>
          <w:rStyle w:val="FootnoteAnchor"/>
          <w:rtl w:val="true"/>
        </w:rPr>
        <w:footnoteReference w:id="818"/>
      </w:r>
    </w:p>
    <w:p>
      <w:pPr>
        <w:pStyle w:val="BookText"/>
        <w:rPr/>
      </w:pPr>
      <w:r>
        <w:rPr>
          <w:rFonts w:ascii="IRNazanin" w:hAnsi="IRNazanin" w:eastAsia="IRNazanin"/>
          <w:color w:val="111111"/>
          <w:sz w:val="28"/>
          <w:sz w:val="28"/>
          <w:szCs w:val="28"/>
          <w:rtl w:val="true"/>
          <w:lang w:bidi="fa-IR"/>
        </w:rPr>
        <w:t>مالکیّه و حنابله</w:t>
      </w:r>
    </w:p>
    <w:p>
      <w:pPr>
        <w:pStyle w:val="BookText"/>
        <w:rPr/>
      </w:pPr>
      <w:r>
        <w:rPr>
          <w:rFonts w:ascii="IRNazanin" w:hAnsi="IRNazanin" w:eastAsia="IRNazanin"/>
          <w:color w:val="111111"/>
          <w:sz w:val="28"/>
          <w:sz w:val="28"/>
          <w:szCs w:val="28"/>
          <w:rtl w:val="true"/>
          <w:lang w:bidi="fa-IR"/>
        </w:rPr>
        <w:t xml:space="preserve">مالک‌بن‌انس اظهار داشته است که ولد ولد، شامل فرزندان دختر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های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دارند بر این که در باب ارث از میّتی که دختر صلبی ندارد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از میراث به‌فرزندان دخترش نمی‌رسد و بین فرزندان پسر وی تقسیم می‌شود؛ لذا </w:t>
      </w:r>
      <w:bookmarkStart w:id="513" w:name="pg4267_21921"/>
    </w:p>
    <w:p>
      <w:pPr>
        <w:pStyle w:val="BookText"/>
        <w:rPr/>
      </w:pPr>
      <w:bookmarkEnd w:id="513"/>
      <w:r>
        <w:rPr>
          <w:rFonts w:ascii="Amiri" w:hAnsi="Amiri" w:eastAsia="Amiri" w:cs="Amiri"/>
          <w:color w:val="111111"/>
          <w:sz w:val="28"/>
          <w:sz w:val="28"/>
          <w:szCs w:val="28"/>
          <w:rtl w:val="true"/>
          <w:lang w:bidi="ar-SA"/>
        </w:rPr>
        <w:t xml:space="preserve">نوه‌های دختری در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نیستند</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IRNazanin" w:hAnsi="IRNazanin" w:eastAsia="IRNazanin"/>
          <w:color w:val="111111"/>
          <w:sz w:val="28"/>
          <w:sz w:val="28"/>
          <w:szCs w:val="28"/>
          <w:rtl w:val="true"/>
          <w:lang w:bidi="fa-IR"/>
        </w:rPr>
        <w:t>ابن‌قدامه نیز در مغنی از خَرَقی و احمد نقل کرده است که وقف بر اولاد اولاد، شامل نوه‌های دختری نمی شود و برای این مختار، به آیاتی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یُوصیکُمُ اللّهُ فی اَوْلادِکُم</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جای قرآن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ارث یا حجب نامی برده شده باشد، تنها فرزند پسران را شامل می‌شود و شامل فرزند دختران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تأیید، به عرف نیز تمسّک جسته است</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ابن قُدامه در مغنی و شیخ طوسی در خلاف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در این</w:t>
      </w:r>
    </w:p>
    <w:p>
      <w:pPr>
        <w:pStyle w:val="BookText"/>
        <w:rPr/>
      </w:pPr>
      <w:r>
        <w:rPr>
          <w:rFonts w:ascii="IRNazanin" w:hAnsi="IRNazanin" w:eastAsia="IRNazanin"/>
          <w:color w:val="111111"/>
          <w:sz w:val="28"/>
          <w:sz w:val="28"/>
          <w:szCs w:val="28"/>
          <w:rtl w:val="true"/>
          <w:lang w:bidi="fa-IR"/>
        </w:rPr>
        <w:t>مسأله این است که نوه‌های دختری نیز اولاد اولاد محسوب می‌شوند و به همان آیات و روایاتی که عیسی علیه‌السلام را فرزند ابراهیم علیه‌السلام و آدم علیه‌السلام و امام حسن علیه‌السلام را فرزند رسول</w:t>
      </w:r>
    </w:p>
    <w:p>
      <w:pPr>
        <w:pStyle w:val="BookText"/>
        <w:rPr/>
      </w:pPr>
      <w:r>
        <w:rPr>
          <w:rFonts w:ascii="IRNazanin" w:hAnsi="IRNazanin" w:eastAsia="IRNazanin"/>
          <w:color w:val="111111"/>
          <w:sz w:val="28"/>
          <w:sz w:val="28"/>
          <w:szCs w:val="28"/>
          <w:rtl w:val="true"/>
          <w:lang w:bidi="fa-IR"/>
        </w:rPr>
        <w:t xml:space="preserve">خدا صلی‌الله‌علیه‌و‌آله دانسته‌اند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w:t>
      </w:r>
      <w:r>
        <w:rPr>
          <w:rStyle w:val="FootnoteAnchor"/>
          <w:rtl w:val="true"/>
        </w:rPr>
        <w:footnoteReference w:id="822"/>
      </w:r>
    </w:p>
    <w:p>
      <w:pPr>
        <w:pStyle w:val="BookText"/>
        <w:rPr/>
      </w:pPr>
      <w:r>
        <w:rPr>
          <w:rFonts w:ascii="Amiri" w:hAnsi="Amiri" w:eastAsia="Amiri" w:cs="Amiri"/>
          <w:color w:val="111111"/>
          <w:sz w:val="28"/>
          <w:sz w:val="28"/>
          <w:szCs w:val="28"/>
          <w:rtl w:val="true"/>
          <w:lang w:bidi="ar-SA"/>
        </w:rPr>
        <w:t>ظاهریّه</w:t>
      </w:r>
    </w:p>
    <w:p>
      <w:pPr>
        <w:pStyle w:val="BookText"/>
        <w:rPr/>
      </w:pPr>
      <w:r>
        <w:rPr>
          <w:rFonts w:ascii="IRNazanin" w:hAnsi="IRNazanin" w:eastAsia="IRNazanin"/>
          <w:color w:val="111111"/>
          <w:sz w:val="28"/>
          <w:sz w:val="28"/>
          <w:szCs w:val="28"/>
          <w:rtl w:val="true"/>
          <w:lang w:bidi="fa-IR"/>
        </w:rPr>
        <w:t xml:space="preserve">ابن حزم اندلسی اظهار داشته است که اگر کسی بر عَقِب و عَقِبِ عقب خویش وقف کند، فرزندان دختر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نوه‌های دختری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وقف داخل نخواهند بود، زیرا پیامبر</w:t>
      </w:r>
    </w:p>
    <w:p>
      <w:pPr>
        <w:pStyle w:val="BookText"/>
        <w:rPr/>
      </w:pPr>
      <w:r>
        <w:rPr>
          <w:rFonts w:ascii="IRNazanin" w:hAnsi="IRNazanin" w:eastAsia="IRNazanin"/>
          <w:color w:val="111111"/>
          <w:sz w:val="28"/>
          <w:sz w:val="28"/>
          <w:szCs w:val="28"/>
          <w:rtl w:val="true"/>
          <w:lang w:bidi="fa-IR"/>
        </w:rPr>
        <w:t>صلی‌الله‌علیه‌و‌آله از سهم ذی‌القربی به بنی‌هاشم و بنی‌عبدالمطّلب داد، امّا به عثمان چیزی نداد با این که جدّه عثمان دختر عبدالمطّلب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وی در بنی هاشم، داخل نیست</w:t>
      </w:r>
      <w:r>
        <w:rPr>
          <w:rFonts w:eastAsia="IRNazanin" w:cs="IRNazanin"/>
          <w:color w:val="111111"/>
          <w:sz w:val="28"/>
          <w:szCs w:val="28"/>
          <w:rtl w:val="true"/>
          <w:lang w:bidi="fa-IR"/>
        </w:rPr>
        <w:t>.</w:t>
      </w:r>
      <w:r>
        <w:rPr>
          <w:rStyle w:val="FootnoteAnchor"/>
          <w:rtl w:val="true"/>
        </w:rPr>
        <w:footnoteReference w:id="823"/>
      </w:r>
    </w:p>
    <w:p>
      <w:pPr>
        <w:pStyle w:val="Heading6"/>
        <w:numPr>
          <w:ilvl w:val="5"/>
          <w:numId w:val="1"/>
        </w:numPr>
        <w:rPr/>
      </w:pPr>
      <w:bookmarkStart w:id="514" w:name="__RefHeading___Toc474267_1479056682"/>
      <w:bookmarkStart w:id="515" w:name="_Toc196"/>
      <w:bookmarkEnd w:id="514"/>
      <w:r>
        <w:rPr>
          <w:rtl w:val="true"/>
        </w:rPr>
        <w:t>ذرّیّه، عقِب ،نسل</w:t>
      </w:r>
      <w:bookmarkEnd w:id="515"/>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قواعد تصریح کرده است که اگر بر ذرّیّه، عَقِب یا نسل خویش وقف کند، نوه‌های دختری نیز همانند نوه‌های پسری در این وقف داخلند</w:t>
      </w:r>
      <w:r>
        <w:rPr>
          <w:rStyle w:val="FootnoteAnchor"/>
          <w:rtl w:val="true"/>
        </w:rPr>
        <w:footnoteReference w:id="8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در ذیل آن </w:t>
      </w:r>
    </w:p>
    <w:p>
      <w:pPr>
        <w:pStyle w:val="BookText"/>
        <w:rPr/>
      </w:pP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امر این است که اسم ذرّیّه، عقب و نسل بر همه اینها صدق می‌کند</w:t>
      </w:r>
      <w:r>
        <w:rPr>
          <w:rFonts w:eastAsia="IRNazanin" w:cs="IRNazanin"/>
          <w:color w:val="111111"/>
          <w:sz w:val="28"/>
          <w:szCs w:val="28"/>
          <w:rtl w:val="true"/>
          <w:lang w:bidi="fa-IR"/>
        </w:rPr>
        <w:t>.</w:t>
      </w:r>
      <w:r>
        <w:rPr>
          <w:rStyle w:val="FootnoteAnchor"/>
          <w:rtl w:val="true"/>
        </w:rPr>
        <w:footnoteReference w:id="825"/>
      </w:r>
      <w:r>
        <w:rPr>
          <w:rFonts w:ascii="Amiri" w:hAnsi="Amiri" w:eastAsia="Amiri" w:cs="Amiri"/>
          <w:color w:val="111111"/>
          <w:sz w:val="28"/>
          <w:sz w:val="28"/>
          <w:szCs w:val="28"/>
          <w:rtl w:val="true"/>
          <w:lang w:bidi="ar-SA"/>
        </w:rPr>
        <w:t>ابن‌ادریس نیز ضمن تصریح به این مطلب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ذُرِّیَّتِهِ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وَعیسی وَاِلْیاسَ</w:t>
      </w:r>
      <w:r>
        <w:rPr>
          <w:rFonts w:eastAsia="Amiri" w:cs="Amiri" w:ascii="Amiri" w:hAnsi="Amiri"/>
          <w:color w:val="111111"/>
          <w:sz w:val="28"/>
          <w:szCs w:val="28"/>
          <w:rtl w:val="true"/>
          <w:lang w:bidi="ar-SA"/>
        </w:rPr>
        <w:t>»</w:t>
      </w:r>
      <w:r>
        <w:rPr>
          <w:rStyle w:val="FootnoteAnchor"/>
          <w:rtl w:val="true"/>
        </w:rPr>
        <w:footnoteReference w:id="826"/>
      </w:r>
      <w:r>
        <w:rPr>
          <w:rFonts w:ascii="IRNazanin" w:hAnsi="IRNazanin" w:eastAsia="IRNazanin"/>
          <w:color w:val="111111"/>
          <w:sz w:val="28"/>
          <w:sz w:val="28"/>
          <w:szCs w:val="28"/>
          <w:rtl w:val="true"/>
          <w:lang w:bidi="fa-IR"/>
        </w:rPr>
        <w:t>استناد کرده است، زیرا در این آیه کریمه، عیسی علیه‌السلام را از ذرّیّه ابراهیم علیه‌السلام به شمار آورده است؛ در حالی که عیسی از طریق مادر به وی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ادامه می‌دهد؛ اگر کسی بر عترت خود وقف کند، تنها شامل 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و عشیره واقف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بیان به قول تَغْلب وابن‌اعرابی، ازاهل‌لغت استنادکرده‌است</w:t>
      </w:r>
      <w:r>
        <w:rPr>
          <w:rFonts w:eastAsia="IRNazanin" w:cs="IRNazanin"/>
          <w:color w:val="111111"/>
          <w:sz w:val="28"/>
          <w:szCs w:val="28"/>
          <w:rtl w:val="true"/>
          <w:lang w:bidi="fa-IR"/>
        </w:rPr>
        <w:t>.</w:t>
      </w:r>
      <w:r>
        <w:rPr>
          <w:rStyle w:val="FootnoteAnchor"/>
          <w:rtl w:val="true"/>
        </w:rPr>
        <w:footnoteReference w:id="827"/>
      </w:r>
    </w:p>
    <w:p>
      <w:pPr>
        <w:pStyle w:val="BookText"/>
        <w:rPr/>
      </w:pPr>
      <w:r>
        <w:rPr>
          <w:rFonts w:ascii="IRNazanin" w:hAnsi="IRNazanin" w:eastAsia="IRNazanin"/>
          <w:color w:val="111111"/>
          <w:sz w:val="28"/>
          <w:sz w:val="28"/>
          <w:szCs w:val="28"/>
          <w:rtl w:val="true"/>
          <w:lang w:bidi="fa-IR"/>
        </w:rPr>
        <w:t>مفتاح الکرامة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در واژه‌های، ذریّه، عَقِب و نسل را از غُنیه، تذکره، تحریر و</w:t>
      </w:r>
    </w:p>
    <w:p>
      <w:pPr>
        <w:pStyle w:val="BookText"/>
        <w:rPr/>
      </w:pPr>
      <w:r>
        <w:rPr>
          <w:rFonts w:ascii="IRNazanin" w:hAnsi="IRNazanin" w:eastAsia="IRNazanin"/>
          <w:color w:val="111111"/>
          <w:sz w:val="28"/>
          <w:sz w:val="28"/>
          <w:szCs w:val="28"/>
          <w:rtl w:val="true"/>
          <w:lang w:bidi="fa-IR"/>
        </w:rPr>
        <w:t>الجامع لِلشرایع نیز حکایت کرده است</w:t>
      </w:r>
      <w:r>
        <w:rPr>
          <w:rFonts w:eastAsia="IRNazanin" w:cs="IRNazanin"/>
          <w:color w:val="111111"/>
          <w:sz w:val="28"/>
          <w:szCs w:val="28"/>
          <w:rtl w:val="true"/>
          <w:lang w:bidi="fa-IR"/>
        </w:rPr>
        <w:t>.</w:t>
      </w:r>
      <w:r>
        <w:rPr>
          <w:rStyle w:val="FootnoteAnchor"/>
          <w:rtl w:val="true"/>
        </w:rPr>
        <w:footnoteReference w:id="828"/>
      </w:r>
      <w:r>
        <w:rPr>
          <w:rFonts w:ascii="IRNazanin" w:hAnsi="IRNazanin" w:eastAsia="IRNazanin"/>
          <w:color w:val="111111"/>
          <w:sz w:val="28"/>
          <w:sz w:val="28"/>
          <w:szCs w:val="28"/>
          <w:rtl w:val="true"/>
          <w:lang w:bidi="fa-IR"/>
        </w:rPr>
        <w:t>صاحب مفتاح، خود، تشخیص و نظر عرف را ملاک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در دروس نیز اولاد بنات را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دانسته است</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IRNazanin" w:hAnsi="IRNazanin" w:eastAsia="IRNazanin"/>
          <w:color w:val="111111"/>
          <w:sz w:val="28"/>
          <w:sz w:val="28"/>
          <w:szCs w:val="28"/>
          <w:rtl w:val="true"/>
          <w:lang w:bidi="fa-IR"/>
        </w:rPr>
        <w:t xml:space="preserve">حقّ این است که تشخیص این موارد منوط به نظر عرف است و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در مواردی که قرینه‌ای خاصّ وجود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بنات را از مصادیق این واژه‌ها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کریمه و آیات مُشابه نیز مؤیّد این مدّعا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انتساب</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مال را بر کسانی که به من منتسبند، وقف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حکمش چیست؟ آیااین وقف شامل نوه‌های دختری نیزمی‌شود یانه؟ شیخ طوسی درمبسوط تصریح کرده است که چنین وقفی به نوه های پسری واقف اختصاص دارد و شامل اولاد بنات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 های دختری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زیرا نوه‌های دختر انسان به وی منتسب نیستند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علاّمه در مختلف و قواعد نیز مختار شیخ را برگزیده و آن را به مشهور نسبت داده است</w:t>
      </w:r>
      <w:r>
        <w:rPr>
          <w:rFonts w:eastAsia="IRNazanin" w:cs="IRNazanin"/>
          <w:color w:val="111111"/>
          <w:sz w:val="28"/>
          <w:szCs w:val="28"/>
          <w:rtl w:val="true"/>
          <w:lang w:bidi="fa-IR"/>
        </w:rPr>
        <w:t>.</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 xml:space="preserve">فیض کاشانی نیز ضمن نسبت دادن این قول به مشهور، به آیه کریمه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اُدعُوهُم لِآباءِهِم</w:t>
      </w:r>
      <w:r>
        <w:rPr>
          <w:rFonts w:eastAsia="IRNazanin" w:cs="IRNazanin"/>
          <w:color w:val="111111"/>
          <w:sz w:val="28"/>
          <w:szCs w:val="28"/>
          <w:rtl w:val="true"/>
          <w:lang w:bidi="fa-IR"/>
        </w:rPr>
        <w:t>...»</w:t>
      </w:r>
      <w:r>
        <w:rPr>
          <w:rStyle w:val="FootnoteAnchor"/>
          <w:rtl w:val="true"/>
        </w:rPr>
        <w:footnoteReference w:id="832"/>
      </w:r>
      <w:r>
        <w:rPr>
          <w:rFonts w:ascii="IRNazanin" w:hAnsi="IRNazanin" w:eastAsia="IRNazanin"/>
          <w:color w:val="111111"/>
          <w:sz w:val="28"/>
          <w:sz w:val="28"/>
          <w:szCs w:val="28"/>
          <w:rtl w:val="true"/>
          <w:lang w:bidi="fa-IR"/>
        </w:rPr>
        <w:t>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روایتی را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مادرش از بنی هاشم و پدرش از سایر قریش است صدقه برای او حلال است و مستحقّ خمس نیست</w:t>
      </w:r>
      <w:r>
        <w:rPr>
          <w:rFonts w:eastAsia="IRNazanin" w:cs="IRNazanin"/>
          <w:color w:val="111111"/>
          <w:sz w:val="28"/>
          <w:szCs w:val="28"/>
          <w:rtl w:val="true"/>
          <w:lang w:bidi="fa-IR"/>
        </w:rPr>
        <w:t>».</w:t>
      </w:r>
      <w:r>
        <w:rPr>
          <w:rStyle w:val="FootnoteAnchor"/>
          <w:rtl w:val="true"/>
        </w:rPr>
        <w:footnoteReference w:id="833"/>
      </w:r>
      <w:r>
        <w:rPr>
          <w:rFonts w:ascii="IRNazanin" w:hAnsi="IRNazanin" w:eastAsia="IRNazanin"/>
          <w:color w:val="111111"/>
          <w:sz w:val="28"/>
          <w:sz w:val="28"/>
          <w:szCs w:val="28"/>
          <w:rtl w:val="true"/>
          <w:lang w:bidi="fa-IR"/>
        </w:rPr>
        <w:t>محقّق حلّی نیز در باب خمس معتبر تصریح کرده است که اطلاق نسب مقتضی انتساب به پدر است برای همین است که تمیمی و هاشمی به کسی می‌گویند که از طریق پدر به این قبیله‌ها منسوب باشد</w:t>
      </w:r>
      <w:r>
        <w:rPr>
          <w:rFonts w:eastAsia="IRNazanin" w:cs="IRNazanin"/>
          <w:color w:val="111111"/>
          <w:sz w:val="28"/>
          <w:szCs w:val="28"/>
          <w:rtl w:val="true"/>
          <w:lang w:bidi="fa-IR"/>
        </w:rPr>
        <w:t>.</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صاحب مفتاح الکرامة این قول را از خلاف، وسیلة، الجامع للشّرایع، تذکره، تبصره، ارشاد، غایه‌المراد، روض و مسالک نقل کرده و آن را به اکثر مشایخ نسبت داده است</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امام خمینی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اولاد خود نسلاً بعد نسل، وقف کند، تنها شامل فرزندان ذکور از فرزندان ذکور وی می‌شود و حتیّ شامل فرزندان ذکور از دخترانش نیز نمی‌شود</w:t>
      </w:r>
      <w:r>
        <w:rPr>
          <w:rFonts w:eastAsia="IRNazanin" w:cs="IRNazanin"/>
          <w:color w:val="111111"/>
          <w:sz w:val="28"/>
          <w:szCs w:val="28"/>
          <w:rtl w:val="true"/>
          <w:lang w:bidi="fa-IR"/>
        </w:rPr>
        <w:t>.</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علاّمه در مختلف به بعضی ازعلمای شیعه نسبت داده است که اولاد بنات نیزمنتسب هستند 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سیّد مرتضی است که به حدیث نبوی درباره حسنین علیهماالسلام استناد کرده است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هذانِ ابْنایَ اِمامانِ قاما اَوْقَعَدا</w:t>
      </w:r>
      <w:r>
        <w:rPr>
          <w:rFonts w:eastAsia="IRNazanin" w:cs="IRNazanin"/>
          <w:color w:val="111111"/>
          <w:sz w:val="28"/>
          <w:szCs w:val="28"/>
          <w:rtl w:val="true"/>
          <w:lang w:bidi="fa-IR"/>
        </w:rPr>
        <w:t>»</w:t>
      </w:r>
      <w:r>
        <w:rPr>
          <w:rStyle w:val="FootnoteAnchor"/>
          <w:rtl w:val="true"/>
        </w:rPr>
        <w:footnoteReference w:id="83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دو پسران من، دو امام هستند قیام کنند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مصالح اسلام و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بنشینند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فیض کاشانی نیز ضمن نقل این قول با همین استدلال از سیّد مرتضی می‌نویسد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بود سیّد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حَلائِلُ اَبْناءِکُمُ الَّذینَ مِنْ اَصلابِکُم</w:t>
      </w:r>
      <w:r>
        <w:rPr>
          <w:rFonts w:eastAsia="Amiri" w:cs="Amiri" w:ascii="Amiri" w:hAnsi="Amiri"/>
          <w:color w:val="111111"/>
          <w:sz w:val="28"/>
          <w:szCs w:val="28"/>
          <w:rtl w:val="true"/>
          <w:lang w:bidi="ar-SA"/>
        </w:rPr>
        <w:t>»</w:t>
      </w:r>
      <w:r>
        <w:rPr>
          <w:rStyle w:val="FootnoteAnchor"/>
          <w:rtl w:val="true"/>
        </w:rPr>
        <w:footnoteReference w:id="8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نیز حرام شد بر شما زن فرزندان صلبی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زن پسرخوانده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امام رضا علیه‌السلام در پاسخ مأمون، برای اثبات این که پسر رسول خداست به همین آیه شریفه استدلال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درپایان اظهارداشته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قول سیّد خالی از قوّت نیست </w:t>
      </w:r>
      <w:r>
        <w:rPr>
          <w:rFonts w:eastAsia="IRNazanin" w:cs="IRNazanin"/>
          <w:color w:val="111111"/>
          <w:sz w:val="28"/>
          <w:szCs w:val="28"/>
          <w:rtl w:val="true"/>
          <w:lang w:bidi="fa-IR"/>
        </w:rPr>
        <w:t>.</w:t>
      </w:r>
      <w:r>
        <w:rPr>
          <w:rStyle w:val="FootnoteAnchor"/>
          <w:rtl w:val="true"/>
        </w:rPr>
        <w:footnoteReference w:id="8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البتّه فیض</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اندکی پیش، قول مشهور را تقریب کرد</w:t>
      </w:r>
      <w:r>
        <w:rPr>
          <w:rFonts w:eastAsia="IRNazanin" w:cs="IRNazanin"/>
          <w:color w:val="111111"/>
          <w:sz w:val="28"/>
          <w:szCs w:val="28"/>
          <w:rtl w:val="true"/>
          <w:lang w:bidi="fa-IR"/>
        </w:rPr>
        <w:t xml:space="preserve">). </w:t>
      </w:r>
      <w:bookmarkStart w:id="516" w:name="pg4267_21924"/>
    </w:p>
    <w:p>
      <w:pPr>
        <w:pStyle w:val="BookText"/>
        <w:rPr/>
      </w:pPr>
      <w:bookmarkEnd w:id="516"/>
      <w:r>
        <w:rPr>
          <w:rFonts w:ascii="IRNazanin" w:hAnsi="IRNazanin" w:eastAsia="IRNazanin"/>
          <w:color w:val="111111"/>
          <w:sz w:val="28"/>
          <w:sz w:val="28"/>
          <w:szCs w:val="28"/>
          <w:rtl w:val="true"/>
          <w:lang w:bidi="fa-IR"/>
        </w:rPr>
        <w:t>ملاحظه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روایتی که فیض کاشانی برای ردّ مختار سیّد نقل کرد می‌توان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اوّلاً باید دید این روایت از حیث سند در چه وضعی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فیض آن رابه عنوان مؤیّد ذکر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ثانیا در روایت، بحث از حلیّت وحرمت خمس است نه ازانتساب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آیه کریمه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اُدعُوهم لِآباءِهِمْ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ظاهرا آیه در مقام نفی انتساب نوه‌های دختری به پدر بزرگهایشان نیست ،بلکه در مقام نفی جواز نسبت دادن افراد به پدر خوانده است </w:t>
      </w:r>
      <w:r>
        <w:rPr>
          <w:rFonts w:eastAsia="IRNazanin" w:cs="IRNazanin"/>
          <w:color w:val="111111"/>
          <w:sz w:val="28"/>
          <w:szCs w:val="28"/>
          <w:rtl w:val="true"/>
          <w:lang w:bidi="fa-IR"/>
        </w:rPr>
        <w:t>.</w:t>
      </w:r>
    </w:p>
    <w:p>
      <w:pPr>
        <w:pStyle w:val="Heading6"/>
        <w:numPr>
          <w:ilvl w:val="5"/>
          <w:numId w:val="1"/>
        </w:numPr>
        <w:rPr/>
      </w:pPr>
      <w:bookmarkStart w:id="517" w:name="__RefHeading___Toc474269_1479056682"/>
      <w:bookmarkStart w:id="518" w:name="_Toc197"/>
      <w:bookmarkEnd w:id="517"/>
      <w:r>
        <w:rPr>
          <w:rtl w:val="true"/>
        </w:rPr>
        <w:t>دیدگاه دیگر مذاهب</w:t>
      </w:r>
      <w:bookmarkEnd w:id="518"/>
    </w:p>
    <w:p>
      <w:pPr>
        <w:pStyle w:val="BookText"/>
        <w:rPr/>
      </w:pPr>
      <w:r>
        <w:rPr>
          <w:rFonts w:ascii="IRNazanin" w:hAnsi="IRNazanin" w:eastAsia="IRNazanin"/>
          <w:color w:val="111111"/>
          <w:sz w:val="28"/>
          <w:sz w:val="28"/>
          <w:szCs w:val="28"/>
          <w:rtl w:val="true"/>
          <w:lang w:bidi="fa-IR"/>
        </w:rPr>
        <w:t>وَهْبَهُ‌الزُّحَیلی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اتّفاق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 نسل وعقب تنهاشامل مذکّر می‌شود و مونث را، جز با کمک قراین یا با تصریح ،دربرنمی گیرد</w:t>
      </w:r>
      <w:r>
        <w:rPr>
          <w:rFonts w:eastAsia="IRNazanin" w:cs="IRNazanin"/>
          <w:color w:val="111111"/>
          <w:sz w:val="28"/>
          <w:szCs w:val="28"/>
          <w:rtl w:val="true"/>
          <w:lang w:bidi="fa-IR"/>
        </w:rPr>
        <w:t>.</w:t>
      </w:r>
      <w:r>
        <w:rPr>
          <w:rStyle w:val="FootnoteAnchor"/>
          <w:rtl w:val="true"/>
        </w:rPr>
        <w:footnoteReference w:id="840"/>
      </w:r>
      <w:r>
        <w:rPr>
          <w:rFonts w:ascii="Amiri" w:hAnsi="Amiri" w:eastAsia="Amiri" w:cs="Amiri"/>
          <w:color w:val="111111"/>
          <w:sz w:val="28"/>
          <w:sz w:val="28"/>
          <w:szCs w:val="28"/>
          <w:rtl w:val="true"/>
          <w:lang w:bidi="ar-SA"/>
        </w:rPr>
        <w:t xml:space="preserve">امّا شَربینی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فقهای شافعی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تصریح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اولاد بنات نیز در وقف برذریّه ،نسل وعقب داخلند، زیرا خداوند درآیه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ذُرِّیَّتِهِ داوُودَ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وَعیسی</w:t>
      </w:r>
      <w:r>
        <w:rPr>
          <w:rFonts w:eastAsia="Amiri" w:cs="Amiri" w:ascii="Amiri" w:hAnsi="Amiri"/>
          <w:color w:val="111111"/>
          <w:sz w:val="28"/>
          <w:szCs w:val="28"/>
          <w:rtl w:val="true"/>
          <w:lang w:bidi="ar-SA"/>
        </w:rPr>
        <w:t>»</w:t>
      </w:r>
      <w:r>
        <w:rPr>
          <w:rStyle w:val="FootnoteAnchor"/>
          <w:rtl w:val="true"/>
        </w:rPr>
        <w:footnoteReference w:id="841"/>
      </w:r>
      <w:r>
        <w:rPr>
          <w:rFonts w:ascii="IRNazanin" w:hAnsi="IRNazanin" w:eastAsia="IRNazanin"/>
          <w:color w:val="111111"/>
          <w:sz w:val="28"/>
          <w:sz w:val="28"/>
          <w:szCs w:val="28"/>
          <w:rtl w:val="true"/>
          <w:lang w:bidi="fa-IR"/>
        </w:rPr>
        <w:t>عیسی را از ذرّیه ابراهیم به شمار آورده، و نسل و عقب هم به همان معنای ذرّیّه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ادامه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اولاد بنات به پدربزرگ مادری خود منتسب نیستند و تنها به آبای خودشان نسبت داده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حدیث نبوی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ابْنی هذا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از خصایص پیامبر صلی‌الله‌علیه‌و‌آله است که اولاد بناتش به او منتسبند</w:t>
      </w:r>
      <w:r>
        <w:rPr>
          <w:rFonts w:eastAsia="IRNazanin" w:cs="IRNazanin"/>
          <w:color w:val="111111"/>
          <w:sz w:val="28"/>
          <w:szCs w:val="28"/>
          <w:rtl w:val="true"/>
          <w:lang w:bidi="fa-IR"/>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حقّ این است که باقطع نظر از اصل مسأله ،این توجیه شربینی برای حدیث شریف از توجیه کسانی که استعمال را دراین موارد از جمله این حدیث، مجازی می دانند، مناسبتر و نیکوتراست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زهدی یکن نیز واژه‌های، نسل، ذریّه و عشیره را شامل اولاد صُلبی واحفاد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 اندر 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امّا واژه عَقِب را مختصّ اولاد 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نوه‌های پسری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IRNazanin" w:hAnsi="IRNazanin" w:eastAsia="IRNazanin"/>
          <w:color w:val="111111"/>
          <w:sz w:val="28"/>
          <w:sz w:val="28"/>
          <w:szCs w:val="28"/>
          <w:rtl w:val="true"/>
          <w:lang w:bidi="fa-IR"/>
        </w:rPr>
        <w:t xml:space="preserve">ابن حَزم از فقهای ظاهری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قبلاً نیز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بر عَقِب را شامل</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دختران می‌داند، او فرزندان دختر را به پدربزرگ مادری منتسب نمی‌داند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در </w:t>
      </w:r>
      <w:bookmarkStart w:id="519" w:name="pg4267_21925"/>
    </w:p>
    <w:p>
      <w:pPr>
        <w:pStyle w:val="BookText"/>
        <w:rPr/>
      </w:pPr>
      <w:bookmarkEnd w:id="519"/>
      <w:r>
        <w:rPr>
          <w:rFonts w:ascii="IRNazanin" w:hAnsi="IRNazanin" w:eastAsia="IRNazanin"/>
          <w:color w:val="111111"/>
          <w:sz w:val="28"/>
          <w:sz w:val="28"/>
          <w:szCs w:val="28"/>
          <w:rtl w:val="true"/>
          <w:lang w:bidi="fa-IR"/>
        </w:rPr>
        <w:t>البحرالزّخّار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آنها را منتسب نمی‌داند</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 xml:space="preserve">ملاحظه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مواردی که گذشت اگر قرینه‌ای در کار باشد، بدون شک باید بر طبق آن قرینه عمل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وعناوین یادشده نباید نقش عرف وشاهد حال رااز نظر دور داشت، مطلبی که برخی از اعاظم نیز به آن اشاره کرده بودند</w:t>
      </w:r>
      <w:r>
        <w:rPr>
          <w:rFonts w:eastAsia="IRNazanin" w:cs="IRNazanin"/>
          <w:color w:val="111111"/>
          <w:sz w:val="28"/>
          <w:szCs w:val="28"/>
          <w:rtl w:val="true"/>
          <w:lang w:bidi="fa-IR"/>
        </w:rPr>
        <w:t>.</w:t>
      </w:r>
    </w:p>
    <w:p>
      <w:pPr>
        <w:pStyle w:val="Heading5"/>
        <w:numPr>
          <w:ilvl w:val="4"/>
          <w:numId w:val="1"/>
        </w:numPr>
        <w:rPr/>
      </w:pPr>
      <w:bookmarkStart w:id="520" w:name="__RefHeading___Toc474271_1479056682"/>
      <w:bookmarkStart w:id="521" w:name="_Toc198"/>
      <w:bookmarkEnd w:id="520"/>
      <w:r>
        <w:rPr/>
        <w:t>4</w:t>
      </w:r>
      <w:r>
        <w:rPr>
          <w:rtl w:val="true"/>
        </w:rPr>
        <w:t xml:space="preserve">- </w:t>
      </w:r>
      <w:r>
        <w:rPr>
          <w:rtl w:val="true"/>
        </w:rPr>
        <w:t>جنین</w:t>
      </w:r>
      <w:bookmarkEnd w:id="521"/>
    </w:p>
    <w:p>
      <w:pPr>
        <w:pStyle w:val="Heading6"/>
        <w:numPr>
          <w:ilvl w:val="5"/>
          <w:numId w:val="1"/>
        </w:numPr>
        <w:rPr/>
      </w:pPr>
      <w:bookmarkStart w:id="522" w:name="__RefHeading___Toc474273_1479056682"/>
      <w:bookmarkStart w:id="523" w:name="_Toc199"/>
      <w:bookmarkEnd w:id="522"/>
      <w:r>
        <w:rPr>
          <w:rtl w:val="true"/>
        </w:rPr>
        <w:t>اشاره</w:t>
      </w:r>
      <w:bookmarkEnd w:id="523"/>
    </w:p>
    <w:p>
      <w:pPr>
        <w:pStyle w:val="BookText"/>
        <w:rPr/>
      </w:pPr>
      <w:r>
        <w:rPr>
          <w:rFonts w:ascii="IRNazanin" w:hAnsi="IRNazanin" w:eastAsia="IRNazanin"/>
          <w:color w:val="111111"/>
          <w:sz w:val="28"/>
          <w:sz w:val="28"/>
          <w:szCs w:val="28"/>
          <w:rtl w:val="true"/>
          <w:lang w:bidi="fa-IR"/>
        </w:rPr>
        <w:t xml:space="preserve">البتّه در بحث شرایط موقوفٌ عَلَیْه در ذیل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تملّک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حدودی به این عنوان پرداخته شد؛ امّا دراین جااین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که آیا لفظ ولد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جنین نیز می‌شود یا نه ؟</w:t>
      </w:r>
    </w:p>
    <w:p>
      <w:pPr>
        <w:pStyle w:val="BookText"/>
        <w:rPr/>
      </w:pPr>
      <w:r>
        <w:rPr>
          <w:rFonts w:ascii="IRNazanin" w:hAnsi="IRNazanin" w:eastAsia="IRNazanin"/>
          <w:color w:val="111111"/>
          <w:sz w:val="28"/>
          <w:sz w:val="28"/>
          <w:szCs w:val="28"/>
          <w:rtl w:val="true"/>
          <w:lang w:bidi="fa-IR"/>
        </w:rPr>
        <w:t>علاّمه در تذکره</w:t>
      </w:r>
      <w:r>
        <w:rPr>
          <w:rStyle w:val="FootnoteAnchor"/>
          <w:rtl w:val="true"/>
        </w:rPr>
        <w:footnoteReference w:id="846"/>
      </w:r>
      <w:r>
        <w:rPr>
          <w:rFonts w:ascii="IRNazanin" w:hAnsi="IRNazanin" w:eastAsia="IRNazanin"/>
          <w:color w:val="111111"/>
          <w:sz w:val="28"/>
          <w:sz w:val="28"/>
          <w:szCs w:val="28"/>
          <w:rtl w:val="true"/>
          <w:lang w:bidi="fa-IR"/>
        </w:rPr>
        <w:t>و قواعد،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جنین تنها در صورتی که زنده متولّد شود، فرزند نامیده می‌شود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صاحب مفتاح در ذیل این عبارت قواعد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زیراقبل از تولّد برای جنین احکام دنیا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چون احتمال می‌رود که جنین نباشد، ولد نامیده نمی‌شود</w:t>
      </w:r>
      <w:r>
        <w:rPr>
          <w:rFonts w:eastAsia="IRNazanin" w:cs="IRNazanin"/>
          <w:color w:val="111111"/>
          <w:sz w:val="28"/>
          <w:szCs w:val="28"/>
          <w:rtl w:val="true"/>
          <w:lang w:bidi="fa-IR"/>
        </w:rPr>
        <w:t>.</w:t>
      </w:r>
      <w:r>
        <w:rPr>
          <w:rStyle w:val="FootnoteAnchor"/>
          <w:rtl w:val="true"/>
        </w:rPr>
        <w:footnoteReference w:id="847"/>
      </w:r>
    </w:p>
    <w:p>
      <w:pPr>
        <w:pStyle w:val="BookText"/>
        <w:rPr/>
      </w:pPr>
      <w:r>
        <w:rPr>
          <w:rFonts w:ascii="IRNazanin" w:hAnsi="IRNazanin" w:eastAsia="IRNazanin"/>
          <w:color w:val="111111"/>
          <w:sz w:val="28"/>
          <w:sz w:val="28"/>
          <w:szCs w:val="28"/>
          <w:rtl w:val="true"/>
          <w:lang w:bidi="fa-IR"/>
        </w:rPr>
        <w:t>در تذکره نیز ضمن بیان همین استدلال، این قول را به احمدبن حنبل وشافعی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اَصحِّ قولینِ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علاّمه در تذکره که در مفتاح نیز نقل شده است، تقریبا مصادره به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چراقبل از تولّد احکام دنیا برای فرزند ثابت نیست ؟، به چه دلیل، ولد نامیده نمی‌شود؟ و این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حمل نباشد،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جایی است که در حمل بودن آن تردیدی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عرف جنین رافرزند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بسیار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فرزندی که در رحم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مادران معمولاً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می‌کنند</w:t>
      </w:r>
      <w:r>
        <w:rPr>
          <w:rFonts w:eastAsia="IRNazanin" w:cs="IRNazanin"/>
          <w:color w:val="111111"/>
          <w:sz w:val="28"/>
          <w:szCs w:val="28"/>
          <w:rtl w:val="true"/>
          <w:lang w:bidi="fa-IR"/>
        </w:rPr>
        <w:t xml:space="preserve">. </w:t>
      </w:r>
      <w:bookmarkStart w:id="524" w:name="pg4267_21926"/>
    </w:p>
    <w:p>
      <w:pPr>
        <w:pStyle w:val="BookText"/>
        <w:rPr/>
      </w:pPr>
      <w:bookmarkEnd w:id="524"/>
      <w:r>
        <w:rPr>
          <w:rFonts w:ascii="IRNazanin" w:hAnsi="IRNazanin" w:eastAsia="IRNazanin"/>
          <w:color w:val="111111"/>
          <w:sz w:val="28"/>
          <w:sz w:val="28"/>
          <w:szCs w:val="28"/>
          <w:rtl w:val="true"/>
          <w:lang w:bidi="fa-IR"/>
        </w:rPr>
        <w:t>ابن قُدامه در مغنی از عباراتی از احمدبن حنبل استفاده کرده است که در وقف بر اولاد، چیزی نصیب حملی که متولّد نشده، نمی‌شود</w:t>
      </w:r>
      <w:r>
        <w:rPr>
          <w:rFonts w:eastAsia="IRNazanin" w:cs="IRNazanin"/>
          <w:color w:val="111111"/>
          <w:sz w:val="28"/>
          <w:szCs w:val="28"/>
          <w:rtl w:val="true"/>
          <w:lang w:bidi="fa-IR"/>
        </w:rPr>
        <w:t>.</w:t>
      </w:r>
      <w:r>
        <w:rPr>
          <w:rStyle w:val="FootnoteAnchor"/>
          <w:rtl w:val="true"/>
        </w:rPr>
        <w:footnoteReference w:id="849"/>
      </w:r>
    </w:p>
    <w:p>
      <w:pPr>
        <w:pStyle w:val="Heading6"/>
        <w:numPr>
          <w:ilvl w:val="5"/>
          <w:numId w:val="1"/>
        </w:numPr>
        <w:rPr/>
      </w:pPr>
      <w:bookmarkStart w:id="525" w:name="__RefHeading___Toc474275_1479056682"/>
      <w:bookmarkStart w:id="526" w:name="_Toc200"/>
      <w:bookmarkEnd w:id="525"/>
      <w:r>
        <w:rPr>
          <w:rtl w:val="true"/>
        </w:rPr>
        <w:t>چند فرع</w:t>
      </w:r>
      <w:bookmarkEnd w:id="5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بر اولاد و اولاد اولادم، چنین وقفی مقتضی تشریک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جمع مطلق است، در نتیجه بطن اوّل و دوم و نسلهای بعدی در استحقاق، مساوی‌اند و هر که از بطون، که جدیدا می‌آید با بطنهای سابق شریک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دروقف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کند، یعنی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وَقَفتُ عَلی اَوْلادی ثُمَّ عَلی اَوْلادِ</w:t>
      </w:r>
    </w:p>
    <w:p>
      <w:pPr>
        <w:pStyle w:val="BookText"/>
        <w:rPr/>
      </w:pPr>
      <w:r>
        <w:rPr>
          <w:rFonts w:ascii="IRNazanin" w:hAnsi="IRNazanin" w:eastAsia="IRNazanin"/>
          <w:color w:val="111111"/>
          <w:sz w:val="28"/>
          <w:sz w:val="28"/>
          <w:szCs w:val="28"/>
          <w:rtl w:val="true"/>
          <w:lang w:bidi="fa-IR"/>
        </w:rPr>
        <w:t>اَوْلادی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وقفی مقتضی ترتیب است در نتیجه باوجود حتّی یکی از افراد اَعلی چیزی به اَسفل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 قْربُ فَالاَقْرَبُ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اَلاَوَّلُ</w:t>
      </w:r>
    </w:p>
    <w:p>
      <w:pPr>
        <w:pStyle w:val="BookText"/>
        <w:rPr/>
      </w:pPr>
      <w:r>
        <w:rPr>
          <w:rFonts w:ascii="IRNazanin" w:hAnsi="IRNazanin" w:eastAsia="IRNazanin"/>
          <w:color w:val="111111"/>
          <w:sz w:val="28"/>
          <w:sz w:val="28"/>
          <w:szCs w:val="28"/>
          <w:rtl w:val="true"/>
          <w:lang w:bidi="fa-IR"/>
        </w:rPr>
        <w:t>فَالاَوَّلُ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کردم براولادم و هرگاه منقرض شدند بر اولادشان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مال را براولاد خود، وقف کردم بااین شرط که برای دختران، فلان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 برای پسران باشد، تازمانی که دختران مبلغ مزبور رادریافت</w:t>
      </w:r>
    </w:p>
    <w:p>
      <w:pPr>
        <w:pStyle w:val="BookText"/>
        <w:rPr/>
      </w:pPr>
      <w:r>
        <w:rPr>
          <w:rFonts w:ascii="IRNazanin" w:hAnsi="IRNazanin" w:eastAsia="IRNazanin"/>
          <w:color w:val="111111"/>
          <w:sz w:val="28"/>
          <w:sz w:val="28"/>
          <w:szCs w:val="28"/>
          <w:rtl w:val="true"/>
          <w:lang w:bidi="fa-IR"/>
        </w:rPr>
        <w:t>نکرده‌اند، پسران مستحقّ چیزی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بعضی از اولاد را که ویژگی خاصی دارنداز وقف اخراج کند جایز است،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فرزندان که ازدواج کرد 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با طلاق از یکدیگر جدا شدند باز مستحق خواهد بود؛ زیرا شرطی را دروقف خود آورده است که نه باشرع ناسازگار است و نه با مقتضای عقد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مال را وقف کردم بر اولادم که هرگاه آنها و اولاد اولادم منقرض شدند وقف بر فقراباشد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مورد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با انقراض بطن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اولاد آنها می‌رسد وبعد از انقراض اولاد اولاد به فقرا می‌رسد؛ زیرا ظاهر</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اقتضا دارد که بر اولاد اولاد نیز وقف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دیگر این است که بعد از انقراضِ اولاد چیزی به اولاد اولاد نمی‌رسد، هرچند تا آنها منقرض نشده‌اند فقرا نیز </w:t>
      </w:r>
      <w:bookmarkStart w:id="527" w:name="pg4267_21927"/>
    </w:p>
    <w:p>
      <w:pPr>
        <w:pStyle w:val="BookText"/>
        <w:rPr/>
      </w:pPr>
      <w:bookmarkEnd w:id="527"/>
      <w:r>
        <w:rPr>
          <w:rFonts w:ascii="IRNazanin" w:hAnsi="IRNazanin" w:eastAsia="IRNazanin"/>
          <w:color w:val="111111"/>
          <w:sz w:val="28"/>
          <w:sz w:val="28"/>
          <w:szCs w:val="28"/>
          <w:rtl w:val="true"/>
          <w:lang w:bidi="fa-IR"/>
        </w:rPr>
        <w:t>مستحق نخواهند بود؛ زیرا در حقیقت انقراض نسل دوم شرط استحقاق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علاّمه در قواعد، وقف دراین فرض وقف منقطع الوسط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درآمد وقف</w:t>
      </w:r>
    </w:p>
    <w:p>
      <w:pPr>
        <w:pStyle w:val="BookText"/>
        <w:rPr/>
      </w:pPr>
      <w:r>
        <w:rPr>
          <w:rFonts w:ascii="IRNazanin" w:hAnsi="IRNazanin" w:eastAsia="IRNazanin"/>
          <w:color w:val="111111"/>
          <w:sz w:val="28"/>
          <w:sz w:val="28"/>
          <w:szCs w:val="28"/>
          <w:rtl w:val="true"/>
          <w:lang w:bidi="fa-IR"/>
        </w:rPr>
        <w:t xml:space="preserve">در این مدّت وسط احتمالاً از آنِ ورثه واقف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بحث و اختلاف و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مثلاً دارای سه فرزند باشد وبه این شکل وقف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آنها از دنیارفت و فرزند داشت سهم او از آنِ فرزندش باشد و اگر فرزند نداشت، سهم وی برای اهل وقف باشد، این وقف صحیح است و شرط نیز، چون با مقتضای عقد ناسازگار نیست، واجب الاتباع است در نتیجه؛ اگر یکی از این سه نفر بمیرد و دارای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فرزند باشد، نصیب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دو فرزندش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مقتضای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یکی دیگر از آن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بمیرد ودارای فرزند نباشد نصیب وی برای اهل وقف است، یعنی برای یک عمو ودو برادرزاده</w:t>
      </w:r>
      <w:r>
        <w:rPr>
          <w:rFonts w:eastAsia="IRNazanin" w:cs="IRNazanin"/>
          <w:color w:val="111111"/>
          <w:sz w:val="28"/>
          <w:szCs w:val="28"/>
          <w:rtl w:val="true"/>
          <w:lang w:bidi="fa-IR"/>
        </w:rPr>
        <w:t>...</w:t>
      </w:r>
      <w:r>
        <w:rPr>
          <w:rStyle w:val="FootnoteAnchor"/>
          <w:rtl w:val="true"/>
        </w:rPr>
        <w:footnoteReference w:id="850"/>
      </w:r>
    </w:p>
    <w:p>
      <w:pPr>
        <w:pStyle w:val="BookText"/>
        <w:rPr/>
      </w:pPr>
      <w:r>
        <w:rPr>
          <w:rFonts w:ascii="IRNazanin" w:hAnsi="IRNazanin" w:eastAsia="IRNazanin"/>
          <w:color w:val="111111"/>
          <w:sz w:val="28"/>
          <w:sz w:val="28"/>
          <w:szCs w:val="28"/>
          <w:rtl w:val="true"/>
          <w:lang w:bidi="fa-IR"/>
        </w:rPr>
        <w:t>برای مبحث وقف اولادی فروع متعدد فراوان دیگری نیز هست که به منظور گریز از اطاله بیشتر، از طرح آنها خودداری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حکم بسیاری ازآنها از مباحث و مطالب بررسی شده به دست می‌آید</w:t>
      </w:r>
      <w:r>
        <w:rPr>
          <w:rFonts w:eastAsia="IRNazanin" w:cs="IRNazanin"/>
          <w:color w:val="111111"/>
          <w:sz w:val="28"/>
          <w:szCs w:val="28"/>
          <w:rtl w:val="true"/>
          <w:lang w:bidi="fa-IR"/>
        </w:rPr>
        <w:t>.</w:t>
      </w:r>
    </w:p>
    <w:p>
      <w:pPr>
        <w:pStyle w:val="Heading4"/>
        <w:numPr>
          <w:ilvl w:val="3"/>
          <w:numId w:val="1"/>
        </w:numPr>
        <w:rPr/>
      </w:pPr>
      <w:bookmarkStart w:id="528" w:name="__RefHeading___Toc474277_1479056682"/>
      <w:bookmarkStart w:id="529" w:name="_Toc201"/>
      <w:bookmarkEnd w:id="528"/>
      <w:r>
        <w:rPr>
          <w:rtl w:val="true"/>
        </w:rPr>
        <w:t>مبحث چهارم</w:t>
      </w:r>
      <w:r>
        <w:rPr>
          <w:rtl w:val="true"/>
        </w:rPr>
        <w:t xml:space="preserve">: </w:t>
      </w:r>
      <w:r>
        <w:rPr>
          <w:rtl w:val="true"/>
        </w:rPr>
        <w:t>بیان مصادیق واژه‌ها و اصطلاحات</w:t>
      </w:r>
      <w:bookmarkEnd w:id="529"/>
    </w:p>
    <w:p>
      <w:pPr>
        <w:pStyle w:val="Heading5"/>
        <w:numPr>
          <w:ilvl w:val="4"/>
          <w:numId w:val="1"/>
        </w:numPr>
        <w:rPr/>
      </w:pPr>
      <w:bookmarkStart w:id="530" w:name="__RefHeading___Toc474279_1479056682"/>
      <w:bookmarkStart w:id="531" w:name="_Toc202"/>
      <w:bookmarkEnd w:id="530"/>
      <w:r>
        <w:rPr>
          <w:rtl w:val="true"/>
        </w:rPr>
        <w:t>اشاره</w:t>
      </w:r>
      <w:bookmarkEnd w:id="531"/>
    </w:p>
    <w:p>
      <w:pPr>
        <w:pStyle w:val="BookText"/>
        <w:rPr/>
      </w:pPr>
      <w:r>
        <w:rPr>
          <w:rFonts w:ascii="IRNazanin" w:hAnsi="IRNazanin" w:eastAsia="IRNazanin"/>
          <w:color w:val="111111"/>
          <w:sz w:val="28"/>
          <w:sz w:val="28"/>
          <w:szCs w:val="28"/>
          <w:rtl w:val="true"/>
          <w:lang w:bidi="fa-IR"/>
        </w:rPr>
        <w:t xml:space="preserve">از مطالبی که جمهور فقهای مذاهب اسلامی به آن پرداخته‌اند، بحث بیان مصادیق واژه‌هایی است که ممکن است در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جهتهای 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هایی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دراین جامنظور بیان مصادیق</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آنهاست؛ مصادیقی که واژه‌ها واصطلاحات، در صورت اطلاق به آنهاانصراف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این‌جا منظور بیانِ مفاهیم واژه‌ها نیست تا جای طرح آنها بخش </w:t>
      </w:r>
      <w:bookmarkStart w:id="532" w:name="pg4267_21928"/>
    </w:p>
    <w:p>
      <w:pPr>
        <w:pStyle w:val="BookText"/>
        <w:rPr/>
      </w:pPr>
      <w:bookmarkEnd w:id="532"/>
      <w:r>
        <w:rPr>
          <w:rFonts w:ascii="IRNazanin" w:hAnsi="IRNazanin" w:eastAsia="IRNazanin"/>
          <w:color w:val="111111"/>
          <w:sz w:val="28"/>
          <w:sz w:val="28"/>
          <w:szCs w:val="28"/>
          <w:rtl w:val="true"/>
          <w:lang w:bidi="fa-IR"/>
        </w:rPr>
        <w:t>تفسیر واژه‌ها باشد؛ بلکه منظور بیان مصادیق است</w:t>
      </w:r>
      <w:r>
        <w:rPr>
          <w:rFonts w:eastAsia="IRNazanin" w:cs="IRNazanin"/>
          <w:color w:val="111111"/>
          <w:sz w:val="28"/>
          <w:szCs w:val="28"/>
          <w:rtl w:val="true"/>
          <w:lang w:bidi="fa-IR"/>
        </w:rPr>
        <w:t>:</w:t>
      </w:r>
    </w:p>
    <w:p>
      <w:pPr>
        <w:pStyle w:val="Heading5"/>
        <w:numPr>
          <w:ilvl w:val="4"/>
          <w:numId w:val="1"/>
        </w:numPr>
        <w:rPr/>
      </w:pPr>
      <w:bookmarkStart w:id="533" w:name="__RefHeading___Toc474281_1479056682"/>
      <w:bookmarkStart w:id="534" w:name="_Toc203"/>
      <w:bookmarkEnd w:id="533"/>
      <w:r>
        <w:rPr>
          <w:rtl w:val="true"/>
        </w:rPr>
        <w:t>مسلمین</w:t>
      </w:r>
      <w:bookmarkEnd w:id="534"/>
    </w:p>
    <w:p>
      <w:pPr>
        <w:pStyle w:val="BookText"/>
        <w:rPr/>
      </w:pPr>
      <w:r>
        <w:rPr>
          <w:rFonts w:ascii="IRNazanin" w:hAnsi="IRNazanin" w:eastAsia="IRNazanin"/>
          <w:color w:val="111111"/>
          <w:sz w:val="28"/>
          <w:sz w:val="28"/>
          <w:szCs w:val="28"/>
          <w:rtl w:val="true"/>
          <w:lang w:bidi="fa-IR"/>
        </w:rPr>
        <w:t>شیخ طوسی درنهایه تصریح کرده است که اگر کسی 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مستحق آن، همه کسانی هستند که به شهادتین واَرکان شریعت، یعنی نماز، زکات، صوم، حج وجهاد، اقرار دارند، هر چند در آراء و مذاهب بایکدیگر اختلاف داشته باشند</w:t>
      </w:r>
      <w:r>
        <w:rPr>
          <w:rFonts w:eastAsia="IRNazanin" w:cs="IRNazanin"/>
          <w:color w:val="111111"/>
          <w:sz w:val="28"/>
          <w:szCs w:val="28"/>
          <w:rtl w:val="true"/>
          <w:lang w:bidi="fa-IR"/>
        </w:rPr>
        <w:t>.</w:t>
      </w:r>
      <w:r>
        <w:rPr>
          <w:rStyle w:val="FootnoteAnchor"/>
          <w:rtl w:val="true"/>
        </w:rPr>
        <w:footnoteReference w:id="851"/>
      </w:r>
      <w:r>
        <w:rPr>
          <w:rFonts w:ascii="IRNazanin" w:hAnsi="IRNazanin" w:eastAsia="IRNazanin"/>
          <w:color w:val="111111"/>
          <w:sz w:val="28"/>
          <w:sz w:val="28"/>
          <w:szCs w:val="28"/>
          <w:rtl w:val="true"/>
          <w:lang w:bidi="fa-IR"/>
        </w:rPr>
        <w:t>ابن برّاج نیز همین نظر رابرگزیده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نیز همین بیان رادارد با این تفاوت که درباره نماز، فعل وانجام آن رانیز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سلّار تنها انجام نماز به سوی قبله را ذکر کرده است، وابن حمزه و علاّمه در تذکره به اقرار به شهادتین اکتفاکرده‌اند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مسلمان مُحِق باشد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مسلمانان مُحِق منصرف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وی خطاب وشاهد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مختار شیخ را درنهایه در بعضی از موارد با تقرّب به خداوند، ناسازگار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تنها انجام نماز به سوی قبله را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معاصران، آیه‌اللّه خویی مستحق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می‌داندکه واقف به اسلامشان معتقداست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حکیم و امام خمینی در تحریر،</w:t>
      </w:r>
    </w:p>
    <w:p>
      <w:pPr>
        <w:pStyle w:val="BookText"/>
        <w:rPr/>
      </w:pPr>
      <w:r>
        <w:rPr>
          <w:rFonts w:ascii="IRNazanin" w:hAnsi="IRNazanin" w:eastAsia="IRNazanin"/>
          <w:color w:val="111111"/>
          <w:sz w:val="28"/>
          <w:sz w:val="28"/>
          <w:szCs w:val="28"/>
          <w:rtl w:val="true"/>
          <w:lang w:bidi="fa-IR"/>
        </w:rPr>
        <w:t>مستحق را مُقِرّ به شهادتین دانسته‌اند</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rtl w:val="true"/>
          <w:lang w:bidi="fa-IR"/>
        </w:rPr>
        <w:t xml:space="preserve">علاّمه در مختلف، بعد از اختیار نظر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اقرار به شهادتین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برای آن</w:t>
      </w:r>
    </w:p>
    <w:p>
      <w:pPr>
        <w:pStyle w:val="BookText"/>
        <w:rPr/>
      </w:pPr>
      <w:r>
        <w:rPr>
          <w:rFonts w:ascii="IRNazanin" w:hAnsi="IRNazanin" w:eastAsia="IRNazanin"/>
          <w:color w:val="111111"/>
          <w:sz w:val="28"/>
          <w:sz w:val="28"/>
          <w:szCs w:val="28"/>
          <w:rtl w:val="true"/>
          <w:lang w:bidi="fa-IR"/>
        </w:rPr>
        <w:t>به اجماع بر جواز صدقه و وقف در مورد، این عنوان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بین طوایف اسلام فرقی نیست؛ البتّه کسانی که با ارتکاب اعمالی از دین پیامبر اسلام خارج</w:t>
      </w:r>
    </w:p>
    <w:p>
      <w:pPr>
        <w:pStyle w:val="BookText"/>
        <w:rPr/>
      </w:pPr>
      <w:r>
        <w:rPr>
          <w:rFonts w:ascii="IRNazanin" w:hAnsi="IRNazanin" w:eastAsia="IRNazanin"/>
          <w:color w:val="111111"/>
          <w:sz w:val="28"/>
          <w:sz w:val="28"/>
          <w:szCs w:val="28"/>
          <w:rtl w:val="true"/>
          <w:lang w:bidi="fa-IR"/>
        </w:rPr>
        <w:t xml:space="preserve">شده‌اند، همانند غُلات و مُجَبِّره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حسابشان فرق می‌کند و استثنا شده‌اند</w:t>
      </w:r>
      <w:r>
        <w:rPr>
          <w:rStyle w:val="FootnoteAnchor"/>
          <w:rtl w:val="true"/>
        </w:rPr>
        <w:footnoteReference w:id="853"/>
      </w:r>
      <w:r>
        <w:rPr>
          <w:rFonts w:ascii="IRNazanin" w:hAnsi="IRNazanin" w:eastAsia="IRNazanin"/>
          <w:color w:val="111111"/>
          <w:sz w:val="28"/>
          <w:sz w:val="28"/>
          <w:szCs w:val="28"/>
          <w:rtl w:val="true"/>
          <w:lang w:bidi="fa-IR"/>
        </w:rPr>
        <w:t>دیگر اَعلام نیز غالبا به این نکته اشاره دارند</w:t>
      </w:r>
      <w:r>
        <w:rPr>
          <w:rFonts w:eastAsia="IRNazanin" w:cs="IRNazanin"/>
          <w:color w:val="111111"/>
          <w:sz w:val="28"/>
          <w:szCs w:val="28"/>
          <w:rtl w:val="true"/>
          <w:lang w:bidi="fa-IR"/>
        </w:rPr>
        <w:t>.</w:t>
      </w:r>
      <w:r>
        <w:rPr>
          <w:rStyle w:val="FootnoteAnchor"/>
          <w:rtl w:val="true"/>
        </w:rPr>
        <w:footnoteReference w:id="854"/>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به‌نظر می‌رسد، بجز در مواردی که قرینه‌ای در کار باشد یا شاهد حال بر معنایی دلالت کند، مختار آیه‌اللّه حکیم و امام خمینی بیشتر قابل دفاع است</w:t>
      </w:r>
      <w:r>
        <w:rPr>
          <w:rFonts w:eastAsia="IRNazanin" w:cs="IRNazanin"/>
          <w:color w:val="111111"/>
          <w:sz w:val="28"/>
          <w:szCs w:val="28"/>
          <w:rtl w:val="true"/>
          <w:lang w:bidi="fa-IR"/>
        </w:rPr>
        <w:t xml:space="preserve">. </w:t>
      </w:r>
      <w:bookmarkStart w:id="535" w:name="pg4267_21929"/>
    </w:p>
    <w:p>
      <w:pPr>
        <w:pStyle w:val="Heading5"/>
        <w:numPr>
          <w:ilvl w:val="4"/>
          <w:numId w:val="1"/>
        </w:numPr>
        <w:rPr/>
      </w:pPr>
      <w:bookmarkStart w:id="536" w:name="__RefHeading___Toc474283_1479056682"/>
      <w:bookmarkStart w:id="537" w:name="_Toc204"/>
      <w:bookmarkEnd w:id="535"/>
      <w:bookmarkEnd w:id="536"/>
      <w:r>
        <w:rPr>
          <w:rtl w:val="true"/>
        </w:rPr>
        <w:t>مؤمنین</w:t>
      </w:r>
      <w:bookmarkEnd w:id="537"/>
    </w:p>
    <w:p>
      <w:pPr>
        <w:pStyle w:val="BookText"/>
        <w:rPr/>
      </w:pPr>
      <w:r>
        <w:rPr>
          <w:rFonts w:ascii="IRNazanin" w:hAnsi="IRNazanin" w:eastAsia="IRNazanin"/>
          <w:color w:val="111111"/>
          <w:sz w:val="28"/>
          <w:sz w:val="28"/>
          <w:szCs w:val="28"/>
          <w:rtl w:val="true"/>
          <w:lang w:bidi="fa-IR"/>
        </w:rPr>
        <w:t xml:space="preserve">شیخ در نهایه اظهار داشته است که اگر کسی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به آن دسته از امامیّه می‌رسد که از کبایر، اجتناب می‌کنند و به فُسّاق آنها چیزی نمی‌رسد</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 xml:space="preserve">سیّد مرتضی و شیخ، در کتب کلامی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امامیّه اثنی عشری دانسته‌اند، خواه از کبایر اجتناب کند، خواه نکند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نظر محقّق اوّل در مختصرالنافع</w:t>
      </w:r>
      <w:r>
        <w:rPr>
          <w:rStyle w:val="FootnoteAnchor"/>
          <w:rtl w:val="true"/>
        </w:rPr>
        <w:footnoteReference w:id="857"/>
      </w:r>
      <w:r>
        <w:rPr>
          <w:rFonts w:ascii="IRNazanin" w:hAnsi="IRNazanin" w:eastAsia="IRNazanin"/>
          <w:color w:val="111111"/>
          <w:sz w:val="28"/>
          <w:sz w:val="28"/>
          <w:szCs w:val="28"/>
          <w:rtl w:val="true"/>
          <w:lang w:bidi="fa-IR"/>
        </w:rPr>
        <w:t>و سلاّربن عبدالعزیز</w:t>
      </w:r>
      <w:r>
        <w:rPr>
          <w:rStyle w:val="FootnoteAnchor"/>
          <w:rtl w:val="true"/>
        </w:rPr>
        <w:footnoteReference w:id="858"/>
      </w:r>
      <w:r>
        <w:rPr>
          <w:rFonts w:ascii="IRNazanin" w:hAnsi="IRNazanin" w:eastAsia="IRNazanin"/>
          <w:color w:val="111111"/>
          <w:sz w:val="28"/>
          <w:sz w:val="28"/>
          <w:szCs w:val="28"/>
          <w:rtl w:val="true"/>
          <w:lang w:bidi="fa-IR"/>
        </w:rPr>
        <w:t>نیز در این مورد، امامیّه اثنی عشریّه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ادریس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شامل همه مؤمنین، اعم از عادل و فاسق، می‌داند، زیرا همه خطابهای متوجّه به مؤنین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فسّاق را نیز در بر می‌گیرد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Style w:val="FootnoteAnchor"/>
          <w:rtl w:val="true"/>
        </w:rPr>
        <w:footnoteReference w:id="85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r>
        <w:rPr>
          <w:rStyle w:val="FootnoteAnchor"/>
          <w:rtl w:val="true"/>
        </w:rPr>
        <w:footnoteReference w:id="86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Style w:val="FootnoteAnchor"/>
          <w:rtl w:val="true"/>
        </w:rPr>
        <w:footnoteReference w:id="861"/>
      </w:r>
    </w:p>
    <w:p>
      <w:pPr>
        <w:pStyle w:val="BookText"/>
        <w:rPr/>
      </w:pPr>
      <w:r>
        <w:rPr>
          <w:rFonts w:ascii="IRNazanin" w:hAnsi="IRNazanin" w:eastAsia="IRNazanin"/>
          <w:color w:val="111111"/>
          <w:sz w:val="28"/>
          <w:sz w:val="28"/>
          <w:szCs w:val="28"/>
          <w:rtl w:val="true"/>
          <w:lang w:bidi="fa-IR"/>
        </w:rPr>
        <w:t>ابن ادریس توضیح نداده است که آیا منظور وی از این تعمیم، شمول نسبت به همه افراد امامیّه است یا همه افراد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استدلال و استناد وی به دست می‌آید که منظورش همه افراد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سپس از سید مرتضی، در ناصریّات</w:t>
      </w:r>
      <w:r>
        <w:rPr>
          <w:rStyle w:val="FootnoteAnchor"/>
          <w:rtl w:val="true"/>
        </w:rPr>
        <w:footnoteReference w:id="862"/>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فاسق در حال فسق خود نیز مؤمن است</w:t>
      </w:r>
      <w:r>
        <w:rPr>
          <w:rFonts w:eastAsia="IRNazanin" w:cs="IRNazanin"/>
          <w:color w:val="111111"/>
          <w:sz w:val="28"/>
          <w:szCs w:val="28"/>
          <w:rtl w:val="true"/>
          <w:lang w:bidi="fa-IR"/>
        </w:rPr>
        <w:t>.</w:t>
      </w:r>
      <w:r>
        <w:rPr>
          <w:rStyle w:val="FootnoteAnchor"/>
          <w:rtl w:val="true"/>
        </w:rPr>
        <w:footnoteReference w:id="863"/>
      </w:r>
      <w:r>
        <w:rPr>
          <w:rFonts w:ascii="Amiri" w:hAnsi="Amiri" w:eastAsia="Amiri" w:cs="Amiri"/>
          <w:color w:val="111111"/>
          <w:sz w:val="28"/>
          <w:sz w:val="28"/>
          <w:szCs w:val="28"/>
          <w:rtl w:val="true"/>
          <w:lang w:bidi="ar-SA"/>
        </w:rPr>
        <w:t>ضمنا شیخ در تفسیر تبیان، از نظر خود در نهایه رجوع کرده و در تفسیر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اَیُّهاالَّذین آمَنوُا کُلُوا مِنْ طَیِّباتِ ما رَزَقْناکُمْ</w:t>
      </w:r>
      <w:r>
        <w:rPr>
          <w:rFonts w:eastAsia="Amiri" w:cs="Amiri" w:ascii="Amiri" w:hAnsi="Amiri"/>
          <w:color w:val="111111"/>
          <w:sz w:val="28"/>
          <w:szCs w:val="28"/>
          <w:rtl w:val="true"/>
          <w:lang w:bidi="ar-SA"/>
        </w:rPr>
        <w:t>»</w:t>
      </w:r>
      <w:r>
        <w:rPr>
          <w:rStyle w:val="FootnoteAnchor"/>
          <w:rtl w:val="true"/>
        </w:rPr>
        <w:footnoteReference w:id="8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متوجّه همه مؤمنین، حتّی فسّاق و خوارج</w:t>
      </w:r>
    </w:p>
    <w:p>
      <w:pPr>
        <w:pStyle w:val="BookText"/>
        <w:rPr/>
      </w:pPr>
      <w:r>
        <w:rPr>
          <w:rFonts w:ascii="IRNazanin" w:hAnsi="IRNazanin" w:eastAsia="IRNazanin"/>
          <w:color w:val="111111"/>
          <w:sz w:val="28"/>
          <w:sz w:val="28"/>
          <w:szCs w:val="28"/>
          <w:rtl w:val="true"/>
          <w:lang w:bidi="fa-IR"/>
        </w:rPr>
        <w:t>است، زیرا ایمان در نزد ما فسق را نفی نمی‌کند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 xml:space="preserve">محقّق در شرایع، امامیّه اثنی عشریه را تقریب کرده است و صاحب جواهر در ذیل عبارت وی استقرار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این امر دانسته است 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تبیان نیز به اجماع اشعار دارد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امام خمینی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امامی باشد، به </w:t>
      </w:r>
      <w:bookmarkStart w:id="538" w:name="pg4267_21930"/>
    </w:p>
    <w:p>
      <w:pPr>
        <w:pStyle w:val="BookText"/>
        <w:rPr/>
      </w:pPr>
      <w:bookmarkEnd w:id="538"/>
      <w:r>
        <w:rPr>
          <w:rFonts w:ascii="IRNazanin" w:hAnsi="IRNazanin" w:eastAsia="IRNazanin"/>
          <w:color w:val="111111"/>
          <w:sz w:val="28"/>
          <w:sz w:val="28"/>
          <w:szCs w:val="28"/>
          <w:rtl w:val="true"/>
          <w:lang w:bidi="fa-IR"/>
        </w:rPr>
        <w:t>امامیّه اثنی عشریه منصرف می‌شود</w:t>
      </w:r>
      <w:r>
        <w:rPr>
          <w:rFonts w:eastAsia="IRNazanin" w:cs="IRNazanin"/>
          <w:color w:val="111111"/>
          <w:sz w:val="28"/>
          <w:szCs w:val="28"/>
          <w:rtl w:val="true"/>
          <w:lang w:bidi="fa-IR"/>
        </w:rPr>
        <w:t>.</w:t>
      </w:r>
      <w:r>
        <w:rPr>
          <w:rStyle w:val="FootnoteAnchor"/>
          <w:rtl w:val="true"/>
        </w:rPr>
        <w:footnoteReference w:id="867"/>
      </w:r>
    </w:p>
    <w:p>
      <w:pPr>
        <w:pStyle w:val="BookText"/>
        <w:rPr/>
      </w:pPr>
      <w:r>
        <w:rPr>
          <w:rFonts w:ascii="IRNazanin" w:hAnsi="IRNazanin" w:eastAsia="IRNazanin"/>
          <w:color w:val="111111"/>
          <w:sz w:val="28"/>
          <w:sz w:val="28"/>
          <w:szCs w:val="28"/>
          <w:rtl w:val="true"/>
          <w:lang w:bidi="fa-IR"/>
        </w:rPr>
        <w:t>این نکته‌ای بسیار قابل توجّه است؛ زیرا عرف، فَحوای خطاب و شاهد حال در این مورد و موارد مشابه، نقش اساسی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یک حنفی مذهب مالی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کند می‌توانیم بگوییم؛ منحصر به شیعه دوازده امامی است و خود آنها را شامل نمی‌شود؟</w:t>
      </w:r>
    </w:p>
    <w:p>
      <w:pPr>
        <w:pStyle w:val="BookText"/>
        <w:rPr/>
      </w:pPr>
      <w:r>
        <w:rPr>
          <w:rFonts w:ascii="IRNazanin" w:hAnsi="IRNazanin" w:eastAsia="IRNazanin"/>
          <w:color w:val="111111"/>
          <w:sz w:val="28"/>
          <w:sz w:val="28"/>
          <w:szCs w:val="28"/>
          <w:rtl w:val="true"/>
          <w:lang w:bidi="fa-IR"/>
        </w:rPr>
        <w:t>فاضل آبی از اکثر معتزله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یعنی کسی که از کبایر اجتناب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فاسق، در نزد آنها مؤمن نیست</w:t>
      </w:r>
      <w:r>
        <w:rPr>
          <w:rFonts w:eastAsia="IRNazanin" w:cs="IRNazanin"/>
          <w:color w:val="111111"/>
          <w:sz w:val="28"/>
          <w:szCs w:val="28"/>
          <w:rtl w:val="true"/>
          <w:lang w:bidi="fa-IR"/>
        </w:rPr>
        <w:t>.</w:t>
      </w:r>
      <w:r>
        <w:rPr>
          <w:rStyle w:val="FootnoteAnchor"/>
          <w:rtl w:val="true"/>
        </w:rPr>
        <w:footnoteReference w:id="868"/>
      </w:r>
    </w:p>
    <w:p>
      <w:pPr>
        <w:pStyle w:val="Heading5"/>
        <w:numPr>
          <w:ilvl w:val="4"/>
          <w:numId w:val="1"/>
        </w:numPr>
        <w:rPr/>
      </w:pPr>
      <w:bookmarkStart w:id="539" w:name="__RefHeading___Toc474285_1479056682"/>
      <w:bookmarkStart w:id="540" w:name="_Toc205"/>
      <w:bookmarkEnd w:id="539"/>
      <w:r>
        <w:rPr>
          <w:rtl w:val="true"/>
        </w:rPr>
        <w:t>شیعه</w:t>
      </w:r>
      <w:bookmarkEnd w:id="540"/>
    </w:p>
    <w:p>
      <w:pPr>
        <w:pStyle w:val="BookText"/>
        <w:rPr/>
      </w:pPr>
      <w:r>
        <w:rPr>
          <w:rFonts w:ascii="IRNazanin" w:hAnsi="IRNazanin" w:eastAsia="IRNazanin"/>
          <w:color w:val="111111"/>
          <w:sz w:val="28"/>
          <w:sz w:val="28"/>
          <w:szCs w:val="28"/>
          <w:rtl w:val="true"/>
          <w:lang w:bidi="fa-IR"/>
        </w:rPr>
        <w:t xml:space="preserve">مُظفّر در تاریخ الشّیعة،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شیعه کسانی هستند که به ولایت علی علیه‌السلامو فرزندان معصومش گردن نهاده‌اند و به امامت آنها اقرار دارند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این مضمون بیان و تعریف محقّق اوّل</w:t>
      </w:r>
      <w:r>
        <w:rPr>
          <w:rStyle w:val="FootnoteAnchor"/>
          <w:rtl w:val="true"/>
        </w:rPr>
        <w:footnoteReference w:id="87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و علاّمه در مختلف، شیعه را به طور مطلق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امامیّه، جارودیّه</w:t>
      </w:r>
      <w:r>
        <w:rPr>
          <w:rFonts w:eastAsia="IRNazanin" w:cs="IRNazanin"/>
          <w:color w:val="111111"/>
          <w:sz w:val="28"/>
          <w:szCs w:val="28"/>
          <w:rtl w:val="true"/>
          <w:lang w:bidi="fa-IR"/>
        </w:rPr>
        <w:t>.</w:t>
      </w:r>
      <w:r>
        <w:rPr>
          <w:rStyle w:val="FootnoteAnchor"/>
          <w:rtl w:val="true"/>
        </w:rPr>
        <w:footnoteReference w:id="871"/>
      </w:r>
      <w:r>
        <w:rPr>
          <w:rFonts w:ascii="IRNazanin" w:hAnsi="IRNazanin" w:eastAsia="IRNazanin"/>
          <w:color w:val="111111"/>
          <w:sz w:val="28"/>
          <w:sz w:val="28"/>
          <w:szCs w:val="28"/>
          <w:rtl w:val="true"/>
          <w:lang w:bidi="fa-IR"/>
        </w:rPr>
        <w:t>کیسانیه</w:t>
      </w:r>
      <w:r>
        <w:rPr>
          <w:rStyle w:val="FootnoteAnchor"/>
          <w:rtl w:val="true"/>
        </w:rPr>
        <w:footnoteReference w:id="872"/>
      </w:r>
      <w:r>
        <w:rPr>
          <w:rFonts w:ascii="Amiri" w:hAnsi="Amiri" w:eastAsia="Amiri" w:cs="Amiri"/>
          <w:color w:val="111111"/>
          <w:sz w:val="28"/>
          <w:sz w:val="28"/>
          <w:szCs w:val="28"/>
          <w:rtl w:val="true"/>
          <w:lang w:bidi="ar-SA"/>
        </w:rPr>
        <w:t>ناووسیّه</w:t>
      </w:r>
      <w:r>
        <w:rPr>
          <w:rStyle w:val="FootnoteAnchor"/>
          <w:rtl w:val="true"/>
        </w:rPr>
        <w:footnoteReference w:id="873"/>
      </w:r>
      <w:r>
        <w:rPr>
          <w:rFonts w:ascii="Amiri" w:hAnsi="Amiri" w:eastAsia="Amiri" w:cs="Amiri"/>
          <w:color w:val="111111"/>
          <w:sz w:val="28"/>
          <w:sz w:val="28"/>
          <w:szCs w:val="28"/>
          <w:rtl w:val="true"/>
          <w:lang w:bidi="ar-SA"/>
        </w:rPr>
        <w:t xml:space="preserve">فَطَحیه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اَفطحیه</w:t>
      </w:r>
      <w:r>
        <w:rPr>
          <w:rFonts w:eastAsia="Amiri" w:cs="Amiri" w:ascii="Amiri" w:hAnsi="Amiri"/>
          <w:color w:val="111111"/>
          <w:sz w:val="28"/>
          <w:szCs w:val="28"/>
          <w:rtl w:val="true"/>
          <w:lang w:bidi="ar-SA"/>
        </w:rPr>
        <w:t>)</w:t>
      </w:r>
      <w:r>
        <w:rPr>
          <w:rStyle w:val="FootnoteAnchor"/>
          <w:rtl w:val="true"/>
        </w:rPr>
        <w:footnoteReference w:id="874"/>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واقِفیّه</w:t>
      </w:r>
      <w:r>
        <w:rPr>
          <w:rStyle w:val="FootnoteAnchor"/>
          <w:rtl w:val="true"/>
        </w:rPr>
        <w:footnoteReference w:id="875"/>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 xml:space="preserve">مختار ابن ادریس نیز همین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توضیح داده‌است که اگر</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خود از یکی فِرَق باشد لازم است به فحوای خطاب و شاهد حال، توجّه شود</w:t>
      </w:r>
      <w:r>
        <w:rPr>
          <w:rFonts w:eastAsia="IRNazanin" w:cs="IRNazanin"/>
          <w:color w:val="111111"/>
          <w:sz w:val="28"/>
          <w:szCs w:val="28"/>
          <w:rtl w:val="true"/>
          <w:lang w:bidi="fa-IR"/>
        </w:rPr>
        <w:t>.</w:t>
      </w:r>
      <w:r>
        <w:rPr>
          <w:rStyle w:val="FootnoteAnchor"/>
          <w:rtl w:val="true"/>
        </w:rPr>
        <w:footnoteReference w:id="877"/>
      </w:r>
      <w:r>
        <w:rPr>
          <w:rFonts w:ascii="IRNazanin" w:hAnsi="IRNazanin" w:eastAsia="IRNazanin"/>
          <w:color w:val="111111"/>
          <w:sz w:val="28"/>
          <w:sz w:val="28"/>
          <w:szCs w:val="28"/>
          <w:rtl w:val="true"/>
          <w:lang w:bidi="fa-IR"/>
        </w:rPr>
        <w:t xml:space="preserve">فاضل آبی، تنها اثنی‌عشریه و گروهی از اسماعیلیّه را ذکر کرده وبقیّه فرق شیعه را </w:t>
      </w:r>
      <w:bookmarkStart w:id="541" w:name="pg4267_21931"/>
    </w:p>
    <w:p>
      <w:pPr>
        <w:pStyle w:val="BookText"/>
        <w:rPr/>
      </w:pPr>
      <w:bookmarkEnd w:id="541"/>
      <w:r>
        <w:rPr>
          <w:rFonts w:ascii="IRNazanin" w:hAnsi="IRNazanin" w:eastAsia="IRNazanin"/>
          <w:color w:val="111111"/>
          <w:sz w:val="28"/>
          <w:sz w:val="28"/>
          <w:szCs w:val="28"/>
          <w:rtl w:val="true"/>
          <w:lang w:bidi="fa-IR"/>
        </w:rPr>
        <w:t>منقرض دانسته است</w:t>
      </w:r>
      <w:r>
        <w:rPr>
          <w:rFonts w:eastAsia="IRNazanin" w:cs="IRNazanin"/>
          <w:color w:val="111111"/>
          <w:sz w:val="28"/>
          <w:szCs w:val="28"/>
          <w:rtl w:val="true"/>
          <w:lang w:bidi="fa-IR"/>
        </w:rPr>
        <w:t>.</w:t>
      </w:r>
      <w:r>
        <w:rPr>
          <w:rStyle w:val="FootnoteAnchor"/>
          <w:rtl w:val="true"/>
        </w:rPr>
        <w:footnoteReference w:id="878"/>
      </w:r>
    </w:p>
    <w:p>
      <w:pPr>
        <w:pStyle w:val="BookText"/>
        <w:rPr/>
      </w:pPr>
      <w:r>
        <w:rPr>
          <w:rFonts w:ascii="IRNazanin" w:hAnsi="IRNazanin" w:eastAsia="IRNazanin"/>
          <w:color w:val="111111"/>
          <w:sz w:val="28"/>
          <w:sz w:val="28"/>
          <w:szCs w:val="28"/>
          <w:rtl w:val="true"/>
          <w:lang w:bidi="fa-IR"/>
        </w:rPr>
        <w:t>فاضل مقداد ضمن نقل اقوالی از تفاسیر شیعه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شیعه در حقیقت جز بر امامیّه اطلاق نمی‌شود؛ امّا در باب وقف، اگر واقف بر مذاهب اطّلاع دارد</w:t>
      </w:r>
    </w:p>
    <w:p>
      <w:pPr>
        <w:pStyle w:val="BookText"/>
        <w:rPr/>
      </w:pPr>
      <w:r>
        <w:rPr>
          <w:rFonts w:ascii="IRNazanin" w:hAnsi="IRNazanin" w:eastAsia="IRNazanin"/>
          <w:color w:val="111111"/>
          <w:sz w:val="28"/>
          <w:sz w:val="28"/>
          <w:szCs w:val="28"/>
          <w:rtl w:val="true"/>
          <w:lang w:bidi="fa-IR"/>
        </w:rPr>
        <w:t xml:space="preserve">به مُعتَقَد او عمل می‌شودوگر نه باید از اسم 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پیروی کرد و بدون شک همه کسانی که به امامت بلا فصل علی علیه‌السلاممعتقدند شیعه هستند و لفظ به آنان منصرف می‌شود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صاحب مفتاح بعد از نقل اقوال و بحثی نسبتا مفصّل درباره آنها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موردی که فحوا و شاهد حالی باشد بدون شک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تنها در امامیّه اثنی عشریّه حقیقت شده است، بلکه حتّی به ذهن احدی در این زمان خطور نمی‌کند که شیعه بر غیر دوازده امامی هم صدق کند</w:t>
      </w:r>
      <w:r>
        <w:rPr>
          <w:rFonts w:eastAsia="IRNazanin" w:cs="IRNazanin"/>
          <w:color w:val="111111"/>
          <w:sz w:val="28"/>
          <w:szCs w:val="28"/>
          <w:rtl w:val="true"/>
          <w:lang w:bidi="fa-IR"/>
        </w:rPr>
        <w:t>.</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چنان که قبلاً نیز اشاره شد، حقیقت این است که نقش عرف، فحوا و شاهد حال را در این مورد نباید نادیده گرفت و این مطلب نسبت به اَعصار و اَمصار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بااطلاق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کسی متوجّه غیر از شیعیان دوازده امامی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نسبت به واژه امامیّه، نگارنده به موردی که کسی آن را شامل غیراز شیعه دوازده امامی هم بداند، برنخورده است </w:t>
      </w:r>
      <w:r>
        <w:rPr>
          <w:rFonts w:eastAsia="IRNazanin" w:cs="IRNazanin"/>
          <w:color w:val="111111"/>
          <w:sz w:val="28"/>
          <w:szCs w:val="28"/>
          <w:rtl w:val="true"/>
          <w:lang w:bidi="fa-IR"/>
        </w:rPr>
        <w:t>.</w:t>
      </w:r>
    </w:p>
    <w:p>
      <w:pPr>
        <w:pStyle w:val="Heading5"/>
        <w:numPr>
          <w:ilvl w:val="4"/>
          <w:numId w:val="1"/>
        </w:numPr>
        <w:rPr/>
      </w:pPr>
      <w:bookmarkStart w:id="542" w:name="__RefHeading___Toc474287_1479056682"/>
      <w:bookmarkStart w:id="543" w:name="_Toc206"/>
      <w:bookmarkEnd w:id="542"/>
      <w:r>
        <w:rPr>
          <w:rtl w:val="true"/>
        </w:rPr>
        <w:t>اهل بیت و آل رسول</w:t>
      </w:r>
      <w:bookmarkEnd w:id="543"/>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881"/>
      </w:r>
      <w:r>
        <w:rPr>
          <w:rFonts w:ascii="IRNazanin" w:hAnsi="IRNazanin" w:eastAsia="IRNazanin"/>
          <w:color w:val="111111"/>
          <w:sz w:val="28"/>
          <w:sz w:val="28"/>
          <w:szCs w:val="28"/>
          <w:rtl w:val="true"/>
          <w:lang w:bidi="fa-IR"/>
        </w:rPr>
        <w:t xml:space="preserve">در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رسول خدا صلی‌الله‌علیه‌و‌آله بنی هاشم هستند، یعنی فرزندان ابوطالب ،عبّاس و ابولهب ،چرا که هاشم جز از طریق اینان</w:t>
      </w:r>
    </w:p>
    <w:p>
      <w:pPr>
        <w:pStyle w:val="BookText"/>
        <w:rPr/>
      </w:pPr>
      <w:r>
        <w:rPr>
          <w:rFonts w:ascii="IRNazanin" w:hAnsi="IRNazanin" w:eastAsia="IRNazanin"/>
          <w:color w:val="111111"/>
          <w:sz w:val="28"/>
          <w:sz w:val="28"/>
          <w:szCs w:val="28"/>
          <w:rtl w:val="true"/>
          <w:lang w:bidi="fa-IR"/>
        </w:rPr>
        <w:t>ذرّیّه‌ای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دلیل این مطلب را،اجماع فرقه ذکر کرده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کسانی هستند که آنان را در تشهّد ذکر می کنیم، و گفته شده که منظور بنی هاشم و بنی عبدالمطّلب اند،و </w:t>
      </w:r>
    </w:p>
    <w:p>
      <w:pPr>
        <w:pStyle w:val="BookText"/>
        <w:rPr/>
      </w:pPr>
      <w:r>
        <w:rPr>
          <w:rFonts w:ascii="IRNazanin" w:hAnsi="IRNazanin" w:eastAsia="IRNazanin"/>
          <w:color w:val="111111"/>
          <w:sz w:val="28"/>
          <w:sz w:val="28"/>
          <w:szCs w:val="28"/>
          <w:rtl w:val="true"/>
          <w:lang w:bidi="fa-IR"/>
        </w:rPr>
        <w:t>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همه مؤنین‌اند،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اَتباع و پیروان و انصار او</w:t>
      </w:r>
    </w:p>
    <w:p>
      <w:pPr>
        <w:pStyle w:val="BookText"/>
        <w:rPr/>
      </w:pPr>
      <w:r>
        <w:rPr>
          <w:rFonts w:ascii="Amiri" w:hAnsi="Amiri" w:eastAsia="Amiri" w:cs="Amiri"/>
          <w:color w:val="111111"/>
          <w:sz w:val="28"/>
          <w:sz w:val="28"/>
          <w:szCs w:val="28"/>
          <w:rtl w:val="true"/>
          <w:lang w:bidi="ar-SA"/>
        </w:rPr>
        <w:t>هستند، خداوند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آلَ فِرعَوْنَ اَشدَّ الْعَذاب</w:t>
      </w:r>
      <w:r>
        <w:rPr>
          <w:rFonts w:eastAsia="Amiri" w:cs="Amiri" w:ascii="Amiri" w:hAnsi="Amiri"/>
          <w:color w:val="111111"/>
          <w:sz w:val="28"/>
          <w:szCs w:val="28"/>
          <w:rtl w:val="true"/>
          <w:lang w:bidi="ar-SA"/>
        </w:rPr>
        <w:t>»</w:t>
      </w:r>
      <w:r>
        <w:rPr>
          <w:rStyle w:val="FootnoteAnchor"/>
          <w:rtl w:val="true"/>
        </w:rPr>
        <w:footnoteReference w:id="882"/>
      </w:r>
      <w:r>
        <w:rPr>
          <w:rFonts w:ascii="IRNazanin" w:hAnsi="IRNazanin" w:eastAsia="IRNazanin"/>
          <w:color w:val="111111"/>
          <w:sz w:val="28"/>
          <w:sz w:val="28"/>
          <w:szCs w:val="28"/>
          <w:rtl w:val="true"/>
          <w:lang w:bidi="fa-IR"/>
        </w:rPr>
        <w:t xml:space="preserve">امّا در نزد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آل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یُریدُاللّه‌ُ لِیُذْهِبَ عَنْکُمُ‌الرِّجْسَ أَهْلَ‌الْبَیْتِ وَ یُطَهِّرَکُمْ تَطْهیرا</w:t>
      </w:r>
      <w:r>
        <w:rPr>
          <w:rFonts w:eastAsia="IRNazanin" w:cs="IRNazanin"/>
          <w:color w:val="111111"/>
          <w:sz w:val="28"/>
          <w:szCs w:val="28"/>
          <w:rtl w:val="true"/>
          <w:lang w:bidi="fa-IR"/>
        </w:rPr>
        <w:t>»</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هاشمیّه</w:t>
      </w:r>
    </w:p>
    <w:p>
      <w:pPr>
        <w:pStyle w:val="BookText"/>
        <w:rPr/>
      </w:pPr>
      <w:r>
        <w:rPr>
          <w:rFonts w:ascii="IRNazanin" w:hAnsi="IRNazanin" w:eastAsia="IRNazanin"/>
          <w:color w:val="111111"/>
          <w:sz w:val="28"/>
          <w:sz w:val="28"/>
          <w:szCs w:val="28"/>
          <w:rtl w:val="true"/>
          <w:lang w:bidi="fa-IR"/>
        </w:rPr>
        <w:t xml:space="preserve">هاشمیّه کسانی هستند که از طریق پدر نسب آنها به هاشم می‌رسد و عناوین دیگری نیز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رضویّه، موسویّه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 یعنی مِلاک، اتّصال از طریق پدر است</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IRNazanin" w:hAnsi="IRNazanin" w:eastAsia="IRNazanin"/>
          <w:color w:val="111111"/>
          <w:sz w:val="28"/>
          <w:sz w:val="28"/>
          <w:szCs w:val="28"/>
          <w:rtl w:val="true"/>
          <w:lang w:bidi="fa-IR"/>
        </w:rPr>
        <w:t>دراین جا به مناسبت، به شرح حال وتوضیح وتفسیر مذاهب فقهی اسلامی؛ زیدیّه، حنفیّه، مالکیّه، شافعیّه، حنابله، ظاهریّه به طور مختصر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بدان جهت</w:t>
      </w:r>
    </w:p>
    <w:p>
      <w:pPr>
        <w:pStyle w:val="BookText"/>
        <w:rPr/>
      </w:pPr>
      <w:r>
        <w:rPr>
          <w:rFonts w:ascii="IRNazanin" w:hAnsi="IRNazanin" w:eastAsia="IRNazanin"/>
          <w:color w:val="111111"/>
          <w:sz w:val="28"/>
          <w:sz w:val="28"/>
          <w:szCs w:val="28"/>
          <w:rtl w:val="true"/>
          <w:lang w:bidi="fa-IR"/>
        </w:rPr>
        <w:t>است که مطالب فقهی در این کتاب ازدیدگاه این مذاهب نیز بررسی شده است؛ لذا توضیح مختصری پیرامون این مذاهب، خالی از فایده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شیخ در نهایه، زیدیّه را کسانی می‌داند که به امامت زیدبن علی علیه‌السلام و هر که از</w:t>
      </w:r>
    </w:p>
    <w:p>
      <w:pPr>
        <w:pStyle w:val="BookText"/>
        <w:rPr/>
      </w:pPr>
      <w:r>
        <w:rPr>
          <w:rFonts w:ascii="IRNazanin" w:hAnsi="IRNazanin" w:eastAsia="IRNazanin"/>
          <w:color w:val="111111"/>
          <w:sz w:val="28"/>
          <w:sz w:val="28"/>
          <w:szCs w:val="28"/>
          <w:rtl w:val="true"/>
          <w:lang w:bidi="fa-IR"/>
        </w:rPr>
        <w:t xml:space="preserve">فرزندان فاطمه علیهاالسلام که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اعتقاد دارند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شیخ مفید و قاضی ابن برّاج نیز همین نظر را برگزیده‌اند، با این تفاوت که مفید، اهل رأی و علم و صلاح بودن را نیز اضافه کرده‌است</w:t>
      </w:r>
      <w:r>
        <w:rPr>
          <w:rFonts w:eastAsia="IRNazanin" w:cs="IRNazanin"/>
          <w:color w:val="111111"/>
          <w:sz w:val="28"/>
          <w:szCs w:val="28"/>
          <w:rtl w:val="true"/>
          <w:lang w:bidi="fa-IR"/>
        </w:rPr>
        <w:t>.</w:t>
      </w:r>
      <w:r>
        <w:rPr>
          <w:rStyle w:val="FootnoteAnchor"/>
          <w:rtl w:val="true"/>
        </w:rPr>
        <w:footnoteReference w:id="886"/>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ادریس نیز همین بیان را دارد، امّا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در صورتی صحیح است که واقف، زیدی باشد وگرنه اگر واقف امامی باشد، به دلیل عدم تحقّق نیّت قربت، </w:t>
      </w:r>
    </w:p>
    <w:p>
      <w:pPr>
        <w:pStyle w:val="BookText"/>
        <w:rPr/>
      </w:pPr>
      <w:r>
        <w:rPr>
          <w:rFonts w:ascii="IRNazanin" w:hAnsi="IRNazanin" w:eastAsia="IRNazanin"/>
          <w:color w:val="111111"/>
          <w:sz w:val="28"/>
          <w:sz w:val="28"/>
          <w:szCs w:val="28"/>
          <w:rtl w:val="true"/>
          <w:lang w:bidi="fa-IR"/>
        </w:rPr>
        <w:t>وقف صحیح نخواهد بود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 xml:space="preserve">البتّه این بزرگان اشاره‌ای نکرده‌اند که آیا زیدیّه به امامت علی بن الحسین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قایل هستند یانه؟ امّا فاضل مقداد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این</w:t>
      </w:r>
    </w:p>
    <w:p>
      <w:pPr>
        <w:pStyle w:val="BookText"/>
        <w:rPr/>
      </w:pPr>
      <w:r>
        <w:rPr>
          <w:rFonts w:ascii="IRNazanin" w:hAnsi="IRNazanin" w:eastAsia="IRNazanin"/>
          <w:color w:val="111111"/>
          <w:sz w:val="28"/>
          <w:sz w:val="28"/>
          <w:szCs w:val="28"/>
          <w:rtl w:val="true"/>
          <w:lang w:bidi="fa-IR"/>
        </w:rPr>
        <w:t>دلیل که امام سجّاد علیه‌السلامبا سَیْف قیام نکرده است، به امامت وی قایل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فاضل آبی را</w:t>
      </w:r>
      <w:r>
        <w:rPr>
          <w:rStyle w:val="FootnoteAnchor"/>
          <w:rtl w:val="true"/>
        </w:rPr>
        <w:footnoteReference w:id="888"/>
      </w:r>
      <w:r>
        <w:rPr>
          <w:rFonts w:ascii="IRNazanin" w:hAnsi="IRNazanin" w:eastAsia="IRNazanin"/>
          <w:color w:val="111111"/>
          <w:sz w:val="28"/>
          <w:sz w:val="28"/>
          <w:szCs w:val="28"/>
          <w:rtl w:val="true"/>
          <w:lang w:bidi="fa-IR"/>
        </w:rPr>
        <w:t>که آنها را معتقد به امامت امام زین العابدین علیه‌السلام نیز دانسته است، رد کرده و وی را بی‌خبر از کتبِ مذاهب و معتقدات دانسته است</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 xml:space="preserve">زید بن علی بن‌الحسین علیه‌السلام در سال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دنیاآمد و در سنه</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ه ،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شخصیّت علمی و دینی والایی برخوردار بود و همین امرموجبِ گردآمدنِ علما و دانشمندان در اطراف وی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وی ،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ازائمه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دو سال درمحضر وی حاضر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زید به مجموعه فقهی منسوب به او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درامامان خویش، اجتهاد را شرط می دانند و فقهای خویش رااز اهل مدرسه رأی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امام آنهادر صنعا، یحیی است که حکومت اهل بیت زیدیّه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درسنه</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یَمَن تأسیس کرد و تاکنون امامت زیدیّه در فرزندان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نزد زیدیّه همانند ابو</w:t>
      </w:r>
    </w:p>
    <w:p>
      <w:pPr>
        <w:pStyle w:val="BookText"/>
        <w:rPr/>
      </w:pPr>
      <w:r>
        <w:rPr>
          <w:rFonts w:ascii="IRNazanin" w:hAnsi="IRNazanin" w:eastAsia="IRNazanin"/>
          <w:color w:val="111111"/>
          <w:sz w:val="28"/>
          <w:sz w:val="28"/>
          <w:szCs w:val="28"/>
          <w:rtl w:val="true"/>
          <w:lang w:bidi="fa-IR"/>
        </w:rPr>
        <w:t>حنیفه و شافعی، از ائمه اهل سنّت است که زیدیّه از او در آرایش تقلید می‌کنند</w:t>
      </w:r>
      <w:r>
        <w:rPr>
          <w:rFonts w:eastAsia="IRNazanin" w:cs="IRNazanin"/>
          <w:color w:val="111111"/>
          <w:sz w:val="28"/>
          <w:szCs w:val="28"/>
          <w:rtl w:val="true"/>
          <w:lang w:bidi="fa-IR"/>
        </w:rPr>
        <w:t>.</w:t>
      </w:r>
      <w:r>
        <w:rPr>
          <w:rStyle w:val="FootnoteAnchor"/>
          <w:rtl w:val="true"/>
        </w:rPr>
        <w:footnoteReference w:id="890"/>
      </w:r>
    </w:p>
    <w:p>
      <w:pPr>
        <w:pStyle w:val="BookText"/>
        <w:rPr/>
      </w:pPr>
      <w:r>
        <w:rPr>
          <w:rFonts w:ascii="IRNazanin" w:hAnsi="IRNazanin" w:eastAsia="IRNazanin"/>
          <w:color w:val="111111"/>
          <w:sz w:val="28"/>
          <w:sz w:val="28"/>
          <w:szCs w:val="28"/>
          <w:rtl w:val="true"/>
          <w:lang w:bidi="fa-IR"/>
        </w:rPr>
        <w:t>منابع استنباط در نزد زیدیّه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حتّی‌اخبار آحادی که را وی آنها عادل و ثِقَه باشد، هر چند زیدی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اجماع، فتوای صحابی، قیاس، استحسان و مصالح مُرسَلَه</w:t>
      </w:r>
      <w:r>
        <w:rPr>
          <w:rFonts w:eastAsia="IRNazanin" w:cs="IRNazanin"/>
          <w:color w:val="111111"/>
          <w:sz w:val="28"/>
          <w:szCs w:val="28"/>
          <w:rtl w:val="true"/>
          <w:lang w:bidi="fa-IR"/>
        </w:rPr>
        <w:t>.</w:t>
      </w:r>
      <w:r>
        <w:rPr>
          <w:rStyle w:val="FootnoteAnchor"/>
          <w:rtl w:val="true"/>
        </w:rPr>
        <w:footnoteReference w:id="891"/>
      </w:r>
    </w:p>
    <w:p>
      <w:pPr>
        <w:pStyle w:val="BookText"/>
        <w:rPr/>
      </w:pPr>
      <w:r>
        <w:rPr>
          <w:rFonts w:ascii="IRNazanin" w:hAnsi="IRNazanin" w:eastAsia="IRNazanin"/>
          <w:color w:val="111111"/>
          <w:sz w:val="28"/>
          <w:sz w:val="28"/>
          <w:szCs w:val="28"/>
          <w:rtl w:val="true"/>
          <w:lang w:bidi="fa-IR"/>
        </w:rPr>
        <w:t>زیدیه، چنان که صاحب روضات ازشریف جرجانی نقل کرده است در فروع، جز در مسائلی اندک به حنفیّه شباهت دارند و گرایششان در اصول به اعتزال است</w:t>
      </w:r>
      <w:r>
        <w:rPr>
          <w:rFonts w:eastAsia="IRNazanin" w:cs="IRNazanin"/>
          <w:color w:val="111111"/>
          <w:sz w:val="28"/>
          <w:szCs w:val="28"/>
          <w:rtl w:val="true"/>
          <w:lang w:bidi="fa-IR"/>
        </w:rPr>
        <w:t>.</w:t>
      </w:r>
      <w:r>
        <w:rPr>
          <w:rStyle w:val="FootnoteAnchor"/>
          <w:rtl w:val="true"/>
        </w:rPr>
        <w:footnoteReference w:id="892"/>
      </w:r>
    </w:p>
    <w:p>
      <w:pPr>
        <w:pStyle w:val="BookText"/>
        <w:rPr/>
      </w:pPr>
      <w:r>
        <w:rPr>
          <w:rFonts w:ascii="Amiri" w:hAnsi="Amiri" w:eastAsia="Amiri" w:cs="Amiri"/>
          <w:color w:val="111111"/>
          <w:sz w:val="28"/>
          <w:sz w:val="28"/>
          <w:szCs w:val="28"/>
          <w:rtl w:val="true"/>
          <w:lang w:bidi="ar-SA"/>
        </w:rPr>
        <w:t>حنفیّه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 کسانی هستند که به مذهب ابوحنیفه، نُعمان بن ثابت بن زوطی بن ماه،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درسال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کوفه به دنیا آمد، در همان شهر، علم فقه آموخت و در </w:t>
      </w:r>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کوفه وفات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وی حدود پانزده مُسند در حدیث از او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قاضی ابویوسف، متوفّای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و مسند محمدبن حسن شیبانی، متوفّای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از جمله این مُسندات است که قاضی القضاة، محمّد خوارزمی، متوفّای </w:t>
      </w:r>
      <w:r>
        <w:rPr>
          <w:rFonts w:eastAsia="IRNazanin" w:cs="IRNazanin"/>
          <w:color w:val="111111"/>
          <w:sz w:val="28"/>
          <w:szCs w:val="28"/>
          <w:lang w:bidi="fa-IR"/>
        </w:rPr>
        <w:t>655</w:t>
      </w:r>
      <w:r>
        <w:rPr>
          <w:rFonts w:ascii="IRNazanin" w:hAnsi="IRNazanin" w:eastAsia="IRNazanin"/>
          <w:color w:val="111111"/>
          <w:sz w:val="28"/>
          <w:sz w:val="28"/>
          <w:szCs w:val="28"/>
          <w:rtl w:val="true"/>
          <w:lang w:bidi="fa-IR"/>
        </w:rPr>
        <w:t xml:space="preserve">ه ، آنها را در کتابهایی واحد جمع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جامع‌المَسانید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امّاابن خلدون در مقدّمه خود ذکر کرده است که احادیث روایت شده از ابوحنیفه، تنها به چیزی حدود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فقهی ابوحنیفه دراستنباط احکام</w:t>
      </w:r>
    </w:p>
    <w:p>
      <w:pPr>
        <w:pStyle w:val="BookText"/>
        <w:rPr/>
      </w:pPr>
      <w:r>
        <w:rPr>
          <w:rFonts w:ascii="IRNazanin" w:hAnsi="IRNazanin" w:eastAsia="IRNazanin"/>
          <w:color w:val="111111"/>
          <w:sz w:val="28"/>
          <w:sz w:val="28"/>
          <w:szCs w:val="28"/>
          <w:rtl w:val="true"/>
          <w:lang w:bidi="fa-IR"/>
        </w:rPr>
        <w:t>ابو حنیفه دراستنباط احکام ابتدا به قرآن استناد می‌کند، اگر حکم را در قرآن نیابد به سنّت متواتر رسول خدا صلی‌الله‌علیه‌و‌آله یا روایاتی که علمای اَمصار در عمل به آنها اتّفاق دارند یا خبری که یک صحابی درحضور جمعی ازصحابه نقل کرده و کسی با آن مخالفت نکرده باشد، عمل می‌کند اگر در سنّت هم نیابد به سراغ اجماع صحابه می‌رود، اگر اجماع هم نبود به قیاس و استحسان متوسّل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ابوحنیفه از شاگردان امام باقر علیه‌السلام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فقه در نزد حنفیّه به سه دسته تقسیم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دسته ازمسائل که ثِقات یایکی ازشاگردان ابوحنیفه، مانند ابویوسف، زُفَر، محمدبن‌حسن شیبانی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وی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می‌شوند که محمدبن‌الحسن آنها را در کتابهای شش گانه، معروف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مسائلی هستند که افراد مورد وثوق، آنها را از ابوحنیفه یااصحاب او روایت کرده‌اند، امّا روایت آنها مشهور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النّوادر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اَمالی محمّد فی‌الفقه از این دسته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 مسائلی هستند که درمورد آنها از ابوحنیفه و اصحاب او روایتی نرسیده و مجتهدان متأخّر حنفی براساس مذهب ابوحنیفه به آنها فتوا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کتاب از این دسته، کتاب النّوازل از لیث سمرقندی ، متوفّای سنه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ه ، است</w:t>
      </w:r>
      <w:r>
        <w:rPr>
          <w:rFonts w:eastAsia="IRNazanin" w:cs="IRNazanin"/>
          <w:color w:val="111111"/>
          <w:sz w:val="28"/>
          <w:szCs w:val="28"/>
          <w:rtl w:val="true"/>
          <w:lang w:bidi="fa-IR"/>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مالکیّه، پیروان مالک بن انس بن مالک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واقدی حکایت شده که پدر وی از موالی است و انس بن مالک صحابی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درسال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ه ، درمدینه دیده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درهمان جا اقامت کرد و تا زمان مرگ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کوچ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وی درفقه، امام صادق علیه‌السلام و رَبیعهُ‌الرأی،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از نافع آزاد شده ابن عمر و زُهْری حدیث استماع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مسجد رسول خدا صلی‌الله‌علیه‌و‌آلهتدریس می‌کرد و شافعی، عبداللّه بن وهب، محمّدبن حسن الشَیْبانی از شاگردان وی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شاگردانش در اجتهاد خویش، گاه با فتاوای او مخالفت کرده‌اند، امّا از دایره قواعد او</w:t>
      </w:r>
    </w:p>
    <w:p>
      <w:pPr>
        <w:pStyle w:val="BookText"/>
        <w:rPr/>
      </w:pPr>
      <w:r>
        <w:rPr>
          <w:rFonts w:ascii="IRNazanin" w:hAnsi="IRNazanin" w:eastAsia="IRNazanin"/>
          <w:color w:val="111111"/>
          <w:sz w:val="28"/>
          <w:sz w:val="28"/>
          <w:szCs w:val="28"/>
          <w:rtl w:val="true"/>
          <w:lang w:bidi="fa-IR"/>
        </w:rPr>
        <w:t>خارج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در فتاوای خود به کتاب، بعد به سنّت، سپس به عمل اهل مدینه تمسّک می‌جست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می‌شد حدیثی را که اهل مدینه به آن عمل نکرده بودند، ردمی‌کرد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مرحله بعد به قول صحابه که مُستَنَد به رأی نبود و سپس به قیاس عمل می‌نمود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w:t>
      </w:r>
    </w:p>
    <w:p>
      <w:pPr>
        <w:pStyle w:val="BookText"/>
        <w:rPr/>
      </w:pPr>
      <w:r>
        <w:rPr>
          <w:rFonts w:ascii="IRNazanin" w:hAnsi="IRNazanin" w:eastAsia="IRNazanin"/>
          <w:color w:val="111111"/>
          <w:sz w:val="28"/>
          <w:sz w:val="28"/>
          <w:szCs w:val="28"/>
          <w:rtl w:val="true"/>
          <w:lang w:bidi="fa-IR"/>
        </w:rPr>
        <w:t>به مصالح مرسله، استحسان، ذَرایع و عرف وعادت رانیز به اونسبت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مذهب مالک در شمال آفریقا و آندلس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فهر حکایت شده است که ؛ مالک اوّلین کسی است که کتابش را چنین نام</w:t>
      </w:r>
    </w:p>
    <w:p>
      <w:pPr>
        <w:pStyle w:val="BookText"/>
        <w:rPr/>
      </w:pPr>
      <w:r>
        <w:rPr>
          <w:rFonts w:ascii="IRNazanin" w:hAnsi="IRNazanin" w:eastAsia="IRNazanin"/>
          <w:color w:val="111111"/>
          <w:sz w:val="28"/>
          <w:sz w:val="28"/>
          <w:szCs w:val="28"/>
          <w:rtl w:val="true"/>
          <w:lang w:bidi="fa-IR"/>
        </w:rPr>
        <w:t>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هر کس کتابی تألیف می‌کرد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می‌نامید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شده که در مُوَطّأ هفتصد حدیث است که پانصد عدد از آنها در نزد وی صحیح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عادت وی در این کتاب این است که احادیث راذکر می‌کند و مقداری از فتاوای بعضی صحابه و تابعین را به آنها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بشری هستم که در معرض خطاوصواب هستم، در رأی من بنگرید هر کدام را که با کتاب و سنّت موافق نبود، رها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مشهورترین کتاب درمذهب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المُدَوَّنهُ‌الکُبری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شاگردش، اسدبن فرات، آن را تدوین کرد و سَحْنون، آن را مرتّب و منتشر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معروف‌است‌که‌مالکیه‌درعقاید،پیرومذهب‌اشعری‌هستند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همچنین‌آنهارااصحاب‌حدیث‌می‌نامند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پیروان‌این مذهب درحال حاضر در مغرب، الجزایر، تونس، طرابلس و کویت زندگی می‌کنند</w:t>
      </w:r>
      <w:r>
        <w:rPr>
          <w:rFonts w:eastAsia="IRNazanin" w:cs="IRNazanin"/>
          <w:color w:val="111111"/>
          <w:sz w:val="28"/>
          <w:szCs w:val="28"/>
          <w:rtl w:val="true"/>
          <w:lang w:bidi="fa-IR"/>
        </w:rPr>
        <w:t>.</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شافعیّه، پیروان ابوعبدالّله، محمّد بن ادریس بن عباس بن عثمان بن شافع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نسب او را به عبدالمطّلب بن هاشم بن عبد مناف، جّد رسول خدا صلی‌الله‌علیه‌و‌آلهمی‌رسانند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غزّه دیده به جهان گشود و در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در مصر وفات یافت در دو سالگی، مادرش او را به مَوطن آباءش، مکّه برد شافعی در آن جا از درس شیخ و مُفتی حرم، مسلم بن خالد زنجی و سفیان بن عُیَینة بهره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مدینه هجرت کرد و در آن جا ازمحضر مالک بن انس و ابراهیم بن محمّد بن یحیی مدنی، از شاگردان امام صادق علیه‌السلام بهره‌برد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سی سالگی برای ادامه زندگی به یمن رفت، در آن‌جا به تشیّع متّهم شد و هارون</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را احضار و بعد از مدّتی او را آزاد کرد و او به محمّد بن حسن شیبانی ،شاگرد ابوحنیفه پیوست سپس به مکّه مراجعت کرد،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ه ، در زمان خلافت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عراق رفت، در سالهای پایان عمر به مصر سفر کرد و در فسطاط منزل </w:t>
      </w:r>
    </w:p>
    <w:p>
      <w:pPr>
        <w:pStyle w:val="BookText"/>
        <w:rPr/>
      </w:pPr>
      <w:r>
        <w:rPr>
          <w:rFonts w:ascii="IRNazanin" w:hAnsi="IRNazanin" w:eastAsia="IRNazanin"/>
          <w:color w:val="111111"/>
          <w:sz w:val="28"/>
          <w:sz w:val="28"/>
          <w:szCs w:val="28"/>
          <w:rtl w:val="true"/>
          <w:lang w:bidi="fa-IR"/>
        </w:rPr>
        <w:t xml:space="preserve">گزید تا در سنه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ه ، چشم ازجهان فروبست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w:t>
      </w:r>
    </w:p>
    <w:p>
      <w:pPr>
        <w:pStyle w:val="BookText"/>
        <w:rPr/>
      </w:pPr>
      <w:r>
        <w:rPr>
          <w:rFonts w:ascii="IRNazanin" w:hAnsi="IRNazanin" w:eastAsia="IRNazanin"/>
          <w:color w:val="111111"/>
          <w:sz w:val="28"/>
          <w:sz w:val="28"/>
          <w:szCs w:val="28"/>
          <w:rtl w:val="true"/>
          <w:lang w:bidi="fa-IR"/>
        </w:rPr>
        <w:t>شافعی در استنباط احکام شرعی</w:t>
      </w:r>
    </w:p>
    <w:p>
      <w:pPr>
        <w:pStyle w:val="BookText"/>
        <w:rPr/>
      </w:pPr>
      <w:r>
        <w:rPr>
          <w:rFonts w:ascii="IRNazanin" w:hAnsi="IRNazanin" w:eastAsia="IRNazanin"/>
          <w:color w:val="111111"/>
          <w:sz w:val="28"/>
          <w:sz w:val="28"/>
          <w:szCs w:val="28"/>
          <w:rtl w:val="true"/>
          <w:lang w:bidi="fa-IR"/>
        </w:rPr>
        <w:t>شافعی در استنباط، ابتدا به ظواهر قرآن تمسّک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مگراین که دلیلی برعدم اراده ظاهر قرآن قائم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قرآن، مستند وی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خبر واحدِ</w:t>
      </w:r>
    </w:p>
    <w:p>
      <w:pPr>
        <w:pStyle w:val="BookText"/>
        <w:rPr/>
      </w:pPr>
      <w:r>
        <w:rPr>
          <w:rFonts w:ascii="IRNazanin" w:hAnsi="IRNazanin" w:eastAsia="IRNazanin"/>
          <w:color w:val="111111"/>
          <w:sz w:val="28"/>
          <w:sz w:val="28"/>
          <w:szCs w:val="28"/>
          <w:rtl w:val="true"/>
          <w:lang w:bidi="fa-IR"/>
        </w:rPr>
        <w:t xml:space="preserve">ثِقه و ضابط، هر چند غیر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موافق اهل 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شافعی در مرحله بعد به اجماع و عدم خلاف و بعد از آن به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اگرعلّت منضبطی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عمل حنفیّه را به استحسان سخت رد می کرد و در این زمینه کتابی به نام اِبطال‌الاستحسان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عمل مالکیّه را به عمل اهل مدینه نکوهش می‌کرد و عمل به مصالح مرسله را باطل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عمل به قول صحابی رامنکر شد زیرا احتمال می‌داد که این قول از روی یک اجتهاد خطا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 حدیث مرسَل را، بجز مراسیل مُسَیّب، رهاکرد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بود که قوم بر صحّت مراسیل مسیّب،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شاگردان واصحاب وی اَبوثَوْر است که خود دارای مذهبی خاصّ شد، امّا دوام نیاورد، همچنین احمدبن حنبل، امام حنبلیه، حسن زعفرانی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شافعی به شمارمی‌روند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و از غزّالی و دیگران نقل شده که نه شافعی، بلکه شاگردش ابویعقوب، مصنّف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شافعی در حال حاضردر مصر، فلسطین و شهرهای کردنشین و بلاد ارمنی طرفدار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تقلید نکنید و اگر خبری صحیح امّا با مذهب من مخالف بود از آن پیروی کنید و بدانید که</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مذهب من همان است</w:t>
      </w:r>
      <w:r>
        <w:rPr>
          <w:rFonts w:eastAsia="IRNazanin" w:cs="IRNazanin"/>
          <w:color w:val="111111"/>
          <w:sz w:val="28"/>
          <w:szCs w:val="28"/>
          <w:rtl w:val="true"/>
          <w:lang w:bidi="fa-IR"/>
        </w:rPr>
        <w:t>»</w:t>
      </w:r>
      <w:r>
        <w:rPr>
          <w:rStyle w:val="FootnoteAnchor"/>
          <w:rtl w:val="true"/>
        </w:rPr>
        <w:footnoteReference w:id="895"/>
      </w:r>
    </w:p>
    <w:p>
      <w:pPr>
        <w:pStyle w:val="BookText"/>
        <w:rPr/>
      </w:pPr>
      <w:r>
        <w:rPr>
          <w:rFonts w:ascii="Amiri" w:hAnsi="Amiri" w:eastAsia="Amiri" w:cs="Amiri"/>
          <w:color w:val="111111"/>
          <w:sz w:val="28"/>
          <w:sz w:val="28"/>
          <w:szCs w:val="28"/>
          <w:rtl w:val="true"/>
          <w:lang w:bidi="ar-SA"/>
        </w:rPr>
        <w:t>حنبلیّه</w:t>
      </w:r>
    </w:p>
    <w:p>
      <w:pPr>
        <w:pStyle w:val="BookText"/>
        <w:rPr/>
      </w:pPr>
      <w:r>
        <w:rPr>
          <w:rFonts w:ascii="IRNazanin" w:hAnsi="IRNazanin" w:eastAsia="IRNazanin"/>
          <w:color w:val="111111"/>
          <w:sz w:val="28"/>
          <w:sz w:val="28"/>
          <w:szCs w:val="28"/>
          <w:rtl w:val="true"/>
          <w:lang w:bidi="fa-IR"/>
        </w:rPr>
        <w:t xml:space="preserve">حنبلیّه، پیروان احمدبن حنبل بن‌هلال‌شیبانی مَروزی هستندکه در سال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ه ، در بغداد به دنیا آمد و در سال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ه ، در همان شهر وفات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کسی است که شافعی درباره‌اش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خروج ازبغداد مردی را افضل وافقه از احمدبن حنبل برجای نگذاشتم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مُسندی را تصنیف کرده است که بیش از چهل هزار حدیث را شامل است و آن را برحسب ابواب فقه، مرتّب نساخته است، یعنی احادیث هر راوی را در یک جا جمع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قبل ازتنقیح وتهذیب این مسند وفات‌کرد و پسرش بعد از تهذیب وتنقیح، آن را از وی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پسرش به اضافه کردن بعضی از اخبار جعلی به مُسند احمد متّهم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در اصول نیز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النّاسخ والمنسوخ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احمدبن حنبل همان است که، علی رغم مأمون، از قول به خلق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قرآن‌کریم سرباز زد و بر قول خود ایستادگی کرد تا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متوکّل مردم را در اظهارنظر در این‌باره آزاد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حدیث را در محضر هَیْثم بن بشیر و امام شافعی فراگرفت و در فقه بجز جوابهای بعضی از مسائل، کتابی ننوشت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که وی نوشتن فقه را بر شاگردانش حرام ساخت، امّا آنها اِجابت نکردند و فتاوا و اقوالش را جمع آوری کردند و آنها را اساس مذهب حنبلیّه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احمد در استنباط احکام شرعی</w:t>
      </w:r>
    </w:p>
    <w:p>
      <w:pPr>
        <w:pStyle w:val="BookText"/>
        <w:rPr/>
      </w:pPr>
      <w:r>
        <w:rPr>
          <w:rFonts w:ascii="Amiri" w:hAnsi="Amiri" w:eastAsia="Amiri" w:cs="Amiri"/>
          <w:color w:val="111111"/>
          <w:sz w:val="28"/>
          <w:sz w:val="28"/>
          <w:szCs w:val="28"/>
          <w:rtl w:val="true"/>
          <w:lang w:bidi="ar-SA"/>
        </w:rPr>
        <w:t>احمدبن حنبل در استنباط به نصِّ کتاب یا سنّت، حتّی حدیث مُرسَل و ضعیف عمل</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می‌کرد و در مقام تعارض، کتاب رابر سنّت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 نمی‌یافت به فتوای صحابه در صورت عدم اختلاف، عمل می‌کرد و اگر صحابه در مسأله‌ای اختلاف داشتند، قول کسی را که به کتاب و سنّت نزدیکتر بود می‌گرفت و اگر به چنین قولی دست </w:t>
      </w:r>
    </w:p>
    <w:p>
      <w:pPr>
        <w:pStyle w:val="BookText"/>
        <w:rPr/>
      </w:pPr>
      <w:r>
        <w:rPr>
          <w:rFonts w:ascii="IRNazanin" w:hAnsi="IRNazanin" w:eastAsia="IRNazanin"/>
          <w:color w:val="111111"/>
          <w:sz w:val="28"/>
          <w:sz w:val="28"/>
          <w:szCs w:val="28"/>
          <w:rtl w:val="true"/>
          <w:lang w:bidi="fa-IR"/>
        </w:rPr>
        <w:t>نمی یافت خلاف را ذکر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شده که او به حدیث مُرسَل عمل می‌کرد و آن رابر قیاس و رأی مقدّم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شرط که کتاب، سنّت، قول صحابی یا اتّفاق با آن حدیث معارض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غیر این صورت به قیاس ذرایع و مصالح مرسله و استحسان روی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او در عقود وشرایط اِباحه بود مگر این که دلیلی بر منع قائم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مشهورترین شاگردانش می‌توان از احمدبن هانی الاَشرم و پسرش عبداللّه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شده که محمدبن جریر طبری صاحب تفسیر، وقتی که کتاب اختلاف الفقهاء را</w:t>
      </w:r>
    </w:p>
    <w:p>
      <w:pPr>
        <w:pStyle w:val="BookText"/>
        <w:rPr/>
      </w:pPr>
      <w:r>
        <w:rPr>
          <w:rFonts w:ascii="IRNazanin" w:hAnsi="IRNazanin" w:eastAsia="IRNazanin"/>
          <w:color w:val="111111"/>
          <w:sz w:val="28"/>
          <w:sz w:val="28"/>
          <w:szCs w:val="28"/>
          <w:rtl w:val="true"/>
          <w:lang w:bidi="fa-IR"/>
        </w:rPr>
        <w:t>نوشت نام احمدبن حنبل را در آن نیاورد، علّت را که پرسیدند،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تنهامحدّث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تیمیه و ابن قَیّم به نشر این مذهب کمر بستند و مردم رابه تعلیم وتعلّم آن تحریض کردند در آغاز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مذهب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 پیدا کرد، سپس در زمان ما همه بلاد حجاز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نقل شده‌است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امر دین خود دقّت کنید، زیرا تقلید از غیر معصوم مَذموم 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مذهب ظاهری</w:t>
      </w:r>
    </w:p>
    <w:p>
      <w:pPr>
        <w:pStyle w:val="BookText"/>
        <w:rPr/>
      </w:pPr>
      <w:r>
        <w:rPr>
          <w:rFonts w:ascii="IRNazanin" w:hAnsi="IRNazanin" w:eastAsia="IRNazanin"/>
          <w:color w:val="111111"/>
          <w:sz w:val="28"/>
          <w:sz w:val="28"/>
          <w:szCs w:val="28"/>
          <w:rtl w:val="true"/>
          <w:lang w:bidi="fa-IR"/>
        </w:rPr>
        <w:t xml:space="preserve">مذهب ظاهری، همان مذهب داود بن علی بن خلف اصفهانی، معروف به ظاهری است که نامبرده در سال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کوفه متولّد شد و در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ه ، در بغداد دارفانی را وداع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مذهبی خاصّ در پیش گرفت و آن عبارت بود از؛ عمل به ظاهر کتاب و سنّت تا زمانی که دلیلی بر خلاف آن قائم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مذهب از علل احکام بحثی نمی‌شد</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موردی نصّ یافت نمی شد به اجماعی که از صحابه یا جمیع علما صادر شده بود، عمل می‌کرد وقیاس، استحسان، تقلید و رأی را بشدّت طرد می‌کرد و اظهار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عموماتِ نصوص؛ ازکتاب و سنّت، پاسخ همه مسائل وجود دارد</w:t>
      </w:r>
      <w:r>
        <w:rPr>
          <w:rFonts w:eastAsia="IRNazanin" w:cs="IRNazanin"/>
          <w:color w:val="111111"/>
          <w:sz w:val="28"/>
          <w:szCs w:val="28"/>
          <w:rtl w:val="true"/>
          <w:lang w:bidi="fa-IR"/>
        </w:rPr>
        <w:t xml:space="preserve">». </w:t>
      </w:r>
      <w:bookmarkStart w:id="544" w:name="pg4267_21940"/>
    </w:p>
    <w:p>
      <w:pPr>
        <w:pStyle w:val="BookText"/>
        <w:rPr/>
      </w:pPr>
      <w:bookmarkEnd w:id="544"/>
      <w:r>
        <w:rPr>
          <w:rFonts w:ascii="IRNazanin" w:hAnsi="IRNazanin" w:eastAsia="IRNazanin"/>
          <w:color w:val="111111"/>
          <w:sz w:val="28"/>
          <w:sz w:val="28"/>
          <w:szCs w:val="28"/>
          <w:rtl w:val="true"/>
          <w:lang w:bidi="fa-IR"/>
        </w:rPr>
        <w:t>از او حکایت شده که بعد از عصر خلفای اَربعه تحقّق اجماع ممکن نیست، زیرا صحابه به دلیل سیاست و حکومت،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ابن‌حَزم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 تواند تابعین را اِحصا کند و بسیاری از آنچه گفته اند ناشناخته است؛ لذا هرکس ادّعای اجماع</w:t>
      </w:r>
    </w:p>
    <w:p>
      <w:pPr>
        <w:pStyle w:val="BookText"/>
        <w:rPr/>
      </w:pPr>
      <w:r>
        <w:rPr>
          <w:rFonts w:ascii="IRNazanin" w:hAnsi="IRNazanin" w:eastAsia="IRNazanin"/>
          <w:color w:val="111111"/>
          <w:sz w:val="28"/>
          <w:sz w:val="28"/>
          <w:szCs w:val="28"/>
          <w:rtl w:val="true"/>
          <w:lang w:bidi="fa-IR"/>
        </w:rPr>
        <w:t>آنها را بکند دروغگوست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به‌جواز قضا برای زن، به ظاهری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مذهب ظاهری تا نیمه قرن پنجم استمرارداشت، سپس رو به اُفول نهاد تااین که‌ابن حزم اندلسی درقرن پنجم دربلاد اندلس به نشر ودفاع ازآن پرداخت 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اَلاِحْکامُ ِلاُصُولِ‌الاَحْکام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دراصول مذهب ظاهری والمُحَلّی را درفقه مذهب ظاهریّه تألیف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به علمای متقدّم سخت تاخته است و کمتر کسی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او در امان مانده باشد؛ تا آن جا که درحقّ وی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ابن حزم و شمشیر حجّاج برادران دو قلو 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معاصرِ وی با او به مخالفت و دشمنی برخاستند، قولش را رد</w:t>
      </w:r>
    </w:p>
    <w:p>
      <w:pPr>
        <w:pStyle w:val="BookText"/>
        <w:rPr/>
      </w:pPr>
      <w:r>
        <w:rPr>
          <w:rFonts w:ascii="IRNazanin" w:hAnsi="IRNazanin" w:eastAsia="IRNazanin"/>
          <w:color w:val="111111"/>
          <w:sz w:val="28"/>
          <w:sz w:val="28"/>
          <w:szCs w:val="28"/>
          <w:rtl w:val="true"/>
          <w:lang w:bidi="fa-IR"/>
        </w:rPr>
        <w:t>کردند و مردم را از نزدیک شدن به او برحذر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معتقد است که مذهب حنفی در شرق و مالکی در غرب در آغاز با ریاست و سلطنت جان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مذهب در اواخر قرن پنجم مندرس گشت</w:t>
      </w:r>
      <w:r>
        <w:rPr>
          <w:rFonts w:eastAsia="IRNazanin" w:cs="IRNazanin"/>
          <w:color w:val="111111"/>
          <w:sz w:val="28"/>
          <w:szCs w:val="28"/>
          <w:rtl w:val="true"/>
          <w:lang w:bidi="fa-IR"/>
        </w:rPr>
        <w:t>.</w:t>
      </w:r>
      <w:r>
        <w:rPr>
          <w:rStyle w:val="FootnoteAnchor"/>
          <w:rtl w:val="true"/>
        </w:rPr>
        <w:footnoteReference w:id="897"/>
      </w:r>
    </w:p>
    <w:p>
      <w:pPr>
        <w:pStyle w:val="Heading5"/>
        <w:numPr>
          <w:ilvl w:val="4"/>
          <w:numId w:val="1"/>
        </w:numPr>
        <w:rPr/>
      </w:pPr>
      <w:bookmarkStart w:id="545" w:name="__RefHeading___Toc474289_1479056682"/>
      <w:bookmarkStart w:id="546" w:name="_Toc207"/>
      <w:bookmarkEnd w:id="545"/>
      <w:r>
        <w:rPr>
          <w:rtl w:val="true"/>
        </w:rPr>
        <w:t>«</w:t>
      </w:r>
      <w:r>
        <w:rPr>
          <w:rtl w:val="true"/>
        </w:rPr>
        <w:t>فی سبیل اللّه</w:t>
      </w:r>
      <w:r>
        <w:rPr>
          <w:rtl w:val="true"/>
        </w:rPr>
        <w:t>»</w:t>
      </w:r>
      <w:r>
        <w:rPr>
          <w:rtl w:val="true"/>
        </w:rPr>
        <w:t xml:space="preserve">، </w:t>
      </w:r>
      <w:r>
        <w:rPr>
          <w:rtl w:val="true"/>
        </w:rPr>
        <w:t>«</w:t>
      </w:r>
      <w:r>
        <w:rPr>
          <w:rtl w:val="true"/>
        </w:rPr>
        <w:t>فی سبیل‌الثواب</w:t>
      </w:r>
      <w:r>
        <w:rPr>
          <w:rtl w:val="true"/>
        </w:rPr>
        <w:t>»</w:t>
      </w:r>
      <w:r>
        <w:rPr>
          <w:rtl w:val="true"/>
        </w:rPr>
        <w:t xml:space="preserve">، </w:t>
      </w:r>
      <w:r>
        <w:rPr>
          <w:rtl w:val="true"/>
        </w:rPr>
        <w:t>«</w:t>
      </w:r>
      <w:r>
        <w:rPr>
          <w:rtl w:val="true"/>
        </w:rPr>
        <w:t>فی سبیل‌الخیر</w:t>
      </w:r>
      <w:r>
        <w:rPr>
          <w:rtl w:val="true"/>
        </w:rPr>
        <w:t>»</w:t>
      </w:r>
      <w:bookmarkEnd w:id="546"/>
    </w:p>
    <w:p>
      <w:pPr>
        <w:pStyle w:val="Heading6"/>
        <w:numPr>
          <w:ilvl w:val="5"/>
          <w:numId w:val="1"/>
        </w:numPr>
        <w:rPr/>
      </w:pPr>
      <w:bookmarkStart w:id="547" w:name="__RefHeading___Toc474291_1479056682"/>
      <w:bookmarkStart w:id="548" w:name="_Toc208"/>
      <w:bookmarkEnd w:id="547"/>
      <w:r>
        <w:rPr>
          <w:rtl w:val="true"/>
        </w:rPr>
        <w:t>دیدگاه امامیّه</w:t>
      </w:r>
      <w:bookmarkEnd w:id="548"/>
    </w:p>
    <w:p>
      <w:pPr>
        <w:pStyle w:val="BookText"/>
        <w:rPr/>
      </w:pPr>
      <w:r>
        <w:rPr>
          <w:rFonts w:ascii="IRNazanin" w:hAnsi="IRNazanin" w:eastAsia="IRNazanin"/>
          <w:color w:val="111111"/>
          <w:sz w:val="28"/>
          <w:sz w:val="28"/>
          <w:szCs w:val="28"/>
          <w:rtl w:val="true"/>
          <w:lang w:bidi="fa-IR"/>
        </w:rPr>
        <w:t>شیخ در مبسوط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وقف خود ، شرط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شود، ثلث آن مال به مصرف مجاهدان و حجّ و عمره، ثلث آن به مصرف فقرا و مساکین با تقدیم اَقارب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سبیل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ثلث دیگر به مصرف پنج مورد از مصارف زکات یعنی ، فقرا، مساکین، ابن السبیل، غارمین و 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بردگان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سبیل خیر،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تداخُل اصناف سه گانه را تقویت می‌کند</w:t>
      </w:r>
      <w:r>
        <w:rPr>
          <w:rFonts w:eastAsia="IRNazanin" w:cs="IRNazanin"/>
          <w:color w:val="111111"/>
          <w:sz w:val="28"/>
          <w:szCs w:val="28"/>
          <w:rtl w:val="true"/>
          <w:lang w:bidi="fa-IR"/>
        </w:rPr>
        <w:t>.</w:t>
      </w:r>
      <w:r>
        <w:rPr>
          <w:rStyle w:val="FootnoteAnchor"/>
          <w:rtl w:val="true"/>
        </w:rPr>
        <w:footnoteReference w:id="898"/>
      </w:r>
      <w:bookmarkStart w:id="549" w:name="pg4267_21941"/>
    </w:p>
    <w:p>
      <w:pPr>
        <w:pStyle w:val="BookText"/>
        <w:rPr/>
      </w:pPr>
      <w:bookmarkEnd w:id="549"/>
      <w:r>
        <w:rPr>
          <w:rFonts w:ascii="IRNazanin" w:hAnsi="IRNazanin" w:eastAsia="IRNazanin"/>
          <w:color w:val="111111"/>
          <w:sz w:val="28"/>
          <w:sz w:val="28"/>
          <w:szCs w:val="28"/>
          <w:rtl w:val="true"/>
          <w:lang w:bidi="fa-IR"/>
        </w:rPr>
        <w:t xml:space="preserve">شیخ درخلاف درمورد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بخشی از آن را به جهادگرانِ داوطلب داد و بخشی نیز به مصرف حج و عمره برسد، او دلیل این مدّعا را اجماع فرقه ذکر کرده ونیز این که سبیل اللّه نسبت به همه این موارد عامّ و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است که رسول خدا به اُمّ مِعقل اجازه داد بر شتری که شوهرش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تصدّق کرده بود، برای سفر حج و عمره سوار شود</w:t>
      </w:r>
      <w:r>
        <w:rPr>
          <w:rFonts w:eastAsia="IRNazanin" w:cs="IRNazanin"/>
          <w:color w:val="111111"/>
          <w:sz w:val="28"/>
          <w:szCs w:val="28"/>
          <w:rtl w:val="true"/>
          <w:lang w:bidi="fa-IR"/>
        </w:rPr>
        <w:t>.</w:t>
      </w:r>
      <w:r>
        <w:rPr>
          <w:rStyle w:val="FootnoteAnchor"/>
          <w:rtl w:val="true"/>
        </w:rPr>
        <w:footnoteReference w:id="899"/>
      </w:r>
    </w:p>
    <w:p>
      <w:pPr>
        <w:pStyle w:val="BookText"/>
        <w:rPr/>
      </w:pPr>
      <w:r>
        <w:rPr>
          <w:rFonts w:ascii="IRNazanin" w:hAnsi="IRNazanin" w:eastAsia="IRNazanin"/>
          <w:color w:val="111111"/>
          <w:sz w:val="28"/>
          <w:sz w:val="28"/>
          <w:szCs w:val="28"/>
          <w:rtl w:val="true"/>
          <w:lang w:bidi="fa-IR"/>
        </w:rPr>
        <w:t>علاّمه در مختلف بعد از نقل قول شیخ درخلاف ومبسوط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موجّه در نزد من این است که، با ذکر هرکدام از این واژه‌های سه گانه و یا همه اینها با یکدیگر،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هر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رادرهر موردی که موجب تقرّب به خداست، مانند بنای مساجد، پلها، مساعدت به فقرا و مساکین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رسانید</w:t>
      </w:r>
      <w:r>
        <w:rPr>
          <w:rFonts w:eastAsia="IRNazanin" w:cs="IRNazanin"/>
          <w:color w:val="111111"/>
          <w:sz w:val="28"/>
          <w:szCs w:val="28"/>
          <w:rtl w:val="true"/>
          <w:lang w:bidi="fa-IR"/>
        </w:rPr>
        <w:t>.</w:t>
      </w:r>
      <w:r>
        <w:rPr>
          <w:rStyle w:val="FootnoteAnchor"/>
          <w:rtl w:val="true"/>
        </w:rPr>
        <w:footnoteReference w:id="900"/>
      </w:r>
      <w:r>
        <w:rPr>
          <w:rFonts w:ascii="IRNazanin" w:hAnsi="IRNazanin" w:eastAsia="IRNazanin"/>
          <w:color w:val="111111"/>
          <w:sz w:val="28"/>
          <w:sz w:val="28"/>
          <w:szCs w:val="28"/>
          <w:rtl w:val="true"/>
          <w:lang w:bidi="fa-IR"/>
        </w:rPr>
        <w:t xml:space="preserve">دیدگاه علاّمه در قواعد و ارشاد نیز درباره این واژه‌ها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تفاصیل یادشده در نهایه و خلاف را مطالب مطرح شده از سوی عامّه می‌داند</w:t>
      </w:r>
      <w:r>
        <w:rPr>
          <w:rFonts w:eastAsia="IRNazanin" w:cs="IRNazanin"/>
          <w:color w:val="111111"/>
          <w:sz w:val="28"/>
          <w:szCs w:val="28"/>
          <w:rtl w:val="true"/>
          <w:lang w:bidi="fa-IR"/>
        </w:rPr>
        <w:t>.</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 xml:space="preserve">محقّق در شرایع مورد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راهرچیزی می‌داندکه راهی برای ثواب است، از قبیل ،مجاهدان ،حجّ ،عمره، بنای مساجد ،پلهاو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ذیل این عبارت توضیح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سبیل خدا همان طریق به او، یعنی طریق به ثواب ورضوان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این که مکان برای او محال است بنابراین مصرف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هر مصلحتی است که بتوان با آن به خدا تقرّب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ادامه، این عمومیّت را به مشهور نسبت داده و آن را مطابق عرف ولغت دانسته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اضافه کردن این مطلب نیز خالی از فایده نیست؛ که ذکر مواردی خاصّ چون حجّ و عمره و جهاد در احادیث نبوی صلی‌الله‌علیه‌و‌آلهبا این تعمیم منافات ندارد؛ زیرا حضرت در واقع در مقام بیان بعضی از موارد مصادیق این واژه‌ها بوده است </w:t>
      </w:r>
      <w:r>
        <w:rPr>
          <w:rFonts w:eastAsia="IRNazanin" w:cs="IRNazanin"/>
          <w:color w:val="111111"/>
          <w:sz w:val="28"/>
          <w:szCs w:val="28"/>
          <w:rtl w:val="true"/>
          <w:lang w:bidi="fa-IR"/>
        </w:rPr>
        <w:t>.</w:t>
      </w:r>
    </w:p>
    <w:p>
      <w:pPr>
        <w:pStyle w:val="Heading6"/>
        <w:numPr>
          <w:ilvl w:val="5"/>
          <w:numId w:val="1"/>
        </w:numPr>
        <w:rPr/>
      </w:pPr>
      <w:bookmarkStart w:id="550" w:name="__RefHeading___Toc474293_1479056682"/>
      <w:bookmarkStart w:id="551" w:name="_Toc209"/>
      <w:bookmarkEnd w:id="550"/>
      <w:r>
        <w:rPr>
          <w:rtl w:val="true"/>
        </w:rPr>
        <w:t>دیدگاه دیگر مذاهب</w:t>
      </w:r>
      <w:bookmarkEnd w:id="55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زیدیّه </w:t>
      </w:r>
      <w:bookmarkStart w:id="552" w:name="pg4267_21942"/>
    </w:p>
    <w:p>
      <w:pPr>
        <w:pStyle w:val="BookText"/>
        <w:rPr/>
      </w:pPr>
      <w:bookmarkEnd w:id="552"/>
      <w:r>
        <w:rPr>
          <w:rFonts w:ascii="IRNazanin" w:hAnsi="IRNazanin" w:eastAsia="IRNazanin"/>
          <w:color w:val="111111"/>
          <w:sz w:val="28"/>
          <w:sz w:val="28"/>
          <w:szCs w:val="28"/>
          <w:rtl w:val="true"/>
          <w:lang w:bidi="fa-IR"/>
        </w:rPr>
        <w:t>در 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مجاهدان داوطلب راکه اجرتی ندارند به عنوان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خویشان و اقارب رامصادیق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الثواب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موارد مصرف زکات رابه عنوان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مصالح دینی راهمانند مساجد، علما، فقرا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 xml:space="preserve">طحاوی در الشّروط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اهل جهاد دانسته وآن را به مالک وابویوسف نیز نسبت داده است </w:t>
      </w:r>
      <w:r>
        <w:rPr>
          <w:rFonts w:eastAsia="IRNazanin" w:cs="IRNazanin"/>
          <w:color w:val="111111"/>
          <w:sz w:val="28"/>
          <w:szCs w:val="28"/>
          <w:rtl w:val="true"/>
          <w:lang w:bidi="fa-IR"/>
        </w:rPr>
        <w:t>.</w:t>
      </w:r>
      <w:r>
        <w:rPr>
          <w:rStyle w:val="FootnoteAnchor"/>
          <w:rtl w:val="true"/>
        </w:rPr>
        <w:footnoteReference w:id="904"/>
      </w:r>
    </w:p>
    <w:p>
      <w:pPr>
        <w:pStyle w:val="BookText"/>
        <w:rPr/>
      </w:pPr>
      <w:r>
        <w:rPr>
          <w:rFonts w:ascii="IRNazanin" w:hAnsi="IRNazanin" w:eastAsia="IRNazanin"/>
          <w:color w:val="111111"/>
          <w:sz w:val="28"/>
          <w:sz w:val="28"/>
          <w:szCs w:val="28"/>
          <w:rtl w:val="true"/>
          <w:lang w:bidi="fa-IR"/>
        </w:rPr>
        <w:t>مالکیّه، شافعیّه و حنابله</w:t>
      </w:r>
    </w:p>
    <w:p>
      <w:pPr>
        <w:pStyle w:val="BookText"/>
        <w:rPr/>
      </w:pPr>
      <w:r>
        <w:rPr>
          <w:rFonts w:ascii="IRNazanin" w:hAnsi="IRNazanin" w:eastAsia="IRNazanin"/>
          <w:color w:val="111111"/>
          <w:sz w:val="28"/>
          <w:sz w:val="28"/>
          <w:szCs w:val="28"/>
          <w:rtl w:val="true"/>
          <w:lang w:bidi="fa-IR"/>
        </w:rPr>
        <w:t xml:space="preserve">مالکیّه، شافعیّه و حنابله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جهاد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دانسته‌اند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مالی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کند</w:t>
      </w:r>
    </w:p>
    <w:p>
      <w:pPr>
        <w:pStyle w:val="BookText"/>
        <w:rPr/>
      </w:pPr>
      <w:r>
        <w:rPr>
          <w:rFonts w:ascii="IRNazanin" w:hAnsi="IRNazanin" w:eastAsia="IRNazanin"/>
          <w:color w:val="111111"/>
          <w:sz w:val="28"/>
          <w:sz w:val="28"/>
          <w:szCs w:val="28"/>
          <w:rtl w:val="true"/>
          <w:lang w:bidi="fa-IR"/>
        </w:rPr>
        <w:t>ثلث آن به مصرف مجاهدانی می‌رسد که حقوقی در دیوان دولت ندارند، هر چند توانگر باشند، وبقیّه در هرموردی که دارای اجر و ثواب و خیر باشد به مصرف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ضمن نسبت این قول به اصحاب حنابله، برای مختار خود استدلال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است و نباید آن را به بعضی از افراد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ابواب بِرّ هم وصیّت یا وقف کند در هر موردی که بِرّ و قربت باشد می‌توان به مصرف رسانید</w:t>
      </w:r>
      <w:r>
        <w:rPr>
          <w:rFonts w:eastAsia="IRNazanin" w:cs="IRNazanin"/>
          <w:color w:val="111111"/>
          <w:sz w:val="28"/>
          <w:szCs w:val="28"/>
          <w:rtl w:val="true"/>
          <w:lang w:bidi="fa-IR"/>
        </w:rPr>
        <w:t>.</w:t>
      </w:r>
      <w:r>
        <w:rPr>
          <w:rStyle w:val="FootnoteAnchor"/>
          <w:rtl w:val="true"/>
        </w:rPr>
        <w:footnoteReference w:id="906"/>
      </w:r>
    </w:p>
    <w:p>
      <w:pPr>
        <w:pStyle w:val="Heading5"/>
        <w:numPr>
          <w:ilvl w:val="4"/>
          <w:numId w:val="1"/>
        </w:numPr>
        <w:rPr/>
      </w:pPr>
      <w:bookmarkStart w:id="553" w:name="__RefHeading___Toc474295_1479056682"/>
      <w:bookmarkStart w:id="554" w:name="_Toc210"/>
      <w:bookmarkEnd w:id="553"/>
      <w:r>
        <w:rPr>
          <w:rtl w:val="true"/>
        </w:rPr>
        <w:t>فقرا</w:t>
      </w:r>
      <w:bookmarkEnd w:id="5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شیعه تصریح کرده‌اند که اگر کسی مالی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 به آن دسته از فقرای بَلَد که حضور دارند منصرف می‌شود و نیازی به تفحّص و جست وجوی کسانی که دربَلَد حضور ندارند، نیست همچنین واجب نیست منتظر کسانی بمانندکه حضور </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برفقرا وقف کند به فقرایی که دربلد حضور دارند، منصرف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مسالک در توضیح و توجیه این عبارت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جای خودش اثبات کردیم که وقف برموقوفٌ علیهِ غیر منحصر ،وقف برجهت مخصوصه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نه بر اشخاص آن عنوان، و مورد مصرف آن جهت، کسانی هستند که به آن وصف متّصفند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فقر، فقه، علم،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این رو صرف درآمد چنین وقف درمورد همه اشخاص داخل این عناوین، واجب نیست؛ بلکه در صورت انتشار افراد باید به مصرف افراد موجود در بلد رسانیدوبه دنبال غایبان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ویاانتظار آنان را کشیدن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نخواهد بود</w:t>
      </w:r>
      <w:r>
        <w:rPr>
          <w:rFonts w:eastAsia="IRNazanin" w:cs="IRNazanin"/>
          <w:color w:val="111111"/>
          <w:sz w:val="28"/>
          <w:szCs w:val="28"/>
          <w:rtl w:val="true"/>
          <w:lang w:bidi="fa-IR"/>
        </w:rPr>
        <w:t>.</w:t>
      </w:r>
      <w:r>
        <w:rPr>
          <w:rStyle w:val="FootnoteAnchor"/>
          <w:rtl w:val="true"/>
        </w:rPr>
        <w:footnoteReference w:id="907"/>
      </w:r>
      <w:r>
        <w:rPr>
          <w:rFonts w:ascii="IRNazanin" w:hAnsi="IRNazanin" w:eastAsia="IRNazanin"/>
          <w:color w:val="111111"/>
          <w:sz w:val="28"/>
          <w:sz w:val="28"/>
          <w:szCs w:val="28"/>
          <w:rtl w:val="true"/>
          <w:lang w:bidi="fa-IR"/>
        </w:rPr>
        <w:t>علاّمه در قواعد و ارشاد</w:t>
      </w:r>
      <w:r>
        <w:rPr>
          <w:rStyle w:val="FootnoteAnchor"/>
          <w:rtl w:val="true"/>
        </w:rPr>
        <w:footnoteReference w:id="908"/>
      </w:r>
      <w:r>
        <w:rPr>
          <w:rFonts w:ascii="Amiri" w:hAnsi="Amiri" w:eastAsia="Amiri" w:cs="Amiri"/>
          <w:color w:val="111111"/>
          <w:sz w:val="28"/>
          <w:sz w:val="28"/>
          <w:szCs w:val="28"/>
          <w:rtl w:val="true"/>
          <w:lang w:bidi="ar-SA"/>
        </w:rPr>
        <w:t>محقّق ثانی</w:t>
      </w:r>
      <w:r>
        <w:rPr>
          <w:rStyle w:val="FootnoteAnchor"/>
          <w:rtl w:val="true"/>
        </w:rPr>
        <w:footnoteReference w:id="909"/>
      </w:r>
      <w:r>
        <w:rPr>
          <w:rFonts w:ascii="IRNazanin" w:hAnsi="IRNazanin" w:eastAsia="IRNazanin"/>
          <w:color w:val="111111"/>
          <w:sz w:val="28"/>
          <w:sz w:val="28"/>
          <w:szCs w:val="28"/>
          <w:rtl w:val="true"/>
          <w:lang w:bidi="fa-IR"/>
        </w:rPr>
        <w:t>شهیدین در لمعه و روضه</w:t>
      </w:r>
      <w:r>
        <w:rPr>
          <w:rStyle w:val="FootnoteAnchor"/>
          <w:rtl w:val="true"/>
        </w:rPr>
        <w:footnoteReference w:id="910"/>
      </w:r>
      <w:r>
        <w:rPr>
          <w:rFonts w:ascii="IRNazanin" w:hAnsi="IRNazanin" w:eastAsia="IRNazanin"/>
          <w:color w:val="111111"/>
          <w:sz w:val="28"/>
          <w:sz w:val="28"/>
          <w:szCs w:val="28"/>
          <w:rtl w:val="true"/>
          <w:lang w:bidi="fa-IR"/>
        </w:rPr>
        <w:t>، فخر المحقّقین</w:t>
      </w:r>
      <w:r>
        <w:rPr>
          <w:rStyle w:val="FootnoteAnchor"/>
          <w:rtl w:val="true"/>
        </w:rPr>
        <w:footnoteReference w:id="91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دیدگاه را با استدلال مشابه درکتب خویش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دیگری که موردتوجّه بزرگان قرار گرفته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وقف بر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مسلمان باشد به فقرای نحله ومذهب خودش انصراف خواهد داشت</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شایان یادآوری است که درهمه این موارد و موارد مشابه، اگر خطاب و شاهد حال و عرف، اقتضایی داشته باشند، ملاک عمل قرارخواهند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کافری مالی را وقف کند و شاهد حال، نشانگر این باشدکه منظور وی همه فقرا و یا تنها فقرای مسلمین هستند و بر عکس آن نیز ممکن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دیگراین که اگرمالی رابرفقرا،علما،و عناوینی عامّ از این قبیل وقف کند،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توزیع درآمدبین همه افراد آن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هر چند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نوفلی نیزبه همین معنااشاره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تو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w:t>
      </w:r>
    </w:p>
    <w:p>
      <w:pPr>
        <w:pStyle w:val="BookText"/>
        <w:rPr/>
      </w:pPr>
      <w:r>
        <w:rPr>
          <w:rFonts w:ascii="IRNazanin" w:hAnsi="IRNazanin" w:eastAsia="IRNazanin"/>
          <w:color w:val="111111"/>
          <w:sz w:val="28"/>
          <w:sz w:val="28"/>
          <w:szCs w:val="28"/>
          <w:rtl w:val="true"/>
          <w:lang w:bidi="fa-IR"/>
        </w:rPr>
        <w:t>دنبال غایبان بروی</w:t>
      </w:r>
      <w:r>
        <w:rPr>
          <w:rFonts w:eastAsia="IRNazanin" w:cs="IRNazanin"/>
          <w:color w:val="111111"/>
          <w:sz w:val="28"/>
          <w:szCs w:val="28"/>
          <w:rtl w:val="true"/>
          <w:lang w:bidi="fa-IR"/>
        </w:rPr>
        <w:t>»</w:t>
      </w:r>
      <w:r>
        <w:rPr>
          <w:rStyle w:val="FootnoteAnchor"/>
          <w:rtl w:val="true"/>
        </w:rPr>
        <w:footnoteReference w:id="913"/>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دلیل اصلی همان است که قبلاً اشاره شد و آن این که در این موارد، در حقیقت بر </w:t>
      </w:r>
      <w:bookmarkStart w:id="555" w:name="pg4267_21944"/>
    </w:p>
    <w:p>
      <w:pPr>
        <w:pStyle w:val="BookText"/>
        <w:rPr/>
      </w:pPr>
      <w:bookmarkEnd w:id="555"/>
      <w:r>
        <w:rPr>
          <w:rFonts w:ascii="IRNazanin" w:hAnsi="IRNazanin" w:eastAsia="IRNazanin"/>
          <w:color w:val="111111"/>
          <w:sz w:val="28"/>
          <w:sz w:val="28"/>
          <w:szCs w:val="28"/>
          <w:rtl w:val="true"/>
          <w:lang w:bidi="fa-IR"/>
        </w:rPr>
        <w:t xml:space="preserve">جهت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شده است نه برافراد ومصادیق این عناوین</w:t>
      </w:r>
      <w:r>
        <w:rPr>
          <w:rFonts w:eastAsia="IRNazanin" w:cs="IRNazanin"/>
          <w:color w:val="111111"/>
          <w:sz w:val="28"/>
          <w:szCs w:val="28"/>
          <w:rtl w:val="true"/>
          <w:lang w:bidi="fa-IR"/>
        </w:rPr>
        <w:t>.</w:t>
      </w:r>
      <w:r>
        <w:rPr>
          <w:rStyle w:val="FootnoteAnchor"/>
          <w:rtl w:val="true"/>
        </w:rPr>
        <w:footnoteReference w:id="914"/>
      </w:r>
      <w:r>
        <w:rPr>
          <w:rFonts w:ascii="IRNazanin" w:hAnsi="IRNazanin" w:eastAsia="IRNazanin"/>
          <w:color w:val="111111"/>
          <w:sz w:val="28"/>
          <w:sz w:val="28"/>
          <w:szCs w:val="28"/>
          <w:rtl w:val="true"/>
          <w:lang w:bidi="fa-IR"/>
        </w:rPr>
        <w:t xml:space="preserve">البتّه عدم وجوب استیعاب در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جواهر از فَخرالمحقّقین درشرح ارشاد، نقل کرده است که در غیر محصور نیز تا آن جاکه میسّر است ،استیعاب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صاحب جواهر به آن تصریح کرده 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بنابر عدم وجوب استیعاب اگر در توزیع آن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بدون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کرد، ضامن آن خواهد بود</w:t>
      </w:r>
      <w:r>
        <w:rPr>
          <w:rFonts w:eastAsia="IRNazanin" w:cs="IRNazanin"/>
          <w:color w:val="111111"/>
          <w:sz w:val="28"/>
          <w:szCs w:val="28"/>
          <w:rtl w:val="true"/>
          <w:lang w:bidi="fa-IR"/>
        </w:rPr>
        <w:t>.</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 xml:space="preserve">در مغنی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آمده که فقیر درباب وقف همان فقیر در باب زکات است</w:t>
      </w:r>
      <w:r>
        <w:rPr>
          <w:rFonts w:eastAsia="IRNazanin" w:cs="IRNazanin"/>
          <w:color w:val="111111"/>
          <w:sz w:val="28"/>
          <w:szCs w:val="28"/>
          <w:rtl w:val="true"/>
          <w:lang w:bidi="fa-IR"/>
        </w:rPr>
        <w:t>.</w:t>
      </w:r>
      <w:r>
        <w:rPr>
          <w:rStyle w:val="FootnoteAnchor"/>
          <w:rtl w:val="true"/>
        </w:rPr>
        <w:footnoteReference w:id="916"/>
      </w:r>
    </w:p>
    <w:p>
      <w:pPr>
        <w:pStyle w:val="Heading5"/>
        <w:numPr>
          <w:ilvl w:val="4"/>
          <w:numId w:val="1"/>
        </w:numPr>
        <w:rPr/>
      </w:pPr>
      <w:bookmarkStart w:id="556" w:name="__RefHeading___Toc474297_1479056682"/>
      <w:bookmarkStart w:id="557" w:name="_Toc211"/>
      <w:bookmarkEnd w:id="556"/>
      <w:r>
        <w:rPr>
          <w:rtl w:val="true"/>
        </w:rPr>
        <w:t xml:space="preserve">جیران </w:t>
      </w:r>
      <w:r>
        <w:rPr>
          <w:rtl w:val="true"/>
        </w:rPr>
        <w:t xml:space="preserve">= </w:t>
      </w:r>
      <w:r>
        <w:rPr>
          <w:rtl w:val="true"/>
        </w:rPr>
        <w:t>همسایگان</w:t>
      </w:r>
      <w:bookmarkEnd w:id="557"/>
    </w:p>
    <w:p>
      <w:pPr>
        <w:pStyle w:val="Heading6"/>
        <w:numPr>
          <w:ilvl w:val="5"/>
          <w:numId w:val="1"/>
        </w:numPr>
        <w:rPr/>
      </w:pPr>
      <w:bookmarkStart w:id="558" w:name="__RefHeading___Toc474299_1479056682"/>
      <w:bookmarkStart w:id="559" w:name="_Toc212"/>
      <w:bookmarkEnd w:id="558"/>
      <w:r>
        <w:rPr>
          <w:rtl w:val="true"/>
        </w:rPr>
        <w:t>اشاره</w:t>
      </w:r>
      <w:bookmarkEnd w:id="559"/>
    </w:p>
    <w:p>
      <w:pPr>
        <w:pStyle w:val="BookText"/>
        <w:rPr/>
      </w:pPr>
      <w:r>
        <w:rPr>
          <w:rFonts w:ascii="IRNazanin" w:hAnsi="IRNazanin" w:eastAsia="IRNazanin"/>
          <w:color w:val="111111"/>
          <w:sz w:val="28"/>
          <w:sz w:val="28"/>
          <w:szCs w:val="28"/>
          <w:rtl w:val="true"/>
          <w:lang w:bidi="fa-IR"/>
        </w:rPr>
        <w:t xml:space="preserve">از عناوینی که عموم فقها در باب وقف به توضیح و تفسیر آن پرداخته‌اند،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این واژه بجز درباب وقف، در موارد دیگر نیز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روایات، نسبت به همسایه سفارشهای اکید شده، و در آن جا نیز محلّ بحث است که حدّ و مرز همسایه تاکجاست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مجموع کلمات فقها در این باره استفاده می‌شود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قول یا سه احتمال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ذراع از هر جانب، همسایه محسوب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و ضابطه در تشخیص این عنوان با عرف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چهل خانه از هر طرف همسایه محسوب می‌شوند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نهایه و شیخ مفید در مقنعه، احتمال اوّل رابرگزیده‌اند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کسی بر همسایگان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وقف کند و با اسماء و صفات، آنان را مشخّص نکند به همسایگانی منصرف می‌شود که از هر طرف تا چهل ذراع فاصله دارند و کسانی که از این </w:t>
      </w:r>
    </w:p>
    <w:p>
      <w:pPr>
        <w:pStyle w:val="BookText"/>
        <w:rPr/>
      </w:pPr>
      <w:r>
        <w:rPr>
          <w:rFonts w:ascii="IRNazanin" w:hAnsi="IRNazanin" w:eastAsia="IRNazanin"/>
          <w:color w:val="111111"/>
          <w:sz w:val="28"/>
          <w:sz w:val="28"/>
          <w:szCs w:val="28"/>
          <w:rtl w:val="true"/>
          <w:lang w:bidi="fa-IR"/>
        </w:rPr>
        <w:t>حدّ فراترباشند، مستحق نیستند</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ابن‌حمزه در وسیله</w:t>
      </w:r>
      <w:r>
        <w:rPr>
          <w:rStyle w:val="FootnoteAnchor"/>
          <w:rtl w:val="true"/>
        </w:rPr>
        <w:footnoteReference w:id="918"/>
      </w:r>
      <w:r>
        <w:rPr>
          <w:rFonts w:ascii="IRNazanin" w:hAnsi="IRNazanin" w:eastAsia="IRNazanin"/>
          <w:color w:val="111111"/>
          <w:sz w:val="28"/>
          <w:sz w:val="28"/>
          <w:szCs w:val="28"/>
          <w:rtl w:val="true"/>
          <w:lang w:bidi="fa-IR"/>
        </w:rPr>
        <w:t>سلّار در مراسم</w:t>
      </w:r>
      <w:r>
        <w:rPr>
          <w:rStyle w:val="FootnoteAnchor"/>
          <w:rtl w:val="true"/>
        </w:rPr>
        <w:footnoteReference w:id="919"/>
      </w:r>
      <w:r>
        <w:rPr>
          <w:rFonts w:ascii="IRNazanin" w:hAnsi="IRNazanin" w:eastAsia="IRNazanin"/>
          <w:color w:val="111111"/>
          <w:sz w:val="28"/>
          <w:sz w:val="28"/>
          <w:szCs w:val="28"/>
          <w:rtl w:val="true"/>
          <w:lang w:bidi="fa-IR"/>
        </w:rPr>
        <w:t>، ابن زهره در غنیه،</w:t>
      </w:r>
      <w:r>
        <w:rPr>
          <w:rStyle w:val="FootnoteAnchor"/>
          <w:rtl w:val="true"/>
        </w:rPr>
        <w:footnoteReference w:id="920"/>
      </w:r>
      <w:r>
        <w:rPr>
          <w:rFonts w:ascii="IRNazanin" w:hAnsi="IRNazanin" w:eastAsia="IRNazanin"/>
          <w:color w:val="111111"/>
          <w:sz w:val="28"/>
          <w:sz w:val="28"/>
          <w:szCs w:val="28"/>
          <w:rtl w:val="true"/>
          <w:lang w:bidi="fa-IR"/>
        </w:rPr>
        <w:t>شهید در دروس</w:t>
      </w:r>
      <w:r>
        <w:rPr>
          <w:rStyle w:val="FootnoteAnchor"/>
          <w:rtl w:val="true"/>
        </w:rPr>
        <w:footnoteReference w:id="921"/>
      </w:r>
      <w:r>
        <w:rPr>
          <w:rFonts w:ascii="IRNazanin" w:hAnsi="IRNazanin" w:eastAsia="IRNazanin"/>
          <w:color w:val="111111"/>
          <w:sz w:val="28"/>
          <w:sz w:val="28"/>
          <w:szCs w:val="28"/>
          <w:rtl w:val="true"/>
          <w:lang w:bidi="fa-IR"/>
        </w:rPr>
        <w:t>و دیگران نیز همین قول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غنیه برای این نظر ادّعای اجماع شده و مفتاح الکرامة آن را به مشهور نسبت داده است</w:t>
      </w:r>
      <w:r>
        <w:rPr>
          <w:rStyle w:val="FootnoteAnchor"/>
          <w:rtl w:val="true"/>
        </w:rPr>
        <w:footnoteReference w:id="9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آن را مذهب اکثر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نیز آن را به مذهب اکثر اصحاب و مشهور نسبت داده است</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شهیدثانی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این قول، هرچند مختار اکثراست، دلیل ومستندی نیافتم</w:t>
      </w:r>
      <w:r>
        <w:rPr>
          <w:rFonts w:eastAsia="IRNazanin" w:cs="IRNazanin"/>
          <w:color w:val="111111"/>
          <w:sz w:val="28"/>
          <w:szCs w:val="28"/>
          <w:rtl w:val="true"/>
          <w:lang w:bidi="fa-IR"/>
        </w:rPr>
        <w:t>.</w:t>
      </w:r>
      <w:r>
        <w:rPr>
          <w:rStyle w:val="FootnoteAnchor"/>
          <w:rtl w:val="true"/>
        </w:rPr>
        <w:footnoteReference w:id="924"/>
      </w:r>
      <w:r>
        <w:rPr>
          <w:rFonts w:ascii="IRNazanin" w:hAnsi="IRNazanin" w:eastAsia="IRNazanin"/>
          <w:color w:val="111111"/>
          <w:sz w:val="28"/>
          <w:sz w:val="28"/>
          <w:szCs w:val="28"/>
          <w:rtl w:val="true"/>
          <w:lang w:bidi="fa-IR"/>
        </w:rPr>
        <w:t xml:space="preserve">علی‌رغم ادّعای اجماع غنیه، بسیاری از اَعلام، قول دوم را برگزیده‌اند، یعنی ملاک را در تشخیص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w:t>
      </w:r>
    </w:p>
    <w:p>
      <w:pPr>
        <w:pStyle w:val="BookText"/>
        <w:rPr/>
      </w:pP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قواعد، محقّق ثانی</w:t>
      </w:r>
      <w:r>
        <w:rPr>
          <w:rStyle w:val="FootnoteAnchor"/>
          <w:rtl w:val="true"/>
        </w:rPr>
        <w:footnoteReference w:id="925"/>
      </w:r>
      <w:r>
        <w:rPr>
          <w:rFonts w:ascii="IRNazanin" w:hAnsi="IRNazanin" w:eastAsia="IRNazanin"/>
          <w:color w:val="111111"/>
          <w:sz w:val="28"/>
          <w:sz w:val="28"/>
          <w:szCs w:val="28"/>
          <w:rtl w:val="true"/>
          <w:lang w:bidi="fa-IR"/>
        </w:rPr>
        <w:t>محقّق اوّل در مختصر و شرایع</w:t>
      </w:r>
      <w:r>
        <w:rPr>
          <w:rStyle w:val="FootnoteAnchor"/>
          <w:rtl w:val="true"/>
        </w:rPr>
        <w:footnoteReference w:id="926"/>
      </w:r>
      <w:r>
        <w:rPr>
          <w:rFonts w:ascii="IRNazanin" w:hAnsi="IRNazanin" w:eastAsia="IRNazanin"/>
          <w:color w:val="111111"/>
          <w:sz w:val="28"/>
          <w:sz w:val="28"/>
          <w:szCs w:val="28"/>
          <w:rtl w:val="true"/>
          <w:lang w:bidi="fa-IR"/>
        </w:rPr>
        <w:t>شهید در مسالک،</w:t>
      </w:r>
      <w:r>
        <w:rPr>
          <w:rStyle w:val="FootnoteAnchor"/>
          <w:rtl w:val="true"/>
        </w:rPr>
        <w:footnoteReference w:id="927"/>
      </w:r>
      <w:r>
        <w:rPr>
          <w:rFonts w:ascii="IRNazanin" w:hAnsi="IRNazanin" w:eastAsia="IRNazanin"/>
          <w:color w:val="111111"/>
          <w:sz w:val="28"/>
          <w:sz w:val="28"/>
          <w:szCs w:val="28"/>
          <w:rtl w:val="true"/>
          <w:lang w:bidi="fa-IR"/>
        </w:rPr>
        <w:t>علاّمه در مختلف</w:t>
      </w:r>
      <w:r>
        <w:rPr>
          <w:rStyle w:val="FootnoteAnchor"/>
          <w:rtl w:val="true"/>
        </w:rPr>
        <w:footnoteReference w:id="928"/>
      </w:r>
      <w:r>
        <w:rPr>
          <w:rFonts w:ascii="IRNazanin" w:hAnsi="IRNazanin" w:eastAsia="IRNazanin"/>
          <w:color w:val="111111"/>
          <w:sz w:val="28"/>
          <w:sz w:val="28"/>
          <w:szCs w:val="28"/>
          <w:rtl w:val="true"/>
          <w:lang w:bidi="fa-IR"/>
        </w:rPr>
        <w:t>سبزواری در کفایه،</w:t>
      </w:r>
      <w:r>
        <w:rPr>
          <w:rStyle w:val="FootnoteAnchor"/>
          <w:rtl w:val="true"/>
        </w:rPr>
        <w:footnoteReference w:id="929"/>
      </w:r>
      <w:r>
        <w:rPr>
          <w:rFonts w:ascii="IRNazanin" w:hAnsi="IRNazanin" w:eastAsia="IRNazanin"/>
          <w:color w:val="111111"/>
          <w:sz w:val="28"/>
          <w:sz w:val="28"/>
          <w:szCs w:val="28"/>
          <w:rtl w:val="true"/>
          <w:lang w:bidi="fa-IR"/>
        </w:rPr>
        <w:t>فخرالمحقّقین</w:t>
      </w:r>
      <w:r>
        <w:rPr>
          <w:rStyle w:val="FootnoteAnchor"/>
          <w:rtl w:val="true"/>
        </w:rPr>
        <w:footnoteReference w:id="930"/>
      </w:r>
      <w:r>
        <w:rPr>
          <w:rFonts w:ascii="IRNazanin" w:hAnsi="IRNazanin" w:eastAsia="IRNazanin"/>
          <w:color w:val="111111"/>
          <w:sz w:val="28"/>
          <w:sz w:val="28"/>
          <w:szCs w:val="28"/>
          <w:rtl w:val="true"/>
          <w:lang w:bidi="fa-IR"/>
        </w:rPr>
        <w:t>از اَعلامی هستند که به ملاک</w:t>
      </w:r>
    </w:p>
    <w:p>
      <w:pPr>
        <w:pStyle w:val="BookText"/>
        <w:rPr/>
      </w:pPr>
      <w:r>
        <w:rPr>
          <w:rFonts w:ascii="IRNazanin" w:hAnsi="IRNazanin" w:eastAsia="IRNazanin"/>
          <w:color w:val="111111"/>
          <w:sz w:val="28"/>
          <w:sz w:val="28"/>
          <w:szCs w:val="28"/>
          <w:rtl w:val="true"/>
          <w:lang w:bidi="fa-IR"/>
        </w:rPr>
        <w:t>بودن عرف دراین مورد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w:t>
      </w:r>
      <w:r>
        <w:rPr>
          <w:rStyle w:val="FootnoteAnchor"/>
          <w:rtl w:val="true"/>
        </w:rPr>
        <w:footnoteReference w:id="931"/>
      </w:r>
      <w:r>
        <w:rPr>
          <w:rFonts w:ascii="IRNazanin" w:hAnsi="IRNazanin" w:eastAsia="IRNazanin"/>
          <w:color w:val="111111"/>
          <w:sz w:val="28"/>
          <w:sz w:val="28"/>
          <w:szCs w:val="28"/>
          <w:rtl w:val="true"/>
          <w:lang w:bidi="fa-IR"/>
        </w:rPr>
        <w:t>و فخرالمحققین درایضاح</w:t>
      </w:r>
      <w:r>
        <w:rPr>
          <w:rStyle w:val="FootnoteAnchor"/>
          <w:rtl w:val="true"/>
        </w:rPr>
        <w:footnoteReference w:id="932"/>
      </w:r>
      <w:r>
        <w:rPr>
          <w:rFonts w:ascii="IRNazanin" w:hAnsi="IRNazanin" w:eastAsia="IRNazanin"/>
          <w:color w:val="111111"/>
          <w:sz w:val="28"/>
          <w:sz w:val="28"/>
          <w:szCs w:val="28"/>
          <w:rtl w:val="true"/>
          <w:lang w:bidi="fa-IR"/>
        </w:rPr>
        <w:t>برای این قول استدلال کرده‌اند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حقیقت شرعیّه ،شرع بر عرف، حمل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میزان و ملاک تشخیص این موضوعات در مواردی که حقیقت شرعیه وجود نداشته باشد حقیقت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متأخّران، صاحب عروه نیز همین قول دوم</w:t>
      </w:r>
    </w:p>
    <w:p>
      <w:pPr>
        <w:pStyle w:val="BookText"/>
        <w:rPr/>
      </w:pPr>
      <w:r>
        <w:rPr>
          <w:rFonts w:ascii="IRNazanin" w:hAnsi="IRNazanin" w:eastAsia="IRNazanin"/>
          <w:color w:val="111111"/>
          <w:sz w:val="28"/>
          <w:sz w:val="28"/>
          <w:szCs w:val="28"/>
          <w:rtl w:val="true"/>
          <w:lang w:bidi="fa-IR"/>
        </w:rPr>
        <w:t>رابرگزیده است</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IRNazanin" w:hAnsi="IRNazanin" w:eastAsia="IRNazanin"/>
          <w:color w:val="111111"/>
          <w:sz w:val="28"/>
          <w:sz w:val="28"/>
          <w:szCs w:val="28"/>
          <w:rtl w:val="true"/>
          <w:lang w:bidi="fa-IR"/>
        </w:rPr>
        <w:t xml:space="preserve">و امّا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اظهار داشته است که برای این احتمال</w:t>
      </w:r>
    </w:p>
    <w:p>
      <w:pPr>
        <w:pStyle w:val="BookText"/>
        <w:rPr/>
      </w:pPr>
      <w:r>
        <w:rPr>
          <w:rFonts w:ascii="IRNazanin" w:hAnsi="IRNazanin" w:eastAsia="IRNazanin"/>
          <w:color w:val="111111"/>
          <w:sz w:val="28"/>
          <w:sz w:val="28"/>
          <w:szCs w:val="28"/>
          <w:rtl w:val="true"/>
          <w:lang w:bidi="fa-IR"/>
        </w:rPr>
        <w:t xml:space="preserve">قایلی نمی‌شناسم و گروهی دلیل آن را روایت عامّه از عایشه می‌دانند که رسول خدا در پاسخ سوال از حدّ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اِلی اَرْبَعینَ 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نیز در کافی سه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روایت معتبرالاَسناد ذکر کرده است که درباب آنها حد جوار تا چهل خانه معین شده </w:t>
      </w:r>
      <w:bookmarkStart w:id="560" w:name="pg4267_21946"/>
    </w:p>
    <w:p>
      <w:pPr>
        <w:pStyle w:val="BookText"/>
        <w:rPr/>
      </w:pPr>
      <w:bookmarkEnd w:id="560"/>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934"/>
      </w:r>
      <w:r>
        <w:rPr>
          <w:rFonts w:ascii="IRNazanin" w:hAnsi="IRNazanin" w:eastAsia="IRNazanin"/>
          <w:color w:val="111111"/>
          <w:sz w:val="28"/>
          <w:sz w:val="28"/>
          <w:szCs w:val="28"/>
          <w:rtl w:val="true"/>
          <w:lang w:bidi="fa-IR"/>
        </w:rPr>
        <w:t>و اگر این قول شاذّ نبود، اخذ و عمل به آن به دلیل کثرت روایات آن از فریقین، نیکو بود</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شهید در دروس از قطب راوندی نقل کرده که درمقام جمع بین قول چهل ذراع و چهل خانه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ازچهل خانه، خانه های کوچک هستند</w:t>
      </w:r>
      <w:r>
        <w:rPr>
          <w:rStyle w:val="FootnoteAnchor"/>
          <w:rtl w:val="true"/>
        </w:rPr>
        <w:footnoteReference w:id="9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چهل</w:t>
      </w:r>
    </w:p>
    <w:p>
      <w:pPr>
        <w:pStyle w:val="BookText"/>
        <w:rPr/>
      </w:pPr>
      <w:r>
        <w:rPr>
          <w:rFonts w:ascii="IRNazanin" w:hAnsi="IRNazanin" w:eastAsia="IRNazanin"/>
          <w:color w:val="111111"/>
          <w:sz w:val="28"/>
          <w:sz w:val="28"/>
          <w:szCs w:val="28"/>
          <w:rtl w:val="true"/>
          <w:lang w:bidi="fa-IR"/>
        </w:rPr>
        <w:t>ذراع تجاوز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ضمن برگزیدن قول سوم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شهید ثانی در مسالک، کسی را نیافتم که به این روایات توجّه کرده و آنها را در این مقام مورد بحث قرار داده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از شهید است که چگونه به دلیل شذوذ این 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روایات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عدول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فقها نیز ناشی از عدم وقوف واطّلاع آنان براین اخبار بوده است و گرنه از آنها عدول نمی‌کردند</w:t>
      </w:r>
      <w:r>
        <w:rPr>
          <w:rFonts w:eastAsia="IRNazanin" w:cs="IRNazanin"/>
          <w:color w:val="111111"/>
          <w:sz w:val="28"/>
          <w:szCs w:val="28"/>
          <w:rtl w:val="true"/>
          <w:lang w:bidi="fa-IR"/>
        </w:rPr>
        <w:t>.</w:t>
      </w:r>
      <w:r>
        <w:rPr>
          <w:rStyle w:val="FootnoteAnchor"/>
          <w:rtl w:val="true"/>
        </w:rPr>
        <w:footnoteReference w:id="937"/>
      </w:r>
      <w:r>
        <w:rPr>
          <w:rFonts w:ascii="IRNazanin" w:hAnsi="IRNazanin" w:eastAsia="IRNazanin"/>
          <w:color w:val="111111"/>
          <w:sz w:val="28"/>
          <w:sz w:val="28"/>
          <w:szCs w:val="28"/>
          <w:rtl w:val="true"/>
          <w:lang w:bidi="fa-IR"/>
        </w:rPr>
        <w:t>صاحب جواهر، این روایات را حمل بر تقیّه کرده است</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 xml:space="preserve">اگر تحقّق اجماع معتبر بر قول اوّل ثابت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اثبات آن مشکل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 بین قول دوم و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دایر شود، به نظر می‌رسد ترجیح با قول سوم باشد، زیرا رجوع به عرف، متفرّع بر عدم حقیقت شرعیه است و با وجود روایاتی که شهید در مسالک به آنها اشاره کرد حقیقت شرعیّه ثابت خواهد بود</w:t>
      </w:r>
      <w:r>
        <w:rPr>
          <w:rFonts w:eastAsia="IRNazanin" w:cs="IRNazanin"/>
          <w:color w:val="111111"/>
          <w:sz w:val="28"/>
          <w:szCs w:val="28"/>
          <w:rtl w:val="true"/>
          <w:lang w:bidi="fa-IR"/>
        </w:rPr>
        <w:t>.</w:t>
      </w:r>
    </w:p>
    <w:p>
      <w:pPr>
        <w:pStyle w:val="Heading6"/>
        <w:numPr>
          <w:ilvl w:val="5"/>
          <w:numId w:val="1"/>
        </w:numPr>
        <w:rPr/>
      </w:pPr>
      <w:bookmarkStart w:id="561" w:name="__RefHeading___Toc474301_1479056682"/>
      <w:bookmarkStart w:id="562" w:name="_Toc213"/>
      <w:bookmarkEnd w:id="561"/>
      <w:r>
        <w:rPr>
          <w:rtl w:val="true"/>
        </w:rPr>
        <w:t>چند نکته</w:t>
      </w:r>
      <w:bookmarkEnd w:id="5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صدق همسایه فرق نمی‌کند که خانه او ملکی باشد یاعاریه واجاره‌ای </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دو در دارد که از هر دو تردّد دارد از هر دو طرف، همسایه است</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هایی که در منتهااِلیه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ذراع یاچهل خانه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و از حدّ بیرون نیستند در 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هستند</w:t>
      </w:r>
      <w:r>
        <w:rPr>
          <w:rStyle w:val="FootnoteAnchor"/>
          <w:rtl w:val="true"/>
        </w:rPr>
        <w:footnoteReference w:id="94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ملاک صدق عنوان، عرف یا چهل ذراع باشد، درآمد وقف بین افراد، بدون توجّه به مذکّر و مؤنّث بودن ویا صغیر وکبیر بودن، به طور مساوی تقسیم می‌شود، امّا اگر ملاک 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حاصل وقف بین خانه هابه طورمساوی تقسیم می </w:t>
      </w:r>
      <w:bookmarkStart w:id="563" w:name="pg4267_21947"/>
    </w:p>
    <w:p>
      <w:pPr>
        <w:pStyle w:val="BookText"/>
        <w:rPr/>
      </w:pPr>
      <w:bookmarkEnd w:id="563"/>
      <w:r>
        <w:rPr>
          <w:rFonts w:ascii="IRNazanin" w:hAnsi="IRNazanin" w:eastAsia="IRNazanin"/>
          <w:color w:val="111111"/>
          <w:sz w:val="28"/>
          <w:sz w:val="28"/>
          <w:szCs w:val="28"/>
          <w:rtl w:val="true"/>
          <w:lang w:bidi="fa-IR"/>
        </w:rPr>
        <w:t>شود، سپس سهم هرخانه بین افراد آن خانه علی‌السویّه توزیع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قولی هم هست که از همان آغاز به حسب افراد، توزیع می‌شود</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ساکن نباشد، چون عرفا، عنوان بر او صدق نمی‌کند، مستحق نیست و اگر آن را بفروشد از مورد مصرف وقف خارج و مشتری داخل می‌شود</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البحر الزّخّار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خانه‌های به هم چسبیده به خانه انسان را همسایه محسوب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مدّعی است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ازاین را اقتضا ندارد</w:t>
      </w:r>
      <w:r>
        <w:rPr>
          <w:rFonts w:eastAsia="IRNazanin" w:cs="IRNazanin"/>
          <w:color w:val="111111"/>
          <w:sz w:val="28"/>
          <w:szCs w:val="28"/>
          <w:rtl w:val="true"/>
          <w:lang w:bidi="fa-IR"/>
        </w:rPr>
        <w:t>.</w:t>
      </w:r>
      <w:r>
        <w:rPr>
          <w:rStyle w:val="FootnoteAnchor"/>
          <w:rtl w:val="true"/>
        </w:rPr>
        <w:footnoteReference w:id="94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وَهْبَهُ‌الزُّحَیلی در کتاب خویش عناوینی رابه شرح زیر توضیح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طفل، صَبیّ و صغیر به کسانی اطلاق می‌شود که بالغ نشده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ازبلوغ تاچهل سالگی راگویند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چهل سالگی تا شصت سالگی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از بالای شصت تا پایان عمر است</w:t>
      </w:r>
      <w:r>
        <w:rPr>
          <w:rFonts w:eastAsia="IRNazanin" w:cs="IRNazanin"/>
          <w:color w:val="111111"/>
          <w:sz w:val="28"/>
          <w:szCs w:val="28"/>
          <w:rtl w:val="true"/>
          <w:lang w:bidi="fa-IR"/>
        </w:rPr>
        <w:t>.</w:t>
      </w:r>
      <w:r>
        <w:rPr>
          <w:rStyle w:val="FootnoteAnchor"/>
          <w:rtl w:val="true"/>
        </w:rPr>
        <w:footnoteReference w:id="945"/>
      </w:r>
    </w:p>
    <w:p>
      <w:pPr>
        <w:pStyle w:val="Heading4"/>
        <w:numPr>
          <w:ilvl w:val="3"/>
          <w:numId w:val="1"/>
        </w:numPr>
        <w:rPr/>
      </w:pPr>
      <w:bookmarkStart w:id="564" w:name="__RefHeading___Toc474303_1479056682"/>
      <w:bookmarkStart w:id="565" w:name="_Toc214"/>
      <w:bookmarkEnd w:id="564"/>
      <w:r>
        <w:rPr>
          <w:rtl w:val="true"/>
        </w:rPr>
        <w:t>مبحث پنجم</w:t>
      </w:r>
      <w:r>
        <w:rPr>
          <w:rtl w:val="true"/>
        </w:rPr>
        <w:t xml:space="preserve">: </w:t>
      </w:r>
      <w:r>
        <w:rPr>
          <w:rtl w:val="true"/>
        </w:rPr>
        <w:t>چگونگی مصرف درآمد وقف</w:t>
      </w:r>
      <w:bookmarkEnd w:id="565"/>
    </w:p>
    <w:p>
      <w:pPr>
        <w:pStyle w:val="Heading5"/>
        <w:numPr>
          <w:ilvl w:val="4"/>
          <w:numId w:val="1"/>
        </w:numPr>
        <w:rPr/>
      </w:pPr>
      <w:bookmarkStart w:id="566" w:name="__RefHeading___Toc474305_1479056682"/>
      <w:bookmarkStart w:id="567" w:name="_Toc215"/>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 xml:space="preserve">از دیگر مباحثی که به مبحث موقوفٌ عَلَیْه مربوط است، چگونگی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این درآمد را به تساوی تقسیم کرد، یا این که سهم</w:t>
      </w:r>
    </w:p>
    <w:p>
      <w:pPr>
        <w:pStyle w:val="BookText"/>
        <w:rPr/>
      </w:pPr>
      <w:r>
        <w:rPr>
          <w:rFonts w:ascii="IRNazanin" w:hAnsi="IRNazanin" w:eastAsia="IRNazanin"/>
          <w:color w:val="111111"/>
          <w:sz w:val="28"/>
          <w:sz w:val="28"/>
          <w:szCs w:val="28"/>
          <w:rtl w:val="true"/>
          <w:lang w:bidi="fa-IR"/>
        </w:rPr>
        <w:t>مذکّر و مؤنّث با یکدیگر تفاوت دارد و یا باید تفصیل داد؟</w:t>
      </w:r>
    </w:p>
    <w:p>
      <w:pPr>
        <w:pStyle w:val="Heading5"/>
        <w:numPr>
          <w:ilvl w:val="4"/>
          <w:numId w:val="1"/>
        </w:numPr>
        <w:rPr/>
      </w:pPr>
      <w:bookmarkStart w:id="568" w:name="__RefHeading___Toc474307_1479056682"/>
      <w:bookmarkStart w:id="569" w:name="_Toc216"/>
      <w:bookmarkEnd w:id="568"/>
      <w:r>
        <w:rPr>
          <w:rtl w:val="true"/>
        </w:rPr>
        <w:t>دیدگاه امامیّه</w:t>
      </w:r>
      <w:bookmarkEnd w:id="569"/>
    </w:p>
    <w:p>
      <w:pPr>
        <w:pStyle w:val="BookText"/>
        <w:rPr/>
      </w:pPr>
      <w:r>
        <w:rPr>
          <w:rFonts w:ascii="IRNazanin" w:hAnsi="IRNazanin" w:eastAsia="IRNazanin"/>
          <w:color w:val="111111"/>
          <w:sz w:val="28"/>
          <w:sz w:val="28"/>
          <w:szCs w:val="28"/>
          <w:rtl w:val="true"/>
          <w:lang w:bidi="fa-IR"/>
        </w:rPr>
        <w:t>از مجموع اقوال و ابحاث فقهای امامیّه چنین به دست می آید که اگر واقف، خودش</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ویژگی خاصّ را در نحوه توزیع شرط کرده باشد، اعمّ از ترتیب ، تشریک یا تفصیل و تساوی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شرط او با شرع و مقتضای عقد وقف منافات نداشته باشد، وفا و عمل به شرط وی لازم است، در غیر این صورت، مقتضای اطلاق در وقف ، اشتراک </w:t>
      </w:r>
    </w:p>
    <w:p>
      <w:pPr>
        <w:pStyle w:val="BookText"/>
        <w:rPr/>
      </w:pPr>
      <w:r>
        <w:rPr>
          <w:rFonts w:ascii="IRNazanin" w:hAnsi="IRNazanin" w:eastAsia="IRNazanin"/>
          <w:color w:val="111111"/>
          <w:sz w:val="28"/>
          <w:sz w:val="28"/>
          <w:szCs w:val="28"/>
          <w:rtl w:val="true"/>
          <w:lang w:bidi="fa-IR"/>
        </w:rPr>
        <w:t>ذکور و اناث در وقف و تساوی در توزیع و تقسیم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ذکر است که در این جهت فرقی نمی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 و ذرّیّه واقف باشند؛ یا از اقارب و خویشان وی و یا این که اجنبی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نهایه تصریح کرده است که اگر واقف تفضیل بعضی را بر بعضی شرط کرده باشد مطابق شرط او عمل می شود؛ امّا اگر چنین شرطی نباشد مذکّر و مؤنّث به طور مساوی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کتاب خدا وقف کردم، همانند باب ارث ، به مذکّر</w:t>
      </w:r>
    </w:p>
    <w:p>
      <w:pPr>
        <w:pStyle w:val="BookText"/>
        <w:rPr/>
      </w:pPr>
      <w:r>
        <w:rPr>
          <w:rFonts w:ascii="IRNazanin" w:hAnsi="IRNazanin" w:eastAsia="IRNazanin"/>
          <w:color w:val="111111"/>
          <w:sz w:val="28"/>
          <w:sz w:val="28"/>
          <w:szCs w:val="28"/>
          <w:rtl w:val="true"/>
          <w:lang w:bidi="fa-IR"/>
        </w:rPr>
        <w:t>دو برابر مؤنّث می رسد</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فاضل مقداد، بعد از نسبت دادن این قول به اکثر اصحاب و استناد به اصل عدم تفضیل، از ابن جنید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اطلاق نیز باید همانند باب 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مذکّر دو برابر مؤنّث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حق، قول اکثر است، همانند باب وصیّت و اقرار</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 xml:space="preserve">در مختلف نیز بعد از بیان و استدلالی مشابهِ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فاضل مقداد نیز این مطلب را از علاّمه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ابن جنید شباهت باب</w:t>
      </w:r>
    </w:p>
    <w:p>
      <w:pPr>
        <w:pStyle w:val="BookText"/>
        <w:rPr/>
      </w:pPr>
      <w:r>
        <w:rPr>
          <w:rFonts w:ascii="IRNazanin" w:hAnsi="IRNazanin" w:eastAsia="IRNazanin"/>
          <w:color w:val="111111"/>
          <w:sz w:val="28"/>
          <w:sz w:val="28"/>
          <w:szCs w:val="28"/>
          <w:rtl w:val="true"/>
          <w:lang w:bidi="fa-IR"/>
        </w:rPr>
        <w:t>وقف به باب میراث است و در پاسخ وی اظهار می دارد که به فرض شباهت و وجود جامع، این استدلال، قیاس باطل است، چه رسد به فرض عدم شباهت و وجود فارق</w:t>
      </w:r>
      <w:r>
        <w:rPr>
          <w:rFonts w:eastAsia="IRNazanin" w:cs="IRNazanin"/>
          <w:color w:val="111111"/>
          <w:sz w:val="28"/>
          <w:szCs w:val="28"/>
          <w:rtl w:val="true"/>
          <w:lang w:bidi="fa-IR"/>
        </w:rPr>
        <w:t>.</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 xml:space="preserve">شهیدین در لمعه و روضه، شهید ثانی در مسالک، محقّق اوّل در مختصر و شرایع، علاّمه در قواعد و تذکره، محققّ ثانی در جامع المقاصد، ابن ادریس در سرائر، صاحب جواهر و صاحب مفتاح، امام خمینی در تحریر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لزوم رعایت تساوی، در</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اطلاق وقف،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جنید ، همان طور که گذشت ، مخالف است</w:t>
      </w:r>
      <w:r>
        <w:rPr>
          <w:rFonts w:eastAsia="IRNazanin" w:cs="IRNazanin"/>
          <w:color w:val="111111"/>
          <w:sz w:val="28"/>
          <w:szCs w:val="28"/>
          <w:rtl w:val="true"/>
          <w:lang w:bidi="fa-IR"/>
        </w:rPr>
        <w:t>.</w:t>
      </w:r>
      <w:r>
        <w:rPr>
          <w:rStyle w:val="FootnoteAnchor"/>
          <w:rtl w:val="true"/>
        </w:rPr>
        <w:footnoteReference w:id="949"/>
      </w:r>
      <w:bookmarkStart w:id="570" w:name="pg4267_21949"/>
    </w:p>
    <w:p>
      <w:pPr>
        <w:pStyle w:val="BookText"/>
        <w:rPr/>
      </w:pPr>
      <w:bookmarkEnd w:id="570"/>
      <w:r>
        <w:rPr>
          <w:rFonts w:ascii="IRNazanin" w:hAnsi="IRNazanin" w:eastAsia="IRNazanin"/>
          <w:color w:val="111111"/>
          <w:sz w:val="28"/>
          <w:sz w:val="28"/>
          <w:szCs w:val="28"/>
          <w:rtl w:val="true"/>
          <w:lang w:bidi="fa-IR"/>
        </w:rPr>
        <w:t>در جواهر لزوم برتری مذکّر را، در صورتی که وقف بر اولاد و ذرّیّه باشد، به اسکافی</w:t>
      </w:r>
    </w:p>
    <w:p>
      <w:pPr>
        <w:pStyle w:val="BookText"/>
        <w:rPr/>
      </w:pPr>
      <w:r>
        <w:rPr>
          <w:rFonts w:ascii="IRNazanin" w:hAnsi="IRNazanin" w:eastAsia="IRNazanin"/>
          <w:color w:val="111111"/>
          <w:sz w:val="28"/>
          <w:sz w:val="28"/>
          <w:szCs w:val="28"/>
          <w:rtl w:val="true"/>
          <w:lang w:bidi="fa-IR"/>
        </w:rPr>
        <w:t>نیز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مخالفت این دو یا چند نفر با اجماع و عدم خلاف چندان ناسازگار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قول مطابق با ادلّه و اصول، همان قول به‌تساوی و عدم تفضیل است مگر در مواردی که واقف تصریح کرده باشد</w:t>
      </w:r>
      <w:r>
        <w:rPr>
          <w:rFonts w:eastAsia="IRNazanin" w:cs="IRNazanin"/>
          <w:color w:val="111111"/>
          <w:sz w:val="28"/>
          <w:szCs w:val="28"/>
          <w:rtl w:val="true"/>
          <w:lang w:bidi="fa-IR"/>
        </w:rPr>
        <w:t>.</w:t>
      </w:r>
    </w:p>
    <w:p>
      <w:pPr>
        <w:pStyle w:val="Heading5"/>
        <w:numPr>
          <w:ilvl w:val="4"/>
          <w:numId w:val="1"/>
        </w:numPr>
        <w:rPr/>
      </w:pPr>
      <w:bookmarkStart w:id="571" w:name="__RefHeading___Toc474309_1479056682"/>
      <w:bookmarkStart w:id="572" w:name="_Toc217"/>
      <w:bookmarkEnd w:id="571"/>
      <w:r>
        <w:rPr>
          <w:rtl w:val="true"/>
        </w:rPr>
        <w:t>چند نکته</w:t>
      </w:r>
      <w:bookmarkEnd w:id="5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دروس ترتیب وتفضیل را قبیح دانسته است</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فیض کاشانی نیز با استناد به نصوص</w:t>
      </w:r>
      <w:r>
        <w:rPr>
          <w:rStyle w:val="FootnoteAnchor"/>
          <w:rtl w:val="true"/>
        </w:rPr>
        <w:footnoteReference w:id="951"/>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دادن فرزند یا فرزندانی بر بقیّه، بویژه در حال بیماری و تنگدستی کراهت دارد، زیرا این امر موجب ایجاد دشمنی و برانگیختن بین فرزندان می‌شود که به قطع رحم خواهد انجامید</w:t>
      </w:r>
      <w:r>
        <w:rPr>
          <w:rFonts w:eastAsia="IRNazanin" w:cs="IRNazanin"/>
          <w:color w:val="111111"/>
          <w:sz w:val="28"/>
          <w:szCs w:val="28"/>
          <w:rtl w:val="true"/>
          <w:lang w:bidi="fa-IR"/>
        </w:rPr>
        <w:t>.</w:t>
      </w:r>
      <w:r>
        <w:rPr>
          <w:rStyle w:val="FootnoteAnchor"/>
          <w:rtl w:val="true"/>
        </w:rPr>
        <w:footnoteReference w:id="952"/>
      </w:r>
    </w:p>
    <w:p>
      <w:pPr>
        <w:pStyle w:val="BookText"/>
        <w:rPr/>
      </w:pPr>
      <w:r>
        <w:rPr>
          <w:rFonts w:ascii="IRNazanin" w:hAnsi="IRNazanin" w:eastAsia="IRNazanin"/>
          <w:color w:val="111111"/>
          <w:sz w:val="28"/>
          <w:sz w:val="28"/>
          <w:szCs w:val="28"/>
          <w:rtl w:val="true"/>
          <w:lang w:bidi="fa-IR"/>
        </w:rPr>
        <w:t>این بیان در صورتی که تفضیل بدون هیچ انگیزه و سبب عقلایی باشد و از آن تبعیض بی مورد استشمام شود، جای هیچ بحث و اشکال و تأمّلی نیست؛ امّا در مواردی که انگیزه‌های شرعی، عقلایی و عرفی در میان باشد مانند رعایت افراد ناتوان، نیازمند و مانند اینها، مسلّم است که قضیّه شکل دیگری به خود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اعلام، از جمله شهید ثانی</w:t>
      </w:r>
      <w:r>
        <w:rPr>
          <w:rStyle w:val="FootnoteAnchor"/>
          <w:rtl w:val="true"/>
        </w:rPr>
        <w:footnoteReference w:id="953"/>
      </w:r>
      <w:r>
        <w:rPr>
          <w:rFonts w:ascii="Amiri" w:hAnsi="Amiri" w:eastAsia="Amiri" w:cs="Amiri"/>
          <w:color w:val="111111"/>
          <w:sz w:val="28"/>
          <w:sz w:val="28"/>
          <w:szCs w:val="28"/>
          <w:rtl w:val="true"/>
          <w:lang w:bidi="ar-SA"/>
        </w:rPr>
        <w:t>و محققّ ثانی</w:t>
      </w:r>
      <w:r>
        <w:rPr>
          <w:rStyle w:val="FootnoteAnchor"/>
          <w:rtl w:val="true"/>
        </w:rPr>
        <w:footnoteReference w:id="954"/>
      </w:r>
      <w:r>
        <w:rPr>
          <w:rFonts w:ascii="IRNazanin" w:hAnsi="IRNazanin" w:eastAsia="IRNazanin"/>
          <w:color w:val="111111"/>
          <w:sz w:val="28"/>
          <w:sz w:val="28"/>
          <w:szCs w:val="28"/>
          <w:rtl w:val="true"/>
          <w:lang w:bidi="fa-IR"/>
        </w:rPr>
        <w:t xml:space="preserve">تصریح کرده‌اند، لزوم رعایت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مواردی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محدود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غیر محصور و منتشر باشند رعایت تسویه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تشریک</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در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مصرف هستند و به عبارت روشنتر وقف بر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فقر، مسکنت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بر اشخاص و مصادیق عنوان </w:t>
      </w:r>
      <w:r>
        <w:rPr>
          <w:rFonts w:eastAsia="IRNazanin" w:cs="IRNazanin"/>
          <w:color w:val="111111"/>
          <w:sz w:val="28"/>
          <w:szCs w:val="28"/>
          <w:rtl w:val="true"/>
          <w:lang w:bidi="fa-IR"/>
        </w:rPr>
        <w:t xml:space="preserve">. </w:t>
      </w:r>
      <w:bookmarkStart w:id="573" w:name="pg4267_21950"/>
    </w:p>
    <w:p>
      <w:pPr>
        <w:pStyle w:val="BookText"/>
        <w:rPr/>
      </w:pPr>
      <w:bookmarkEnd w:id="573"/>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مال را بر زید و مساکین وقف کردم، نصف آن برای زید و نصف از آنِ مساکین است و اگر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و عمرو و مساکین، دو ثلث برای زید و عمرو یک ثلث برای مساکین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آن هم این است که عطف با واو، مقتضی اشتراک بین امور متعاطفه است و اصل نیز عدم تفاضل می باشد</w:t>
      </w:r>
      <w:r>
        <w:rPr>
          <w:rFonts w:eastAsia="IRNazanin" w:cs="IRNazanin"/>
          <w:color w:val="111111"/>
          <w:sz w:val="28"/>
          <w:szCs w:val="28"/>
          <w:rtl w:val="true"/>
          <w:lang w:bidi="fa-IR"/>
        </w:rPr>
        <w:t>.</w:t>
      </w:r>
      <w:r>
        <w:rPr>
          <w:rStyle w:val="FootnoteAnchor"/>
          <w:rtl w:val="true"/>
        </w:rPr>
        <w:footnoteReference w:id="955"/>
      </w:r>
    </w:p>
    <w:p>
      <w:pPr>
        <w:pStyle w:val="Heading5"/>
        <w:numPr>
          <w:ilvl w:val="4"/>
          <w:numId w:val="1"/>
        </w:numPr>
        <w:rPr/>
      </w:pPr>
      <w:bookmarkStart w:id="574" w:name="__RefHeading___Toc474311_1479056682"/>
      <w:bookmarkStart w:id="575" w:name="_Toc218"/>
      <w:bookmarkEnd w:id="574"/>
      <w:r>
        <w:rPr>
          <w:rtl w:val="true"/>
        </w:rPr>
        <w:t>دیدگاه دیگر مذاهب</w:t>
      </w:r>
      <w:bookmarkEnd w:id="575"/>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 xml:space="preserve">در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مالی بر فقرا وقف باشد، برای رعایت صیغه جمع سزاوارتر آن است که بین سه نفر به بالا توزیع شود؛ امّا در زکات رعایت این</w:t>
      </w:r>
    </w:p>
    <w:p>
      <w:pPr>
        <w:pStyle w:val="BookText"/>
        <w:rPr/>
      </w:pPr>
      <w:r>
        <w:rPr>
          <w:rFonts w:ascii="IRNazanin" w:hAnsi="IRNazanin" w:eastAsia="IRNazanin"/>
          <w:color w:val="111111"/>
          <w:sz w:val="28"/>
          <w:sz w:val="28"/>
          <w:szCs w:val="28"/>
          <w:rtl w:val="true"/>
          <w:lang w:bidi="fa-IR"/>
        </w:rPr>
        <w:t xml:space="preserve">امر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سیره رسول خدا صلی‌الله‌علیه‌و‌آله</w:t>
      </w:r>
      <w:r>
        <w:rPr>
          <w:rFonts w:eastAsia="IRNazanin" w:cs="IRNazanin"/>
          <w:color w:val="111111"/>
          <w:sz w:val="28"/>
          <w:szCs w:val="28"/>
          <w:rtl w:val="true"/>
          <w:lang w:bidi="fa-IR"/>
        </w:rPr>
        <w:t>).</w:t>
      </w:r>
      <w:r>
        <w:rPr>
          <w:rStyle w:val="FootnoteAnchor"/>
          <w:rtl w:val="true"/>
        </w:rPr>
        <w:footnoteReference w:id="956"/>
      </w:r>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ابوزهره که محور بحثش فقه حنفی است، تسویه بین فرزندان را در وقف واجب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مستند این نظر را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اِعْدِلُوا بَیْنَ اَبْناءَکُمْ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شَربینی از فقهای شافعیّه نیز مقتضای اطلاق را تساوی می‌داند، و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واقف مندرس شود و ندانیم که آیاتساوی وقف کرده یا به نحو تفضیل، چون اولویّتی در بین نیست، حکم ، همان تسویه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فرض اگر واقف یا ورثه او زنده باشند به قول آنها بدون سوگند عمل می شود؛ در غیر این صورت به قول ناظر</w:t>
      </w:r>
    </w:p>
    <w:p>
      <w:pPr>
        <w:pStyle w:val="BookText"/>
        <w:rPr/>
      </w:pPr>
      <w:r>
        <w:rPr>
          <w:rFonts w:ascii="IRNazanin" w:hAnsi="IRNazanin" w:eastAsia="IRNazanin"/>
          <w:color w:val="111111"/>
          <w:sz w:val="28"/>
          <w:sz w:val="28"/>
          <w:szCs w:val="28"/>
          <w:rtl w:val="true"/>
          <w:lang w:bidi="fa-IR"/>
        </w:rPr>
        <w:t xml:space="preserve">منصوب از جانب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منصوب از جانب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سوگند عمل می شود</w:t>
      </w:r>
      <w:r>
        <w:rPr>
          <w:rFonts w:eastAsia="IRNazanin" w:cs="IRNazanin"/>
          <w:color w:val="111111"/>
          <w:sz w:val="28"/>
          <w:szCs w:val="28"/>
          <w:rtl w:val="true"/>
          <w:lang w:bidi="fa-IR"/>
        </w:rPr>
        <w:t>.</w:t>
      </w:r>
      <w:r>
        <w:rPr>
          <w:rStyle w:val="FootnoteAnchor"/>
          <w:rtl w:val="true"/>
        </w:rPr>
        <w:footnoteReference w:id="958"/>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حنابله </w:t>
      </w:r>
    </w:p>
    <w:p>
      <w:pPr>
        <w:pStyle w:val="BookText"/>
        <w:rPr/>
      </w:pPr>
      <w:r>
        <w:rPr>
          <w:rFonts w:ascii="IRNazanin" w:hAnsi="IRNazanin" w:eastAsia="IRNazanin"/>
          <w:color w:val="111111"/>
          <w:sz w:val="28"/>
          <w:sz w:val="28"/>
          <w:szCs w:val="28"/>
          <w:rtl w:val="true"/>
          <w:lang w:bidi="fa-IR"/>
        </w:rPr>
        <w:t>از عبارات ابن قُدامه استفاده می شود که در مذهب احمدبن حنبل، تفضیل بعضی بر بعضی اگر بدون جهت باشد، مکروه است و اگر به دلیل عیالمند و یا نیازمند بودن فرد یا</w:t>
      </w:r>
    </w:p>
    <w:p>
      <w:pPr>
        <w:pStyle w:val="BookText"/>
        <w:rPr/>
      </w:pPr>
      <w:r>
        <w:rPr>
          <w:rFonts w:ascii="IRNazanin" w:hAnsi="IRNazanin" w:eastAsia="IRNazanin"/>
          <w:color w:val="111111"/>
          <w:sz w:val="28"/>
          <w:sz w:val="28"/>
          <w:szCs w:val="28"/>
          <w:rtl w:val="true"/>
          <w:lang w:bidi="fa-IR"/>
        </w:rPr>
        <w:t>افراد برتری داده شده باشند،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برای تشویق بر طلب علم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سپس به عمل ابوبکر استناد کرده است که از میان فرزندان خود ، نخله هایی را تنها به عایشه اعطا کرد و نیز به حدیث وقف عمر که حفصه را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مستحبّ است توزیع براساس باب ارث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لِلذَّکَرِ مِثْلُ حَظِّ الاُنْثَیَیْنِ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مرد در اداره امور زندگی مخارج بیشتری را باید متحمّل شود؛ امّا اگر موقوفٌ عَلَیْه غیرمحصور باشند، تفضیل و تسویه، هر دو، جایز است</w:t>
      </w:r>
      <w:r>
        <w:rPr>
          <w:rFonts w:eastAsia="IRNazanin" w:cs="IRNazanin"/>
          <w:color w:val="111111"/>
          <w:sz w:val="28"/>
          <w:szCs w:val="28"/>
          <w:rtl w:val="true"/>
          <w:lang w:bidi="fa-IR"/>
        </w:rPr>
        <w:t>.</w:t>
      </w:r>
      <w:r>
        <w:rPr>
          <w:rStyle w:val="FootnoteAnchor"/>
          <w:rtl w:val="true"/>
        </w:rPr>
        <w:footnoteReference w:id="959"/>
      </w:r>
    </w:p>
    <w:p>
      <w:pPr>
        <w:pStyle w:val="BookText"/>
        <w:rPr/>
      </w:pPr>
      <w:r>
        <w:rPr>
          <w:rFonts w:ascii="IRNazanin" w:hAnsi="IRNazanin" w:eastAsia="IRNazanin"/>
          <w:color w:val="111111"/>
          <w:sz w:val="28"/>
          <w:sz w:val="28"/>
          <w:szCs w:val="28"/>
          <w:rtl w:val="true"/>
          <w:lang w:bidi="fa-IR"/>
        </w:rPr>
        <w:t>توجّه به این نکته خالی از فایده نیست که در وقف عمر، تولیت وقف برعهده حفصه گذاشته شد، نه این که عمر او را بر دیگران برتری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متولّی نیز اجازه</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انتفاع از وقف داده شده است</w:t>
      </w:r>
      <w:r>
        <w:rPr>
          <w:rFonts w:eastAsia="IRNazanin" w:cs="IRNazanin"/>
          <w:color w:val="111111"/>
          <w:sz w:val="28"/>
          <w:szCs w:val="28"/>
          <w:rtl w:val="true"/>
          <w:lang w:bidi="fa-IR"/>
        </w:rPr>
        <w:t xml:space="preserve">. </w:t>
      </w:r>
      <w:bookmarkStart w:id="576" w:name="pg4267_21952"/>
    </w:p>
    <w:p>
      <w:pPr>
        <w:pStyle w:val="Heading3"/>
        <w:numPr>
          <w:ilvl w:val="2"/>
          <w:numId w:val="1"/>
        </w:numPr>
        <w:rPr/>
      </w:pPr>
      <w:bookmarkStart w:id="577" w:name="__RefHeading___Toc474313_1479056682"/>
      <w:bookmarkStart w:id="578" w:name="_Toc219"/>
      <w:bookmarkEnd w:id="576"/>
      <w:bookmarkEnd w:id="577"/>
      <w:r>
        <w:rPr>
          <w:rtl w:val="true"/>
        </w:rPr>
        <w:t>فصل پنجم</w:t>
      </w:r>
      <w:r>
        <w:rPr>
          <w:rtl w:val="true"/>
        </w:rPr>
        <w:t xml:space="preserve">: </w:t>
      </w:r>
      <w:r>
        <w:rPr>
          <w:rtl w:val="true"/>
        </w:rPr>
        <w:t>احکام وقف</w:t>
      </w:r>
      <w:bookmarkEnd w:id="578"/>
    </w:p>
    <w:p>
      <w:pPr>
        <w:pStyle w:val="Heading4"/>
        <w:numPr>
          <w:ilvl w:val="3"/>
          <w:numId w:val="1"/>
        </w:numPr>
        <w:rPr/>
      </w:pPr>
      <w:bookmarkStart w:id="579" w:name="__RefHeading___Toc474315_1479056682"/>
      <w:bookmarkStart w:id="580" w:name="_Toc220"/>
      <w:bookmarkEnd w:id="579"/>
      <w:r>
        <w:rPr>
          <w:rtl w:val="true"/>
        </w:rPr>
        <w:t>مبحث اوّل</w:t>
      </w:r>
      <w:r>
        <w:rPr>
          <w:rtl w:val="true"/>
        </w:rPr>
        <w:t xml:space="preserve">: </w:t>
      </w:r>
      <w:r>
        <w:rPr>
          <w:rtl w:val="true"/>
        </w:rPr>
        <w:t>نگهداری و هزینه مال موقوف</w:t>
      </w:r>
      <w:bookmarkEnd w:id="580"/>
    </w:p>
    <w:p>
      <w:pPr>
        <w:pStyle w:val="Heading5"/>
        <w:numPr>
          <w:ilvl w:val="4"/>
          <w:numId w:val="1"/>
        </w:numPr>
        <w:rPr/>
      </w:pPr>
      <w:bookmarkStart w:id="581" w:name="__RefHeading___Toc474317_1479056682"/>
      <w:bookmarkStart w:id="582" w:name="_Toc221"/>
      <w:bookmarkEnd w:id="581"/>
      <w:r>
        <w:rPr>
          <w:rtl w:val="true"/>
        </w:rPr>
        <w:t xml:space="preserve">گفتار </w:t>
      </w:r>
      <w:r>
        <w:rPr/>
        <w:t>1</w:t>
      </w:r>
      <w:r>
        <w:rPr>
          <w:rtl w:val="true"/>
        </w:rPr>
        <w:t xml:space="preserve"> - </w:t>
      </w:r>
      <w:r>
        <w:rPr>
          <w:rtl w:val="true"/>
        </w:rPr>
        <w:t>لزوم نگهداری و صیانت مال موقوف</w:t>
      </w:r>
      <w:bookmarkEnd w:id="582"/>
    </w:p>
    <w:p>
      <w:pPr>
        <w:pStyle w:val="Heading6"/>
        <w:numPr>
          <w:ilvl w:val="5"/>
          <w:numId w:val="1"/>
        </w:numPr>
        <w:rPr/>
      </w:pPr>
      <w:bookmarkStart w:id="583" w:name="__RefHeading___Toc474319_1479056682"/>
      <w:bookmarkStart w:id="584" w:name="_Toc222"/>
      <w:bookmarkEnd w:id="583"/>
      <w:r>
        <w:rPr>
          <w:rtl w:val="true"/>
        </w:rPr>
        <w:t>دیدگاه امامیّه</w:t>
      </w:r>
      <w:bookmarkEnd w:id="584"/>
    </w:p>
    <w:p>
      <w:pPr>
        <w:pStyle w:val="BookText"/>
        <w:rPr/>
      </w:pPr>
      <w:r>
        <w:rPr>
          <w:rFonts w:ascii="IRNazanin" w:hAnsi="IRNazanin" w:eastAsia="IRNazanin"/>
          <w:color w:val="111111"/>
          <w:sz w:val="28"/>
          <w:sz w:val="28"/>
          <w:szCs w:val="28"/>
          <w:rtl w:val="true"/>
          <w:lang w:bidi="fa-IR"/>
        </w:rPr>
        <w:t>تردیدی نیست که وظیفه همگان، بویژه کسانی که به نحوی با وقف در ارتباطند، این است که از مال موقوف نگهداری و از تلف و ضایع شدن آن جلوگیری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نگارنده در منابع فقهی به مبحث مستقلّی در این باره بر نخورده است؛ امّا عّده‌ای از اَعلام، آن‌جا که بحث عدم جواز غرس درخت را در مسجد مطرح کرده‌اند، دلیل این مسأله را تغییر، تصرّف در وقف و اضرار به آن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از علاّمه</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در تذکره،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غرس درخت در مسجد همانند بستن خوک در آن جاست</w:t>
      </w:r>
      <w:r>
        <w:rPr>
          <w:rFonts w:eastAsia="IRNazanin" w:cs="IRNazanin"/>
          <w:color w:val="111111"/>
          <w:sz w:val="28"/>
          <w:szCs w:val="28"/>
          <w:rtl w:val="true"/>
          <w:lang w:bidi="fa-IR"/>
        </w:rPr>
        <w:t>.</w:t>
      </w:r>
      <w:r>
        <w:rPr>
          <w:rStyle w:val="FootnoteAnchor"/>
          <w:rtl w:val="true"/>
        </w:rPr>
        <w:footnoteReference w:id="960"/>
      </w:r>
      <w:r>
        <w:rPr>
          <w:rFonts w:ascii="IRNazanin" w:hAnsi="IRNazanin" w:eastAsia="IRNazanin"/>
          <w:color w:val="111111"/>
          <w:sz w:val="28"/>
          <w:sz w:val="28"/>
          <w:szCs w:val="28"/>
          <w:rtl w:val="true"/>
          <w:lang w:bidi="fa-IR"/>
        </w:rPr>
        <w:t>و مفتاح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 عدم تضرّر به وقف، نباید اشکال داشته باشد</w:t>
      </w:r>
      <w:r>
        <w:rPr>
          <w:rFonts w:eastAsia="IRNazanin" w:cs="IRNazanin"/>
          <w:color w:val="111111"/>
          <w:sz w:val="28"/>
          <w:szCs w:val="28"/>
          <w:rtl w:val="true"/>
          <w:lang w:bidi="fa-IR"/>
        </w:rPr>
        <w:t>.</w:t>
      </w:r>
      <w:r>
        <w:rPr>
          <w:rStyle w:val="FootnoteAnchor"/>
          <w:rtl w:val="true"/>
        </w:rPr>
        <w:footnoteReference w:id="961"/>
      </w:r>
      <w:bookmarkStart w:id="585" w:name="pg4267_21953"/>
    </w:p>
    <w:p>
      <w:pPr>
        <w:pStyle w:val="BookText"/>
        <w:rPr/>
      </w:pPr>
      <w:bookmarkEnd w:id="585"/>
      <w:r>
        <w:rPr>
          <w:rFonts w:ascii="IRNazanin" w:hAnsi="IRNazanin" w:eastAsia="IRNazanin"/>
          <w:color w:val="111111"/>
          <w:sz w:val="28"/>
          <w:sz w:val="28"/>
          <w:szCs w:val="28"/>
          <w:rtl w:val="true"/>
          <w:lang w:bidi="fa-IR"/>
        </w:rPr>
        <w:t>فقهای اهل سنّت نیز در این زمینه عبارات و بیانات مشابهی را مطرح کرده‌اند</w:t>
      </w:r>
      <w:r>
        <w:rPr>
          <w:rFonts w:eastAsia="IRNazanin" w:cs="IRNazanin"/>
          <w:color w:val="111111"/>
          <w:sz w:val="28"/>
          <w:szCs w:val="28"/>
          <w:rtl w:val="true"/>
          <w:lang w:bidi="fa-IR"/>
        </w:rPr>
        <w:t>.</w:t>
      </w:r>
      <w:r>
        <w:rPr>
          <w:rStyle w:val="FootnoteAnchor"/>
          <w:rtl w:val="true"/>
        </w:rPr>
        <w:footnoteReference w:id="96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مغنی‌المحتاج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وقفی در دست موقوفٌ عَلَیْه، امانت است؛ لذا اگر آن را در غیر جهت وقف به کار گیرد، ضامن آن است</w:t>
      </w:r>
      <w:r>
        <w:rPr>
          <w:rFonts w:eastAsia="IRNazanin" w:cs="IRNazanin"/>
          <w:color w:val="111111"/>
          <w:sz w:val="28"/>
          <w:szCs w:val="28"/>
          <w:rtl w:val="true"/>
          <w:lang w:bidi="fa-IR"/>
        </w:rPr>
        <w:t>.</w:t>
      </w:r>
      <w:r>
        <w:rPr>
          <w:rStyle w:val="FootnoteAnchor"/>
          <w:rtl w:val="true"/>
        </w:rPr>
        <w:footnoteReference w:id="963"/>
      </w:r>
    </w:p>
    <w:p>
      <w:pPr>
        <w:pStyle w:val="Heading5"/>
        <w:numPr>
          <w:ilvl w:val="4"/>
          <w:numId w:val="1"/>
        </w:numPr>
        <w:rPr/>
      </w:pPr>
      <w:bookmarkStart w:id="586" w:name="__RefHeading___Toc474321_1479056682"/>
      <w:bookmarkStart w:id="587" w:name="_Toc223"/>
      <w:bookmarkEnd w:id="586"/>
      <w:r>
        <w:rPr>
          <w:rtl w:val="true"/>
        </w:rPr>
        <w:t xml:space="preserve">گفتار </w:t>
      </w:r>
      <w:r>
        <w:rPr/>
        <w:t>2</w:t>
      </w:r>
      <w:r>
        <w:rPr>
          <w:rtl w:val="true"/>
        </w:rPr>
        <w:t xml:space="preserve">- </w:t>
      </w:r>
      <w:r>
        <w:rPr>
          <w:rtl w:val="true"/>
        </w:rPr>
        <w:t>هزینه مال موقوف</w:t>
      </w:r>
      <w:bookmarkEnd w:id="587"/>
    </w:p>
    <w:p>
      <w:pPr>
        <w:pStyle w:val="Heading6"/>
        <w:numPr>
          <w:ilvl w:val="5"/>
          <w:numId w:val="1"/>
        </w:numPr>
        <w:rPr/>
      </w:pPr>
      <w:bookmarkStart w:id="588" w:name="__RefHeading___Toc474323_1479056682"/>
      <w:bookmarkStart w:id="589" w:name="_Toc224"/>
      <w:bookmarkEnd w:id="588"/>
      <w:r>
        <w:rPr>
          <w:rtl w:val="true"/>
        </w:rPr>
        <w:t>دیدگاه امامیّه</w:t>
      </w:r>
      <w:bookmarkEnd w:id="589"/>
    </w:p>
    <w:p>
      <w:pPr>
        <w:pStyle w:val="BookText"/>
        <w:rPr/>
      </w:pPr>
      <w:r>
        <w:rPr>
          <w:rFonts w:ascii="IRNazanin" w:hAnsi="IRNazanin" w:eastAsia="IRNazanin"/>
          <w:color w:val="111111"/>
          <w:sz w:val="28"/>
          <w:sz w:val="28"/>
          <w:szCs w:val="28"/>
          <w:rtl w:val="true"/>
          <w:lang w:bidi="fa-IR"/>
        </w:rPr>
        <w:t>بدون تردید اگر واقف برای هزینه و مخارج مال وقفی راهی را در نظر گرفته باشد، هزینه‌های وقف از همان راه تأمین می‌شود، در غیر این صورت این بحث مطرح می‌شود که این مخارج بر عهده چه کسی است؟</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درباره نفقه مملوک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ارشاد، تبصره، ایضاح ، دروس و لمعه، روض و مسالک و ظاهر شرایع و تحریر نقل کرده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اولاد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نفقه بر عهده خود آنهاست</w:t>
      </w:r>
      <w:r>
        <w:rPr>
          <w:rFonts w:eastAsia="IRNazanin" w:cs="IRNazanin"/>
          <w:color w:val="111111"/>
          <w:sz w:val="28"/>
          <w:szCs w:val="28"/>
          <w:rtl w:val="true"/>
          <w:lang w:bidi="fa-IR"/>
        </w:rPr>
        <w:t>.</w:t>
      </w:r>
      <w:r>
        <w:rPr>
          <w:rStyle w:val="FootnoteAnchor"/>
          <w:rtl w:val="true"/>
        </w:rPr>
        <w:footnoteReference w:id="964"/>
      </w:r>
      <w:r>
        <w:rPr>
          <w:rFonts w:ascii="Amiri" w:hAnsi="Amiri" w:eastAsia="Amiri" w:cs="Amiri"/>
          <w:color w:val="111111"/>
          <w:sz w:val="28"/>
          <w:sz w:val="28"/>
          <w:szCs w:val="28"/>
          <w:rtl w:val="true"/>
          <w:lang w:bidi="ar-SA"/>
        </w:rPr>
        <w:t>دروس این امر را بر قول به ملکیّت موقوفٌ عَلَیْه، متوقّف ساخته است</w:t>
      </w:r>
      <w:r>
        <w:rPr>
          <w:rFonts w:eastAsia="Amiri" w:cs="Amiri" w:ascii="Amiri" w:hAnsi="Amiri"/>
          <w:color w:val="111111"/>
          <w:sz w:val="28"/>
          <w:szCs w:val="28"/>
          <w:rtl w:val="true"/>
          <w:lang w:bidi="ar-SA"/>
        </w:rPr>
        <w:t>.</w:t>
      </w:r>
      <w:r>
        <w:rPr>
          <w:rStyle w:val="FootnoteAnchor"/>
          <w:rtl w:val="true"/>
        </w:rPr>
        <w:footnoteReference w:id="965"/>
      </w:r>
      <w:r>
        <w:rPr>
          <w:rFonts w:ascii="IRNazanin" w:hAnsi="IRNazanin" w:eastAsia="IRNazanin"/>
          <w:color w:val="111111"/>
          <w:sz w:val="28"/>
          <w:sz w:val="28"/>
          <w:szCs w:val="28"/>
          <w:rtl w:val="true"/>
          <w:lang w:bidi="fa-IR"/>
        </w:rPr>
        <w:t>همین مطلب را محقّق ثانی به عدّه‌ای از اَعلام نسبت داده و خود نیز آن را قول اصحّ شمرده است</w:t>
      </w:r>
      <w:r>
        <w:rPr>
          <w:rFonts w:eastAsia="IRNazanin" w:cs="IRNazanin"/>
          <w:color w:val="111111"/>
          <w:sz w:val="28"/>
          <w:szCs w:val="28"/>
          <w:rtl w:val="true"/>
          <w:lang w:bidi="fa-IR"/>
        </w:rPr>
        <w:t>.</w:t>
      </w:r>
      <w:r>
        <w:rPr>
          <w:rStyle w:val="FootnoteAnchor"/>
          <w:rtl w:val="true"/>
        </w:rPr>
        <w:footnoteReference w:id="966"/>
      </w:r>
    </w:p>
    <w:p>
      <w:pPr>
        <w:pStyle w:val="BookText"/>
        <w:rPr/>
      </w:pPr>
      <w:r>
        <w:rPr>
          <w:rFonts w:ascii="IRNazanin" w:hAnsi="IRNazanin" w:eastAsia="IRNazanin"/>
          <w:color w:val="111111"/>
          <w:sz w:val="28"/>
          <w:sz w:val="28"/>
          <w:szCs w:val="28"/>
          <w:rtl w:val="true"/>
          <w:lang w:bidi="fa-IR"/>
        </w:rPr>
        <w:t xml:space="preserve">امّا در صورتی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معیّن و منتشر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مال موقوف در کسب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دارای کسب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موقوف انسان نباشد یا دارای کسب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آن بر عهده بیت‌المال است و اگر بیت‌المال نبود، هزینه وقف، همانند دیگر مواردِ نیازمند، بر عهده مؤمنان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مباحث در صورتی است که موقوف، عبد و امه یا حیوان باشد؛ امّا اگر موقوف،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و اراضی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واقف هم درباره هزینه آن چیزی معیّن نکرده باشد، هزینه آن از درآمد وقف، کسر می‌شود و اگر درآمد وقف برای هزینه و تعمیر آن کافی </w:t>
      </w:r>
      <w:bookmarkStart w:id="590" w:name="pg4267_21954"/>
    </w:p>
    <w:p>
      <w:pPr>
        <w:pStyle w:val="BookText"/>
        <w:rPr/>
      </w:pPr>
      <w:bookmarkEnd w:id="590"/>
      <w:r>
        <w:rPr>
          <w:rFonts w:ascii="IRNazanin" w:hAnsi="IRNazanin" w:eastAsia="IRNazanin"/>
          <w:color w:val="111111"/>
          <w:sz w:val="28"/>
          <w:sz w:val="28"/>
          <w:szCs w:val="28"/>
          <w:rtl w:val="true"/>
          <w:lang w:bidi="fa-IR"/>
        </w:rPr>
        <w:t>نباشد، اکمال آن بر کسی واجب نیست</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 xml:space="preserve">در قانون مدنی نیز در صورتی که واقف ترتیبی قرار نداده باشد مخارج تعمیر و اصلاح موقوفه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شده است</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ظاهر عبارت محقّق ثانی و شهید ثانی این است که در این موارد، بین فقها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برای رعایت وقف و حفظ آن از تلف شدن، قول به تقدّم هزینه آن بر حق موقوفٌ عَلَیْه و در صورت کافی نبودن، اکمال آن از بیت المال، بویژه در مواردی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معین نیستند، مُوَجّه‌تر باشد</w:t>
      </w:r>
      <w:r>
        <w:rPr>
          <w:rFonts w:eastAsia="Amiri" w:cs="Amiri" w:ascii="Amiri" w:hAnsi="Amiri"/>
          <w:color w:val="111111"/>
          <w:sz w:val="28"/>
          <w:szCs w:val="28"/>
          <w:rtl w:val="true"/>
          <w:lang w:bidi="ar-SA"/>
        </w:rPr>
        <w:t>.</w:t>
      </w:r>
    </w:p>
    <w:p>
      <w:pPr>
        <w:pStyle w:val="Heading6"/>
        <w:numPr>
          <w:ilvl w:val="5"/>
          <w:numId w:val="1"/>
        </w:numPr>
        <w:rPr/>
      </w:pPr>
      <w:bookmarkStart w:id="591" w:name="__RefHeading___Toc474325_1479056682"/>
      <w:bookmarkStart w:id="592" w:name="_Toc225"/>
      <w:bookmarkEnd w:id="591"/>
      <w:r>
        <w:rPr>
          <w:rtl w:val="true"/>
        </w:rPr>
        <w:t>دیدگاه دیگر مذاهب</w:t>
      </w:r>
      <w:bookmarkEnd w:id="592"/>
    </w:p>
    <w:p>
      <w:pPr>
        <w:pStyle w:val="BookText"/>
        <w:rPr/>
      </w:pPr>
      <w:r>
        <w:rPr>
          <w:rFonts w:ascii="IRNazanin" w:hAnsi="IRNazanin" w:eastAsia="IRNazanin"/>
          <w:color w:val="111111"/>
          <w:sz w:val="28"/>
          <w:sz w:val="28"/>
          <w:szCs w:val="28"/>
          <w:rtl w:val="true"/>
          <w:lang w:bidi="fa-IR"/>
        </w:rPr>
        <w:t>وَهْبة 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اتّفاق نظر دارند که هزینه و نفقه وقف از درآمد آن تأمین می‌شود، هر چند درباره شرط واقف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دارند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حنفیّه می‌گویند؛ از همان آغاز، هزینه وقف از درآمد آن برداشته می‌شود، خواه واقف در این باره شرطی کرده باشد یا نه؛ زیرا وقف، صدقه جاریه در راه خداست و این صدقه جز به این طریق جاری نخواهد بود</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IRNazanin" w:hAnsi="IRNazanin" w:eastAsia="IRNazanin"/>
          <w:color w:val="111111"/>
          <w:sz w:val="28"/>
          <w:sz w:val="28"/>
          <w:szCs w:val="28"/>
          <w:rtl w:val="true"/>
          <w:lang w:bidi="fa-IR"/>
        </w:rPr>
        <w:t>مذهب شافعیّه این است که هزینه تجهیز و عمارت موقوف بر اساس شرطی است که واقف کرده است؛ خواه از مال خودش یا از مال موقوف، و اگر شرطی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هزینه از کسب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درآمد آن، و اگر درآمدی هم نداشت تنها هزینه تجهیز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عمارت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بیت‌المال تأمین می‌شود</w:t>
      </w:r>
      <w:r>
        <w:rPr>
          <w:rFonts w:eastAsia="IRNazanin" w:cs="IRNazanin"/>
          <w:color w:val="111111"/>
          <w:sz w:val="28"/>
          <w:szCs w:val="28"/>
          <w:rtl w:val="true"/>
          <w:lang w:bidi="fa-IR"/>
        </w:rPr>
        <w:t>.</w:t>
      </w:r>
      <w:r>
        <w:rPr>
          <w:rStyle w:val="FootnoteAnchor"/>
          <w:rtl w:val="true"/>
        </w:rPr>
        <w:footnoteReference w:id="97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مالکیّه همان دیدگاه حنفیّه است که از همان آغاز، هزینه از درآمد وقف تأمین می‌شود و گرنه به‌اتلاف وقف منجر می‌شود که جایزنیست</w:t>
      </w:r>
      <w:r>
        <w:rPr>
          <w:rFonts w:eastAsia="IRNazanin" w:cs="IRNazanin"/>
          <w:color w:val="111111"/>
          <w:sz w:val="28"/>
          <w:szCs w:val="28"/>
          <w:rtl w:val="true"/>
          <w:lang w:bidi="fa-IR"/>
        </w:rPr>
        <w:t>.</w:t>
      </w:r>
      <w:r>
        <w:rPr>
          <w:rStyle w:val="FootnoteAnchor"/>
          <w:rtl w:val="true"/>
        </w:rPr>
        <w:footnoteReference w:id="972"/>
      </w:r>
      <w:bookmarkStart w:id="593" w:name="pg4267_21955"/>
    </w:p>
    <w:p>
      <w:pPr>
        <w:pStyle w:val="BookText"/>
        <w:rPr/>
      </w:pPr>
      <w:bookmarkEnd w:id="593"/>
      <w:r>
        <w:rPr>
          <w:rFonts w:ascii="IRNazanin" w:hAnsi="IRNazanin" w:eastAsia="IRNazanin"/>
          <w:color w:val="111111"/>
          <w:sz w:val="28"/>
          <w:sz w:val="28"/>
          <w:szCs w:val="28"/>
          <w:rtl w:val="true"/>
          <w:lang w:bidi="fa-IR"/>
        </w:rPr>
        <w:t>حنابله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از شرط واقف پیروی کرد و اگر شرطی نبود، هزینه از درآمد وقف تأمین می‌شود</w:t>
      </w:r>
      <w:r>
        <w:rPr>
          <w:rFonts w:eastAsia="IRNazanin" w:cs="IRNazanin"/>
          <w:color w:val="111111"/>
          <w:sz w:val="28"/>
          <w:szCs w:val="28"/>
          <w:rtl w:val="true"/>
          <w:lang w:bidi="fa-IR"/>
        </w:rPr>
        <w:t>.</w:t>
      </w:r>
      <w:r>
        <w:rPr>
          <w:rStyle w:val="FootnoteAnchor"/>
          <w:rtl w:val="true"/>
        </w:rPr>
        <w:footnoteReference w:id="973"/>
      </w:r>
    </w:p>
    <w:p>
      <w:pPr>
        <w:pStyle w:val="Heading4"/>
        <w:numPr>
          <w:ilvl w:val="3"/>
          <w:numId w:val="1"/>
        </w:numPr>
        <w:rPr/>
      </w:pPr>
      <w:bookmarkStart w:id="594" w:name="__RefHeading___Toc474327_1479056682"/>
      <w:bookmarkStart w:id="595" w:name="_Toc226"/>
      <w:bookmarkEnd w:id="594"/>
      <w:r>
        <w:rPr>
          <w:rtl w:val="true"/>
        </w:rPr>
        <w:t>مبحث دوم</w:t>
      </w:r>
      <w:r>
        <w:rPr>
          <w:rtl w:val="true"/>
        </w:rPr>
        <w:t xml:space="preserve">: </w:t>
      </w:r>
      <w:r>
        <w:rPr>
          <w:rtl w:val="true"/>
        </w:rPr>
        <w:t>ملکیّت در وقف</w:t>
      </w:r>
      <w:bookmarkEnd w:id="595"/>
    </w:p>
    <w:p>
      <w:pPr>
        <w:pStyle w:val="Heading5"/>
        <w:numPr>
          <w:ilvl w:val="4"/>
          <w:numId w:val="1"/>
        </w:numPr>
        <w:rPr/>
      </w:pPr>
      <w:bookmarkStart w:id="596" w:name="__RefHeading___Toc474329_1479056682"/>
      <w:bookmarkStart w:id="597" w:name="_Toc227"/>
      <w:bookmarkEnd w:id="596"/>
      <w:r>
        <w:rPr>
          <w:rtl w:val="true"/>
        </w:rPr>
        <w:t xml:space="preserve">گفتار </w:t>
      </w:r>
      <w:r>
        <w:rPr/>
        <w:t>1</w:t>
      </w:r>
      <w:r>
        <w:rPr>
          <w:rtl w:val="true"/>
        </w:rPr>
        <w:t xml:space="preserve">- </w:t>
      </w:r>
      <w:r>
        <w:rPr>
          <w:rtl w:val="true"/>
        </w:rPr>
        <w:t>مالک رَقَبه اموالِ مَوقوفه کیست ؟</w:t>
      </w:r>
      <w:bookmarkEnd w:id="597"/>
    </w:p>
    <w:p>
      <w:pPr>
        <w:pStyle w:val="Heading6"/>
        <w:numPr>
          <w:ilvl w:val="5"/>
          <w:numId w:val="1"/>
        </w:numPr>
        <w:rPr/>
      </w:pPr>
      <w:bookmarkStart w:id="598" w:name="__RefHeading___Toc474331_1479056682"/>
      <w:bookmarkStart w:id="599" w:name="_Toc228"/>
      <w:bookmarkEnd w:id="598"/>
      <w:r>
        <w:rPr>
          <w:rtl w:val="true"/>
        </w:rPr>
        <w:t>اشاره</w:t>
      </w:r>
      <w:bookmarkEnd w:id="599"/>
    </w:p>
    <w:p>
      <w:pPr>
        <w:pStyle w:val="BookText"/>
        <w:rPr/>
      </w:pPr>
      <w:r>
        <w:rPr>
          <w:rFonts w:ascii="IRNazanin" w:hAnsi="IRNazanin" w:eastAsia="IRNazanin"/>
          <w:color w:val="111111"/>
          <w:sz w:val="28"/>
          <w:sz w:val="28"/>
          <w:szCs w:val="28"/>
          <w:rtl w:val="true"/>
          <w:lang w:bidi="fa-IR"/>
        </w:rPr>
        <w:t xml:space="preserve">از مباحثی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 بلکه جمهور اصحاب و نیز فقهای دیگر مذاهب اسلامی به آن پرداخته‌اند، مبحث ملکیّت در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مسأله که؛ اوّلاً، آیا</w:t>
      </w:r>
    </w:p>
    <w:p>
      <w:pPr>
        <w:pStyle w:val="BookText"/>
        <w:rPr/>
      </w:pPr>
      <w:r>
        <w:rPr>
          <w:rFonts w:ascii="IRNazanin" w:hAnsi="IRNazanin" w:eastAsia="IRNazanin"/>
          <w:color w:val="111111"/>
          <w:sz w:val="28"/>
          <w:sz w:val="28"/>
          <w:szCs w:val="28"/>
          <w:rtl w:val="true"/>
          <w:lang w:bidi="fa-IR"/>
        </w:rPr>
        <w:t xml:space="preserve">وقف تملیک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تحریر و فکّ ملک است؟ و ثانیا به فرض تملیک بودن، تملیک به خداوند است یا تملیک به موقوفٌ عَلَیْه، و یا در این جهت باید بین وقف</w:t>
      </w:r>
    </w:p>
    <w:p>
      <w:pPr>
        <w:pStyle w:val="BookText"/>
        <w:rPr/>
      </w:pPr>
      <w:r>
        <w:rPr>
          <w:rFonts w:ascii="IRNazanin" w:hAnsi="IRNazanin" w:eastAsia="IRNazanin"/>
          <w:color w:val="111111"/>
          <w:sz w:val="28"/>
          <w:sz w:val="28"/>
          <w:szCs w:val="28"/>
          <w:rtl w:val="true"/>
          <w:lang w:bidi="fa-IR"/>
        </w:rPr>
        <w:t>بر جهت عامّ و وقف بر معیّن تفصیل داد؟ و یا این که اصلاً تملیک نیست و مال وقفی همچنان در ملک واقف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ظاهرا پنج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قابل 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ملک واقف باقی می‌ماند و تنها منفعت آن نسبت به او سلب می‌شود؛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 ملک است و بعد از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بلامالک خواهد شد؛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می‌شود؛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منتقل می‌شود و مالک آن بعد از وقف،خداوند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 بر جهات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مسلمین،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خداوند و در وقف بر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موقوفٌ عَلَیْه و در وقف بر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 ملک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پرداختن به این مسأله یادآوری این نکته خالی از فایده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ملکیّت موقوفٌ عَلَیْه نسبت به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 که فاضل مقداد</w:t>
      </w:r>
      <w:r>
        <w:rPr>
          <w:rStyle w:val="FootnoteAnchor"/>
          <w:rtl w:val="true"/>
        </w:rPr>
        <w:footnoteReference w:id="974"/>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نیست، یعنی بعد از انعقاد و تمامیّت وقف، منافعِ مالِ موقوف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w:t>
      </w:r>
      <w:bookmarkStart w:id="600" w:name="pg4267_21956"/>
    </w:p>
    <w:p>
      <w:pPr>
        <w:pStyle w:val="BookText"/>
        <w:rPr/>
      </w:pPr>
      <w:bookmarkEnd w:id="600"/>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ابن زهره در غنیه</w:t>
      </w:r>
      <w:r>
        <w:rPr>
          <w:rStyle w:val="FootnoteAnchor"/>
          <w:rtl w:val="true"/>
        </w:rPr>
        <w:footnoteReference w:id="975"/>
      </w:r>
      <w:r>
        <w:rPr>
          <w:rFonts w:ascii="IRNazanin" w:hAnsi="IRNazanin" w:eastAsia="IRNazanin"/>
          <w:color w:val="111111"/>
          <w:sz w:val="28"/>
          <w:sz w:val="28"/>
          <w:szCs w:val="28"/>
          <w:rtl w:val="true"/>
          <w:lang w:bidi="fa-IR"/>
        </w:rPr>
        <w:t>تصریح کرده، مالکیّت موقوفٌ عَلَیْه نسبت به منافع در بعضی از موارد، مالکیّت انتفاع است، نه مالکیّت منفعت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منفعت در مواردی است که نظر واقف از وقف، تحصیل درآمد باشد تا در مصارفی معیّن هزینه شود، مانند وقف بر افراد معیّن و یا وقف اموالی برای</w:t>
      </w:r>
    </w:p>
    <w:p>
      <w:pPr>
        <w:pStyle w:val="BookText"/>
        <w:rPr/>
      </w:pPr>
      <w:r>
        <w:rPr>
          <w:rFonts w:ascii="IRNazanin" w:hAnsi="IRNazanin" w:eastAsia="IRNazanin"/>
          <w:color w:val="111111"/>
          <w:sz w:val="28"/>
          <w:sz w:val="28"/>
          <w:szCs w:val="28"/>
          <w:rtl w:val="true"/>
          <w:lang w:bidi="fa-IR"/>
        </w:rPr>
        <w:t>صرف درآمد و منافع آن در اداره مسجد و مدرسه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منافع، مِلک موقوفٌ عَلَیْه است، ملکیّت طلقی که می‌توان آنها را فروخت و یا به سبب دیگری آنها را</w:t>
      </w:r>
    </w:p>
    <w:p>
      <w:pPr>
        <w:pStyle w:val="BookText"/>
        <w:rPr/>
      </w:pPr>
      <w:r>
        <w:rPr>
          <w:rFonts w:ascii="IRNazanin" w:hAnsi="IRNazanin" w:eastAsia="IRNazanin"/>
          <w:color w:val="111111"/>
          <w:sz w:val="28"/>
          <w:sz w:val="28"/>
          <w:szCs w:val="28"/>
          <w:rtl w:val="true"/>
          <w:lang w:bidi="fa-IR"/>
        </w:rPr>
        <w:t>به دیگری منتقل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مالکیّت انتفاع مربوط به مواردی است که نظر واقف از وقف تحصیل درآمد مادّی نباشد، مانند احداث مدارس، قَناطِر و مشاهد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مسلمین مالک انتفاع از این موقوفات هستند،نه مالک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حق خرید و فروش،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نسبت به آن منافع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تملیک انتفاع عبارت است از اذن به دیگری برای این که تنها خودش به مباشرت از مالی انتفاع ببرد، مانند اذن در سکنای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اذن ممکن است از طرف خداوند و شارع باشد، مانند اذن به تمتّع از طیّبات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از طرف مالک</w:t>
      </w:r>
    </w:p>
    <w:p>
      <w:pPr>
        <w:pStyle w:val="BookText"/>
        <w:rPr/>
      </w:pPr>
      <w:r>
        <w:rPr>
          <w:rFonts w:ascii="IRNazanin" w:hAnsi="IRNazanin" w:eastAsia="IRNazanin"/>
          <w:color w:val="111111"/>
          <w:sz w:val="28"/>
          <w:sz w:val="28"/>
          <w:szCs w:val="28"/>
          <w:rtl w:val="true"/>
          <w:lang w:bidi="fa-IR"/>
        </w:rPr>
        <w:t>یک عین یا منفعت است</w:t>
      </w:r>
      <w:r>
        <w:rPr>
          <w:rFonts w:eastAsia="IRNazanin" w:cs="IRNazanin"/>
          <w:color w:val="111111"/>
          <w:sz w:val="28"/>
          <w:szCs w:val="28"/>
          <w:rtl w:val="true"/>
          <w:lang w:bidi="fa-IR"/>
        </w:rPr>
        <w:t>.</w:t>
      </w:r>
      <w:r>
        <w:rPr>
          <w:rStyle w:val="FootnoteAnchor"/>
          <w:rtl w:val="true"/>
        </w:rPr>
        <w:footnoteReference w:id="976"/>
      </w:r>
    </w:p>
    <w:p>
      <w:pPr>
        <w:pStyle w:val="BookText"/>
        <w:rPr/>
      </w:pPr>
      <w:r>
        <w:rPr>
          <w:rFonts w:ascii="IRNazanin" w:hAnsi="IRNazanin" w:eastAsia="IRNazanin"/>
          <w:color w:val="111111"/>
          <w:sz w:val="28"/>
          <w:sz w:val="28"/>
          <w:szCs w:val="28"/>
          <w:rtl w:val="true"/>
          <w:lang w:bidi="fa-IR"/>
        </w:rPr>
        <w:t>البتّه در وقف انتفاع تعبیر به ملکیّت انتفاع، شاید خالی از مسامحه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تعبیر به اباحه از تعبیر به تملیک،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اقوال فقهای مذاهب در مورد اصل مسأله</w:t>
      </w:r>
      <w:r>
        <w:rPr>
          <w:rFonts w:eastAsia="IRNazanin" w:cs="IRNazanin"/>
          <w:color w:val="111111"/>
          <w:sz w:val="28"/>
          <w:szCs w:val="28"/>
          <w:rtl w:val="true"/>
          <w:lang w:bidi="fa-IR"/>
        </w:rPr>
        <w:t>:</w:t>
      </w:r>
    </w:p>
    <w:p>
      <w:pPr>
        <w:pStyle w:val="Heading6"/>
        <w:numPr>
          <w:ilvl w:val="5"/>
          <w:numId w:val="1"/>
        </w:numPr>
        <w:rPr/>
      </w:pPr>
      <w:bookmarkStart w:id="601" w:name="__RefHeading___Toc474333_1479056682"/>
      <w:bookmarkStart w:id="602" w:name="_Toc229"/>
      <w:bookmarkEnd w:id="601"/>
      <w:r>
        <w:rPr>
          <w:rtl w:val="true"/>
        </w:rPr>
        <w:t>دیدگاه فقهای امامیّه</w:t>
      </w:r>
      <w:bookmarkEnd w:id="602"/>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طوسی در خلاف و مبسوط ابتدا زوال ملکیّت واقف را مطرح و در خلاف برای آن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بر زوال ملکیّتِ واقف یکی اجماع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 این که؛ بدون هیچ خلافی با وقف، تصرّف واقف در رقبه و منفعت قطع </w:t>
      </w:r>
    </w:p>
    <w:p>
      <w:pPr>
        <w:pStyle w:val="BookText"/>
        <w:rPr/>
      </w:pPr>
      <w:r>
        <w:rPr>
          <w:rFonts w:ascii="IRNazanin" w:hAnsi="IRNazanin" w:eastAsia="IRNazanin"/>
          <w:color w:val="111111"/>
          <w:sz w:val="28"/>
          <w:sz w:val="28"/>
          <w:szCs w:val="28"/>
          <w:rtl w:val="true"/>
          <w:lang w:bidi="fa-IR"/>
        </w:rPr>
        <w:t>می‌شود و زوال ملک معنایی جز این ندارد</w:t>
      </w:r>
      <w:r>
        <w:rPr>
          <w:rFonts w:eastAsia="IRNazanin" w:cs="IRNazanin"/>
          <w:color w:val="111111"/>
          <w:sz w:val="28"/>
          <w:szCs w:val="28"/>
          <w:rtl w:val="true"/>
          <w:lang w:bidi="fa-IR"/>
        </w:rPr>
        <w:t>.</w:t>
      </w:r>
      <w:r>
        <w:rPr>
          <w:rStyle w:val="FootnoteAnchor"/>
          <w:rtl w:val="true"/>
        </w:rPr>
        <w:footnoteReference w:id="977"/>
      </w:r>
      <w:r>
        <w:rPr>
          <w:rFonts w:ascii="IRNazanin" w:hAnsi="IRNazanin" w:eastAsia="IRNazanin"/>
          <w:color w:val="111111"/>
          <w:sz w:val="28"/>
          <w:sz w:val="28"/>
          <w:szCs w:val="28"/>
          <w:rtl w:val="true"/>
          <w:lang w:bidi="fa-IR"/>
        </w:rPr>
        <w:t xml:space="preserve">البتّه استدلال دوم شیخ در خلاف را می‌توان به مواردی چون محجورالتصرّف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مانندمُفَلَّس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تصرّف در رقبه و منفعت</w:t>
      </w:r>
    </w:p>
    <w:p>
      <w:pPr>
        <w:pStyle w:val="BookText"/>
        <w:rPr/>
      </w:pPr>
      <w:r>
        <w:rPr>
          <w:rFonts w:ascii="IRNazanin" w:hAnsi="IRNazanin" w:eastAsia="IRNazanin"/>
          <w:color w:val="111111"/>
          <w:sz w:val="28"/>
          <w:sz w:val="28"/>
          <w:szCs w:val="28"/>
          <w:rtl w:val="true"/>
          <w:lang w:bidi="fa-IR"/>
        </w:rPr>
        <w:t>ممنوع است، 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آن 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 است که مال موقوف بعد از تمامیّت وقف به موقوفٌ عَلَیْه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نیز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متعال منتقل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اکثر و به تعبیر مسالک، مشهور فقهای امامیّه نیز همین است که با وقف، ملکیّت واقف زایل می‌شود و حتّی ابن زهره در غنیه بر این مطلب ادّعای اجماع کرده است</w:t>
      </w:r>
      <w:r>
        <w:rPr>
          <w:rFonts w:eastAsia="IRNazanin" w:cs="IRNazanin"/>
          <w:color w:val="111111"/>
          <w:sz w:val="28"/>
          <w:szCs w:val="28"/>
          <w:rtl w:val="true"/>
          <w:lang w:bidi="fa-IR"/>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ابن ادریس در سرائر،</w:t>
      </w:r>
      <w:r>
        <w:rPr>
          <w:rStyle w:val="FootnoteAnchor"/>
          <w:rtl w:val="true"/>
        </w:rPr>
        <w:footnoteReference w:id="979"/>
      </w:r>
      <w:r>
        <w:rPr>
          <w:rFonts w:ascii="IRNazanin" w:hAnsi="IRNazanin" w:eastAsia="IRNazanin"/>
          <w:color w:val="111111"/>
          <w:sz w:val="28"/>
          <w:sz w:val="28"/>
          <w:szCs w:val="28"/>
          <w:rtl w:val="true"/>
          <w:lang w:bidi="fa-IR"/>
        </w:rPr>
        <w:t>شهید در دروس،</w:t>
      </w:r>
      <w:r>
        <w:rPr>
          <w:rStyle w:val="FootnoteAnchor"/>
          <w:rtl w:val="true"/>
        </w:rPr>
        <w:footnoteReference w:id="980"/>
      </w:r>
      <w:r>
        <w:rPr>
          <w:rFonts w:ascii="IRNazanin" w:hAnsi="IRNazanin" w:eastAsia="IRNazanin"/>
          <w:color w:val="111111"/>
          <w:sz w:val="28"/>
          <w:sz w:val="28"/>
          <w:szCs w:val="28"/>
          <w:rtl w:val="true"/>
          <w:lang w:bidi="fa-IR"/>
        </w:rPr>
        <w:t>قطب راوندی در فقه القرآن،</w:t>
      </w:r>
      <w:r>
        <w:rPr>
          <w:rStyle w:val="FootnoteAnchor"/>
          <w:rtl w:val="true"/>
        </w:rPr>
        <w:footnoteReference w:id="981"/>
      </w: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ارشاد</w:t>
      </w:r>
      <w:r>
        <w:rPr>
          <w:rStyle w:val="FootnoteAnchor"/>
          <w:rtl w:val="true"/>
        </w:rPr>
        <w:footnoteReference w:id="982"/>
      </w:r>
      <w:r>
        <w:rPr>
          <w:rFonts w:ascii="IRNazanin" w:hAnsi="IRNazanin" w:eastAsia="IRNazanin"/>
          <w:color w:val="111111"/>
          <w:sz w:val="28"/>
          <w:sz w:val="28"/>
          <w:szCs w:val="28"/>
          <w:rtl w:val="true"/>
          <w:lang w:bidi="fa-IR"/>
        </w:rPr>
        <w:t>و مختلف،</w:t>
      </w:r>
      <w:r>
        <w:rPr>
          <w:rStyle w:val="FootnoteAnchor"/>
          <w:rtl w:val="true"/>
        </w:rPr>
        <w:footnoteReference w:id="983"/>
      </w:r>
      <w:r>
        <w:rPr>
          <w:rFonts w:ascii="IRNazanin" w:hAnsi="IRNazanin" w:eastAsia="IRNazanin"/>
          <w:color w:val="111111"/>
          <w:sz w:val="28"/>
          <w:sz w:val="28"/>
          <w:szCs w:val="28"/>
          <w:rtl w:val="true"/>
          <w:lang w:bidi="fa-IR"/>
        </w:rPr>
        <w:t>محقّق در شرایع</w:t>
      </w:r>
      <w:r>
        <w:rPr>
          <w:rStyle w:val="FootnoteAnchor"/>
          <w:rtl w:val="true"/>
        </w:rPr>
        <w:footnoteReference w:id="984"/>
      </w:r>
      <w:r>
        <w:rPr>
          <w:rFonts w:ascii="IRNazanin" w:hAnsi="IRNazanin" w:eastAsia="IRNazanin"/>
          <w:color w:val="111111"/>
          <w:sz w:val="28"/>
          <w:sz w:val="28"/>
          <w:szCs w:val="28"/>
          <w:rtl w:val="true"/>
          <w:lang w:bidi="fa-IR"/>
        </w:rPr>
        <w:t>؛ فاضل مقداد در تنقیح</w:t>
      </w:r>
      <w:r>
        <w:rPr>
          <w:rStyle w:val="FootnoteAnchor"/>
          <w:rtl w:val="true"/>
        </w:rPr>
        <w:footnoteReference w:id="985"/>
      </w:r>
      <w:r>
        <w:rPr>
          <w:rFonts w:ascii="IRNazanin" w:hAnsi="IRNazanin" w:eastAsia="IRNazanin"/>
          <w:color w:val="111111"/>
          <w:sz w:val="28"/>
          <w:sz w:val="28"/>
          <w:szCs w:val="28"/>
          <w:rtl w:val="true"/>
          <w:lang w:bidi="fa-IR"/>
        </w:rPr>
        <w:t>و از معاصران، صاحب عروه؛</w:t>
      </w:r>
      <w:r>
        <w:rPr>
          <w:rStyle w:val="FootnoteAnchor"/>
          <w:rtl w:val="true"/>
        </w:rPr>
        <w:footnoteReference w:id="986"/>
      </w:r>
      <w:r>
        <w:rPr>
          <w:rFonts w:ascii="IRNazanin" w:hAnsi="IRNazanin" w:eastAsia="IRNazanin"/>
          <w:color w:val="111111"/>
          <w:sz w:val="28"/>
          <w:sz w:val="28"/>
          <w:szCs w:val="28"/>
          <w:rtl w:val="true"/>
          <w:lang w:bidi="fa-IR"/>
        </w:rPr>
        <w:t>امام خمینی،</w:t>
      </w:r>
      <w:r>
        <w:rPr>
          <w:rStyle w:val="FootnoteAnchor"/>
          <w:rtl w:val="true"/>
        </w:rPr>
        <w:footnoteReference w:id="98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زوال ملکیّت واقف و انتقال ملکیّت از او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دلیل اصلی این مختار را اجماع می‌داند و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ظاهرا این مطلب از ضروریات در نزد متشرّعه است</w:t>
      </w:r>
      <w:r>
        <w:rPr>
          <w:rFonts w:eastAsia="IRNazanin" w:cs="IRNazanin"/>
          <w:color w:val="111111"/>
          <w:sz w:val="28"/>
          <w:szCs w:val="28"/>
          <w:rtl w:val="true"/>
          <w:lang w:bidi="fa-IR"/>
        </w:rPr>
        <w:t>.</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مسالک برای این مسأله تقریبا همانند شیخ در مبسوط استدلال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سببی است که تصرّف در رقبه و منفعت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زایل می‌کند، لذا ملکیّت او هم زایل می‌شود، و نیز اگر وقف، ملک واقف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نیزبه او باز می‌گشت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فقهای امامیّه، ابوالصّلاح حَلبی به عدم انتقال ملک از واقف قایل شده و برای آن به حدیث نبوی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اْلاَصْلَ وَ 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کرده است؛ به این معنا که حبس</w:t>
      </w:r>
    </w:p>
    <w:p>
      <w:pPr>
        <w:pStyle w:val="BookText"/>
        <w:rPr/>
      </w:pPr>
      <w:r>
        <w:rPr>
          <w:rFonts w:ascii="IRNazanin" w:hAnsi="IRNazanin" w:eastAsia="IRNazanin"/>
          <w:color w:val="111111"/>
          <w:sz w:val="28"/>
          <w:sz w:val="28"/>
          <w:szCs w:val="28"/>
          <w:rtl w:val="true"/>
          <w:lang w:bidi="fa-IR"/>
        </w:rPr>
        <w:t>مال، بر دیگری موجب خروج رقبه آن از ملکیّت حابس نمی‌شود</w:t>
      </w:r>
      <w:r>
        <w:rPr>
          <w:rFonts w:eastAsia="IRNazanin" w:cs="IRNazanin"/>
          <w:color w:val="111111"/>
          <w:sz w:val="28"/>
          <w:szCs w:val="28"/>
          <w:rtl w:val="true"/>
          <w:lang w:bidi="fa-IR"/>
        </w:rPr>
        <w:t>.</w:t>
      </w:r>
      <w:r>
        <w:rPr>
          <w:rStyle w:val="FootnoteAnchor"/>
          <w:rtl w:val="true"/>
        </w:rPr>
        <w:footnoteReference w:id="989"/>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حقیقت این است که منظور پیامبر اکرم صلی‌الله‌علیه‌و‌آله از تحبیس این است که این مال بر ملک </w:t>
      </w:r>
      <w:bookmarkStart w:id="603" w:name="pg4267_21958"/>
    </w:p>
    <w:p>
      <w:pPr>
        <w:pStyle w:val="BookText"/>
        <w:rPr/>
      </w:pPr>
      <w:bookmarkEnd w:id="603"/>
      <w:r>
        <w:rPr>
          <w:rFonts w:ascii="Amiri" w:hAnsi="Amiri" w:eastAsia="Amiri" w:cs="Amiri"/>
          <w:color w:val="111111"/>
          <w:sz w:val="28"/>
          <w:sz w:val="28"/>
          <w:szCs w:val="28"/>
          <w:rtl w:val="true"/>
          <w:lang w:bidi="ar-SA"/>
        </w:rPr>
        <w:t>موقوف‌عَلَیه حبس می‌شود؛ یعنی برای او ملک طلق نیست، بلکه محبوس است از بیع، هبه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یُباعُ وَ لایُوهَبُ وَ لا یُورَثُ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جالب است که ابوزهره در این باره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راجح نزد امامیّه همان عدم خروج مال موقوف از ملک واقف است</w:t>
      </w:r>
      <w:r>
        <w:rPr>
          <w:rFonts w:eastAsia="IRNazanin" w:cs="IRNazanin"/>
          <w:color w:val="111111"/>
          <w:sz w:val="28"/>
          <w:szCs w:val="28"/>
          <w:rtl w:val="true"/>
          <w:lang w:bidi="fa-IR"/>
        </w:rPr>
        <w:t>.»</w:t>
      </w:r>
      <w:r>
        <w:rPr>
          <w:rStyle w:val="FootnoteAnchor"/>
          <w:rtl w:val="true"/>
        </w:rPr>
        <w:footnoteReference w:id="990"/>
      </w:r>
      <w:r>
        <w:rPr>
          <w:rFonts w:ascii="IRNazanin" w:hAnsi="IRNazanin" w:eastAsia="IRNazanin"/>
          <w:color w:val="111111"/>
          <w:sz w:val="28"/>
          <w:sz w:val="28"/>
          <w:szCs w:val="28"/>
          <w:rtl w:val="true"/>
          <w:lang w:bidi="fa-IR"/>
        </w:rPr>
        <w:t>معلوم نیست ابوزهره این مطلب را از کجا 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می‌رود وی حبس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نزد فقهای امامیّه حکمی غیر از 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وقف اشتباه گرفته باشد</w:t>
      </w:r>
      <w:r>
        <w:rPr>
          <w:rFonts w:eastAsia="IRNazanin" w:cs="IRNazanin"/>
          <w:color w:val="111111"/>
          <w:sz w:val="28"/>
          <w:szCs w:val="28"/>
          <w:rtl w:val="true"/>
          <w:lang w:bidi="fa-IR"/>
        </w:rPr>
        <w:t>.</w:t>
      </w:r>
    </w:p>
    <w:p>
      <w:pPr>
        <w:pStyle w:val="Heading6"/>
        <w:numPr>
          <w:ilvl w:val="5"/>
          <w:numId w:val="1"/>
        </w:numPr>
        <w:rPr/>
      </w:pPr>
      <w:bookmarkStart w:id="604" w:name="__RefHeading___Toc474335_1479056682"/>
      <w:bookmarkStart w:id="605" w:name="_Toc230"/>
      <w:bookmarkEnd w:id="604"/>
      <w:r>
        <w:rPr>
          <w:rtl w:val="true"/>
        </w:rPr>
        <w:t>مالکیّت موقوفٌ عَلَیْه</w:t>
      </w:r>
      <w:bookmarkEnd w:id="605"/>
    </w:p>
    <w:p>
      <w:pPr>
        <w:pStyle w:val="BookText"/>
        <w:rPr/>
      </w:pPr>
      <w:r>
        <w:rPr>
          <w:rFonts w:ascii="IRNazanin" w:hAnsi="IRNazanin" w:eastAsia="IRNazanin"/>
          <w:color w:val="111111"/>
          <w:sz w:val="28"/>
          <w:sz w:val="28"/>
          <w:szCs w:val="28"/>
          <w:rtl w:val="true"/>
          <w:lang w:bidi="fa-IR"/>
        </w:rPr>
        <w:t>ابن ادریس،</w:t>
      </w:r>
      <w:r>
        <w:rPr>
          <w:rStyle w:val="FootnoteAnchor"/>
          <w:rtl w:val="true"/>
        </w:rPr>
        <w:footnoteReference w:id="991"/>
      </w:r>
      <w:r>
        <w:rPr>
          <w:rFonts w:ascii="IRNazanin" w:hAnsi="IRNazanin" w:eastAsia="IRNazanin"/>
          <w:color w:val="111111"/>
          <w:sz w:val="28"/>
          <w:sz w:val="28"/>
          <w:szCs w:val="28"/>
          <w:rtl w:val="true"/>
          <w:lang w:bidi="fa-IR"/>
        </w:rPr>
        <w:t>علاّمه در مختلف</w:t>
      </w:r>
      <w:r>
        <w:rPr>
          <w:rStyle w:val="FootnoteAnchor"/>
          <w:rtl w:val="true"/>
        </w:rPr>
        <w:footnoteReference w:id="992"/>
      </w:r>
      <w:r>
        <w:rPr>
          <w:rFonts w:ascii="IRNazanin" w:hAnsi="IRNazanin" w:eastAsia="IRNazanin"/>
          <w:color w:val="111111"/>
          <w:sz w:val="28"/>
          <w:sz w:val="28"/>
          <w:szCs w:val="28"/>
          <w:rtl w:val="true"/>
          <w:lang w:bidi="fa-IR"/>
        </w:rPr>
        <w:t>و ارشاد؛</w:t>
      </w:r>
      <w:r>
        <w:rPr>
          <w:rStyle w:val="FootnoteAnchor"/>
          <w:rtl w:val="true"/>
        </w:rPr>
        <w:footnoteReference w:id="993"/>
      </w:r>
      <w:r>
        <w:rPr>
          <w:rFonts w:ascii="IRNazanin" w:hAnsi="IRNazanin" w:eastAsia="IRNazanin"/>
          <w:color w:val="111111"/>
          <w:sz w:val="28"/>
          <w:sz w:val="28"/>
          <w:szCs w:val="28"/>
          <w:rtl w:val="true"/>
          <w:lang w:bidi="fa-IR"/>
        </w:rPr>
        <w:t>محقّق در شرایع؛</w:t>
      </w:r>
      <w:r>
        <w:rPr>
          <w:rStyle w:val="FootnoteAnchor"/>
          <w:rtl w:val="true"/>
        </w:rPr>
        <w:footnoteReference w:id="994"/>
      </w:r>
      <w:r>
        <w:rPr>
          <w:rFonts w:ascii="IRNazanin" w:hAnsi="IRNazanin" w:eastAsia="IRNazanin"/>
          <w:color w:val="111111"/>
          <w:sz w:val="28"/>
          <w:sz w:val="28"/>
          <w:szCs w:val="28"/>
          <w:rtl w:val="true"/>
          <w:lang w:bidi="fa-IR"/>
        </w:rPr>
        <w:t xml:space="preserve">فخرالمحقّقین </w:t>
      </w:r>
      <w:r>
        <w:rPr>
          <w:rStyle w:val="FootnoteAnchor"/>
          <w:rtl w:val="true"/>
        </w:rPr>
        <w:footnoteReference w:id="995"/>
      </w:r>
      <w:r>
        <w:rPr>
          <w:rFonts w:ascii="IRNazanin" w:hAnsi="IRNazanin" w:eastAsia="IRNazanin"/>
          <w:color w:val="111111"/>
          <w:sz w:val="28"/>
          <w:sz w:val="28"/>
          <w:szCs w:val="28"/>
          <w:rtl w:val="true"/>
          <w:lang w:bidi="fa-IR"/>
        </w:rPr>
        <w:t xml:space="preserve">و دیگران نظر شیخ را برگزیده‌اند؛ یعنی انتقال مال موقوف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مسالک این قول را نظر اکثر می‌داند و حدائق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قول مشهور دانسته‌اند</w:t>
      </w:r>
      <w:r>
        <w:rPr>
          <w:rFonts w:eastAsia="IRNazanin" w:cs="IRNazanin"/>
          <w:color w:val="111111"/>
          <w:sz w:val="28"/>
          <w:szCs w:val="28"/>
          <w:rtl w:val="true"/>
          <w:lang w:bidi="fa-IR"/>
        </w:rPr>
        <w:t>.</w:t>
      </w:r>
      <w:r>
        <w:rPr>
          <w:rStyle w:val="FootnoteAnchor"/>
          <w:rtl w:val="true"/>
        </w:rPr>
        <w:footnoteReference w:id="996"/>
      </w:r>
      <w:r>
        <w:rPr>
          <w:rFonts w:ascii="IRNazanin" w:hAnsi="IRNazanin" w:eastAsia="IRNazanin"/>
          <w:color w:val="111111"/>
          <w:sz w:val="28"/>
          <w:sz w:val="28"/>
          <w:szCs w:val="28"/>
          <w:rtl w:val="true"/>
          <w:lang w:bidi="fa-IR"/>
        </w:rPr>
        <w:t>صاحب جواهر، امکان ادّعای اجماع را نیز مردود نمی‌داند</w:t>
      </w:r>
      <w:r>
        <w:rPr>
          <w:rFonts w:eastAsia="IRNazanin" w:cs="IRNazanin"/>
          <w:color w:val="111111"/>
          <w:sz w:val="28"/>
          <w:szCs w:val="28"/>
          <w:rtl w:val="true"/>
          <w:lang w:bidi="fa-IR"/>
        </w:rPr>
        <w:t>.</w:t>
      </w:r>
      <w:r>
        <w:rPr>
          <w:rStyle w:val="FootnoteAnchor"/>
          <w:rtl w:val="true"/>
        </w:rPr>
        <w:footnoteReference w:id="997"/>
      </w:r>
    </w:p>
    <w:p>
      <w:pPr>
        <w:pStyle w:val="BookText"/>
        <w:rPr/>
      </w:pPr>
      <w:r>
        <w:rPr>
          <w:rFonts w:ascii="IRNazanin" w:hAnsi="IRNazanin" w:eastAsia="IRNazanin"/>
          <w:color w:val="111111"/>
          <w:sz w:val="28"/>
          <w:sz w:val="28"/>
          <w:szCs w:val="28"/>
          <w:rtl w:val="true"/>
          <w:lang w:bidi="fa-IR"/>
        </w:rPr>
        <w:t xml:space="preserve">گروهی از اصحاب نیز نظرشان این است که ملکیّت موقوفٌ عَلَیْه در موارد وقف خاصّ که موقوف علیه معیّن است، تمام و بلامانع است؛ امّا در وقف بر جهات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مسلمین یا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و مانند آن، مالک،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Style w:val="FootnoteAnchor"/>
          <w:rtl w:val="true"/>
        </w:rPr>
        <w:footnoteReference w:id="998"/>
      </w:r>
      <w:r>
        <w:rPr>
          <w:rFonts w:ascii="Amiri" w:hAnsi="Amiri" w:eastAsia="Amiri" w:cs="Amiri"/>
          <w:color w:val="111111"/>
          <w:sz w:val="28"/>
          <w:sz w:val="28"/>
          <w:szCs w:val="28"/>
          <w:rtl w:val="true"/>
          <w:lang w:bidi="ar-SA"/>
        </w:rPr>
        <w:t>و محقّق ثانی</w:t>
      </w:r>
      <w:r>
        <w:rPr>
          <w:rStyle w:val="FootnoteAnchor"/>
          <w:rtl w:val="true"/>
        </w:rPr>
        <w:footnoteReference w:id="999"/>
      </w:r>
      <w:r>
        <w:rPr>
          <w:rFonts w:ascii="IRNazanin" w:hAnsi="IRNazanin" w:eastAsia="IRNazanin"/>
          <w:color w:val="111111"/>
          <w:sz w:val="28"/>
          <w:sz w:val="28"/>
          <w:szCs w:val="28"/>
          <w:rtl w:val="true"/>
          <w:lang w:bidi="fa-IR"/>
        </w:rPr>
        <w:t>این قول را برگزیده‌اند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دسته‌ای دیگر از اعلام، وقف مسجد را فکّ ملک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وقف بر معیّن، مالک را موقوفٌ عَلَیْه و در وقف بر جهات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را خدای متعال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و شهید در دروس، این قول را انتخاب کرده‌اند</w:t>
      </w:r>
      <w:r>
        <w:rPr>
          <w:rFonts w:eastAsia="IRNazanin" w:cs="IRNazanin"/>
          <w:color w:val="111111"/>
          <w:sz w:val="28"/>
          <w:szCs w:val="28"/>
          <w:rtl w:val="true"/>
          <w:lang w:bidi="fa-IR"/>
        </w:rPr>
        <w:t>.</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دلایل قول اوّل</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موقوف، مالی است مملوک، زیرا فایده ملک دارد، یعنی ضمان به مثل و قیمت در آن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آثار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ضمان برای واقف و غیر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ضمان برای موقوفٌ عَلَیه است و ملک هم برای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به ضمان در فرش و لوازم مسجد نقض شده است، یعنی با این که این اموال ملک خداوند هستند، ضمان هم دارند؛ ولی می‌توان به آن پاسخ داد که همین اموال نیز در حقیقت ملک مسلمین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است که صاحب جواهر، بویژه در موقوفٌ عَلَیْه معیّن، ادّعا کرده است</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ادّعای قطع کرد که کیفیّت سببیّت در همه اقسام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 است و بدون تردید در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 عَلَیْه مالک است؛ لذا در دیگر موارد نیز ناگزیر باید همین نظر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مالکیّت عناوین کلّی در شرع، در مواردی چون باب زکات، خمس، اراضی مفتوحة عنوةً، وصیّت، 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هدف و منظور واقف، انتقال ملکیّت به موقوفٌ عَلَیْه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 xml:space="preserve">و هیچ یک از انواع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وقف بر جهات عامّ مثل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موقوفٌ عَلَیْه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جواز بیع آن توسّط موقوفٌ عَلَیْه نیز با ملکیّت منافات ندارد، زیرا می‌بینیم مولی با این که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حق فروش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گذشته بیع در وقف در بعضی از موارد توسّط موقوف علیه تجویز شده است</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علی بن سلیمان نوفلی است که در پایان آن، امام باقر علیه‌السلام می‌فرماید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لِمَنْ حَضَرالْبَلَد الَّذی فیهِ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جا برای ملک است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حضرت منفعت مال بوده است، زیرا مرجع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اَرْض است که قبلاً در حدیث ذکر شده است</w:t>
      </w:r>
      <w:r>
        <w:rPr>
          <w:rFonts w:eastAsia="IRNazanin" w:cs="IRNazanin"/>
          <w:color w:val="111111"/>
          <w:sz w:val="28"/>
          <w:szCs w:val="28"/>
          <w:rtl w:val="true"/>
          <w:lang w:bidi="fa-IR"/>
        </w:rPr>
        <w:t>.</w:t>
      </w:r>
      <w:r>
        <w:rPr>
          <w:rStyle w:val="FootnoteAnchor"/>
          <w:rtl w:val="true"/>
        </w:rPr>
        <w:footnoteReference w:id="1003"/>
      </w:r>
    </w:p>
    <w:p>
      <w:pPr>
        <w:pStyle w:val="BookText"/>
        <w:rPr/>
      </w:pPr>
      <w:r>
        <w:rPr>
          <w:rFonts w:ascii="IRNazanin" w:hAnsi="IRNazanin" w:eastAsia="IRNazanin"/>
          <w:color w:val="111111"/>
          <w:sz w:val="28"/>
          <w:sz w:val="28"/>
          <w:szCs w:val="28"/>
          <w:rtl w:val="true"/>
          <w:lang w:bidi="fa-IR"/>
        </w:rPr>
        <w:t xml:space="preserve">دلایل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انتقال به موقوفٌ عَلَیْه در وقف معیّن همان ادلّه قول اوّل است و امّا دلایل آنها برای انتقال در جهات عامّ، به خداوند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دسته از اوقاف، نسبت هر یک از مستحقّان به وقف، مساوی است، ملکیّت تک تک آنها هم که غیر ممکن است، ملکیّت واحد معیّن هم مستلزم ترجیح بدون مرحّج است، مجموع من حیث المجموع هم نمی‌تواند مالک باشد، زیرا می‌بینیم که حاضران به آن اختصاص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گفت ملک در این موارد برای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اوقاف عامّ، تملیک بر وجه قربت است، مانند عتق، لذا باید به خداوند منتقل شود و نیز بیع در این موارد جایز نیست، بنابراین افراد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w:t>
      </w:r>
    </w:p>
    <w:p>
      <w:pPr>
        <w:pStyle w:val="BookText"/>
        <w:rPr/>
      </w:pPr>
      <w:r>
        <w:rPr>
          <w:rFonts w:ascii="IRNazanin" w:hAnsi="IRNazanin" w:eastAsia="IRNazanin"/>
          <w:color w:val="111111"/>
          <w:sz w:val="28"/>
          <w:sz w:val="28"/>
          <w:szCs w:val="28"/>
          <w:rtl w:val="true"/>
          <w:lang w:bidi="fa-IR"/>
        </w:rPr>
        <w:t>نخواهند بود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صدقه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این دلیل، همه انواع وقف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صدقات ملک خدای متعال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را ابن اِدریس از بعضی ازکسانی که به این قول معتقدند، نقل کرده است و فاضل مقداد</w:t>
      </w:r>
      <w:r>
        <w:rPr>
          <w:rStyle w:val="FootnoteAnchor"/>
          <w:rtl w:val="true"/>
        </w:rPr>
        <w:footnoteReference w:id="1005"/>
      </w:r>
      <w:r>
        <w:rPr>
          <w:rFonts w:ascii="IRNazanin" w:hAnsi="IRNazanin" w:eastAsia="IRNazanin"/>
          <w:color w:val="111111"/>
          <w:sz w:val="28"/>
          <w:sz w:val="28"/>
          <w:szCs w:val="28"/>
          <w:rtl w:val="true"/>
          <w:lang w:bidi="fa-IR"/>
        </w:rPr>
        <w:t>در پاسخ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کلیّت کبری ممنوع است؛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انَّما الصَّدَقاتُ لِلْفُقراء </w:t>
      </w:r>
      <w:r>
        <w:rPr>
          <w:rFonts w:eastAsia="IRNazanin" w:cs="IRNazanin"/>
          <w:color w:val="111111"/>
          <w:sz w:val="28"/>
          <w:szCs w:val="28"/>
          <w:rtl w:val="true"/>
          <w:lang w:bidi="fa-IR"/>
        </w:rPr>
        <w:t>...».</w:t>
      </w:r>
      <w:r>
        <w:rPr>
          <w:rStyle w:val="FootnoteAnchor"/>
          <w:rtl w:val="true"/>
        </w:rPr>
        <w:footnoteReference w:id="1006"/>
      </w:r>
    </w:p>
    <w:p>
      <w:pPr>
        <w:pStyle w:val="BookText"/>
        <w:rPr/>
      </w:pPr>
      <w:r>
        <w:rPr>
          <w:rFonts w:ascii="IRNazanin" w:hAnsi="IRNazanin" w:eastAsia="IRNazanin"/>
          <w:color w:val="111111"/>
          <w:sz w:val="28"/>
          <w:sz w:val="28"/>
          <w:szCs w:val="28"/>
          <w:rtl w:val="true"/>
          <w:lang w:bidi="fa-IR"/>
        </w:rPr>
        <w:t>و امّا برای کسانی که چون علاّمه</w:t>
      </w:r>
      <w:r>
        <w:rPr>
          <w:rStyle w:val="FootnoteAnchor"/>
          <w:rtl w:val="true"/>
        </w:rPr>
        <w:footnoteReference w:id="1007"/>
      </w:r>
      <w:r>
        <w:rPr>
          <w:rFonts w:ascii="IRNazanin" w:hAnsi="IRNazanin" w:eastAsia="IRNazanin"/>
          <w:color w:val="111111"/>
          <w:sz w:val="28"/>
          <w:sz w:val="28"/>
          <w:szCs w:val="28"/>
          <w:rtl w:val="true"/>
          <w:lang w:bidi="fa-IR"/>
        </w:rPr>
        <w:t>در قواعد، در تفصیل خود، وقف مسجد را، مانند عتق، فکّ ملک می‌دانند به دلیلی خاصّ بر نخوردم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 ضمن نقل</w:t>
      </w:r>
    </w:p>
    <w:p>
      <w:pPr>
        <w:pStyle w:val="BookText"/>
        <w:rPr/>
      </w:pPr>
      <w:r>
        <w:rPr>
          <w:rFonts w:ascii="IRNazanin" w:hAnsi="IRNazanin" w:eastAsia="IRNazanin"/>
          <w:color w:val="111111"/>
          <w:sz w:val="28"/>
          <w:sz w:val="28"/>
          <w:szCs w:val="28"/>
          <w:rtl w:val="true"/>
          <w:lang w:bidi="fa-IR"/>
        </w:rPr>
        <w:t>قول علاّمه بحثی نسبتا مفصّل دارد راجع به این که؛ ممکن است منظور مصنّف از فکّ ملک در مسجد، بیان تفاوت بین وقف مسجد و وقف بر جهات عامّ باشد نه این که بخواهد بفرماید، در وقف مسجد ملکیّت برای خداوند نیست</w:t>
      </w:r>
      <w:r>
        <w:rPr>
          <w:rFonts w:eastAsia="IRNazanin" w:cs="IRNazanin"/>
          <w:color w:val="111111"/>
          <w:sz w:val="28"/>
          <w:szCs w:val="28"/>
          <w:rtl w:val="true"/>
          <w:lang w:bidi="fa-IR"/>
        </w:rPr>
        <w:t>.</w:t>
      </w:r>
      <w:r>
        <w:rPr>
          <w:rStyle w:val="FootnoteAnchor"/>
          <w:rtl w:val="true"/>
        </w:rPr>
        <w:footnoteReference w:id="1008"/>
      </w:r>
    </w:p>
    <w:p>
      <w:pPr>
        <w:pStyle w:val="BookText"/>
        <w:rPr/>
      </w:pPr>
      <w:r>
        <w:rPr>
          <w:rFonts w:ascii="IRNazanin" w:hAnsi="IRNazanin" w:eastAsia="IRNazanin"/>
          <w:color w:val="111111"/>
          <w:sz w:val="28"/>
          <w:sz w:val="28"/>
          <w:szCs w:val="28"/>
          <w:rtl w:val="true"/>
          <w:lang w:bidi="fa-IR"/>
        </w:rPr>
        <w:t>امّا ظاهر عبارت علاّمه با این توجیه ناسازگار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اِنْ کانَ مَسجدا فَهُوَ فَکُّ</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مِلْکٍ و اِنْ کانَ عَلی مُعیَّنٍ فَالاَقْرَبُ اَنَّ الْمِلْک 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شاید وجه آن، همان تفاوت محسوس و روشنی است که وقف مسجد با بقیه اوقاف دارد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درباره ملکیّت در وقف دیدگاه دیگری نیز هست که بعضی از اَعلام متأخّر و معاصر همانند صاحب عروه، امام خمینی در البیع و تحریر، آیه‌الله حکیم در منهاج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ضمن ردّ و تضعیف همه ادلّه‌ای که صاحب جواهر برای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 درباره روایاتی که در آنها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صَدَقَةٌ بَتًّا، بَتْلاً مَبْتُوتةً لا رَجْعَةَ فیها وَ لا رَدّ</w:t>
      </w:r>
      <w:r>
        <w:rPr>
          <w:rFonts w:eastAsia="IRNazanin" w:cs="IRNazanin"/>
          <w:color w:val="111111"/>
          <w:sz w:val="28"/>
          <w:szCs w:val="28"/>
          <w:rtl w:val="true"/>
          <w:lang w:bidi="fa-IR"/>
        </w:rPr>
        <w:t>»</w:t>
      </w:r>
      <w:r>
        <w:rPr>
          <w:rStyle w:val="FootnoteAnchor"/>
          <w:rtl w:val="true"/>
        </w:rPr>
        <w:footnoteReference w:id="100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صدقه‌ای است قطعی و بریده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هیچ وجه بازگشتی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صاحب جواهر به این روایات برای انقطاع ملکیّت واقف و اثبات ملکیّت موقوفٌ عَلَیْه، تمسّک کرده است، امّا حق این است که اطلاق این روایات اقتضا می‌کند که منظور، انقطاع مال موقوف به طور کلّی باشد، خواه از واقف و خواه از موقوفٌ عَلَیْه،</w:t>
      </w:r>
    </w:p>
    <w:p>
      <w:pPr>
        <w:pStyle w:val="BookText"/>
        <w:rPr/>
      </w:pPr>
      <w:r>
        <w:rPr>
          <w:rFonts w:ascii="IRNazanin" w:hAnsi="IRNazanin" w:eastAsia="IRNazanin"/>
          <w:color w:val="111111"/>
          <w:sz w:val="28"/>
          <w:sz w:val="28"/>
          <w:szCs w:val="28"/>
          <w:rtl w:val="true"/>
          <w:lang w:bidi="fa-IR"/>
        </w:rPr>
        <w:t>وگرنه مقطوعیّت صدقه از متصدّق اختصاص به وقف ندارد؛ سایر صدقات نیز همین ویژگی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همه اقسامش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ایقافِ عین است برای رساندن منفعت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موقوف، بجز در بعضی از موارد وقف منقطع الآخر، از ملک واقف، خارج می‌شود و داخل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نمی‌شود</w:t>
      </w:r>
      <w:r>
        <w:rPr>
          <w:rFonts w:eastAsia="IRNazanin" w:cs="IRNazanin"/>
          <w:color w:val="111111"/>
          <w:sz w:val="28"/>
          <w:szCs w:val="28"/>
          <w:rtl w:val="true"/>
          <w:lang w:bidi="fa-IR"/>
        </w:rPr>
        <w:t>.</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صاحب عروه نیز ضمن بیان این مطلب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که ملک بدون مالک، معقول نیست، نیز مدفوع است به این که؛ ما ملکیّت آن را قبول نداریم؛ قدر مسلّم</w:t>
      </w:r>
    </w:p>
    <w:p>
      <w:pPr>
        <w:pStyle w:val="BookText"/>
        <w:rPr/>
      </w:pPr>
      <w:r>
        <w:rPr>
          <w:rFonts w:ascii="IRNazanin" w:hAnsi="IRNazanin" w:eastAsia="IRNazanin"/>
          <w:color w:val="111111"/>
          <w:sz w:val="28"/>
          <w:sz w:val="28"/>
          <w:szCs w:val="28"/>
          <w:rtl w:val="true"/>
          <w:lang w:bidi="fa-IR"/>
        </w:rPr>
        <w:t>این است که مالی است بلامالک، و این ناممکن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مالی است که مالکش قبل از آن که کسی آن را مالک شود، از آن اِعراض کرده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 xml:space="preserve">آیه الّله حکیم نیز، مال موقوف را از ملک واقف خارج می‌داند، امّا تصریح کرده است که به ملک موقوفٌ عَلَیه وارد نمی‌شود و در حقیقت، صدقه‌ای است که در آمد آن ملک موقوفٌ عَلَیْه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بعضی از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مصرف جهت موقوفٌ علیها می‌رسد</w:t>
      </w:r>
      <w:r>
        <w:rPr>
          <w:rFonts w:eastAsia="IRNazanin" w:cs="IRNazanin"/>
          <w:color w:val="111111"/>
          <w:sz w:val="28"/>
          <w:szCs w:val="28"/>
          <w:rtl w:val="true"/>
          <w:lang w:bidi="fa-IR"/>
        </w:rPr>
        <w:t>.</w:t>
      </w:r>
      <w:r>
        <w:rPr>
          <w:rStyle w:val="FootnoteAnchor"/>
          <w:rtl w:val="true"/>
        </w:rPr>
        <w:footnoteReference w:id="1012"/>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حدائق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جهات عامّه، مثل فقر یا مصالح مثل مساجد بیشتر از خروج آن از ملک واقف استفاده نمی‌شود؛ امّا این که به خدا یا غیر او منتقل شود از </w:t>
      </w:r>
      <w:bookmarkStart w:id="606" w:name="pg4267_21962"/>
    </w:p>
    <w:p>
      <w:pPr>
        <w:pStyle w:val="BookText"/>
        <w:rPr/>
      </w:pPr>
      <w:bookmarkEnd w:id="606"/>
      <w:r>
        <w:rPr>
          <w:rFonts w:ascii="IRNazanin" w:hAnsi="IRNazanin" w:eastAsia="IRNazanin"/>
          <w:color w:val="111111"/>
          <w:sz w:val="28"/>
          <w:sz w:val="28"/>
          <w:szCs w:val="28"/>
          <w:rtl w:val="true"/>
          <w:lang w:bidi="fa-IR"/>
        </w:rPr>
        <w:t xml:space="preserve">اخبار به دست نمی‌آید ولی در مواردی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مستفاد از اخبار، انتقال ملک، به موقوفٌ عَلَیْه است</w:t>
      </w:r>
      <w:r>
        <w:rPr>
          <w:rFonts w:eastAsia="IRNazanin" w:cs="IRNazanin"/>
          <w:color w:val="111111"/>
          <w:sz w:val="28"/>
          <w:szCs w:val="28"/>
          <w:rtl w:val="true"/>
          <w:lang w:bidi="fa-IR"/>
        </w:rPr>
        <w:t>.</w:t>
      </w:r>
      <w:r>
        <w:rPr>
          <w:rStyle w:val="FootnoteAnchor"/>
          <w:rtl w:val="true"/>
        </w:rPr>
        <w:footnoteReference w:id="1013"/>
      </w:r>
    </w:p>
    <w:p>
      <w:pPr>
        <w:pStyle w:val="BookText"/>
        <w:rPr/>
      </w:pPr>
      <w:r>
        <w:rPr>
          <w:rFonts w:ascii="IRNazanin" w:hAnsi="IRNazanin" w:eastAsia="IRNazanin"/>
          <w:color w:val="111111"/>
          <w:sz w:val="28"/>
          <w:sz w:val="28"/>
          <w:szCs w:val="28"/>
          <w:rtl w:val="true"/>
          <w:lang w:bidi="fa-IR"/>
        </w:rPr>
        <w:t xml:space="preserve">به نظر می‌رسد در میان اقوال این قول که وقف در همه انواع وقف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 شود بیش از بقیه اقوال قابل دفاع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وقفهای خاصّ که موقوفٌ عَلَیه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وقفهای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مثل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اراضی خراجیه که ملک مسلمین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آن هم همان ادله‌ای است که ضمن طرح این قول گذشت و این ایراد که وقف در اوقافِ عامّ، صدقه و نیز تملیک بروجه قربت است، نیز وارد نیست؛ زیرا صدقه و قربت بودن با تملیک آن به غیر خداوند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درباب خمس و زکات در عین قربت‌بودن، گیرندگان مالک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یک نوع ملکیّت خاصّی است که مالکان جز در مواردی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باب بیع وقف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نقلِ آن را ندارند</w:t>
      </w:r>
      <w:r>
        <w:rPr>
          <w:rFonts w:eastAsia="IRNazanin" w:cs="IRNazanin"/>
          <w:color w:val="111111"/>
          <w:sz w:val="28"/>
          <w:szCs w:val="28"/>
          <w:rtl w:val="true"/>
          <w:lang w:bidi="fa-IR"/>
        </w:rPr>
        <w:t>.</w:t>
      </w:r>
    </w:p>
    <w:p>
      <w:pPr>
        <w:pStyle w:val="Heading6"/>
        <w:numPr>
          <w:ilvl w:val="5"/>
          <w:numId w:val="1"/>
        </w:numPr>
        <w:rPr/>
      </w:pPr>
      <w:bookmarkStart w:id="607" w:name="__RefHeading___Toc474337_1479056682"/>
      <w:bookmarkStart w:id="608" w:name="_Toc231"/>
      <w:bookmarkEnd w:id="607"/>
      <w:r>
        <w:rPr>
          <w:rtl w:val="true"/>
        </w:rPr>
        <w:t>چند نکته</w:t>
      </w:r>
      <w:bookmarkEnd w:id="6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ثانی اظهار داشته است، منظور از مالی که ملک خدا می‌شود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می‌شود، بلکه به این معناست که این محلّ، از ملک و اختصاص به آدمیان، منفکّ می‌شود</w:t>
      </w:r>
      <w:r>
        <w:rPr>
          <w:rFonts w:eastAsia="IRNazanin" w:cs="IRNazanin"/>
          <w:color w:val="111111"/>
          <w:sz w:val="28"/>
          <w:szCs w:val="28"/>
          <w:rtl w:val="true"/>
          <w:lang w:bidi="fa-IR"/>
        </w:rPr>
        <w:t>.</w:t>
      </w:r>
      <w:r>
        <w:rPr>
          <w:rStyle w:val="FootnoteAnchor"/>
          <w:rtl w:val="true"/>
        </w:rPr>
        <w:footnoteReference w:id="101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دروس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ملکیّت موقوفٌ عَلَیْه، نسبت به منافعی چون پشم، شیر، اجرت چارپایان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خلافی نیست و حتّی پشم، شیر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هنگام عقد، همراه موقوف علیه هستند، نیز از آنِ موقوفٌ عَلَیْه هستند، امّا میوه‌های بر درخت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وقف، هرچند نخل تأبیر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باشد، در وقف داخل نخواهند بود</w:t>
      </w:r>
      <w:r>
        <w:rPr>
          <w:rFonts w:eastAsia="IRNazanin" w:cs="IRNazanin"/>
          <w:color w:val="111111"/>
          <w:sz w:val="28"/>
          <w:szCs w:val="28"/>
          <w:rtl w:val="true"/>
          <w:lang w:bidi="fa-IR"/>
        </w:rPr>
        <w:t>.</w:t>
      </w:r>
      <w:r>
        <w:rPr>
          <w:rStyle w:val="FootnoteAnchor"/>
          <w:rtl w:val="true"/>
        </w:rPr>
        <w:footnoteReference w:id="1015"/>
      </w:r>
      <w:r>
        <w:rPr>
          <w:rFonts w:ascii="IRNazanin" w:hAnsi="IRNazanin" w:eastAsia="IRNazanin"/>
          <w:color w:val="111111"/>
          <w:sz w:val="28"/>
          <w:sz w:val="28"/>
          <w:szCs w:val="28"/>
          <w:rtl w:val="true"/>
          <w:lang w:bidi="fa-IR"/>
        </w:rPr>
        <w:t>وقف در این جهت در حقیقت حکم بیع را دارد</w:t>
      </w:r>
      <w:r>
        <w:rPr>
          <w:rFonts w:eastAsia="IRNazanin" w:cs="IRNazanin"/>
          <w:color w:val="111111"/>
          <w:sz w:val="28"/>
          <w:szCs w:val="28"/>
          <w:rtl w:val="true"/>
          <w:lang w:bidi="fa-IR"/>
        </w:rPr>
        <w:t xml:space="preserve">. </w:t>
      </w:r>
      <w:bookmarkStart w:id="609" w:name="pg4267_21963"/>
    </w:p>
    <w:p>
      <w:pPr>
        <w:pStyle w:val="Heading6"/>
        <w:numPr>
          <w:ilvl w:val="5"/>
          <w:numId w:val="1"/>
        </w:numPr>
        <w:rPr/>
      </w:pPr>
      <w:bookmarkStart w:id="610" w:name="__RefHeading___Toc474339_1479056682"/>
      <w:bookmarkStart w:id="611" w:name="_Toc232"/>
      <w:bookmarkEnd w:id="609"/>
      <w:bookmarkEnd w:id="610"/>
      <w:r>
        <w:rPr>
          <w:rtl w:val="true"/>
        </w:rPr>
        <w:t>دیدگاه دیگر مذاهب</w:t>
      </w:r>
      <w:bookmarkEnd w:id="611"/>
    </w:p>
    <w:p>
      <w:pPr>
        <w:pStyle w:val="BookText"/>
        <w:rPr/>
      </w:pPr>
      <w:r>
        <w:rPr>
          <w:rFonts w:ascii="IRNazanin" w:hAnsi="IRNazanin" w:eastAsia="IRNazanin"/>
          <w:color w:val="111111"/>
          <w:sz w:val="28"/>
          <w:sz w:val="28"/>
          <w:szCs w:val="28"/>
          <w:rtl w:val="true"/>
          <w:lang w:bidi="fa-IR"/>
        </w:rPr>
        <w:t>المصطلحات الوقفیّه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اتّفاق نظر دارند که در وقف مساجد، در صورت تمامیّت شرایط آن، مالکیّت واقف زایل می‌شود و هیچ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آنها نخواهد بود، زیرا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الْمَساجِدَ لِلّهِ</w:t>
      </w:r>
      <w:r>
        <w:rPr>
          <w:rFonts w:eastAsia="IRNazanin" w:cs="IRNazanin"/>
          <w:color w:val="111111"/>
          <w:sz w:val="28"/>
          <w:szCs w:val="28"/>
          <w:rtl w:val="true"/>
          <w:lang w:bidi="fa-IR"/>
        </w:rPr>
        <w:t>»</w:t>
      </w:r>
      <w:r>
        <w:rPr>
          <w:rStyle w:val="FootnoteAnchor"/>
          <w:rtl w:val="true"/>
        </w:rPr>
        <w:footnoteReference w:id="10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مساجد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غیر مساجد، فقها اختلاف کرده‌اند که آیا بر ملک واقف باقی می‌ماند، یا به موقوف علیه انتقال می‌یابد و یا از ملک واقف خارج می‌شود بدون این که به ملک کسی داخل شود، بلکه ملکیّت بر حکم خدای متعال است؟</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دیدگاه حنفیّه</w:t>
      </w:r>
    </w:p>
    <w:p>
      <w:pPr>
        <w:pStyle w:val="BookText"/>
        <w:rPr/>
      </w:pPr>
      <w:r>
        <w:rPr>
          <w:rFonts w:ascii="IRNazanin" w:hAnsi="IRNazanin" w:eastAsia="IRNazanin"/>
          <w:color w:val="111111"/>
          <w:sz w:val="28"/>
          <w:sz w:val="28"/>
          <w:szCs w:val="28"/>
          <w:rtl w:val="true"/>
          <w:lang w:bidi="fa-IR"/>
        </w:rPr>
        <w:t>وَهْبَهُ‌الزُّحَیلی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ابوحنیفه وقف نوعی تبرّع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و مال موقوف، ملک واقف است که می‌تواند هر طور بخواهد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واقف نیز این ملک به ورثه او منتقل می‌شود و هرگاه واقف بخواهد می‌تواند از وقف خود رجوع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مقداری ازاین بحث در مبحث لزوم وجواز در وقف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صاحبین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ابویوسف و محمدبن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فتوای مذهب حنفی نیز بر طبق رأی آنهاست، نظرشان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صحّت وقف، مال از ملک واقف خارج و محبوس بر ملک خدای متعال می‌شود</w:t>
      </w:r>
      <w:r>
        <w:rPr>
          <w:rFonts w:eastAsia="IRNazanin" w:cs="IRNazanin"/>
          <w:color w:val="111111"/>
          <w:sz w:val="28"/>
          <w:szCs w:val="28"/>
          <w:rtl w:val="true"/>
          <w:lang w:bidi="fa-IR"/>
        </w:rPr>
        <w:t>.</w:t>
      </w:r>
      <w:r>
        <w:rPr>
          <w:rStyle w:val="FootnoteAnchor"/>
          <w:rtl w:val="true"/>
        </w:rPr>
        <w:footnoteReference w:id="1018"/>
      </w:r>
      <w:r>
        <w:rPr>
          <w:rFonts w:ascii="IRNazanin" w:hAnsi="IRNazanin" w:eastAsia="IRNazanin"/>
          <w:color w:val="111111"/>
          <w:sz w:val="28"/>
          <w:sz w:val="28"/>
          <w:szCs w:val="28"/>
          <w:rtl w:val="true"/>
          <w:lang w:bidi="fa-IR"/>
        </w:rPr>
        <w:t>کمال‌الدّین بن همام، از فقهای حنفیّه، نظر مالک را پذیرفته است</w:t>
      </w:r>
      <w:r>
        <w:rPr>
          <w:rStyle w:val="FootnoteAnchor"/>
          <w:rtl w:val="true"/>
        </w:rPr>
        <w:footnoteReference w:id="10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مالکیّه</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مالکیه مِلک از واقف خارج نمی‌شود، امّا منفعت آن ملک برای موقوفٌ </w:t>
      </w:r>
    </w:p>
    <w:p>
      <w:pPr>
        <w:pStyle w:val="BookText"/>
        <w:rPr/>
      </w:pPr>
      <w:r>
        <w:rPr>
          <w:rFonts w:ascii="Amiri" w:hAnsi="Amiri" w:eastAsia="Amiri" w:cs="Amiri"/>
          <w:color w:val="111111"/>
          <w:sz w:val="28"/>
          <w:sz w:val="28"/>
          <w:szCs w:val="28"/>
          <w:rtl w:val="true"/>
          <w:lang w:bidi="ar-SA"/>
        </w:rPr>
        <w:t>عَلَیْه لازم است</w:t>
      </w:r>
      <w:r>
        <w:rPr>
          <w:rFonts w:eastAsia="Amiri" w:cs="Amiri" w:ascii="Amiri" w:hAnsi="Amiri"/>
          <w:color w:val="111111"/>
          <w:sz w:val="28"/>
          <w:szCs w:val="28"/>
          <w:rtl w:val="true"/>
          <w:lang w:bidi="ar-SA"/>
        </w:rPr>
        <w:t>.</w:t>
      </w:r>
      <w:r>
        <w:rPr>
          <w:rStyle w:val="FootnoteAnchor"/>
          <w:rtl w:val="true"/>
        </w:rPr>
        <w:footnoteReference w:id="1020"/>
      </w:r>
      <w:r>
        <w:rPr>
          <w:rFonts w:ascii="IRNazanin" w:hAnsi="IRNazanin" w:eastAsia="IRNazanin"/>
          <w:color w:val="111111"/>
          <w:sz w:val="28"/>
          <w:sz w:val="28"/>
          <w:szCs w:val="28"/>
          <w:rtl w:val="true"/>
          <w:lang w:bidi="fa-IR"/>
        </w:rPr>
        <w:t>مختارابن همام حنفی چنان که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روایتی از ابن حنبل و قول مرجوح در نزد شافعیّه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الشّرح‌الصّغیر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ملکیّت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 برای واقف است و بعد از مرگ وی به وارث او منتقل خواهد شد؛ لذا اگر نیاز به اصلاح داشت، می‌تواند از اصلاح آن توسّط دیگران جلوگیری کند</w:t>
      </w:r>
      <w:r>
        <w:rPr>
          <w:rFonts w:eastAsia="IRNazanin" w:cs="IRNazanin"/>
          <w:color w:val="111111"/>
          <w:sz w:val="28"/>
          <w:szCs w:val="28"/>
          <w:rtl w:val="true"/>
          <w:lang w:bidi="fa-IR"/>
        </w:rPr>
        <w:t>.</w:t>
      </w:r>
      <w:r>
        <w:rPr>
          <w:rStyle w:val="FootnoteAnchor"/>
          <w:rtl w:val="true"/>
        </w:rPr>
        <w:footnoteReference w:id="1021"/>
      </w:r>
      <w:r>
        <w:rPr>
          <w:rFonts w:ascii="Amiri" w:hAnsi="Amiri" w:eastAsia="Amiri" w:cs="Amiri"/>
          <w:color w:val="111111"/>
          <w:sz w:val="28"/>
          <w:sz w:val="28"/>
          <w:szCs w:val="28"/>
          <w:rtl w:val="true"/>
          <w:lang w:bidi="ar-SA"/>
        </w:rPr>
        <w:t>برای این قول درمنابع یاد شده به حدیث معروف نبوی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حَبِّسِ الْاَصْلَ وَ 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استدلال شده است؛ زیرا تحبیس اصل مقتضی استقرار و بقای آن در ملکیّت واقف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دیگرشان این است که؛ مقتضای وقف، تصرّف در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اعیان موقوفه است و این امر، جز به مقداری که برای استیفای غلّات، لازم است، به اعیان سرایت نمی‌کند</w:t>
      </w:r>
      <w:r>
        <w:rPr>
          <w:rFonts w:eastAsia="IRNazanin" w:cs="IRNazanin"/>
          <w:color w:val="111111"/>
          <w:sz w:val="28"/>
          <w:szCs w:val="28"/>
          <w:rtl w:val="true"/>
          <w:lang w:bidi="fa-IR"/>
        </w:rPr>
        <w:t>.</w:t>
      </w:r>
      <w:r>
        <w:rPr>
          <w:rStyle w:val="FootnoteAnchor"/>
          <w:rtl w:val="true"/>
        </w:rPr>
        <w:footnoteReference w:id="1022"/>
      </w:r>
      <w:r>
        <w:rPr>
          <w:rFonts w:ascii="IRNazanin" w:hAnsi="IRNazanin" w:eastAsia="IRNazanin"/>
          <w:color w:val="111111"/>
          <w:sz w:val="28"/>
          <w:sz w:val="28"/>
          <w:szCs w:val="28"/>
          <w:rtl w:val="true"/>
          <w:lang w:bidi="fa-IR"/>
        </w:rPr>
        <w:t>راجع به حدیث نبوی صلی‌الله‌علیه‌و‌آله که مالکیّه به آن استناد و استدلال کرده‌اند، قبلاً نیز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تحبیس در حدیث، حبس کردن بر ملک واقف نیست، بلکه حبس کردن بر ملک موقوفٌ عَلَیْه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رسول خدا در مقام بیان عدم خروج ملک از واقف نیست، بلکه در مقام بیان این مطلب است که وقف با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معنای خاصّ 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تفاوت را دارد که در صدقه، مال محبوس نیست، لذا متصدّق علیه حق بیع، هبه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امّا در وقف، مال محبوس است و موقوفٌ عَلَیْه دارای چنین حق و اختیاری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شافعیّه</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مذهب شافعیّه، ملکیّت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 و وقف بر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منتقل می‌شود، یعنی از اختصاص آدمی بیرون می‌رود وگرنه همه موجودات ملک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مال موقوف نه ملک واقف است و نه ملک موقوفٌ عَلَیْه، امّا منافع بدون تردید مملوک موقوفٌ عَلَیْه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این قول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صدقه است و صدقه به خدای متعال منتقل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به این مطلب قبلاً در بررسی اقوال امامیّه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با وقف خویش در صدد تحصیل ثواب دائم و مستمرّ است و این هدف جز با اخراج ملک از خود و ادخال آن در مالکیت خداوند، حاصل نمی‌شود</w:t>
      </w:r>
      <w:r>
        <w:rPr>
          <w:rFonts w:eastAsia="IRNazanin" w:cs="IRNazanin"/>
          <w:color w:val="111111"/>
          <w:sz w:val="28"/>
          <w:szCs w:val="28"/>
          <w:rtl w:val="true"/>
          <w:lang w:bidi="fa-IR"/>
        </w:rPr>
        <w:t>.</w:t>
      </w:r>
      <w:r>
        <w:rPr>
          <w:rStyle w:val="FootnoteAnchor"/>
          <w:rtl w:val="true"/>
        </w:rPr>
        <w:footnoteReference w:id="1023"/>
      </w:r>
    </w:p>
    <w:p>
      <w:pPr>
        <w:pStyle w:val="BookText"/>
        <w:rPr/>
      </w:pPr>
      <w:r>
        <w:rPr>
          <w:rFonts w:ascii="IRNazanin" w:hAnsi="IRNazanin" w:eastAsia="IRNazanin"/>
          <w:color w:val="111111"/>
          <w:sz w:val="28"/>
          <w:sz w:val="28"/>
          <w:szCs w:val="28"/>
          <w:rtl w:val="true"/>
          <w:lang w:bidi="fa-IR"/>
        </w:rPr>
        <w:t>در پاسخ این دلیل نیز می‌توان گفت؛ مالکیّت غیر خداوند با تحصیل ثواب دائم و مستمر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 xml:space="preserve">در مذهب حنابله در وقفِ صحیح ملک واقف زایل می‌شود؛ زیرا وقف سببی است که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رَقَبه و منفعت زایل می‌کند و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در وقف معیّن و 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ابن قُدامه در مغنی برای این دیدگاه چنین استدلال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ملکیّت واقف، ناچار می‌بایست به ملکیّت کسی که اهلیت دارد، درآید، همانند بیع و هبه، و موقوفٌ عَلَیْه این اهلیّت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وقف، تنها تملیک منافع باشد، همانند عاریه و سُکنی از عقود لازم نخواهد بود و ملک واقف از آن زایل نخواهد شد</w:t>
      </w:r>
      <w:r>
        <w:rPr>
          <w:rFonts w:eastAsia="IRNazanin" w:cs="IRNazanin"/>
          <w:color w:val="111111"/>
          <w:sz w:val="28"/>
          <w:szCs w:val="28"/>
          <w:rtl w:val="true"/>
          <w:lang w:bidi="fa-IR"/>
        </w:rPr>
        <w:t>.</w:t>
      </w:r>
      <w:r>
        <w:rPr>
          <w:rStyle w:val="FootnoteAnchor"/>
          <w:rtl w:val="true"/>
        </w:rPr>
        <w:footnoteReference w:id="1025"/>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کبیسی برای ملکیّت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مذهب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دیگری را ذکر کرده است و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با یک شاهد عینی حکم می‌شود و این از ویژگیهای اموال مملوکه است، همچنین غاصب اموال موقوفه ضامن است و باید عینی یا بدل آن را باز گرداند و این حکم نیز نشانه اموال مملوک است</w:t>
      </w:r>
      <w:r>
        <w:rPr>
          <w:rFonts w:eastAsia="IRNazanin" w:cs="IRNazanin"/>
          <w:color w:val="111111"/>
          <w:sz w:val="28"/>
          <w:szCs w:val="28"/>
          <w:rtl w:val="true"/>
          <w:lang w:bidi="fa-IR"/>
        </w:rPr>
        <w:t>.</w:t>
      </w:r>
      <w:r>
        <w:rPr>
          <w:rStyle w:val="FootnoteAnchor"/>
          <w:rtl w:val="true"/>
        </w:rPr>
        <w:footnoteReference w:id="1026"/>
      </w:r>
      <w:r>
        <w:rPr>
          <w:rFonts w:ascii="IRNazanin" w:hAnsi="IRNazanin" w:eastAsia="IRNazanin"/>
          <w:color w:val="111111"/>
          <w:sz w:val="28"/>
          <w:sz w:val="28"/>
          <w:szCs w:val="28"/>
          <w:rtl w:val="true"/>
          <w:lang w:bidi="fa-IR"/>
        </w:rPr>
        <w:t xml:space="preserve">البتّه روایت مرجوحی نیز از احمد، </w:t>
      </w:r>
      <w:bookmarkStart w:id="612" w:name="pg4267_21966"/>
    </w:p>
    <w:p>
      <w:pPr>
        <w:pStyle w:val="BookText"/>
        <w:rPr/>
      </w:pPr>
      <w:bookmarkEnd w:id="612"/>
      <w:r>
        <w:rPr>
          <w:rFonts w:ascii="Amiri" w:hAnsi="Amiri" w:eastAsia="Amiri" w:cs="Amiri"/>
          <w:color w:val="111111"/>
          <w:sz w:val="28"/>
          <w:sz w:val="28"/>
          <w:szCs w:val="28"/>
          <w:rtl w:val="true"/>
          <w:lang w:bidi="ar-SA"/>
        </w:rPr>
        <w:t>مبنی بر عدم ملکیّت موقوفٌ عَلَیْه، روایت شده است</w:t>
      </w:r>
      <w:r>
        <w:rPr>
          <w:rFonts w:eastAsia="Amiri" w:cs="Amiri" w:ascii="Amiri" w:hAnsi="Amiri"/>
          <w:color w:val="111111"/>
          <w:sz w:val="28"/>
          <w:szCs w:val="28"/>
          <w:rtl w:val="true"/>
          <w:lang w:bidi="ar-SA"/>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استدلال ابن قدامه به این که تملیک منفعت بدون تملیک عین موجب عدم لزوم عقد است، به اجاره، که تنها تملیک منفعت است، نقض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ظاهریّه</w:t>
      </w:r>
    </w:p>
    <w:p>
      <w:pPr>
        <w:pStyle w:val="BookText"/>
        <w:rPr/>
      </w:pPr>
      <w:r>
        <w:rPr>
          <w:rFonts w:ascii="IRNazanin" w:hAnsi="IRNazanin" w:eastAsia="IRNazanin"/>
          <w:color w:val="111111"/>
          <w:sz w:val="28"/>
          <w:sz w:val="28"/>
          <w:szCs w:val="28"/>
          <w:rtl w:val="true"/>
          <w:lang w:bidi="fa-IR"/>
        </w:rPr>
        <w:t>کبیسی در کتاب خود، خروج ملک را از واقف و دخول آن به حکم ملک خدا، از ظاهریّه نیز نقل کرده است</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613" w:name="__RefHeading___Toc474341_1479056682"/>
      <w:bookmarkStart w:id="614" w:name="_Toc233"/>
      <w:bookmarkEnd w:id="613"/>
      <w:r>
        <w:rPr>
          <w:rtl w:val="true"/>
        </w:rPr>
        <w:t xml:space="preserve">گفتار </w:t>
      </w:r>
      <w:r>
        <w:rPr/>
        <w:t>2</w:t>
      </w:r>
      <w:r>
        <w:rPr>
          <w:rtl w:val="true"/>
        </w:rPr>
        <w:t xml:space="preserve">- </w:t>
      </w:r>
      <w:r>
        <w:rPr>
          <w:rtl w:val="true"/>
        </w:rPr>
        <w:t>اجاره وقف توسّط موقوفٌ عَلَیْه</w:t>
      </w:r>
      <w:bookmarkEnd w:id="614"/>
    </w:p>
    <w:p>
      <w:pPr>
        <w:pStyle w:val="Heading6"/>
        <w:numPr>
          <w:ilvl w:val="5"/>
          <w:numId w:val="1"/>
        </w:numPr>
        <w:rPr/>
      </w:pPr>
      <w:bookmarkStart w:id="615" w:name="__RefHeading___Toc474343_1479056682"/>
      <w:bookmarkStart w:id="616" w:name="_Toc234"/>
      <w:bookmarkEnd w:id="615"/>
      <w:r>
        <w:rPr>
          <w:rtl w:val="true"/>
        </w:rPr>
        <w:t>دیدگاه امامیّه</w:t>
      </w:r>
      <w:bookmarkEnd w:id="616"/>
    </w:p>
    <w:p>
      <w:pPr>
        <w:pStyle w:val="BookText"/>
        <w:rPr/>
      </w:pPr>
      <w:r>
        <w:rPr>
          <w:rFonts w:ascii="IRNazanin" w:hAnsi="IRNazanin" w:eastAsia="IRNazanin"/>
          <w:color w:val="111111"/>
          <w:sz w:val="28"/>
          <w:sz w:val="28"/>
          <w:szCs w:val="28"/>
          <w:rtl w:val="true"/>
          <w:lang w:bidi="fa-IR"/>
        </w:rPr>
        <w:t>دیدگاه جمهور فقهای امامیّه این است که؛ موقوفٌ عَلَیْه مالک منافع مال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قواعد به این مطلب تصریح کرده و در ذیل عبارت قواعد، صاحب مفتاح از دروس، در این مورد، نقل عدم خلاف کرده است و تذکره، مالکیّت موقوفٌ عَلَیْه نسبت به منافع را از لوازم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تَسبیلُ الْمَنْفَعَة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p>
    <w:p>
      <w:pPr>
        <w:pStyle w:val="BookText"/>
        <w:rPr/>
      </w:pPr>
      <w:r>
        <w:rPr>
          <w:rFonts w:ascii="IRNazanin" w:hAnsi="IRNazanin" w:eastAsia="IRNazanin"/>
          <w:color w:val="111111"/>
          <w:sz w:val="28"/>
          <w:sz w:val="28"/>
          <w:szCs w:val="28"/>
          <w:rtl w:val="true"/>
          <w:lang w:bidi="fa-IR"/>
        </w:rPr>
        <w:t>مالکیت موقوفٌ عَلَیْه نسبت به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غرض اصلی از وقف ذکر کرده است</w:t>
      </w:r>
      <w:r>
        <w:rPr>
          <w:rFonts w:eastAsia="IRNazanin" w:cs="IRNazanin"/>
          <w:color w:val="111111"/>
          <w:sz w:val="28"/>
          <w:szCs w:val="28"/>
          <w:rtl w:val="true"/>
          <w:lang w:bidi="fa-IR"/>
        </w:rPr>
        <w:t>.</w:t>
      </w:r>
      <w:r>
        <w:rPr>
          <w:rStyle w:val="FootnoteAnchor"/>
          <w:rtl w:val="true"/>
        </w:rPr>
        <w:footnoteReference w:id="1029"/>
      </w:r>
    </w:p>
    <w:p>
      <w:pPr>
        <w:pStyle w:val="BookText"/>
        <w:rPr/>
      </w:pPr>
      <w:r>
        <w:rPr>
          <w:rFonts w:ascii="IRNazanin" w:hAnsi="IRNazanin" w:eastAsia="IRNazanin"/>
          <w:color w:val="111111"/>
          <w:sz w:val="28"/>
          <w:sz w:val="28"/>
          <w:szCs w:val="28"/>
          <w:rtl w:val="true"/>
          <w:lang w:bidi="fa-IR"/>
        </w:rPr>
        <w:t xml:space="preserve">متفرّع این مسأله، غالب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نگوییم عموم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اجاره مال موقوف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با شرط واقف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موقوفٌ عَلَیْه ثابت می‌دانند و این مطلب از محتوای کلماتشان کاملاً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مسأله‌ای که ممکن است محلّ بحث و تأمّل باشد این است که اگر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موقوف را برای مدّتی اجاره دهد و موجر قبل از پایان مدّت اجاره،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بمیرد، آیا اجاره باطل می‌شود یا این که صحیح خواهد بود؟ شایان توجّه است که منظور از بطلان اجاره، بطلان آن در صورت عدم اجازه بطن بعدی است</w:t>
      </w:r>
      <w:r>
        <w:rPr>
          <w:rFonts w:eastAsia="IRNazanin" w:cs="IRNazanin"/>
          <w:color w:val="111111"/>
          <w:sz w:val="28"/>
          <w:szCs w:val="28"/>
          <w:rtl w:val="true"/>
          <w:lang w:bidi="fa-IR"/>
        </w:rPr>
        <w:t>.</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غالب فقها در باب اجاره معتقدند، اجاره با موت موجر و یا مستأجر باطل نمی‌شود، البتّه شیخ در خلاف و مبسوط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اجاره را باطل می‌کند</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در همان باب اجاره غالبا موردی را که موجر، بطن قبلی و مورد اجاره، مال موقوف باشد، استثنا کرده‌اند و مرگ بطن موُجر را، قبل از انقضای مدّت اجاره، موجب بطلان آن، نسبت به مدّت باقی مانده می‌دانند</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در باب وقف نیز فقها به این مسأله پرداخته‌اند، محقّق در شرایع اظهارداشته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بطن اوّل مال موقوف را برای مدّتی اجاره دهد، سپس خود در اثنای آن مدّت منقرض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موت موجر را مبطل اجاره بدانیم، در بطلان این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صورت عدم اجازه بطن بعدی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بحثی نیست، امّا اگر موت موجر را مبطل ندانیم، در فرض مورد بحث، اظهر، بطلان است</w:t>
      </w:r>
      <w:r>
        <w:rPr>
          <w:rFonts w:eastAsia="IRNazanin" w:cs="IRNazanin"/>
          <w:color w:val="111111"/>
          <w:sz w:val="28"/>
          <w:szCs w:val="28"/>
          <w:rtl w:val="true"/>
          <w:lang w:bidi="fa-IR"/>
        </w:rPr>
        <w:t>.</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شیخ در خلاف و مبسوط</w:t>
      </w:r>
      <w:r>
        <w:rPr>
          <w:rStyle w:val="FootnoteAnchor"/>
          <w:rtl w:val="true"/>
        </w:rPr>
        <w:footnoteReference w:id="1034"/>
      </w:r>
      <w:r>
        <w:rPr>
          <w:rFonts w:ascii="IRNazanin" w:hAnsi="IRNazanin" w:eastAsia="IRNazanin"/>
          <w:color w:val="111111"/>
          <w:sz w:val="28"/>
          <w:sz w:val="28"/>
          <w:szCs w:val="28"/>
          <w:rtl w:val="true"/>
          <w:lang w:bidi="fa-IR"/>
        </w:rPr>
        <w:t>علاّمه در قواعد و فخرالمحققین در ایضاح</w:t>
      </w:r>
      <w:r>
        <w:rPr>
          <w:rStyle w:val="FootnoteAnchor"/>
          <w:rtl w:val="true"/>
        </w:rPr>
        <w:footnoteReference w:id="1035"/>
      </w:r>
      <w:r>
        <w:rPr>
          <w:rFonts w:ascii="IRNazanin" w:hAnsi="IRNazanin" w:eastAsia="IRNazanin"/>
          <w:color w:val="111111"/>
          <w:sz w:val="28"/>
          <w:sz w:val="28"/>
          <w:szCs w:val="28"/>
          <w:rtl w:val="true"/>
          <w:lang w:bidi="fa-IR"/>
        </w:rPr>
        <w:t>شهید ثانی</w:t>
      </w:r>
      <w:r>
        <w:rPr>
          <w:rStyle w:val="FootnoteAnchor"/>
          <w:rtl w:val="true"/>
        </w:rPr>
        <w:footnoteReference w:id="1036"/>
      </w:r>
      <w:r>
        <w:rPr>
          <w:rFonts w:ascii="IRNazanin" w:hAnsi="IRNazanin" w:eastAsia="IRNazanin"/>
          <w:color w:val="111111"/>
          <w:sz w:val="28"/>
          <w:sz w:val="28"/>
          <w:szCs w:val="28"/>
          <w:rtl w:val="true"/>
          <w:lang w:bidi="fa-IR"/>
        </w:rPr>
        <w:t>شهید اوّل در دروس</w:t>
      </w:r>
      <w:r>
        <w:rPr>
          <w:rStyle w:val="FootnoteAnchor"/>
          <w:rtl w:val="true"/>
        </w:rPr>
        <w:footnoteReference w:id="1037"/>
      </w:r>
      <w:r>
        <w:rPr>
          <w:rFonts w:ascii="Amiri" w:hAnsi="Amiri" w:eastAsia="Amiri" w:cs="Amiri"/>
          <w:color w:val="111111"/>
          <w:sz w:val="28"/>
          <w:sz w:val="28"/>
          <w:szCs w:val="28"/>
          <w:rtl w:val="true"/>
          <w:lang w:bidi="ar-SA"/>
        </w:rPr>
        <w:t>، محقّق ثانی</w:t>
      </w:r>
      <w:r>
        <w:rPr>
          <w:rStyle w:val="FootnoteAnchor"/>
          <w:rtl w:val="true"/>
        </w:rPr>
        <w:footnoteReference w:id="1038"/>
      </w:r>
      <w:r>
        <w:rPr>
          <w:rFonts w:ascii="IRNazanin" w:hAnsi="IRNazanin" w:eastAsia="IRNazanin"/>
          <w:color w:val="111111"/>
          <w:sz w:val="28"/>
          <w:sz w:val="28"/>
          <w:szCs w:val="28"/>
          <w:rtl w:val="true"/>
          <w:lang w:bidi="fa-IR"/>
        </w:rPr>
        <w:t>و دیگران نیز با عبارات گوناگون قول به‌بطلان اجاره در بقیه مدّت را تقویت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بطلان اجاره در این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باب اجاره، موت موجر را مبطل ندانیم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 بعدی وقف و حق را از واقف می‌گیرد نه از بطن اوّل و واقف برای بطن اوّل تا بیش از پایان مرگ آنها حقّی قرار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حق از بطن اوّل به دیگران منتقل شده است و در حقیقت حقّشان در</w:t>
      </w:r>
    </w:p>
    <w:p>
      <w:pPr>
        <w:pStyle w:val="BookText"/>
        <w:rPr/>
      </w:pPr>
      <w:r>
        <w:rPr>
          <w:rFonts w:ascii="IRNazanin" w:hAnsi="IRNazanin" w:eastAsia="IRNazanin"/>
          <w:color w:val="111111"/>
          <w:sz w:val="28"/>
          <w:sz w:val="28"/>
          <w:szCs w:val="28"/>
          <w:rtl w:val="true"/>
          <w:lang w:bidi="fa-IR"/>
        </w:rPr>
        <w:t>هنگام اجاره، مقیّد به حیاتشان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منوط به استحقاق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برای مدّتی که عادتا قطع به عدم بقای خود در آن مدّت دارد، اجاره دهد،</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مقدار زاید،اجاره باطل و به همان نسبت گرفتن اجرت ممنوع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039"/>
      </w:r>
    </w:p>
    <w:p>
      <w:pPr>
        <w:pStyle w:val="BookText"/>
        <w:rPr/>
      </w:pPr>
      <w:r>
        <w:rPr>
          <w:rFonts w:ascii="IRNazanin" w:hAnsi="IRNazanin" w:eastAsia="IRNazanin"/>
          <w:color w:val="111111"/>
          <w:sz w:val="28"/>
          <w:sz w:val="28"/>
          <w:szCs w:val="28"/>
          <w:rtl w:val="true"/>
          <w:lang w:bidi="fa-IR"/>
        </w:rPr>
        <w:t xml:space="preserve">در حقیقت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تام نیست، زیرا باقی بطون نیز در این ملک استحقاق دارند و سبب استحقاق آنها هم اصل صیغه وقف است نه این که آن را از موقوفٌ عَلَیْه سابق دریافت کرده باشند، لذا با مرگ موجر، روشن می‌شود که حق او به پایان رسیده است در نتیجه، اجاره‌اش نسبت به بقیه مدّت، تصرّف در حق دیگری به شمار می‌رود و صحّت آن متوقّف بر اجازه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اجاره مالک این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حق دارد مال خود را به طور صحیح نقل کند و یا هر طور مایل است آن را تلف کند، ورّاث هم تنها نسبت به آنچه هنگام مرگش باقی مانده است حق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مرگ مالک، روشن نمی‌شود که او متصرّف در حق غیر بوده است</w:t>
      </w:r>
      <w:r>
        <w:rPr>
          <w:rFonts w:eastAsia="IRNazanin" w:cs="IRNazanin"/>
          <w:color w:val="111111"/>
          <w:sz w:val="28"/>
          <w:szCs w:val="28"/>
          <w:rtl w:val="true"/>
          <w:lang w:bidi="fa-IR"/>
        </w:rPr>
        <w:t>.</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صاحب حدائق بعد از توضیح و تشریح این مطلب و ادلّه آن،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استدلالها برای تأسیس احکام شرعیّه صلاحیت ندارند و باید مطابق نصوص عمل شود و چون در این جا نصّی نیست، لذا مسأله خالی از اشکال نخواهد بود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صاحب مفتاح از سخن صاحب حدائق انتقاد کرده و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نص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w:t>
      </w:r>
    </w:p>
    <w:p>
      <w:pPr>
        <w:pStyle w:val="BookText"/>
        <w:rPr/>
      </w:pPr>
      <w:r>
        <w:rPr>
          <w:rFonts w:ascii="IRNazanin" w:hAnsi="IRNazanin" w:eastAsia="IRNazanin"/>
          <w:color w:val="111111"/>
          <w:sz w:val="28"/>
          <w:sz w:val="28"/>
          <w:szCs w:val="28"/>
          <w:rtl w:val="true"/>
          <w:lang w:bidi="fa-IR"/>
        </w:rPr>
        <w:t>دال بر عدم بطلان اجاره با موت 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اصحاب به دلیل وجود ضوابط قطعیّه از آن اعراض کرده‌اند</w:t>
      </w:r>
      <w:r>
        <w:rPr>
          <w:rFonts w:eastAsia="IRNazanin" w:cs="IRNazanin"/>
          <w:color w:val="111111"/>
          <w:sz w:val="28"/>
          <w:szCs w:val="28"/>
          <w:rtl w:val="true"/>
          <w:lang w:bidi="fa-IR"/>
        </w:rPr>
        <w:t>.</w:t>
      </w:r>
      <w:r>
        <w:rPr>
          <w:rStyle w:val="FootnoteAnchor"/>
          <w:rtl w:val="true"/>
        </w:rPr>
        <w:footnoteReference w:id="1042"/>
      </w:r>
    </w:p>
    <w:p>
      <w:pPr>
        <w:pStyle w:val="BookText"/>
        <w:rPr/>
      </w:pPr>
      <w:r>
        <w:rPr>
          <w:rFonts w:ascii="IRNazanin" w:hAnsi="IRNazanin" w:eastAsia="IRNazanin"/>
          <w:color w:val="111111"/>
          <w:sz w:val="28"/>
          <w:sz w:val="28"/>
          <w:szCs w:val="28"/>
          <w:rtl w:val="true"/>
          <w:lang w:bidi="fa-IR"/>
        </w:rPr>
        <w:t xml:space="preserve">به‌نظر می‌رسد؛ اگر در مسأله محلّ بحث، اجماع ثابت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اثباتش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به عدم بطلان اجاره بیشتر قابل دفاع باشد؛ زیرا موقوفٌ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w:t>
      </w:r>
    </w:p>
    <w:p>
      <w:pPr>
        <w:pStyle w:val="BookText"/>
        <w:rPr/>
      </w:pPr>
      <w:r>
        <w:rPr>
          <w:rFonts w:ascii="IRNazanin" w:hAnsi="IRNazanin" w:eastAsia="IRNazanin"/>
          <w:color w:val="111111"/>
          <w:sz w:val="28"/>
          <w:sz w:val="28"/>
          <w:szCs w:val="28"/>
          <w:rtl w:val="true"/>
          <w:lang w:bidi="fa-IR"/>
        </w:rPr>
        <w:t>بوده و معلوم نیست که حق بطون بعدی از حق ورّاث در صورت مرگ موجر بیشتر باشد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برای رعایت حق بطون بعدی باید اجرت زمان باقیمانده در جهت حفظ حق همه بطون به‌مصرف برسد</w:t>
      </w:r>
      <w:r>
        <w:rPr>
          <w:rFonts w:eastAsia="IRNazanin" w:cs="IRNazanin"/>
          <w:color w:val="111111"/>
          <w:sz w:val="28"/>
          <w:szCs w:val="28"/>
          <w:rtl w:val="true"/>
          <w:lang w:bidi="fa-IR"/>
        </w:rPr>
        <w:t xml:space="preserve">. </w:t>
      </w:r>
      <w:bookmarkStart w:id="617" w:name="pg4267_21969"/>
    </w:p>
    <w:p>
      <w:pPr>
        <w:pStyle w:val="BookText"/>
        <w:rPr/>
      </w:pPr>
      <w:bookmarkEnd w:id="617"/>
      <w:r>
        <w:rPr>
          <w:rFonts w:ascii="IRNazanin" w:hAnsi="IRNazanin" w:eastAsia="IRNazanin"/>
          <w:color w:val="111111"/>
          <w:sz w:val="28"/>
          <w:sz w:val="28"/>
          <w:szCs w:val="28"/>
          <w:rtl w:val="true"/>
          <w:lang w:bidi="fa-IR"/>
        </w:rPr>
        <w:t>نکته دیگر این‌که اگر موجرِ مال موقوف، ناظر آن باشد عدّه‌ای از اَعلام به عدم بطلان اجاره تصریح کرده‌اند؛ زیرا ناظر دارای ولایتی است که موجب تصرّف او در وقف در زمان وجود موقوف علیه می‌شود، چه رسد به زمان قبل از وجودشان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صورت بطن موجود، مالک تمام اجرت می‌شود که البتّه باید به مصارفی برسد که در آنها مصرف همه بطون رعایت شده باشد</w:t>
      </w:r>
      <w:r>
        <w:rPr>
          <w:rFonts w:eastAsia="IRNazanin" w:cs="IRNazanin"/>
          <w:color w:val="111111"/>
          <w:sz w:val="28"/>
          <w:szCs w:val="28"/>
          <w:rtl w:val="true"/>
          <w:lang w:bidi="fa-IR"/>
        </w:rPr>
        <w:t>.</w:t>
      </w:r>
      <w:r>
        <w:rPr>
          <w:rStyle w:val="FootnoteAnchor"/>
          <w:rtl w:val="true"/>
        </w:rPr>
        <w:footnoteReference w:id="1043"/>
      </w:r>
    </w:p>
    <w:p>
      <w:pPr>
        <w:pStyle w:val="BookText"/>
        <w:rPr/>
      </w:pPr>
      <w:r>
        <w:rPr>
          <w:rFonts w:ascii="IRNazanin" w:hAnsi="IRNazanin" w:eastAsia="IRNazanin"/>
          <w:color w:val="111111"/>
          <w:sz w:val="28"/>
          <w:sz w:val="28"/>
          <w:szCs w:val="28"/>
          <w:rtl w:val="true"/>
          <w:lang w:bidi="fa-IR"/>
        </w:rPr>
        <w:t>مسأله دیگر این که اگر مستأجر همه اجرت را به بطن اوّل پرداخته باشد، برای بازپس گرفتن آن به نسبت مدّتی که اجاره در آن مدّت باطل شده است، به ورثه موجر مراجعه می‌کند</w:t>
      </w:r>
      <w:r>
        <w:rPr>
          <w:rFonts w:eastAsia="IRNazanin" w:cs="IRNazanin"/>
          <w:color w:val="111111"/>
          <w:sz w:val="28"/>
          <w:szCs w:val="28"/>
          <w:rtl w:val="true"/>
          <w:lang w:bidi="fa-IR"/>
        </w:rPr>
        <w:t>.</w:t>
      </w:r>
      <w:r>
        <w:rPr>
          <w:rStyle w:val="FootnoteAnchor"/>
          <w:rtl w:val="true"/>
        </w:rPr>
        <w:footnoteReference w:id="1044"/>
      </w:r>
      <w:r>
        <w:rPr>
          <w:rFonts w:ascii="IRNazanin" w:hAnsi="IRNazanin" w:eastAsia="IRNazanin"/>
          <w:color w:val="111111"/>
          <w:sz w:val="28"/>
          <w:sz w:val="28"/>
          <w:szCs w:val="28"/>
          <w:rtl w:val="true"/>
          <w:lang w:bidi="fa-IR"/>
        </w:rPr>
        <w:t>صاحب جواهر برای این مسأله ادّعای عدم خلاف کرده است</w:t>
      </w:r>
      <w:r>
        <w:rPr>
          <w:rFonts w:eastAsia="IRNazanin" w:cs="IRNazanin"/>
          <w:color w:val="111111"/>
          <w:sz w:val="28"/>
          <w:szCs w:val="28"/>
          <w:rtl w:val="true"/>
          <w:lang w:bidi="fa-IR"/>
        </w:rPr>
        <w:t>.</w:t>
      </w:r>
    </w:p>
    <w:p>
      <w:pPr>
        <w:pStyle w:val="Heading6"/>
        <w:numPr>
          <w:ilvl w:val="5"/>
          <w:numId w:val="1"/>
        </w:numPr>
        <w:rPr/>
      </w:pPr>
      <w:bookmarkStart w:id="618" w:name="__RefHeading___Toc474345_1479056682"/>
      <w:bookmarkStart w:id="619" w:name="_Toc235"/>
      <w:bookmarkEnd w:id="618"/>
      <w:r>
        <w:rPr>
          <w:rtl w:val="true"/>
        </w:rPr>
        <w:t>دیدگاه دیگر مذاهب</w:t>
      </w:r>
      <w:bookmarkEnd w:id="619"/>
    </w:p>
    <w:p>
      <w:pPr>
        <w:pStyle w:val="BookText"/>
        <w:rPr/>
      </w:pPr>
      <w:r>
        <w:rPr>
          <w:rFonts w:ascii="IRNazanin" w:hAnsi="IRNazanin" w:eastAsia="IRNazanin"/>
          <w:color w:val="111111"/>
          <w:sz w:val="28"/>
          <w:sz w:val="28"/>
          <w:szCs w:val="28"/>
          <w:rtl w:val="true"/>
          <w:lang w:bidi="fa-IR"/>
        </w:rPr>
        <w:t xml:space="preserve">فقهای مذاهب اتّفاق نظر دارند که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اقسام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باشد یا ذرّی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اجاره آن را دارد، زیرا از طرفی ولایت از آن اوست و از طرف دیگر منظور و مقصود واقف از وقف حصول درآمد و اعطای آن به مستحقّین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وقف تنها در صورتی که ناظر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وصف متولّی و نه مستحق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اجاره مال وقفی را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ناظر، قاضی نیز حق ندارد مال موقوف را اجاره دهد، هرچند متولّی از جانب او تعیین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بعضی از فتاوی وجود چنین حقّی برای قاضی استفاده</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موقوفٌ عَلَیْه، هرچند مالک منافع وقف است، امّا حق ندارد آن را به اجاره دهد، زیرا وی حق دخالت در شؤون وقف را ندارد، البتّه می‌تواند عین موقوفه را به دیگری عاریه دهد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کبیسی از فقیهی به نام ابوجعفر نقل کرده است که اگر عین موقوفه، خانه و یا مغازه </w:t>
      </w:r>
    </w:p>
    <w:p>
      <w:pPr>
        <w:pStyle w:val="BookText"/>
        <w:rPr/>
      </w:pPr>
      <w:r>
        <w:rPr>
          <w:rFonts w:ascii="IRNazanin" w:hAnsi="IRNazanin" w:eastAsia="IRNazanin"/>
          <w:color w:val="111111"/>
          <w:sz w:val="28"/>
          <w:sz w:val="28"/>
          <w:szCs w:val="28"/>
          <w:rtl w:val="true"/>
          <w:lang w:bidi="fa-IR"/>
        </w:rPr>
        <w:t>باشد و موقوفٌ علیه یک نفر بیشتر نباشد و مال وقفی نیز نیازمند تعمیر نباشد، موقوفٌ عَلَیْه می‌تواند آن را اجاره دهد و تمام درآمد آن را خرج کند؛ امّا اگر عین موقوفه زمین زراعی باشد و واقف شرط کرده باشد که مالیات، خراج و دیگر مخارج را بر موقوفٌ عَلَیْه مقدّم دارند، موقوفٌ عَلَیْه حق اجاره دادن عین موقوفه را ندارد، امّا اگر تقدیم عُشر و خِراج از سوی واقف شرط نشده باشد، قاعدتا باید موقوفٌ عَلَیْه مورد بحث حق ایجار داشته باشد و خراج و هزینه‌های وقف نیز به ذمّه او تعلّق گیرد</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حکم فسخ اجاره با مرگ موجر</w:t>
      </w:r>
    </w:p>
    <w:p>
      <w:pPr>
        <w:pStyle w:val="BookText"/>
        <w:rPr/>
      </w:pPr>
      <w:r>
        <w:rPr>
          <w:rFonts w:ascii="IRNazanin" w:hAnsi="IRNazanin" w:eastAsia="IRNazanin"/>
          <w:color w:val="111111"/>
          <w:sz w:val="28"/>
          <w:sz w:val="28"/>
          <w:szCs w:val="28"/>
          <w:rtl w:val="true"/>
          <w:lang w:bidi="fa-IR"/>
        </w:rPr>
        <w:t>در فقه حنفی عقد اجاره با مرگ متعاقدین یا یکی از آنها به پایان می‌رسد؛ امّا عقد اجاره موقوفه، با مردن موجر، خواه واقف یا متولّی، منفسخ نمی‌شود و تنها با موت مستأجر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درصورتی‌که موجِر عینِ‌موقوفه‌قاضی‌باشد، با عزل او</w:t>
      </w:r>
    </w:p>
    <w:p>
      <w:pPr>
        <w:pStyle w:val="BookText"/>
        <w:rPr/>
      </w:pPr>
      <w:r>
        <w:rPr>
          <w:rFonts w:ascii="IRNazanin" w:hAnsi="IRNazanin" w:eastAsia="IRNazanin"/>
          <w:color w:val="111111"/>
          <w:sz w:val="28"/>
          <w:sz w:val="28"/>
          <w:szCs w:val="28"/>
          <w:rtl w:val="true"/>
          <w:lang w:bidi="fa-IR"/>
        </w:rPr>
        <w:t>از سمت قضاوت عقد اجاره منفسح نمی‌شود</w:t>
      </w:r>
      <w:r>
        <w:rPr>
          <w:rFonts w:eastAsia="IRNazanin" w:cs="IRNazanin"/>
          <w:color w:val="111111"/>
          <w:sz w:val="28"/>
          <w:szCs w:val="28"/>
          <w:rtl w:val="true"/>
          <w:lang w:bidi="fa-IR"/>
        </w:rPr>
        <w:t>.</w:t>
      </w:r>
      <w:r>
        <w:rPr>
          <w:rStyle w:val="FootnoteAnchor"/>
          <w:rtl w:val="true"/>
        </w:rPr>
        <w:footnoteReference w:id="1046"/>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 xml:space="preserve">مطابق فقه مالکی اگر متولّی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مال وقفی را اجاره دهد و بمیرد، عقد اجاره پایان می‌پذیرد؛ امّا اگر موجر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با مردن او عقد اجاره باقی است</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Amiri" w:hAnsi="Amiri" w:eastAsia="Amiri" w:cs="Amiri"/>
          <w:color w:val="111111"/>
          <w:sz w:val="28"/>
          <w:sz w:val="28"/>
          <w:szCs w:val="28"/>
          <w:rtl w:val="true"/>
          <w:lang w:bidi="ar-SA"/>
        </w:rPr>
        <w:t>شافعیّه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شافعی عقد اجاره با مردن متعاقدین یا یکی از آنها منفسخ نمی‌شود و تا پایان </w:t>
      </w:r>
      <w:bookmarkStart w:id="620" w:name="pg4267_21971"/>
    </w:p>
    <w:p>
      <w:pPr>
        <w:pStyle w:val="BookText"/>
        <w:rPr/>
      </w:pPr>
      <w:bookmarkEnd w:id="620"/>
      <w:r>
        <w:rPr>
          <w:rFonts w:ascii="IRNazanin" w:hAnsi="IRNazanin" w:eastAsia="IRNazanin"/>
          <w:color w:val="111111"/>
          <w:sz w:val="28"/>
          <w:sz w:val="28"/>
          <w:szCs w:val="28"/>
          <w:rtl w:val="true"/>
          <w:lang w:bidi="fa-IR"/>
        </w:rPr>
        <w:t>مدّت اجاره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عین مستأجره ملک طلق و یا موقوفه باشد</w:t>
      </w:r>
      <w:r>
        <w:rPr>
          <w:rFonts w:eastAsia="IRNazanin" w:cs="IRNazanin"/>
          <w:color w:val="111111"/>
          <w:sz w:val="28"/>
          <w:szCs w:val="28"/>
          <w:rtl w:val="true"/>
          <w:lang w:bidi="fa-IR"/>
        </w:rPr>
        <w:t>.</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 xml:space="preserve">البتّه شیخ طوسی در خلاف قول دیگری را نیز از شافعی نقل کرده است که طبق آن اجاره با مرگ موجر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می‌شود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کبیسی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مغنی المحتاج و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صورت را از فقه شافعی نقل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موقوفٌ عَلَیْه باشد و منحصر به فرد و موقوفه را به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بنابریک قول با مردن موجر اجاره به پایان نمی‌رسد و بطن ثانی اجرت مدّت باقی را از ترکه مُوجر دریافت می‌کند و طبق قول دیگر، اجاره به پایان می‌رسد، زیرا موجر، مالک اجاره بهای زمان بعد از مرگ خود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نسبت به آن زمان نه اذن داشته است و نه ولایت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اوّل عین موقوفه را اجاره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یک قول با مرگ موجر، اجاره پایان می‌پذیرد، چون بطن موجر نه نماینده سایر بطون است و نه ولیّ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دیگر این است که اجاره باطل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باشد و عین را اجاره دهد و در اثنا بمیرد، که عقد اجاره به نسبت سهمش باطل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مال وقفی را به بطن دوم اجاره دهد و بطن اوّل منقرض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انقراض بطن اوّل، اجاره منفسخ می‌شود؛ زیرا بطن دوم نمی‌تواند هم موجر و هم مستأجر باشد</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621" w:name="__RefHeading___Toc474347_1479056682"/>
      <w:bookmarkStart w:id="622" w:name="_Toc236"/>
      <w:bookmarkEnd w:id="621"/>
      <w:r>
        <w:rPr>
          <w:rtl w:val="true"/>
        </w:rPr>
        <w:t xml:space="preserve">گفتار </w:t>
      </w:r>
      <w:r>
        <w:rPr/>
        <w:t>3</w:t>
      </w:r>
      <w:r>
        <w:rPr>
          <w:rtl w:val="true"/>
        </w:rPr>
        <w:t xml:space="preserve">- </w:t>
      </w:r>
      <w:r>
        <w:rPr>
          <w:rtl w:val="true"/>
        </w:rPr>
        <w:t>شخصیّت حقوقی وقف</w:t>
      </w:r>
      <w:bookmarkEnd w:id="622"/>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توجهی که طرح آن در پایان بحث ملکیّت در وقف خالی از فایده نیست بلکه ممکن است وجه جمعی بین اقوال در این مبحث باشد این است که؛ ممکن است بگوییم در همه موارد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و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اموال موقوفه، شخص حقوقی است نه </w:t>
      </w:r>
    </w:p>
    <w:p>
      <w:pPr>
        <w:pStyle w:val="BookText"/>
        <w:rPr/>
      </w:pPr>
      <w:r>
        <w:rPr>
          <w:rFonts w:ascii="IRNazanin" w:hAnsi="IRNazanin" w:eastAsia="IRNazanin"/>
          <w:color w:val="111111"/>
          <w:sz w:val="28"/>
          <w:sz w:val="28"/>
          <w:szCs w:val="28"/>
          <w:rtl w:val="true"/>
          <w:lang w:bidi="fa-IR"/>
        </w:rPr>
        <w:t>شخص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قول به‌این که وقف در همه اقسامش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می‌شود، ناسازگار نیست و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می‌شود طرح این‌مطلب در این‌جا تنها به‌عنوان یک احتمال قابل توجّه و بحث و بررسی است نه به‌عنوان یک نظر قطعی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به‌طور مختصر توضیح داده می‌شود، سپس به‌این مطلب اشاره می‌شود که کدام عناوین، اشخاص حقوقی هستند که می‌توانند مالک اموال موقوفه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 است و مقصود از این عنوان آن است که این‌گونه موجودات اشخاص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ولی همچون اشخاص حقیقی، طرف حق و تکلیف و کم و بیش از همان امتیازات و حقوق اشخاص حقیقی بهره‌مند هستند، در برابر، شخص حقیقی تنها انسان زنده‌ای است که از حیات مستقلّ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اشخاص حقوقی دارای شخصیّتی اعتباری می‌باشند در حالی که شخصیّت اشخاص حقیقی، چنان که از عنوانش پیداست، شخصیّتی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حقوق‌دانان معتقدند؛ در فقه اسلام هرچند از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حقوقی خبری نیست، اما این نه بدان جهت است که فقها با آن ناآشنایند و واقعیت آن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فقه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حقوقی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گرفته است و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 مَشرَّفه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قبیل اشخاص حقوقی‌اند که از امتیازاتی چون مالکیّت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هستند</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 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w:t>
      </w:r>
      <w:r>
        <w:rPr>
          <w:rFonts w:eastAsia="IRNazanin" w:cs="IRNazanin"/>
          <w:color w:val="111111"/>
          <w:sz w:val="28"/>
          <w:szCs w:val="28"/>
          <w:rtl w:val="true"/>
          <w:lang w:bidi="fa-IR"/>
        </w:rPr>
        <w:t xml:space="preserve">: </w:t>
      </w:r>
      <w:r>
        <w:rPr>
          <w:rFonts w:eastAsia="IRNazanin" w:cs="IRNazanin"/>
          <w:color w:val="111111"/>
          <w:sz w:val="28"/>
          <w:szCs w:val="28"/>
          <w:lang w:bidi="fa-IR"/>
        </w:rPr>
        <w:t>4/258</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توضیح می‌توانیم در باب ملکیّت در وقف نیز بگوییم؛ در همه اقسام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منتقل می‌شود، اما مالک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یعنی مالک وقف، شخصیّت </w:t>
      </w:r>
    </w:p>
    <w:p>
      <w:pPr>
        <w:pStyle w:val="BookText"/>
        <w:rPr/>
      </w:pPr>
      <w:r>
        <w:rPr>
          <w:rFonts w:ascii="IRNazanin" w:hAnsi="IRNazanin" w:eastAsia="IRNazanin"/>
          <w:color w:val="111111"/>
          <w:sz w:val="28"/>
          <w:sz w:val="28"/>
          <w:szCs w:val="28"/>
          <w:rtl w:val="true"/>
          <w:lang w:bidi="fa-IR"/>
        </w:rPr>
        <w:t>حقوقی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می‌باشند که کسانی چون حاکم یا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مواردی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مسؤولیّت آن را برعهده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همین است که می‌بینیم؛ محدوده اختیارات و تصرّفات در اوقاف با اختیارات و تصرفاتِ اشخاص حقیقی در اموال و املاک خودشان تفاوت می‌کند و نقل و انتقال و بسیاری از تصرّفات در باب وقف باید با نظارت و ولایت حاکم یا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بتوان این بیان را وجه جمعی بین اقوال گذشته در این مورد قلمداد کرد و نزاعشان را نیز نزاعی لفظی دانست؛ یعنی منظور کسانی که در اوقاف عامّه، خدای متعال را مالک می‌دانند، چنین چیزی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شخصیّت حقیقی و حقوقی از مباحث گسترده است و طرح آن به‌طور مفصّل از حوصله این کتاب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نیز برای روشنتر شدن مبحث ملکیّت در وقف در پایان مبحث مطرح شد</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نکته دیگر این که در هیچ‌یک از موادّ قانون مدنی نسبت به شخصیّت حقوقی وقف تصریحی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صفّار</w:t>
      </w:r>
      <w:r>
        <w:rPr>
          <w:rStyle w:val="FootnoteAnchor"/>
          <w:rtl w:val="true"/>
        </w:rPr>
        <w:footnoteReference w:id="1053"/>
      </w:r>
      <w:r>
        <w:rPr>
          <w:rFonts w:ascii="IRNazanin" w:hAnsi="IRNazanin" w:eastAsia="IRNazanin"/>
          <w:color w:val="111111"/>
          <w:sz w:val="28"/>
          <w:sz w:val="28"/>
          <w:szCs w:val="28"/>
          <w:rtl w:val="true"/>
          <w:lang w:bidi="fa-IR"/>
        </w:rPr>
        <w:t>علّت آن را این می‌داند که؛ مقرّرات مربوط به‌وقف در قانون مدنی از فقه اقتباس شده است و در فقه هرچند بعضی از مصادیق شخصیّت حقوقی وجود دارد و فقها نیز با آن مصادیق آشنایی دارند، امّا این عنوان نزد آنان ناآشنا</w:t>
      </w:r>
    </w:p>
    <w:p>
      <w:pPr>
        <w:pStyle w:val="BookText"/>
        <w:rPr/>
      </w:pP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ماده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تشکیلات و اختیارات سازمان حجّ و اوقاف و امور خیریه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مصوّب </w:t>
      </w:r>
      <w:r>
        <w:rPr>
          <w:rFonts w:eastAsia="IRNazanin" w:cs="IRNazanin"/>
          <w:color w:val="111111"/>
          <w:sz w:val="28"/>
          <w:szCs w:val="28"/>
          <w:lang w:bidi="fa-IR"/>
        </w:rPr>
        <w:t>6/10/1363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به‌تأیید شورای نگهبان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موقوفه</w:t>
      </w:r>
      <w:r>
        <w:rPr>
          <w:rStyle w:val="FootnoteAnchor"/>
          <w:rtl w:val="true"/>
        </w:rPr>
        <w:footnoteReference w:id="1054"/>
      </w:r>
      <w:r>
        <w:rPr>
          <w:rFonts w:ascii="IRNazanin" w:hAnsi="IRNazanin" w:eastAsia="IRNazanin"/>
          <w:color w:val="111111"/>
          <w:sz w:val="28"/>
          <w:sz w:val="28"/>
          <w:szCs w:val="28"/>
          <w:rtl w:val="true"/>
          <w:lang w:bidi="fa-IR"/>
        </w:rPr>
        <w:t>دارای شخصیّت حقوقی است و متولّی یا سازمان، حسب مورد، نماینده آن می‌باشد</w:t>
      </w:r>
      <w:r>
        <w:rPr>
          <w:rFonts w:eastAsia="IRNazanin" w:cs="IRNazanin"/>
          <w:color w:val="111111"/>
          <w:sz w:val="28"/>
          <w:szCs w:val="28"/>
          <w:rtl w:val="true"/>
          <w:lang w:bidi="fa-IR"/>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 xml:space="preserve">. </w:t>
      </w:r>
      <w:bookmarkStart w:id="623" w:name="pg4267_21974"/>
    </w:p>
    <w:p>
      <w:pPr>
        <w:pStyle w:val="Heading4"/>
        <w:numPr>
          <w:ilvl w:val="3"/>
          <w:numId w:val="1"/>
        </w:numPr>
        <w:rPr/>
      </w:pPr>
      <w:bookmarkStart w:id="624" w:name="__RefHeading___Toc474349_1479056682"/>
      <w:bookmarkStart w:id="625" w:name="_Toc237"/>
      <w:bookmarkEnd w:id="623"/>
      <w:bookmarkEnd w:id="624"/>
      <w:r>
        <w:rPr>
          <w:rtl w:val="true"/>
        </w:rPr>
        <w:t>مبحث سوم</w:t>
      </w:r>
      <w:r>
        <w:rPr>
          <w:rtl w:val="true"/>
        </w:rPr>
        <w:t xml:space="preserve">: </w:t>
      </w:r>
      <w:r>
        <w:rPr>
          <w:rtl w:val="true"/>
        </w:rPr>
        <w:t>شروط واقف</w:t>
      </w:r>
      <w:bookmarkEnd w:id="625"/>
    </w:p>
    <w:p>
      <w:pPr>
        <w:pStyle w:val="Heading5"/>
        <w:numPr>
          <w:ilvl w:val="4"/>
          <w:numId w:val="1"/>
        </w:numPr>
        <w:rPr/>
      </w:pPr>
      <w:bookmarkStart w:id="626" w:name="__RefHeading___Toc474351_1479056682"/>
      <w:bookmarkStart w:id="627" w:name="_Toc238"/>
      <w:bookmarkEnd w:id="626"/>
      <w:r>
        <w:rPr>
          <w:rtl w:val="true"/>
        </w:rPr>
        <w:t xml:space="preserve">گفتار </w:t>
      </w:r>
      <w:r>
        <w:rPr/>
        <w:t>1</w:t>
      </w:r>
      <w:r>
        <w:rPr>
          <w:rtl w:val="true"/>
        </w:rPr>
        <w:t xml:space="preserve">- </w:t>
      </w:r>
      <w:r>
        <w:rPr>
          <w:rtl w:val="true"/>
        </w:rPr>
        <w:t>معنای شرط</w:t>
      </w:r>
      <w:bookmarkEnd w:id="627"/>
    </w:p>
    <w:p>
      <w:pPr>
        <w:pStyle w:val="BookText"/>
        <w:rPr/>
      </w:pPr>
      <w:r>
        <w:rPr>
          <w:rFonts w:ascii="IRNazanin" w:hAnsi="IRNazanin" w:eastAsia="IRNazanin"/>
          <w:color w:val="111111"/>
          <w:sz w:val="28"/>
          <w:sz w:val="28"/>
          <w:szCs w:val="28"/>
          <w:rtl w:val="true"/>
          <w:lang w:bidi="fa-IR"/>
        </w:rPr>
        <w:t>برای‌شرط، از لحاظ لغوی و اصطلاحی معانیِ گوناگونی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المصطلحات الوقفیّه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لغت یعنی الزام و التزام شی‌ء در بیع و مانند آن،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کذا، اشترط علیه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آن شروط است و شرایط جمع شریطه است و در اصطلاح، شرط عبارت است از تعلیق یک شی‌ء به شی‌ء دیگر به طوری که وجود شی‌ء اوّل بر دیگری توقّف داشته باشد؛ مثل این که می‌گوییم از شروط موقوف این است که مملوک واقف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وجود وقف بر تحقّق این شرط توقف دارد</w:t>
      </w:r>
      <w:r>
        <w:rPr>
          <w:rFonts w:eastAsia="IRNazanin" w:cs="IRNazanin"/>
          <w:color w:val="111111"/>
          <w:sz w:val="28"/>
          <w:szCs w:val="28"/>
          <w:rtl w:val="true"/>
          <w:lang w:bidi="fa-IR"/>
        </w:rPr>
        <w:t>.</w:t>
      </w:r>
      <w:r>
        <w:rPr>
          <w:rStyle w:val="FootnoteAnchor"/>
          <w:rtl w:val="true"/>
        </w:rPr>
        <w:footnoteReference w:id="1056"/>
      </w:r>
    </w:p>
    <w:p>
      <w:pPr>
        <w:pStyle w:val="BookText"/>
        <w:rPr/>
      </w:pPr>
      <w:r>
        <w:rPr>
          <w:rFonts w:ascii="IRNazanin" w:hAnsi="IRNazanin" w:eastAsia="IRNazanin"/>
          <w:color w:val="111111"/>
          <w:sz w:val="28"/>
          <w:sz w:val="28"/>
          <w:szCs w:val="28"/>
          <w:rtl w:val="true"/>
          <w:lang w:bidi="fa-IR"/>
        </w:rPr>
        <w:t>شیخ انصاری نیز در مکاسب معانی متعدّدی برای شرط ذکر کرده است،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آن است که از عدم آن عدم مشروط لازم می‌آید، امّا از وجودش وجود آن لازم نمی‌آید</w:t>
      </w:r>
      <w:r>
        <w:rPr>
          <w:rFonts w:eastAsia="IRNazanin" w:cs="IRNazanin"/>
          <w:color w:val="111111"/>
          <w:sz w:val="28"/>
          <w:szCs w:val="28"/>
          <w:rtl w:val="true"/>
          <w:lang w:bidi="fa-IR"/>
        </w:rPr>
        <w:t>»</w:t>
      </w:r>
      <w:r>
        <w:rPr>
          <w:rStyle w:val="FootnoteAnchor"/>
          <w:rtl w:val="true"/>
        </w:rPr>
        <w:footnoteReference w:id="1057"/>
      </w:r>
      <w:r>
        <w:rPr>
          <w:rFonts w:ascii="IRNazanin" w:hAnsi="IRNazanin" w:eastAsia="IRNazanin"/>
          <w:color w:val="111111"/>
          <w:sz w:val="28"/>
          <w:sz w:val="28"/>
          <w:szCs w:val="28"/>
          <w:rtl w:val="true"/>
          <w:lang w:bidi="fa-IR"/>
        </w:rPr>
        <w:t>که تعبیر دیگری از تعریف قبلی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اوّل در قواعد و راغب اصفهانی نیز نظیر همین معنا را برای شرط ذکر کرده‌اند</w:t>
      </w:r>
      <w:r>
        <w:rPr>
          <w:rFonts w:eastAsia="IRNazanin" w:cs="IRNazanin"/>
          <w:color w:val="111111"/>
          <w:sz w:val="28"/>
          <w:szCs w:val="28"/>
          <w:rtl w:val="true"/>
          <w:lang w:bidi="fa-IR"/>
        </w:rPr>
        <w:t>.</w:t>
      </w:r>
      <w:r>
        <w:rPr>
          <w:rStyle w:val="FootnoteAnchor"/>
          <w:rtl w:val="true"/>
        </w:rPr>
        <w:footnoteReference w:id="1058"/>
      </w:r>
      <w:r>
        <w:rPr>
          <w:rFonts w:ascii="IRNazanin" w:hAnsi="IRNazanin" w:eastAsia="IRNazanin"/>
          <w:color w:val="111111"/>
          <w:sz w:val="28"/>
          <w:sz w:val="28"/>
          <w:szCs w:val="28"/>
          <w:rtl w:val="true"/>
          <w:lang w:bidi="fa-IR"/>
        </w:rPr>
        <w:t>البتّه توقّف وجود مشروط بر شرط در باب عقود، توقّف تشریعی است نه تکوینی، زیرا اصلاً نفس عقود، تشریعی و اعتباری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وقف شروط دارای انواعی هستند؛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معتبر در خود واقف مثل بلوغ و عقل و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معتبر در مال موقوف مثل مملوک بودن، عینی بودن و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معتبر در موقوفٌ عَلَیه مانند موجود بودن، جهت معصیت نبودن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شروطی که واقف آنها را در وقف اعتبار می‌کند و در حقیقت، عقد وقف را با توجّه به آن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شروط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واقف تحقّق وقف خود را بر این شروط متوقّف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مبحث این گونه از شروط است </w:t>
      </w:r>
      <w:bookmarkStart w:id="628" w:name="pg4267_21975"/>
    </w:p>
    <w:p>
      <w:pPr>
        <w:pStyle w:val="Heading5"/>
        <w:numPr>
          <w:ilvl w:val="4"/>
          <w:numId w:val="1"/>
        </w:numPr>
        <w:rPr/>
      </w:pPr>
      <w:bookmarkStart w:id="629" w:name="__RefHeading___Toc474353_1479056682"/>
      <w:bookmarkStart w:id="630" w:name="_Toc239"/>
      <w:bookmarkEnd w:id="628"/>
      <w:bookmarkEnd w:id="629"/>
      <w:r>
        <w:rPr>
          <w:rtl w:val="true"/>
        </w:rPr>
        <w:t xml:space="preserve">گفتار </w:t>
      </w:r>
      <w:r>
        <w:rPr/>
        <w:t>2</w:t>
      </w:r>
      <w:r>
        <w:rPr>
          <w:rtl w:val="true"/>
        </w:rPr>
        <w:t xml:space="preserve">- </w:t>
      </w:r>
      <w:r>
        <w:rPr>
          <w:rtl w:val="true"/>
        </w:rPr>
        <w:t>اهمّیّت شروط واقف</w:t>
      </w:r>
      <w:bookmarkEnd w:id="630"/>
    </w:p>
    <w:p>
      <w:pPr>
        <w:pStyle w:val="BookText"/>
        <w:rPr/>
      </w:pPr>
      <w:r>
        <w:rPr>
          <w:rFonts w:ascii="IRNazanin" w:hAnsi="IRNazanin" w:eastAsia="IRNazanin"/>
          <w:color w:val="111111"/>
          <w:sz w:val="28"/>
          <w:sz w:val="28"/>
          <w:szCs w:val="28"/>
          <w:rtl w:val="true"/>
          <w:lang w:bidi="fa-IR"/>
        </w:rPr>
        <w:t>از مطالبی که از ظاهر و صریح کلمات و عبارات فقهای فریقین بروشنی استفاده می‌شود و همه فقها به نوعی بر آن تأکید کرده‌اند، اهمّیّت شروط واقف و لزوم رعایت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محمّد جواد مغنیه</w:t>
      </w:r>
      <w:r>
        <w:rPr>
          <w:rStyle w:val="FootnoteAnchor"/>
          <w:rtl w:val="true"/>
        </w:rPr>
        <w:footnoteReference w:id="1059"/>
      </w:r>
      <w:r>
        <w:rPr>
          <w:rFonts w:ascii="IRNazanin" w:hAnsi="IRNazanin" w:eastAsia="IRNazanin"/>
          <w:color w:val="111111"/>
          <w:sz w:val="28"/>
          <w:sz w:val="28"/>
          <w:szCs w:val="28"/>
          <w:rtl w:val="true"/>
          <w:lang w:bidi="fa-IR"/>
        </w:rPr>
        <w:t xml:space="preserve">وقف نوعی عطیّه و تبرّع است و بدیهی است که انسان عاقل، بالغ، رشید و صحیحی که از تصرّف در اموال خویش منع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محجور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هر مقدار از اموال خود را که بخواهد به هرگونه که می‌خواهد برایگان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تبرّعا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مصرف دلخواه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عموماتی چون حدیث نبوی صلی‌الله‌علیه‌و‌آله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اِنَ‌النّاسَ</w:t>
      </w:r>
    </w:p>
    <w:p>
      <w:pPr>
        <w:pStyle w:val="BookText"/>
        <w:rPr/>
      </w:pPr>
      <w:r>
        <w:rPr>
          <w:rFonts w:ascii="Amiri" w:hAnsi="Amiri" w:eastAsia="Amiri" w:cs="Amiri"/>
          <w:color w:val="111111"/>
          <w:sz w:val="28"/>
          <w:sz w:val="28"/>
          <w:szCs w:val="28"/>
          <w:rtl w:val="true"/>
          <w:lang w:bidi="ar-SA"/>
        </w:rPr>
        <w:t>مُسَلَّطُونَ عَلی اَمْوالِهِمْ</w:t>
      </w:r>
      <w:r>
        <w:rPr>
          <w:rFonts w:eastAsia="Amiri" w:cs="Amiri" w:ascii="Amiri" w:hAnsi="Amiri"/>
          <w:color w:val="111111"/>
          <w:sz w:val="28"/>
          <w:szCs w:val="28"/>
          <w:rtl w:val="true"/>
          <w:lang w:bidi="ar-SA"/>
        </w:rPr>
        <w:t>»</w:t>
      </w:r>
      <w:r>
        <w:rPr>
          <w:rStyle w:val="FootnoteAnchor"/>
          <w:rtl w:val="true"/>
        </w:rPr>
        <w:footnoteReference w:id="1060"/>
      </w:r>
      <w:r>
        <w:rPr>
          <w:rFonts w:ascii="IRNazanin" w:hAnsi="IRNazanin" w:eastAsia="IRNazanin"/>
          <w:color w:val="111111"/>
          <w:sz w:val="28"/>
          <w:sz w:val="28"/>
          <w:szCs w:val="28"/>
          <w:rtl w:val="true"/>
          <w:lang w:bidi="fa-IR"/>
        </w:rPr>
        <w:t>و احادیث خاصّی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اَهْلُها اِنْ شاءَاللّه</w:t>
      </w:r>
      <w:r>
        <w:rPr>
          <w:rFonts w:eastAsia="IRNazanin" w:cs="IRNazanin"/>
          <w:color w:val="111111"/>
          <w:sz w:val="28"/>
          <w:szCs w:val="28"/>
          <w:rtl w:val="true"/>
          <w:lang w:bidi="fa-IR"/>
        </w:rPr>
        <w:t>»</w:t>
      </w:r>
      <w:r>
        <w:rPr>
          <w:rStyle w:val="FootnoteAnchor"/>
          <w:rtl w:val="true"/>
        </w:rPr>
        <w:footnoteReference w:id="10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بلکه از ادلّه فوق‌العاده مهمّ شروط واقف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 عاملی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به شرط واقف واجب است و تغییر آن جایز نیست</w:t>
      </w:r>
      <w:r>
        <w:rPr>
          <w:rFonts w:eastAsia="IRNazanin" w:cs="IRNazanin"/>
          <w:color w:val="111111"/>
          <w:sz w:val="28"/>
          <w:szCs w:val="28"/>
          <w:rtl w:val="true"/>
          <w:lang w:bidi="fa-IR"/>
        </w:rPr>
        <w:t>».</w:t>
      </w:r>
      <w:r>
        <w:rPr>
          <w:rStyle w:val="FootnoteAnchor"/>
          <w:rtl w:val="true"/>
        </w:rPr>
        <w:footnoteReference w:id="1062"/>
      </w:r>
      <w:r>
        <w:rPr>
          <w:rFonts w:ascii="IRNazanin" w:hAnsi="IRNazanin" w:eastAsia="IRNazanin"/>
          <w:color w:val="111111"/>
          <w:sz w:val="28"/>
          <w:sz w:val="28"/>
          <w:szCs w:val="28"/>
          <w:rtl w:val="true"/>
          <w:lang w:bidi="fa-IR"/>
        </w:rPr>
        <w:t>بسیاری از فقها این مطلب را با تعبیر زیر بیان کرده‌اند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الواقِفِ کَنَصِّ الشّارِع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واقف، همانند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شارع است</w:t>
      </w:r>
      <w:r>
        <w:rPr>
          <w:rFonts w:eastAsia="Amiri" w:cs="Amiri" w:ascii="Amiri" w:hAnsi="Amiri"/>
          <w:color w:val="111111"/>
          <w:sz w:val="28"/>
          <w:szCs w:val="28"/>
          <w:rtl w:val="true"/>
          <w:lang w:bidi="ar-SA"/>
        </w:rPr>
        <w:t>».</w:t>
      </w:r>
      <w:r>
        <w:rPr>
          <w:rStyle w:val="FootnoteAnchor"/>
          <w:rtl w:val="true"/>
        </w:rPr>
        <w:footnoteReference w:id="1063"/>
      </w:r>
    </w:p>
    <w:p>
      <w:pPr>
        <w:pStyle w:val="BookText"/>
        <w:rPr/>
      </w:pPr>
      <w:r>
        <w:rPr>
          <w:rFonts w:ascii="IRNazanin" w:hAnsi="IRNazanin" w:eastAsia="IRNazanin"/>
          <w:color w:val="111111"/>
          <w:sz w:val="28"/>
          <w:sz w:val="28"/>
          <w:szCs w:val="28"/>
          <w:rtl w:val="true"/>
          <w:lang w:bidi="fa-IR"/>
        </w:rPr>
        <w:t>وَهْبةُ الزُّحَیْلی عبارت یاد شده را مورد اتفاق نظر همه فقها دانسته و تصریح کرده است که مذاهب بر وجوب عمل به شرط واقف، همانند نصّ شارع، وحدت نظر دارند، هر چند دیدگاهها در مدلول و مقدار دلالت آن، مختلف است</w:t>
      </w:r>
      <w:r>
        <w:rPr>
          <w:rFonts w:eastAsia="IRNazanin" w:cs="IRNazanin"/>
          <w:color w:val="111111"/>
          <w:sz w:val="28"/>
          <w:szCs w:val="28"/>
          <w:rtl w:val="true"/>
          <w:lang w:bidi="fa-IR"/>
        </w:rPr>
        <w:t>.</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درباره معنای عبارت فوق، فقها بحثها و مطالب نسبتا مفصّلی را در کتابهای خود مطرح کرده‌اند که خلاصه همه آنها سه احتمال زیراست</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عبارت با تعمیمی که دارد با اصول و قواعد شرعی سازگار نیست، لذا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همانندی در مفهوم و دلالت است؛ یعنی برای فهم و دلالت </w:t>
      </w:r>
    </w:p>
    <w:p>
      <w:pPr>
        <w:pStyle w:val="BookText"/>
        <w:rPr/>
      </w:pPr>
      <w:r>
        <w:rPr>
          <w:rFonts w:ascii="IRNazanin" w:hAnsi="IRNazanin" w:eastAsia="IRNazanin"/>
          <w:color w:val="111111"/>
          <w:sz w:val="28"/>
          <w:sz w:val="28"/>
          <w:szCs w:val="28"/>
          <w:rtl w:val="true"/>
          <w:lang w:bidi="fa-IR"/>
        </w:rPr>
        <w:t>نصوص واقف، همانند نصوص شارع، ملاک عرف و عادت آن است، بنابراین اگر مقصود وی روشن بود، مطابق آن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عرف و عادتِ خودش متّبع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به کمک دیگر عباراتش روشن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این است که منظور از همانندی نصّ واقف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همانندی در وجوب عمل و لزوم پیروی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طور که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پیروی و مطابق آنها عمل کرد، پیروی از نصوص و شروط واقف نیز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واقف در هر دو جهت یاد شده همانند نصوص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فهم و دلالت و هم در لزوم پیروی حکم نصوص شارع را دارند</w:t>
      </w:r>
      <w:r>
        <w:rPr>
          <w:rFonts w:eastAsia="IRNazanin" w:cs="IRNazanin"/>
          <w:color w:val="111111"/>
          <w:sz w:val="28"/>
          <w:szCs w:val="28"/>
          <w:rtl w:val="true"/>
          <w:lang w:bidi="fa-IR"/>
        </w:rPr>
        <w:t>.</w:t>
      </w:r>
      <w:r>
        <w:rPr>
          <w:rStyle w:val="FootnoteAnchor"/>
          <w:rtl w:val="true"/>
        </w:rPr>
        <w:footnoteReference w:id="1065"/>
      </w:r>
    </w:p>
    <w:p>
      <w:pPr>
        <w:pStyle w:val="BookText"/>
        <w:rPr/>
      </w:pPr>
      <w:r>
        <w:rPr>
          <w:rFonts w:ascii="IRNazanin" w:hAnsi="IRNazanin" w:eastAsia="IRNazanin"/>
          <w:color w:val="111111"/>
          <w:sz w:val="28"/>
          <w:sz w:val="28"/>
          <w:szCs w:val="28"/>
          <w:rtl w:val="true"/>
          <w:lang w:bidi="fa-IR"/>
        </w:rPr>
        <w:t xml:space="preserve">چنان که اشاره شد بسیاری از فقها از حمل عبارت یاد شده بر همانندی در لزوم عمل و پیروی، استیحاش کرده‌اند؛ زیرا تصوّر کرده‌اند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تعبیر ابن تیمیّه به نقل کبیسی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واضح است که پیروی مطلق و بی‌چون و چرا، خاصّ خدا و رسول صلی‌الله‌علیه‌و‌آله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تصوّر کرده‌اند معنای عبارت این است که واقف در عَرْض شارع و نصّ و شروط او هم در عَرْض نصّ و شروط شارع است، در حالی که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عبارت فقها، که حتما از روایات و سنّت استنباط شده است، و نیز معنای احادیثی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این نیست که واقف همانند شارع به طور مطلق و بی‌چون و چرا، واجب الاطاعة است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این عبارات و احادیث این است که عمل کردن به شروط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عاقد و شرط‌کننده‌ای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محدوده و قلمرو شرع و احکام الهی واجب 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شروطی که واقف و یا هر عاقد دیگری در عقد خود، اعتبار و اشتراط می‌کند در طول شروط و احکام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حکم و شرط شارع باشد و حکم و شرط واقف هم در برابر آن واجب الاطاعه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در مورد یا مواردی شرط واقف با شرط و حکم شرع ناسازگار بود، بدون هیچ تردید و شبهه‌ای حق تقدّم با حکم شارع است و به شرط واقف کمترین اعتنایی نمی‌شود</w:t>
      </w:r>
      <w:r>
        <w:rPr>
          <w:rFonts w:eastAsia="IRNazanin" w:cs="IRNazanin"/>
          <w:color w:val="111111"/>
          <w:sz w:val="28"/>
          <w:szCs w:val="28"/>
          <w:rtl w:val="true"/>
          <w:lang w:bidi="fa-IR"/>
        </w:rPr>
        <w:t xml:space="preserve">. </w:t>
      </w:r>
      <w:bookmarkStart w:id="631" w:name="pg4267_21977"/>
    </w:p>
    <w:p>
      <w:pPr>
        <w:pStyle w:val="BookText"/>
        <w:rPr/>
      </w:pPr>
      <w:bookmarkEnd w:id="631"/>
      <w:r>
        <w:rPr>
          <w:rFonts w:ascii="IRNazanin" w:hAnsi="IRNazanin" w:eastAsia="IRNazanin"/>
          <w:color w:val="111111"/>
          <w:sz w:val="28"/>
          <w:sz w:val="28"/>
          <w:szCs w:val="28"/>
          <w:rtl w:val="true"/>
          <w:lang w:bidi="fa-IR"/>
        </w:rPr>
        <w:t>بنابراین شروط واقف برای مشروعیت پیدا کردن و واجب الاطاعة بودن باید شروطی صحیح باشند و صحّت آنها مبتنی و متوقّف بر تحقّق شرایطی است که در بحث بعدی به آن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ورود به مبحث بعدی که شرایط صحّت شروط است، شایان یادآوری است که عموم فقهای امامیّه نیز بر لزوم رعایت شروط واقف تأکید کرده‌اند</w:t>
      </w:r>
      <w:r>
        <w:rPr>
          <w:rFonts w:eastAsia="IRNazanin" w:cs="IRNazanin"/>
          <w:color w:val="111111"/>
          <w:sz w:val="28"/>
          <w:szCs w:val="28"/>
          <w:rtl w:val="true"/>
          <w:lang w:bidi="fa-IR"/>
        </w:rPr>
        <w:t>.</w:t>
      </w:r>
      <w:r>
        <w:rPr>
          <w:rStyle w:val="FootnoteAnchor"/>
          <w:rtl w:val="true"/>
        </w:rPr>
        <w:footnoteReference w:id="1067"/>
      </w:r>
    </w:p>
    <w:p>
      <w:pPr>
        <w:pStyle w:val="Heading5"/>
        <w:numPr>
          <w:ilvl w:val="4"/>
          <w:numId w:val="1"/>
        </w:numPr>
        <w:rPr/>
      </w:pPr>
      <w:bookmarkStart w:id="632" w:name="__RefHeading___Toc474355_1479056682"/>
      <w:bookmarkStart w:id="633" w:name="_Toc240"/>
      <w:bookmarkEnd w:id="632"/>
      <w:r>
        <w:rPr>
          <w:rtl w:val="true"/>
        </w:rPr>
        <w:t xml:space="preserve">گفتار </w:t>
      </w:r>
      <w:r>
        <w:rPr/>
        <w:t>3</w:t>
      </w:r>
      <w:r>
        <w:rPr>
          <w:rtl w:val="true"/>
        </w:rPr>
        <w:t xml:space="preserve">- </w:t>
      </w:r>
      <w:r>
        <w:rPr>
          <w:rtl w:val="true"/>
        </w:rPr>
        <w:t>شرایط صحّت شروط</w:t>
      </w:r>
      <w:bookmarkEnd w:id="633"/>
    </w:p>
    <w:p>
      <w:pPr>
        <w:pStyle w:val="Heading6"/>
        <w:numPr>
          <w:ilvl w:val="5"/>
          <w:numId w:val="1"/>
        </w:numPr>
        <w:rPr/>
      </w:pPr>
      <w:bookmarkStart w:id="634" w:name="__RefHeading___Toc474357_1479056682"/>
      <w:bookmarkStart w:id="635" w:name="_Toc241"/>
      <w:bookmarkEnd w:id="634"/>
      <w:r>
        <w:rPr>
          <w:rtl w:val="true"/>
        </w:rPr>
        <w:t>اشاره</w:t>
      </w:r>
      <w:bookmarkEnd w:id="635"/>
    </w:p>
    <w:p>
      <w:pPr>
        <w:pStyle w:val="BookText"/>
        <w:rPr/>
      </w:pPr>
      <w:r>
        <w:rPr>
          <w:rFonts w:ascii="IRNazanin" w:hAnsi="IRNazanin" w:eastAsia="IRNazanin"/>
          <w:color w:val="111111"/>
          <w:sz w:val="28"/>
          <w:sz w:val="28"/>
          <w:szCs w:val="28"/>
          <w:rtl w:val="true"/>
          <w:lang w:bidi="fa-IR"/>
        </w:rPr>
        <w:t>فقها برای صحّت و اعتبار شروطی که واقف شرط می‌کند، شرایطی را مطرح کرده‌اند که به اختصار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از این شرایط را بزرگانی چون شیخ انصاری در بحث بیع و خیارات بررسی کرده‌اند، امّا از شرایط، همه و یا اکثر عقود در باب معاملات هستند و در نتیجه وقف را نیز شامل می‌شوند</w:t>
      </w:r>
      <w:r>
        <w:rPr>
          <w:rFonts w:eastAsia="IRNazanin" w:cs="IRNazanin"/>
          <w:color w:val="111111"/>
          <w:sz w:val="28"/>
          <w:szCs w:val="28"/>
          <w:rtl w:val="true"/>
          <w:lang w:bidi="fa-IR"/>
        </w:rPr>
        <w:t>:</w:t>
      </w:r>
    </w:p>
    <w:p>
      <w:pPr>
        <w:pStyle w:val="Heading6"/>
        <w:numPr>
          <w:ilvl w:val="5"/>
          <w:numId w:val="1"/>
        </w:numPr>
        <w:rPr/>
      </w:pPr>
      <w:bookmarkStart w:id="636" w:name="__RefHeading___Toc474359_1479056682"/>
      <w:bookmarkStart w:id="637" w:name="_Toc242"/>
      <w:bookmarkEnd w:id="636"/>
      <w:r>
        <w:rPr>
          <w:rtl w:val="true"/>
        </w:rPr>
        <w:t>شرط اوّل</w:t>
      </w:r>
      <w:r>
        <w:rPr>
          <w:rtl w:val="true"/>
        </w:rPr>
        <w:t xml:space="preserve">: </w:t>
      </w:r>
      <w:r>
        <w:rPr>
          <w:rtl w:val="true"/>
        </w:rPr>
        <w:t>عدم مخالفت با مقتضای عقد</w:t>
      </w:r>
      <w:bookmarkEnd w:id="637"/>
    </w:p>
    <w:p>
      <w:pPr>
        <w:pStyle w:val="BookText"/>
        <w:rPr/>
      </w:pPr>
      <w:r>
        <w:rPr>
          <w:rFonts w:ascii="IRNazanin" w:hAnsi="IRNazanin" w:eastAsia="IRNazanin"/>
          <w:color w:val="111111"/>
          <w:sz w:val="28"/>
          <w:sz w:val="28"/>
          <w:szCs w:val="28"/>
          <w:rtl w:val="true"/>
          <w:lang w:bidi="fa-IR"/>
        </w:rPr>
        <w:t>بنابراین اگر شرطی با مقتضای عقد وقف منافی باشد، فاسد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شرط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استفاده از درآمد وقف را نداشته باشد و شرایطی از این گونه که با مقتضای عقد وقف ناسازگار است، شرط صحیح نخواهد بود؛ امّا اگر مثلاً نظارت بر وقف را برای خودش قرار دهد، چون با مقتضای وقف مخالفتی ندارد بلا 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برای عدم صحّت چنین شرطی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عقد به چنین شرطی مستلزم عدم امکان وفای به عقد است، زیرا فرض این است که با عقد تنافی دارد؛ لذا یا باید حکم به تساقط عقد و شرط کرد و یا باید جانب عقد را گرفت، زیرا عقد بالذّات مقصود است و شرط، تابع می باشد</w:t>
      </w:r>
      <w:r>
        <w:rPr>
          <w:rFonts w:eastAsia="IRNazanin" w:cs="IRNazanin"/>
          <w:color w:val="111111"/>
          <w:sz w:val="28"/>
          <w:szCs w:val="28"/>
          <w:rtl w:val="true"/>
          <w:lang w:bidi="fa-IR"/>
        </w:rPr>
        <w:t xml:space="preserve">. </w:t>
      </w:r>
      <w:bookmarkStart w:id="638" w:name="pg4267_21978"/>
    </w:p>
    <w:p>
      <w:pPr>
        <w:pStyle w:val="BookText"/>
        <w:rPr/>
      </w:pPr>
      <w:bookmarkEnd w:id="638"/>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منافی با مقتضای عقد در حقیقت با کتاب و سنّت منافات دارد؛ زیرا کتاب و سنّت بر عدم تخلّف عقد از مقتضای آن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شرطِ منافی با مقتضای عقد با کتاب و سنّت مخالف است</w:t>
      </w:r>
      <w:r>
        <w:rPr>
          <w:rFonts w:eastAsia="IRNazanin" w:cs="IRNazanin"/>
          <w:color w:val="111111"/>
          <w:sz w:val="28"/>
          <w:szCs w:val="28"/>
          <w:rtl w:val="true"/>
          <w:lang w:bidi="fa-IR"/>
        </w:rPr>
        <w:t>.</w:t>
      </w:r>
    </w:p>
    <w:p>
      <w:pPr>
        <w:pStyle w:val="Heading6"/>
        <w:numPr>
          <w:ilvl w:val="5"/>
          <w:numId w:val="1"/>
        </w:numPr>
        <w:rPr/>
      </w:pPr>
      <w:bookmarkStart w:id="639" w:name="__RefHeading___Toc474361_1479056682"/>
      <w:bookmarkStart w:id="640" w:name="_Toc243"/>
      <w:bookmarkEnd w:id="639"/>
      <w:r>
        <w:rPr>
          <w:rtl w:val="true"/>
        </w:rPr>
        <w:t>شرط دوم</w:t>
      </w:r>
      <w:r>
        <w:rPr>
          <w:rtl w:val="true"/>
        </w:rPr>
        <w:t xml:space="preserve">: </w:t>
      </w:r>
      <w:r>
        <w:rPr>
          <w:rtl w:val="true"/>
        </w:rPr>
        <w:t>اقتران به انشای وقف</w:t>
      </w:r>
      <w:bookmarkEnd w:id="640"/>
    </w:p>
    <w:p>
      <w:pPr>
        <w:pStyle w:val="BookText"/>
        <w:rPr/>
      </w:pPr>
      <w:r>
        <w:rPr>
          <w:rFonts w:ascii="IRNazanin" w:hAnsi="IRNazanin" w:eastAsia="IRNazanin"/>
          <w:color w:val="111111"/>
          <w:sz w:val="28"/>
          <w:sz w:val="28"/>
          <w:szCs w:val="28"/>
          <w:rtl w:val="true"/>
          <w:lang w:bidi="fa-IR"/>
        </w:rPr>
        <w:t>منظور این است که شرط، همراه و مقترن با عقد وقف و به عبارت دیگر، در ضمن عقد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واقف، بعد از تمام شدن انشای وقف، شرطی را لحاظ و اعتبار کند، لغو است؛ زیرا با تحقّق انشا و عقد، عین از ملک او خارج شده است و واقف نیز نسبت به این مال همانند دیگران، اجنبی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انصاری متفرّع بر این شرط به عدم کفایت ذکر شرط، قبل از عقد نیز اشاره کرده و برای این شرط ادّعای عدم خلاف کرده است؛ البتّه اگر عقد را با بنای بر شرط گذشته جاری سازند ممکن است اشکالی نداشته باشد</w:t>
      </w:r>
      <w:r>
        <w:rPr>
          <w:rFonts w:eastAsia="IRNazanin" w:cs="IRNazanin"/>
          <w:color w:val="111111"/>
          <w:sz w:val="28"/>
          <w:szCs w:val="28"/>
          <w:rtl w:val="true"/>
          <w:lang w:bidi="fa-IR"/>
        </w:rPr>
        <w:t>.</w:t>
      </w:r>
      <w:r>
        <w:rPr>
          <w:rStyle w:val="FootnoteAnchor"/>
          <w:rtl w:val="true"/>
        </w:rPr>
        <w:footnoteReference w:id="1068"/>
      </w:r>
    </w:p>
    <w:p>
      <w:pPr>
        <w:pStyle w:val="BookText"/>
        <w:rPr/>
      </w:pPr>
      <w:r>
        <w:rPr>
          <w:rFonts w:ascii="IRNazanin" w:hAnsi="IRNazanin" w:eastAsia="IRNazanin"/>
          <w:color w:val="111111"/>
          <w:sz w:val="28"/>
          <w:sz w:val="28"/>
          <w:szCs w:val="28"/>
          <w:rtl w:val="true"/>
          <w:lang w:bidi="fa-IR"/>
        </w:rPr>
        <w:t>شهید در قواعد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مقتضای عقد از ارکان آن باشد، مانند تسلیم مبیع به مشتری و تسلیم ثمن به بایع، شرط مخالف آن باطل است، امّا اگر چنین نباشد مانند لزوم عقد، شرط مخالف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اشتراط 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نخواهد بود</w:t>
      </w:r>
      <w:r>
        <w:rPr>
          <w:rFonts w:eastAsia="IRNazanin" w:cs="IRNazanin"/>
          <w:color w:val="111111"/>
          <w:sz w:val="28"/>
          <w:szCs w:val="28"/>
          <w:rtl w:val="true"/>
          <w:lang w:bidi="fa-IR"/>
        </w:rPr>
        <w:t>.</w:t>
      </w:r>
      <w:r>
        <w:rPr>
          <w:rStyle w:val="FootnoteAnchor"/>
          <w:rtl w:val="true"/>
        </w:rPr>
        <w:footnoteReference w:id="1069"/>
      </w:r>
    </w:p>
    <w:p>
      <w:pPr>
        <w:pStyle w:val="Heading6"/>
        <w:numPr>
          <w:ilvl w:val="5"/>
          <w:numId w:val="1"/>
        </w:numPr>
        <w:rPr/>
      </w:pPr>
      <w:bookmarkStart w:id="641" w:name="__RefHeading___Toc474363_1479056682"/>
      <w:bookmarkStart w:id="642" w:name="_Toc244"/>
      <w:bookmarkEnd w:id="641"/>
      <w:r>
        <w:rPr>
          <w:rtl w:val="true"/>
        </w:rPr>
        <w:t>شرط سوم</w:t>
      </w:r>
      <w:r>
        <w:rPr>
          <w:rtl w:val="true"/>
        </w:rPr>
        <w:t xml:space="preserve">: </w:t>
      </w:r>
      <w:r>
        <w:rPr>
          <w:rtl w:val="true"/>
        </w:rPr>
        <w:t>عدم مخالفت با کتاب و سنّت</w:t>
      </w:r>
      <w:bookmarkEnd w:id="642"/>
    </w:p>
    <w:p>
      <w:pPr>
        <w:pStyle w:val="BookText"/>
        <w:rPr/>
      </w:pPr>
      <w:r>
        <w:rPr>
          <w:rFonts w:ascii="IRNazanin" w:hAnsi="IRNazanin" w:eastAsia="IRNazanin"/>
          <w:color w:val="111111"/>
          <w:sz w:val="28"/>
          <w:sz w:val="28"/>
          <w:szCs w:val="28"/>
          <w:rtl w:val="true"/>
          <w:lang w:bidi="fa-IR"/>
        </w:rPr>
        <w:t>سومین شرط صحّت شروط این است که با کتاب و سنّت و به طور کلی با حکمی از احکام شریعت اسلامی مخالف نباشند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شیخ انصاری اخبار در این باب را مستفیض، بلکه متواتر معنوی دانسته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جمله حدیث صحیح نبوی صلی‌الله‌علیه‌و‌آله که از طریق امام صادق علیه‌السلام روایت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سِوی کِتابِ اللّهِ فَلا یَجُوزُ ذلِکَ لَهُ وَ لا عَلَیْهِ</w:t>
      </w:r>
      <w:r>
        <w:rPr>
          <w:rFonts w:eastAsia="Amiri" w:cs="Amiri" w:ascii="Amiri" w:hAnsi="Amiri"/>
          <w:color w:val="111111"/>
          <w:sz w:val="28"/>
          <w:szCs w:val="28"/>
          <w:rtl w:val="true"/>
          <w:lang w:bidi="ar-SA"/>
        </w:rPr>
        <w:t>»</w:t>
      </w:r>
      <w:r>
        <w:rPr>
          <w:rStyle w:val="FootnoteAnchor"/>
          <w:rtl w:val="true"/>
        </w:rPr>
        <w:footnoteReference w:id="107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شرطی را که مخالف کتاب خدای عزوجلّ باشد،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شرط نه به نفع و نه به زیان او، نافذ </w:t>
      </w:r>
      <w:bookmarkStart w:id="643" w:name="pg4267_21979"/>
    </w:p>
    <w:p>
      <w:pPr>
        <w:pStyle w:val="BookText"/>
        <w:rPr/>
      </w:pPr>
      <w:bookmarkEnd w:id="643"/>
      <w:r>
        <w:rPr>
          <w:rFonts w:ascii="Amiri" w:hAnsi="Amiri" w:eastAsia="Amiri" w:cs="Amiri"/>
          <w:color w:val="111111"/>
          <w:sz w:val="28"/>
          <w:sz w:val="28"/>
          <w:szCs w:val="28"/>
          <w:rtl w:val="true"/>
          <w:lang w:bidi="ar-SA"/>
        </w:rPr>
        <w:t>نخواهد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ونیز در صحیحه حَلَبی آمده است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کُلُّ شَرْطٍ خالَفَ کِتابَ‌اللّه‌ِ فَهُوَ</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w:t>
      </w:r>
      <w:r>
        <w:rPr>
          <w:rStyle w:val="FootnoteAnchor"/>
          <w:rtl w:val="true"/>
        </w:rPr>
        <w:footnoteReference w:id="1071"/>
      </w:r>
    </w:p>
    <w:p>
      <w:pPr>
        <w:pStyle w:val="BookText"/>
        <w:rPr/>
      </w:pPr>
      <w:r>
        <w:rPr>
          <w:rFonts w:ascii="Amiri" w:hAnsi="Amiri" w:eastAsia="Amiri" w:cs="Amiri"/>
          <w:color w:val="111111"/>
          <w:sz w:val="28"/>
          <w:sz w:val="28"/>
          <w:szCs w:val="28"/>
          <w:rtl w:val="true"/>
          <w:lang w:bidi="ar-SA"/>
        </w:rPr>
        <w:t>هر شرطی که با کتاب خدا مخالف باشد، مردود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نیز در صحیحه ابن سنان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 اِلاّ کُلُّ شَرْطٍ خالَفَ کِتابَ‌اللّه‌ِ عَزَّ وَ جَلَّ فَلا یَجُوُزُ</w:t>
      </w:r>
      <w:r>
        <w:rPr>
          <w:rFonts w:eastAsia="Amiri" w:cs="Amiri" w:ascii="Amiri" w:hAnsi="Amiri"/>
          <w:color w:val="111111"/>
          <w:sz w:val="28"/>
          <w:szCs w:val="28"/>
          <w:rtl w:val="true"/>
          <w:lang w:bidi="ar-SA"/>
        </w:rPr>
        <w:t>»:</w:t>
      </w:r>
      <w:r>
        <w:rPr>
          <w:rStyle w:val="FootnoteAnchor"/>
          <w:rtl w:val="true"/>
        </w:rPr>
        <w:footnoteReference w:id="107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مؤمنان در کنار شرایط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ملزم به رعایت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جز هر شرطی که با کتاب خدا مخالف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آن گاه تصریح کرده است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احکامی است که خداوند، هر چند با بیان رسول خدا صلی‌الله‌علیه‌و‌آله ، بر بندگانش واجب کرده است</w:t>
      </w:r>
      <w:r>
        <w:rPr>
          <w:rFonts w:eastAsia="IRNazanin" w:cs="IRNazanin"/>
          <w:color w:val="111111"/>
          <w:sz w:val="28"/>
          <w:szCs w:val="28"/>
          <w:rtl w:val="true"/>
          <w:lang w:bidi="fa-IR"/>
        </w:rPr>
        <w:t>.</w:t>
      </w:r>
      <w:r>
        <w:rPr>
          <w:rStyle w:val="FootnoteAnchor"/>
          <w:rtl w:val="true"/>
        </w:rPr>
        <w:footnoteReference w:id="1073"/>
      </w:r>
      <w:r>
        <w:rPr>
          <w:rFonts w:ascii="IRNazanin" w:hAnsi="IRNazanin" w:eastAsia="IRNazanin"/>
          <w:color w:val="111111"/>
          <w:sz w:val="28"/>
          <w:sz w:val="28"/>
          <w:szCs w:val="28"/>
          <w:rtl w:val="true"/>
          <w:lang w:bidi="fa-IR"/>
        </w:rPr>
        <w:t>بنابراین، اعتبار</w:t>
      </w:r>
    </w:p>
    <w:p>
      <w:pPr>
        <w:pStyle w:val="BookText"/>
        <w:rPr/>
      </w:pPr>
      <w:r>
        <w:rPr>
          <w:rFonts w:ascii="IRNazanin" w:hAnsi="IRNazanin" w:eastAsia="IRNazanin"/>
          <w:color w:val="111111"/>
          <w:sz w:val="28"/>
          <w:sz w:val="28"/>
          <w:szCs w:val="28"/>
          <w:rtl w:val="true"/>
          <w:lang w:bidi="fa-IR"/>
        </w:rPr>
        <w:t>و اشتراط هر شرطی که مخالف با حکمی از شریعت مقدس اسلام باشد، در هر عقدی از جمله عقد وقف، جایز نیست و چنین شرطی فاسد خواهد بود</w:t>
      </w:r>
      <w:r>
        <w:rPr>
          <w:rFonts w:eastAsia="IRNazanin" w:cs="IRNazanin"/>
          <w:color w:val="111111"/>
          <w:sz w:val="28"/>
          <w:szCs w:val="28"/>
          <w:rtl w:val="true"/>
          <w:lang w:bidi="fa-IR"/>
        </w:rPr>
        <w:t>.</w:t>
      </w:r>
    </w:p>
    <w:p>
      <w:pPr>
        <w:pStyle w:val="Heading6"/>
        <w:numPr>
          <w:ilvl w:val="5"/>
          <w:numId w:val="1"/>
        </w:numPr>
        <w:rPr/>
      </w:pPr>
      <w:bookmarkStart w:id="644" w:name="__RefHeading___Toc474365_1479056682"/>
      <w:bookmarkStart w:id="645" w:name="_Toc245"/>
      <w:bookmarkEnd w:id="644"/>
      <w:r>
        <w:rPr>
          <w:rtl w:val="true"/>
        </w:rPr>
        <w:t>شرط چهارم</w:t>
      </w:r>
      <w:r>
        <w:rPr>
          <w:rtl w:val="true"/>
        </w:rPr>
        <w:t xml:space="preserve">: </w:t>
      </w:r>
      <w:r>
        <w:rPr>
          <w:rtl w:val="true"/>
        </w:rPr>
        <w:t xml:space="preserve">عدم جهالت </w:t>
      </w:r>
      <w:r>
        <w:rPr>
          <w:rtl w:val="true"/>
        </w:rPr>
        <w:t>(</w:t>
      </w:r>
      <w:r>
        <w:rPr>
          <w:rtl w:val="true"/>
        </w:rPr>
        <w:t>معلوم بودن</w:t>
      </w:r>
      <w:r>
        <w:rPr>
          <w:rtl w:val="true"/>
        </w:rPr>
        <w:t>)</w:t>
      </w:r>
      <w:bookmarkEnd w:id="645"/>
    </w:p>
    <w:p>
      <w:pPr>
        <w:pStyle w:val="BookText"/>
        <w:rPr/>
      </w:pPr>
      <w:r>
        <w:rPr>
          <w:rFonts w:ascii="IRNazanin" w:hAnsi="IRNazanin" w:eastAsia="IRNazanin"/>
          <w:color w:val="111111"/>
          <w:sz w:val="28"/>
          <w:sz w:val="28"/>
          <w:szCs w:val="28"/>
          <w:rtl w:val="true"/>
          <w:lang w:bidi="fa-IR"/>
        </w:rPr>
        <w:t>از شرایطی که شیخ انصاری برای صحّت شروط در بیع ذکر کرده است و به طور مسلّم به باب وقف هم مربوط می‌شود این است که، شرط مجهول نباشد</w:t>
      </w:r>
      <w:r>
        <w:rPr>
          <w:rFonts w:eastAsia="IRNazanin" w:cs="IRNazanin"/>
          <w:color w:val="111111"/>
          <w:sz w:val="28"/>
          <w:szCs w:val="28"/>
          <w:rtl w:val="true"/>
          <w:lang w:bidi="fa-IR"/>
        </w:rPr>
        <w:t>.</w:t>
      </w:r>
      <w:r>
        <w:rPr>
          <w:rStyle w:val="FootnoteAnchor"/>
          <w:rtl w:val="true"/>
        </w:rPr>
        <w:footnoteReference w:id="1074"/>
      </w:r>
      <w:r>
        <w:rPr>
          <w:rFonts w:ascii="Amiri" w:hAnsi="Amiri" w:eastAsia="Amiri" w:cs="Amiri"/>
          <w:color w:val="111111"/>
          <w:sz w:val="28"/>
          <w:sz w:val="28"/>
          <w:szCs w:val="28"/>
          <w:rtl w:val="true"/>
          <w:lang w:bidi="ar-SA"/>
        </w:rPr>
        <w:t>شهید اوّل در</w:t>
      </w:r>
    </w:p>
    <w:p>
      <w:pPr>
        <w:pStyle w:val="BookText"/>
        <w:rPr/>
      </w:pPr>
      <w:r>
        <w:rPr>
          <w:rFonts w:ascii="IRNazanin" w:hAnsi="IRNazanin" w:eastAsia="IRNazanin"/>
          <w:color w:val="111111"/>
          <w:sz w:val="28"/>
          <w:sz w:val="28"/>
          <w:szCs w:val="28"/>
          <w:rtl w:val="true"/>
          <w:lang w:bidi="fa-IR"/>
        </w:rPr>
        <w:t>دروس نیز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چنین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را که واقفان در وقف خود شرط کرده‌اند برای من هم باشد، باطل است وعلّت بطلان، مجهول بودن شرط است</w:t>
      </w:r>
      <w:r>
        <w:rPr>
          <w:rFonts w:eastAsia="IRNazanin" w:cs="IRNazanin"/>
          <w:color w:val="111111"/>
          <w:sz w:val="28"/>
          <w:szCs w:val="28"/>
          <w:rtl w:val="true"/>
          <w:lang w:bidi="fa-IR"/>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دلیل اصلی بطلان شرط مجهول، همان لزوم غرر است، زیرا شرط در حقیقت جزئی از عوضین است و مجهول بودن آن ، موجب مجهول شدن عوضین می‌شود</w:t>
      </w:r>
      <w:r>
        <w:rPr>
          <w:rFonts w:eastAsia="IRNazanin" w:cs="IRNazanin"/>
          <w:color w:val="111111"/>
          <w:sz w:val="28"/>
          <w:szCs w:val="28"/>
          <w:rtl w:val="true"/>
          <w:lang w:bidi="fa-IR"/>
        </w:rPr>
        <w:t>.</w:t>
      </w:r>
      <w:r>
        <w:rPr>
          <w:rStyle w:val="FootnoteAnchor"/>
          <w:rtl w:val="true"/>
        </w:rPr>
        <w:footnoteReference w:id="1076"/>
      </w:r>
    </w:p>
    <w:p>
      <w:pPr>
        <w:pStyle w:val="Heading6"/>
        <w:numPr>
          <w:ilvl w:val="5"/>
          <w:numId w:val="1"/>
        </w:numPr>
        <w:rPr/>
      </w:pPr>
      <w:bookmarkStart w:id="646" w:name="__RefHeading___Toc474367_1479056682"/>
      <w:bookmarkStart w:id="647" w:name="_Toc246"/>
      <w:bookmarkEnd w:id="646"/>
      <w:r>
        <w:rPr>
          <w:rtl w:val="true"/>
        </w:rPr>
        <w:t>شرط پنجم</w:t>
      </w:r>
      <w:r>
        <w:rPr>
          <w:rtl w:val="true"/>
        </w:rPr>
        <w:t xml:space="preserve">: </w:t>
      </w:r>
      <w:r>
        <w:rPr>
          <w:rtl w:val="true"/>
        </w:rPr>
        <w:t>جایز بودن نفس شرط</w:t>
      </w:r>
      <w:bookmarkEnd w:id="647"/>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شرایط صحّت شرط در عقد از جمله عقد بیع، وقف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شرط فی </w:t>
      </w:r>
    </w:p>
    <w:p>
      <w:pPr>
        <w:pStyle w:val="BookText"/>
        <w:rPr/>
      </w:pPr>
      <w:r>
        <w:rPr>
          <w:rFonts w:ascii="IRNazanin" w:hAnsi="IRNazanin" w:eastAsia="IRNazanin"/>
          <w:color w:val="111111"/>
          <w:sz w:val="28"/>
          <w:sz w:val="28"/>
          <w:szCs w:val="28"/>
          <w:rtl w:val="true"/>
          <w:lang w:bidi="fa-IR"/>
        </w:rPr>
        <w:t>نفسه سائغ و جایز باشد، همانند اشتراط حمل خمر و خنزیر و یا معصیت دیگری نباشد؛ زیرا التزام به محرّمات، جایز و نافذ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اِحلال حرام از</w:t>
      </w:r>
    </w:p>
    <w:p>
      <w:pPr>
        <w:pStyle w:val="BookText"/>
        <w:rPr/>
      </w:pPr>
      <w:r>
        <w:rPr>
          <w:rFonts w:ascii="IRNazanin" w:hAnsi="IRNazanin" w:eastAsia="IRNazanin"/>
          <w:color w:val="111111"/>
          <w:sz w:val="28"/>
          <w:sz w:val="28"/>
          <w:szCs w:val="28"/>
          <w:rtl w:val="true"/>
          <w:lang w:bidi="fa-IR"/>
        </w:rPr>
        <w:t>اموری است که قطعا و مسلّما ممنوع است و در روایات متعدّد نیز به آن 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شرط و بعضی از شرایط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به همان شرط عدم مخالف بودن با کتاب و سنّت باز گرداند؛ امّا ویژگیهای خاصّ هر کدام موجب شده است تا جداگانه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خویی در کتاب خود در مورد شرایط صحّت شروط، ضمن بیان شرایط یاد شده، مباحث مفیدی را ارائه داده است</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بزرگانی چون کاشف الغطاء</w:t>
      </w:r>
      <w:r>
        <w:rPr>
          <w:rStyle w:val="FootnoteAnchor"/>
          <w:rtl w:val="true"/>
        </w:rPr>
        <w:footnoteReference w:id="1078"/>
      </w:r>
      <w:r>
        <w:rPr>
          <w:rFonts w:ascii="IRNazanin" w:hAnsi="IRNazanin" w:eastAsia="IRNazanin"/>
          <w:color w:val="111111"/>
          <w:sz w:val="28"/>
          <w:sz w:val="28"/>
          <w:szCs w:val="28"/>
          <w:rtl w:val="true"/>
          <w:lang w:bidi="fa-IR"/>
        </w:rPr>
        <w:t>برای شرایط فاسد مصادیقی را ذکر کرده‌اند،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مقتضی فساد آن در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شرط دخول خودش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شرطی که متضمّن رجوع منفعت وقف به واقف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 که مقتضی قَدْح و اِضرار به بعضی از شرایط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اقباض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شرط کند بر بقای وقف در دست خود و عدم اقباض آن به موقوفٌ عَلَیْه</w:t>
      </w:r>
    </w:p>
    <w:p>
      <w:pPr>
        <w:pStyle w:val="BookText"/>
        <w:rPr/>
      </w:pPr>
      <w:r>
        <w:rPr>
          <w:rFonts w:ascii="IRNazanin" w:hAnsi="IRNazanin" w:eastAsia="IRNazanin"/>
          <w:color w:val="111111"/>
          <w:sz w:val="28"/>
          <w:sz w:val="28"/>
          <w:szCs w:val="28"/>
          <w:rtl w:val="true"/>
          <w:lang w:bidi="fa-IR"/>
        </w:rPr>
        <w:t>و مصادیق دیگری که همه آنها از مواردی که ذکر شد، خارج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سرائر، شهید در دروس، علاّمه در قواعد و محقّق ثانی در جامع‌المقاصد، فاضل آبی در کشف‌الرّموز، صاحب جواهر و صاحب مفتاح، صاحب حدائق، سبزواری در کفایه و مغنیه در الفقه علی المذاهب الخمسة، با عباراتی مشابه به تمام یا بعضی از این شروط تصریح کرده اند</w:t>
      </w:r>
      <w:r>
        <w:rPr>
          <w:rFonts w:eastAsia="IRNazanin" w:cs="IRNazanin"/>
          <w:color w:val="111111"/>
          <w:sz w:val="28"/>
          <w:szCs w:val="28"/>
          <w:rtl w:val="true"/>
          <w:lang w:bidi="fa-IR"/>
        </w:rPr>
        <w:t>.</w:t>
      </w:r>
      <w:r>
        <w:rPr>
          <w:rStyle w:val="FootnoteAnchor"/>
          <w:rtl w:val="true"/>
        </w:rPr>
        <w:footnoteReference w:id="1079"/>
      </w:r>
    </w:p>
    <w:p>
      <w:pPr>
        <w:pStyle w:val="BookText"/>
        <w:rPr/>
      </w:pPr>
      <w:r>
        <w:rPr>
          <w:rFonts w:ascii="IRNazanin" w:hAnsi="IRNazanin" w:eastAsia="IRNazanin"/>
          <w:color w:val="111111"/>
          <w:sz w:val="28"/>
          <w:sz w:val="28"/>
          <w:szCs w:val="28"/>
          <w:rtl w:val="true"/>
          <w:lang w:bidi="fa-IR"/>
        </w:rPr>
        <w:t xml:space="preserve">روشن است که در وقف اشتراط همه شروطی که از دایره شرایط فاسد و ممنوع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باشد، جایز و وفای به آنها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مذاهب نیز اجمالاً برای صحّت شروط واقف، شرایط یاد شده را پذیرفته‌اند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زیدیّه برای صحّت شروط واقف قصد قربت را شرط دانسته‌اند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محمّد ابوزهره بعد از ذکر اهمّیّت نصّ و شرط واقف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اینها و در عین حالی که در وقف اراده و شرط واقف محترم است، لازم است این شروط به احکام شرع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مصرف وقف منهی عنه باشد یا در وقف شرطی اعتبار شود که با صریح امر یا نهی شارع مخالف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این مطلب و نظایر آن را از حنفیّه، مالکیّه، شافعیّه، حنابله و ظاهریّه، نقل کرده است</w:t>
      </w:r>
      <w:r>
        <w:rPr>
          <w:rFonts w:eastAsia="IRNazanin" w:cs="IRNazanin"/>
          <w:color w:val="111111"/>
          <w:sz w:val="28"/>
          <w:szCs w:val="28"/>
          <w:rtl w:val="true"/>
          <w:lang w:bidi="fa-IR"/>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حنفیّه شروطی را که مخالف با نصّ قانونی و یا معارض با مصلحت وقف و یا مستحقّین باشد باطل می‌دانند؛ مثل این که مالی را بر اولاد خود وقف کند و شرط نماید که حُکّام به هیچ وجه حق دخالت و یا نظارت در امور نُظّار و موقوفه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شرطی باطل و بی‌اثر است</w:t>
      </w:r>
      <w:r>
        <w:rPr>
          <w:rFonts w:eastAsia="IRNazanin" w:cs="IRNazanin"/>
          <w:color w:val="111111"/>
          <w:sz w:val="28"/>
          <w:szCs w:val="28"/>
          <w:rtl w:val="true"/>
          <w:lang w:bidi="fa-IR"/>
        </w:rPr>
        <w:t>.</w:t>
      </w:r>
      <w:r>
        <w:rPr>
          <w:rStyle w:val="FootnoteAnchor"/>
          <w:rtl w:val="true"/>
        </w:rPr>
        <w:footnoteReference w:id="1081"/>
      </w:r>
    </w:p>
    <w:p>
      <w:pPr>
        <w:pStyle w:val="BookText"/>
        <w:rPr/>
      </w:pPr>
      <w:r>
        <w:rPr>
          <w:rFonts w:ascii="IRNazanin" w:hAnsi="IRNazanin" w:eastAsia="IRNazanin"/>
          <w:color w:val="111111"/>
          <w:sz w:val="28"/>
          <w:sz w:val="28"/>
          <w:szCs w:val="28"/>
          <w:rtl w:val="true"/>
          <w:lang w:bidi="fa-IR"/>
        </w:rPr>
        <w:t>مالکیّه معتقدند؛ شروط واقفین در صورتی دارای اعتبار و ارزش هستند که جایز و مشروع باشند؛ لذا اگر شرطی به موجب نصّ، جایز بود عمل به آن لازم و عدول از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هر شرط مباحی را جایز می‌دانند، امّا ابن تیمیّه حنبلی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شرایط واقف اگر قربت و طاعت برای خدا و رسول باشد، صحیح است و گر نه شرط، هر چند مباح باشد، لازم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مشروط در عقود از منفعت در دین یا دنیا خالی باشد، باطل است؛ زیرا شرطی است که در کتاب خدا نیست</w:t>
      </w:r>
      <w:r>
        <w:rPr>
          <w:rFonts w:eastAsia="IRNazanin" w:cs="IRNazanin"/>
          <w:color w:val="111111"/>
          <w:sz w:val="28"/>
          <w:szCs w:val="28"/>
          <w:rtl w:val="true"/>
          <w:lang w:bidi="fa-IR"/>
        </w:rPr>
        <w:t>.</w:t>
      </w:r>
      <w:r>
        <w:rPr>
          <w:rStyle w:val="FootnoteAnchor"/>
          <w:rtl w:val="true"/>
        </w:rPr>
        <w:footnoteReference w:id="1082"/>
      </w:r>
      <w:r>
        <w:rPr>
          <w:rFonts w:ascii="IRNazanin" w:hAnsi="IRNazanin" w:eastAsia="IRNazanin"/>
          <w:color w:val="111111"/>
          <w:sz w:val="28"/>
          <w:sz w:val="28"/>
          <w:szCs w:val="28"/>
          <w:rtl w:val="true"/>
          <w:lang w:bidi="fa-IR"/>
        </w:rPr>
        <w:t>نکته قابل توجّه این که ابن تیمیه در صحّت شروط واقف قصد قربت وطاعت را نیز معتبر دانسته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کبیسی</w:t>
      </w:r>
      <w:r>
        <w:rPr>
          <w:rStyle w:val="FootnoteAnchor"/>
          <w:rtl w:val="true"/>
        </w:rPr>
        <w:footnoteReference w:id="1083"/>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شافعیّه شرطی را که مخالف نص شرعی نباشد، اگر مصلحت وقف یا موقوفٌ عَلَیْه در آن منظور شده باشد، لازم الوفا می‌دانند، هرچند در این که کدام شرط دارای مصلحت یاد شده هست و کدام نیست اختلاف نظر دارند</w:t>
      </w:r>
      <w:r>
        <w:rPr>
          <w:rFonts w:eastAsia="IRNazanin" w:cs="IRNazanin"/>
          <w:color w:val="111111"/>
          <w:sz w:val="28"/>
          <w:szCs w:val="28"/>
          <w:rtl w:val="true"/>
          <w:lang w:bidi="fa-IR"/>
        </w:rPr>
        <w:t xml:space="preserve">. </w:t>
      </w:r>
      <w:bookmarkStart w:id="648" w:name="pg4267_21982"/>
    </w:p>
    <w:p>
      <w:pPr>
        <w:pStyle w:val="BookText"/>
        <w:rPr/>
      </w:pPr>
      <w:bookmarkEnd w:id="648"/>
      <w:r>
        <w:rPr>
          <w:rFonts w:ascii="IRNazanin" w:hAnsi="IRNazanin" w:eastAsia="IRNazanin"/>
          <w:color w:val="111111"/>
          <w:sz w:val="28"/>
          <w:sz w:val="28"/>
          <w:szCs w:val="28"/>
          <w:rtl w:val="true"/>
          <w:lang w:bidi="fa-IR"/>
        </w:rPr>
        <w:t xml:space="preserve">ظاهریّه به اصل حَظْر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شرطی جز در مواردی که صحّت آن به موجب نصّ اعلام شده است، واجب الوفا نیست؛ آنها وقف بر نفس و وقف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صحیح می‌دانند، زیرا شرعا مجاز اعلام شده است؛ امّا وقف بر</w:t>
      </w:r>
    </w:p>
    <w:p>
      <w:pPr>
        <w:pStyle w:val="BookText"/>
        <w:rPr/>
      </w:pPr>
      <w:r>
        <w:rPr>
          <w:rFonts w:ascii="IRNazanin" w:hAnsi="IRNazanin" w:eastAsia="IRNazanin"/>
          <w:color w:val="111111"/>
          <w:sz w:val="28"/>
          <w:sz w:val="28"/>
          <w:szCs w:val="28"/>
          <w:rtl w:val="true"/>
          <w:lang w:bidi="fa-IR"/>
        </w:rPr>
        <w:t>بعضی از اولاد را در صورت محروم‌ساختن بعضی دیگر و وقف بر فقط پسران را لغو و بی‌اثر می‌دانند</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649" w:name="__RefHeading___Toc474369_1479056682"/>
      <w:bookmarkStart w:id="650" w:name="_Toc247"/>
      <w:bookmarkEnd w:id="649"/>
      <w:r>
        <w:rPr>
          <w:rtl w:val="true"/>
        </w:rPr>
        <w:t xml:space="preserve">گفتار </w:t>
      </w:r>
      <w:r>
        <w:rPr/>
        <w:t>4</w:t>
      </w:r>
      <w:r>
        <w:rPr>
          <w:rtl w:val="true"/>
        </w:rPr>
        <w:t xml:space="preserve">- </w:t>
      </w:r>
      <w:r>
        <w:rPr>
          <w:rtl w:val="true"/>
        </w:rPr>
        <w:t>بعضی از مصادیق شروط واقف</w:t>
      </w:r>
      <w:bookmarkEnd w:id="650"/>
    </w:p>
    <w:p>
      <w:pPr>
        <w:pStyle w:val="Heading6"/>
        <w:numPr>
          <w:ilvl w:val="5"/>
          <w:numId w:val="1"/>
        </w:numPr>
        <w:rPr/>
      </w:pPr>
      <w:bookmarkStart w:id="651" w:name="__RefHeading___Toc474371_1479056682"/>
      <w:bookmarkStart w:id="652" w:name="_Toc248"/>
      <w:bookmarkEnd w:id="651"/>
      <w:r>
        <w:rPr>
          <w:rtl w:val="true"/>
        </w:rPr>
        <w:t>اشاره</w:t>
      </w:r>
      <w:bookmarkEnd w:id="652"/>
    </w:p>
    <w:p>
      <w:pPr>
        <w:pStyle w:val="BookText"/>
        <w:rPr/>
      </w:pPr>
      <w:r>
        <w:rPr>
          <w:rFonts w:ascii="IRNazanin" w:hAnsi="IRNazanin" w:eastAsia="IRNazanin"/>
          <w:color w:val="111111"/>
          <w:sz w:val="28"/>
          <w:sz w:val="28"/>
          <w:szCs w:val="28"/>
          <w:rtl w:val="true"/>
          <w:lang w:bidi="fa-IR"/>
        </w:rPr>
        <w:t>در بحث گذشته ملاکها و شرایط صحّت شروطِ واقف بررسی و نیز توضیح داده‌شد که هرشرط از واقف که همه این ملاکها را دارا باشد، صحیح و لازم الوفاست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به ذکر و بررسی چند مصداق از مصادیق شروط واقف که مورد توجّه جمهور فقها قرار گرفته‌اند می‌پردازیم</w:t>
      </w:r>
      <w:r>
        <w:rPr>
          <w:rFonts w:eastAsia="IRNazanin" w:cs="IRNazanin"/>
          <w:color w:val="111111"/>
          <w:sz w:val="28"/>
          <w:szCs w:val="28"/>
          <w:rtl w:val="true"/>
          <w:lang w:bidi="fa-IR"/>
        </w:rPr>
        <w:t>:</w:t>
      </w:r>
    </w:p>
    <w:p>
      <w:pPr>
        <w:pStyle w:val="Heading6"/>
        <w:numPr>
          <w:ilvl w:val="5"/>
          <w:numId w:val="1"/>
        </w:numPr>
        <w:rPr/>
      </w:pPr>
      <w:bookmarkStart w:id="653" w:name="__RefHeading___Toc474373_1479056682"/>
      <w:bookmarkStart w:id="654" w:name="_Toc249"/>
      <w:bookmarkEnd w:id="653"/>
      <w:r>
        <w:rPr/>
        <w:t>1</w:t>
      </w:r>
      <w:r>
        <w:rPr>
          <w:rtl w:val="true"/>
        </w:rPr>
        <w:t xml:space="preserve">- </w:t>
      </w:r>
      <w:r>
        <w:rPr>
          <w:rtl w:val="true"/>
        </w:rPr>
        <w:t>شرط عود مال موقوف به واقف درصورت نیاز</w:t>
      </w:r>
      <w:bookmarkEnd w:id="654"/>
    </w:p>
    <w:p>
      <w:pPr>
        <w:pStyle w:val="BookText"/>
        <w:rPr/>
      </w:pPr>
      <w:r>
        <w:rPr>
          <w:rFonts w:ascii="IRNazanin" w:hAnsi="IRNazanin" w:eastAsia="IRNazanin"/>
          <w:color w:val="111111"/>
          <w:sz w:val="28"/>
          <w:sz w:val="28"/>
          <w:szCs w:val="28"/>
          <w:rtl w:val="true"/>
          <w:lang w:bidi="fa-IR"/>
        </w:rPr>
        <w:t>شهید در دروس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در صورت نیاز، مال وقفی به او بازگردد، در روایت</w:t>
      </w:r>
      <w:r>
        <w:rPr>
          <w:rStyle w:val="FootnoteAnchor"/>
          <w:rtl w:val="true"/>
        </w:rPr>
        <w:footnoteReference w:id="1085"/>
      </w:r>
      <w:r>
        <w:rPr>
          <w:rFonts w:ascii="IRNazanin" w:hAnsi="IRNazanin" w:eastAsia="IRNazanin"/>
          <w:color w:val="111111"/>
          <w:sz w:val="28"/>
          <w:sz w:val="28"/>
          <w:szCs w:val="28"/>
          <w:rtl w:val="true"/>
          <w:lang w:bidi="fa-IR"/>
        </w:rPr>
        <w:t>آمده است که این شرط نافذ است و می‌توان به آن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می‌رود منظور روایت از نیاز، حالتی باشد که مال واقف کفاف هزینه سال او رانکند و ناچار به سؤال از دیگران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نیازمند شد، به او باز می‌گردد و اگر قبل از نیاز مرد، میراث وی خواهدبود</w:t>
      </w:r>
      <w:r>
        <w:rPr>
          <w:rFonts w:eastAsia="IRNazanin" w:cs="IRNazanin"/>
          <w:color w:val="111111"/>
          <w:sz w:val="28"/>
          <w:szCs w:val="28"/>
          <w:rtl w:val="true"/>
          <w:lang w:bidi="fa-IR"/>
        </w:rPr>
        <w:t>.</w:t>
      </w:r>
      <w:r>
        <w:rPr>
          <w:rStyle w:val="FootnoteAnchor"/>
          <w:rtl w:val="true"/>
        </w:rPr>
        <w:footnoteReference w:id="1086"/>
      </w:r>
      <w:r>
        <w:rPr>
          <w:rFonts w:ascii="IRNazanin" w:hAnsi="IRNazanin" w:eastAsia="IRNazanin"/>
          <w:color w:val="111111"/>
          <w:sz w:val="28"/>
          <w:sz w:val="28"/>
          <w:szCs w:val="28"/>
          <w:rtl w:val="true"/>
          <w:lang w:bidi="fa-IR"/>
        </w:rPr>
        <w:t>محقّق ثانی یادآورده شده است که اصحاب دراین مسأله دارای سه قول هستند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شرط وعقد؛ لذا اگر نیازمند شد و رجوع کرد، مال به ملکش برمی‌گردد و اگر تا زمان مرگ رجوع نکرد وقف نافذ 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مختار سید مرتضی در انتصار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برای این مسأله ادّعای اجماع طایفه راکرده و شهیدثانی در مسالک آن را مختار مُعظم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در مختلف نیز این نظر را </w:t>
      </w:r>
    </w:p>
    <w:p>
      <w:pPr>
        <w:pStyle w:val="BookText"/>
        <w:rPr/>
      </w:pPr>
      <w:r>
        <w:rPr>
          <w:rFonts w:ascii="IRNazanin" w:hAnsi="IRNazanin" w:eastAsia="IRNazanin"/>
          <w:color w:val="111111"/>
          <w:sz w:val="28"/>
          <w:sz w:val="28"/>
          <w:szCs w:val="28"/>
          <w:rtl w:val="true"/>
          <w:lang w:bidi="fa-IR"/>
        </w:rPr>
        <w:t>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قول عموم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10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0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089"/>
      </w:r>
      <w:r>
        <w:rPr>
          <w:rFonts w:ascii="IRNazanin" w:hAnsi="IRNazanin" w:eastAsia="IRNazanin"/>
          <w:color w:val="111111"/>
          <w:sz w:val="28"/>
          <w:sz w:val="28"/>
          <w:szCs w:val="28"/>
          <w:rtl w:val="true"/>
          <w:lang w:bidi="fa-IR"/>
        </w:rPr>
        <w:t>و در روایت اسماعیل‌بن فضل از امام صادق علیه‌السلام است که؛ امام علیه‌السلام در پاسخ سؤال اسماعیل در این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مرگ واقف، آن مال، میراث وی خواهد بود</w:t>
      </w:r>
      <w:r>
        <w:rPr>
          <w:rFonts w:eastAsia="IRNazanin" w:cs="IRNazanin"/>
          <w:color w:val="111111"/>
          <w:sz w:val="28"/>
          <w:szCs w:val="28"/>
          <w:rtl w:val="true"/>
          <w:lang w:bidi="fa-IR"/>
        </w:rPr>
        <w:t>»</w:t>
      </w:r>
      <w:r>
        <w:rPr>
          <w:rStyle w:val="FootnoteAnchor"/>
          <w:rtl w:val="true"/>
        </w:rPr>
        <w:footnoteReference w:id="1090"/>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شرط و عقد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w:t>
      </w:r>
      <w:r>
        <w:rPr>
          <w:rStyle w:val="FootnoteAnchor"/>
          <w:rtl w:val="true"/>
        </w:rPr>
        <w:footnoteReference w:id="1091"/>
      </w:r>
      <w:r>
        <w:rPr>
          <w:rFonts w:ascii="IRNazanin" w:hAnsi="IRNazanin" w:eastAsia="IRNazanin"/>
          <w:color w:val="111111"/>
          <w:sz w:val="28"/>
          <w:sz w:val="28"/>
          <w:szCs w:val="28"/>
          <w:rtl w:val="true"/>
          <w:lang w:bidi="fa-IR"/>
        </w:rPr>
        <w:t>، ابن ادریس حلّی</w:t>
      </w:r>
      <w:r>
        <w:rPr>
          <w:rStyle w:val="FootnoteAnchor"/>
          <w:rtl w:val="true"/>
        </w:rPr>
        <w:footnoteReference w:id="1092"/>
      </w:r>
      <w:r>
        <w:rPr>
          <w:rFonts w:ascii="IRNazanin" w:hAnsi="IRNazanin" w:eastAsia="IRNazanin"/>
          <w:color w:val="111111"/>
          <w:sz w:val="28"/>
          <w:sz w:val="28"/>
          <w:szCs w:val="28"/>
          <w:rtl w:val="true"/>
          <w:lang w:bidi="fa-IR"/>
        </w:rPr>
        <w:t>و محقّق در مختصر</w:t>
      </w:r>
      <w:r>
        <w:rPr>
          <w:rStyle w:val="FootnoteAnchor"/>
          <w:rtl w:val="true"/>
        </w:rPr>
        <w:footnoteReference w:id="1093"/>
      </w:r>
      <w:r>
        <w:rPr>
          <w:rFonts w:ascii="IRNazanin" w:hAnsi="IRNazanin" w:eastAsia="IRNazanin"/>
          <w:color w:val="111111"/>
          <w:sz w:val="28"/>
          <w:sz w:val="28"/>
          <w:szCs w:val="28"/>
          <w:rtl w:val="true"/>
          <w:lang w:bidi="fa-IR"/>
        </w:rPr>
        <w:t>این قول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نیز ضمن تضعیف قول اوّل برای این قول استدلال کرده است به این که؛ این شرط با مقتضای عقد وقف منافی است، زیرا وقف بعد از تمامیّت به هیچ وجه و در هیچ حالی به مالک برنمی‌گردد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فاضل مقداد نیز در مقام تضعیف قول اوّل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وفای به عقود وشرط تنها در صورت صحّت عقد و شرط لازم است و صحّت چنین شرطی ثابت نیست، زیرا محلّ نزاع و اختلاف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فاضل آبی نیز این شرط را مخالف مقتضای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قایل به بطلان شده است</w:t>
      </w:r>
      <w:r>
        <w:rPr>
          <w:rFonts w:eastAsia="IRNazanin" w:cs="IRNazanin"/>
          <w:color w:val="111111"/>
          <w:sz w:val="28"/>
          <w:szCs w:val="28"/>
          <w:rtl w:val="true"/>
          <w:lang w:bidi="fa-IR"/>
        </w:rPr>
        <w:t>.</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سوم این است که شرط، صحیح و عقد هم به عنوان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اعلام، از جمله، علاّمه در تذکره</w:t>
      </w:r>
      <w:r>
        <w:rPr>
          <w:rStyle w:val="FootnoteAnchor"/>
          <w:rtl w:val="true"/>
        </w:rPr>
        <w:footnoteReference w:id="1096"/>
      </w:r>
      <w:r>
        <w:rPr>
          <w:rFonts w:ascii="IRNazanin" w:hAnsi="IRNazanin" w:eastAsia="IRNazanin"/>
          <w:color w:val="111111"/>
          <w:sz w:val="28"/>
          <w:sz w:val="28"/>
          <w:szCs w:val="28"/>
          <w:rtl w:val="true"/>
          <w:lang w:bidi="fa-IR"/>
        </w:rPr>
        <w:t>و برخی دیگر از اَعلام</w:t>
      </w:r>
      <w:r>
        <w:rPr>
          <w:rStyle w:val="FootnoteAnchor"/>
          <w:rtl w:val="true"/>
        </w:rPr>
        <w:footnoteReference w:id="1097"/>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اختیار کرده‌اند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قول سوم این است که وقف وحبس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تحبیس عین و تسبیل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مشترکند و از آن جاکه صحّت وقف در این فرض با مقتضای وقف، که تأبید و دوام است، منافات دارد، لذا بر فرد دیگر، که حبس است، حمل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اسماعیل بن فضل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ضمن بیان اوّل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بر همین قول سوم حمل کرد</w:t>
      </w:r>
      <w:r>
        <w:rPr>
          <w:rFonts w:eastAsia="IRNazanin" w:cs="IRNazanin"/>
          <w:color w:val="111111"/>
          <w:sz w:val="28"/>
          <w:szCs w:val="28"/>
          <w:rtl w:val="true"/>
          <w:lang w:bidi="fa-IR"/>
        </w:rPr>
        <w:t>.</w:t>
      </w:r>
      <w:r>
        <w:rPr>
          <w:rStyle w:val="FootnoteAnchor"/>
          <w:rtl w:val="true"/>
        </w:rPr>
        <w:footnoteReference w:id="1098"/>
      </w:r>
      <w:bookmarkStart w:id="655" w:name="pg4267_21984"/>
    </w:p>
    <w:p>
      <w:pPr>
        <w:pStyle w:val="BookText"/>
        <w:rPr/>
      </w:pPr>
      <w:bookmarkEnd w:id="655"/>
      <w:r>
        <w:rPr>
          <w:rFonts w:ascii="IRNazanin" w:hAnsi="IRNazanin" w:eastAsia="IRNazanin"/>
          <w:color w:val="111111"/>
          <w:sz w:val="28"/>
          <w:sz w:val="28"/>
          <w:szCs w:val="28"/>
          <w:rtl w:val="true"/>
          <w:lang w:bidi="fa-IR"/>
        </w:rPr>
        <w:t xml:space="preserve">ملاحظهالبتّه اگر در مبحث شرط تأبید در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در مبحث شرایط وقف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تأبید را شرط نداند و وقف موقّت را صحیح و نافذ بداند، در این جا بدون اشکال می‌تواند قول اوّل را انتخاب کند؛ امّا اگر در وقف، دوام را شرط بدانیم، شرط</w:t>
      </w:r>
    </w:p>
    <w:p>
      <w:pPr>
        <w:pStyle w:val="BookText"/>
        <w:rPr/>
      </w:pPr>
      <w:r>
        <w:rPr>
          <w:rFonts w:ascii="IRNazanin" w:hAnsi="IRNazanin" w:eastAsia="IRNazanin"/>
          <w:color w:val="111111"/>
          <w:sz w:val="28"/>
          <w:sz w:val="28"/>
          <w:szCs w:val="28"/>
          <w:rtl w:val="true"/>
          <w:lang w:bidi="fa-IR"/>
        </w:rPr>
        <w:t>بازگشت وقف به واقف بامقتضای وقف منافی خواهد بود و در نتیجه فاسد و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نظر می‌رسد، در میان این اقوال سه گانه قول سوم، اقرب الاقوال باشد؛ زیرامی‌توان آن دو قول دیگر را نیز به این قول بازگرداند؛ یعنی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آنهاکه</w:t>
      </w:r>
    </w:p>
    <w:p>
      <w:pPr>
        <w:pStyle w:val="BookText"/>
        <w:rPr/>
      </w:pPr>
      <w:r>
        <w:rPr>
          <w:rFonts w:ascii="IRNazanin" w:hAnsi="IRNazanin" w:eastAsia="IRNazanin"/>
          <w:color w:val="111111"/>
          <w:sz w:val="28"/>
          <w:sz w:val="28"/>
          <w:szCs w:val="28"/>
          <w:rtl w:val="true"/>
          <w:lang w:bidi="fa-IR"/>
        </w:rPr>
        <w:t>شرط و عقد راباطل می‌دانند، منظورشان بطلان شرط وعقد به عنوان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عقد و شرط را صحیح می‌دانند، منظورشان صحّت شرط و عقد حبس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عبارات اصحاب نیز احتمال این جمع و مَحمِل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شیخ در 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چنین شرطی وقف باطل است</w:t>
      </w:r>
      <w:r>
        <w:rPr>
          <w:rFonts w:eastAsia="IRNazanin" w:cs="IRNazanin"/>
          <w:color w:val="111111"/>
          <w:sz w:val="28"/>
          <w:szCs w:val="28"/>
          <w:rtl w:val="true"/>
          <w:lang w:bidi="fa-IR"/>
        </w:rPr>
        <w:t>.</w:t>
      </w:r>
      <w:r>
        <w:rPr>
          <w:rStyle w:val="FootnoteAnchor"/>
          <w:rtl w:val="true"/>
        </w:rPr>
        <w:footnoteReference w:id="1099"/>
      </w:r>
      <w:r>
        <w:rPr>
          <w:rFonts w:ascii="IRNazanin" w:hAnsi="IRNazanin" w:eastAsia="IRNazanin"/>
          <w:color w:val="111111"/>
          <w:sz w:val="28"/>
          <w:sz w:val="28"/>
          <w:szCs w:val="28"/>
          <w:rtl w:val="true"/>
          <w:lang w:bidi="fa-IR"/>
        </w:rPr>
        <w:t>و در برابر، مفید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واقف در وقف خود شرط کند که در صورت نیاز، مثل فقر، آن را بفروشد و بهایش را صرف مصالح خود کند، چنین حقّی را دارد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و مشابه همین عبارت را سلّار در کتاب خود آورده است</w:t>
      </w:r>
      <w:r>
        <w:rPr>
          <w:rFonts w:eastAsia="IRNazanin" w:cs="IRNazanin"/>
          <w:color w:val="111111"/>
          <w:sz w:val="28"/>
          <w:szCs w:val="28"/>
          <w:rtl w:val="true"/>
          <w:lang w:bidi="fa-IR"/>
        </w:rPr>
        <w:t>.</w:t>
      </w:r>
      <w:r>
        <w:rPr>
          <w:rStyle w:val="FootnoteAnchor"/>
          <w:rtl w:val="true"/>
        </w:rPr>
        <w:footnoteReference w:id="1101"/>
      </w:r>
      <w:r>
        <w:rPr>
          <w:rFonts w:ascii="IRNazanin" w:hAnsi="IRNazanin" w:eastAsia="IRNazanin"/>
          <w:color w:val="111111"/>
          <w:sz w:val="28"/>
          <w:sz w:val="28"/>
          <w:szCs w:val="28"/>
          <w:rtl w:val="true"/>
          <w:lang w:bidi="fa-IR"/>
        </w:rPr>
        <w:t>می‌بینم که نه عبارت شیخ بر عدم تحقّق حبس دلالت دارد و نه عبارت مفید بر تحقّق عقد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جامع بین همه اقوال، همان قول به</w:t>
      </w:r>
    </w:p>
    <w:p>
      <w:pPr>
        <w:pStyle w:val="BookText"/>
        <w:rPr/>
      </w:pPr>
      <w:r>
        <w:rPr>
          <w:rFonts w:ascii="IRNazanin" w:hAnsi="IRNazanin" w:eastAsia="IRNazanin"/>
          <w:color w:val="111111"/>
          <w:sz w:val="28"/>
          <w:sz w:val="28"/>
          <w:szCs w:val="28"/>
          <w:rtl w:val="true"/>
          <w:lang w:bidi="fa-IR"/>
        </w:rPr>
        <w:t>صحّت شرط و عقد به عنوان حبس است</w:t>
      </w:r>
      <w:r>
        <w:rPr>
          <w:rFonts w:eastAsia="IRNazanin" w:cs="IRNazanin"/>
          <w:color w:val="111111"/>
          <w:sz w:val="28"/>
          <w:szCs w:val="28"/>
          <w:rtl w:val="true"/>
          <w:lang w:bidi="fa-IR"/>
        </w:rPr>
        <w:t>.</w:t>
      </w:r>
    </w:p>
    <w:p>
      <w:pPr>
        <w:pStyle w:val="Heading6"/>
        <w:numPr>
          <w:ilvl w:val="5"/>
          <w:numId w:val="1"/>
        </w:numPr>
        <w:rPr/>
      </w:pPr>
      <w:bookmarkStart w:id="656" w:name="__RefHeading___Toc474375_1479056682"/>
      <w:bookmarkStart w:id="657" w:name="_Toc250"/>
      <w:bookmarkEnd w:id="656"/>
      <w:r>
        <w:rPr/>
        <w:t>2</w:t>
      </w:r>
      <w:r>
        <w:rPr>
          <w:rtl w:val="true"/>
        </w:rPr>
        <w:t xml:space="preserve">- </w:t>
      </w:r>
      <w:r>
        <w:rPr>
          <w:rtl w:val="true"/>
        </w:rPr>
        <w:t>شرط خیار</w:t>
      </w:r>
      <w:bookmarkEnd w:id="657"/>
    </w:p>
    <w:p>
      <w:pPr>
        <w:pStyle w:val="BookText"/>
        <w:rPr/>
      </w:pPr>
      <w:r>
        <w:rPr>
          <w:rFonts w:ascii="IRNazanin" w:hAnsi="IRNazanin" w:eastAsia="IRNazanin"/>
          <w:color w:val="111111"/>
          <w:sz w:val="28"/>
          <w:sz w:val="28"/>
          <w:szCs w:val="28"/>
          <w:rtl w:val="true"/>
          <w:lang w:bidi="fa-IR"/>
        </w:rPr>
        <w:t>علاّمه در تذکره و قواعد تصریح کرده است که اگر واقف برای خود خیار شرط کند، شرط و وقف هر دو باطل است؛ زیرا وقف ازاله ملک و نقل آن به خدای متعال و یا</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هر دو صورت این شرط با مقتضای وقف منافات دارد و مُفسِد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این مورد با مورد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 عود، در صورت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bookmarkStart w:id="658" w:name="pg4267_21985"/>
    </w:p>
    <w:p>
      <w:pPr>
        <w:pStyle w:val="BookText"/>
        <w:rPr/>
      </w:pPr>
      <w:bookmarkEnd w:id="658"/>
      <w:r>
        <w:rPr>
          <w:rFonts w:ascii="IRNazanin" w:hAnsi="IRNazanin" w:eastAsia="IRNazanin"/>
          <w:color w:val="111111"/>
          <w:sz w:val="28"/>
          <w:sz w:val="28"/>
          <w:szCs w:val="28"/>
          <w:rtl w:val="true"/>
          <w:lang w:bidi="fa-IR"/>
        </w:rPr>
        <w:t>در فرض قبلی، شرط عود منافی وقف بود و با حبس منافاتی نداشت،امّا در فرض مورد بحث، شرط خیار با حبس نیز منافات دارد؛ زیرا حبس تا مدّتی معیّن لازم است در حالی که مقتضای شرط خیار، تزلزل عقد وقف از همان زمان تحقّق وقف است</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ascii="IRNazanin" w:hAnsi="IRNazanin" w:eastAsia="IRNazanin"/>
          <w:color w:val="111111"/>
          <w:sz w:val="28"/>
          <w:sz w:val="28"/>
          <w:szCs w:val="28"/>
          <w:rtl w:val="true"/>
          <w:lang w:bidi="fa-IR"/>
        </w:rPr>
        <w:t>شهید نیز در دروس به بطلان وقف، با چنین شرطی تصریح کرده است</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در مفتاح الکرامة قول به بطلان را از شرایع، مسالک و سرائر نیز نقل کرده و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این دیدگاه را به همه کسانی که تعلیق بر شرط را موجب بطلان می‌دانند، نسبت</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 xml:space="preserve">اگر صاحب مفتاح، قول به‌بطلان را دیدگاه همه کسانی می‌دانست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وقف شرط می‌دانند مناسبتر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تنافی این شرط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تنافی آن با</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6"/>
        <w:numPr>
          <w:ilvl w:val="5"/>
          <w:numId w:val="1"/>
        </w:numPr>
        <w:rPr/>
      </w:pPr>
      <w:bookmarkStart w:id="659" w:name="__RefHeading___Toc474377_1479056682"/>
      <w:bookmarkStart w:id="660" w:name="_Toc251"/>
      <w:bookmarkEnd w:id="659"/>
      <w:r>
        <w:rPr/>
        <w:t>3</w:t>
      </w:r>
      <w:r>
        <w:rPr>
          <w:rtl w:val="true"/>
        </w:rPr>
        <w:t xml:space="preserve">- </w:t>
      </w:r>
      <w:r>
        <w:rPr>
          <w:rtl w:val="true"/>
        </w:rPr>
        <w:t>شرط اخراج موقوفٌ عَلَیْه</w:t>
      </w:r>
      <w:bookmarkEnd w:id="660"/>
    </w:p>
    <w:p>
      <w:pPr>
        <w:pStyle w:val="BookText"/>
        <w:rPr/>
      </w:pPr>
      <w:r>
        <w:rPr>
          <w:rFonts w:ascii="IRNazanin" w:hAnsi="IRNazanin" w:eastAsia="IRNazanin"/>
          <w:color w:val="111111"/>
          <w:sz w:val="28"/>
          <w:sz w:val="28"/>
          <w:szCs w:val="28"/>
          <w:rtl w:val="true"/>
          <w:lang w:bidi="fa-IR"/>
        </w:rPr>
        <w:t>بطلان چنین شرطی مورد اتّفاق فقهای امامیّه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شرط کند که هر که بخواهد از وقف خارج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واقف برای خود، تصرّف در ملک دیگران را شرط کرده است، و در این مسأله خلافی نیست</w:t>
      </w:r>
      <w:r>
        <w:rPr>
          <w:rFonts w:eastAsia="IRNazanin" w:cs="IRNazanin"/>
          <w:color w:val="111111"/>
          <w:sz w:val="28"/>
          <w:szCs w:val="28"/>
          <w:rtl w:val="true"/>
          <w:lang w:bidi="fa-IR"/>
        </w:rPr>
        <w:t>.</w:t>
      </w:r>
      <w:r>
        <w:rPr>
          <w:rStyle w:val="FootnoteAnchor"/>
          <w:rtl w:val="true"/>
        </w:rPr>
        <w:footnoteReference w:id="1105"/>
      </w:r>
      <w:r>
        <w:rPr>
          <w:rFonts w:ascii="IRNazanin" w:hAnsi="IRNazanin" w:eastAsia="IRNazanin"/>
          <w:color w:val="111111"/>
          <w:sz w:val="28"/>
          <w:sz w:val="28"/>
          <w:szCs w:val="28"/>
          <w:rtl w:val="true"/>
          <w:lang w:bidi="fa-IR"/>
        </w:rPr>
        <w:t>عموم فقهای امامیّه در این مورد به بطلان وقف قایل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w:t>
      </w:r>
      <w:r>
        <w:rPr>
          <w:rStyle w:val="FootnoteAnchor"/>
          <w:rtl w:val="true"/>
        </w:rPr>
        <w:footnoteReference w:id="1106"/>
      </w:r>
      <w:r>
        <w:rPr>
          <w:rFonts w:ascii="IRNazanin" w:hAnsi="IRNazanin" w:eastAsia="IRNazanin"/>
          <w:color w:val="111111"/>
          <w:sz w:val="28"/>
          <w:sz w:val="28"/>
          <w:szCs w:val="28"/>
          <w:rtl w:val="true"/>
          <w:lang w:bidi="fa-IR"/>
        </w:rPr>
        <w:t>آن را موضع وفاق فقها دانسته و صاحب جواهر ادّعای نفی خلاف کرده است</w:t>
      </w:r>
      <w:r>
        <w:rPr>
          <w:rFonts w:eastAsia="IRNazanin" w:cs="IRNazanin"/>
          <w:color w:val="111111"/>
          <w:sz w:val="28"/>
          <w:szCs w:val="28"/>
          <w:rtl w:val="true"/>
          <w:lang w:bidi="fa-IR"/>
        </w:rPr>
        <w:t>.</w:t>
      </w:r>
      <w:r>
        <w:rPr>
          <w:rStyle w:val="FootnoteAnchor"/>
          <w:rtl w:val="true"/>
        </w:rPr>
        <w:footnoteReference w:id="1107"/>
      </w:r>
      <w:r>
        <w:rPr>
          <w:rFonts w:ascii="Amiri" w:hAnsi="Amiri" w:eastAsia="Amiri" w:cs="Amiri"/>
          <w:color w:val="111111"/>
          <w:sz w:val="28"/>
          <w:sz w:val="28"/>
          <w:szCs w:val="28"/>
          <w:rtl w:val="true"/>
          <w:lang w:bidi="ar-SA"/>
        </w:rPr>
        <w:t>محقّق ثانی</w:t>
      </w:r>
    </w:p>
    <w:p>
      <w:pPr>
        <w:pStyle w:val="BookText"/>
        <w:rPr/>
      </w:pPr>
      <w:r>
        <w:rPr>
          <w:rFonts w:ascii="IRNazanin" w:hAnsi="IRNazanin" w:eastAsia="IRNazanin"/>
          <w:color w:val="111111"/>
          <w:sz w:val="28"/>
          <w:sz w:val="28"/>
          <w:szCs w:val="28"/>
          <w:rtl w:val="true"/>
          <w:lang w:bidi="fa-IR"/>
        </w:rPr>
        <w:t>در ذیل عبارت علاّمه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شَرَطَ اِخْراجَ مَنْ یُریدُ بَطَلَ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چنین</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بنای وقف بر لزوم است و شرط اخراج کسانی که واقف بخواهد، بااین لزوم که مقتضای وقف است منافات دارد و در حقیقت به منزله اشتراط خیار است</w:t>
      </w:r>
      <w:r>
        <w:rPr>
          <w:rFonts w:eastAsia="IRNazanin" w:cs="IRNazanin"/>
          <w:color w:val="111111"/>
          <w:sz w:val="28"/>
          <w:szCs w:val="28"/>
          <w:rtl w:val="true"/>
          <w:lang w:bidi="fa-IR"/>
        </w:rPr>
        <w:t>.</w:t>
      </w:r>
      <w:r>
        <w:rPr>
          <w:rStyle w:val="FootnoteAnchor"/>
          <w:rtl w:val="true"/>
        </w:rPr>
        <w:footnoteReference w:id="1108"/>
      </w:r>
      <w:bookmarkStart w:id="661" w:name="pg4267_21986"/>
    </w:p>
    <w:p>
      <w:pPr>
        <w:pStyle w:val="Heading6"/>
        <w:numPr>
          <w:ilvl w:val="5"/>
          <w:numId w:val="1"/>
        </w:numPr>
        <w:rPr/>
      </w:pPr>
      <w:bookmarkStart w:id="662" w:name="__RefHeading___Toc474379_1479056682"/>
      <w:bookmarkStart w:id="663" w:name="_Toc252"/>
      <w:bookmarkEnd w:id="661"/>
      <w:bookmarkEnd w:id="662"/>
      <w:r>
        <w:rPr/>
        <w:t>4</w:t>
      </w:r>
      <w:r>
        <w:rPr>
          <w:rtl w:val="true"/>
        </w:rPr>
        <w:t xml:space="preserve">- </w:t>
      </w:r>
      <w:r>
        <w:rPr>
          <w:rtl w:val="true"/>
        </w:rPr>
        <w:t xml:space="preserve">شرط ادخال </w:t>
      </w:r>
      <w:r>
        <w:rPr>
          <w:rtl w:val="true"/>
        </w:rPr>
        <w:t>...</w:t>
      </w:r>
      <w:bookmarkEnd w:id="663"/>
    </w:p>
    <w:p>
      <w:pPr>
        <w:pStyle w:val="BookText"/>
        <w:rPr/>
      </w:pPr>
      <w:r>
        <w:rPr>
          <w:rFonts w:ascii="IRNazanin" w:hAnsi="IRNazanin" w:eastAsia="IRNazanin"/>
          <w:color w:val="111111"/>
          <w:sz w:val="28"/>
          <w:sz w:val="28"/>
          <w:szCs w:val="28"/>
          <w:rtl w:val="true"/>
          <w:lang w:bidi="fa-IR"/>
        </w:rPr>
        <w:t>آیا واقف می‌تواند شرط کند هر که را بخواهد یا کسانی را که متولّد می‌شوند در وقف داخل کند؟</w:t>
      </w:r>
    </w:p>
    <w:p>
      <w:pPr>
        <w:pStyle w:val="BookText"/>
        <w:rPr/>
      </w:pPr>
      <w:r>
        <w:rPr>
          <w:rFonts w:ascii="IRNazanin" w:hAnsi="IRNazanin" w:eastAsia="IRNazanin"/>
          <w:color w:val="111111"/>
          <w:sz w:val="28"/>
          <w:sz w:val="28"/>
          <w:szCs w:val="28"/>
          <w:rtl w:val="true"/>
          <w:lang w:bidi="fa-IR"/>
        </w:rPr>
        <w:t>علاّمه در تذکره</w:t>
      </w:r>
      <w:r>
        <w:rPr>
          <w:rStyle w:val="FootnoteAnchor"/>
          <w:rtl w:val="true"/>
        </w:rPr>
        <w:footnoteReference w:id="1109"/>
      </w:r>
      <w:r>
        <w:rPr>
          <w:rFonts w:ascii="IRNazanin" w:hAnsi="IRNazanin" w:eastAsia="IRNazanin"/>
          <w:color w:val="111111"/>
          <w:sz w:val="28"/>
          <w:sz w:val="28"/>
          <w:szCs w:val="28"/>
          <w:rtl w:val="true"/>
          <w:lang w:bidi="fa-IR"/>
        </w:rPr>
        <w:t>و قواعد</w:t>
      </w:r>
      <w:r>
        <w:rPr>
          <w:rStyle w:val="FootnoteAnchor"/>
          <w:rtl w:val="true"/>
        </w:rPr>
        <w:footnoteReference w:id="1110"/>
      </w:r>
      <w:r>
        <w:rPr>
          <w:rFonts w:ascii="IRNazanin" w:hAnsi="IRNazanin" w:eastAsia="IRNazanin"/>
          <w:color w:val="111111"/>
          <w:sz w:val="28"/>
          <w:sz w:val="28"/>
          <w:szCs w:val="28"/>
          <w:rtl w:val="true"/>
          <w:lang w:bidi="fa-IR"/>
        </w:rPr>
        <w:t>محقّق در شرایع</w:t>
      </w:r>
      <w:r>
        <w:rPr>
          <w:rStyle w:val="FootnoteAnchor"/>
          <w:rtl w:val="true"/>
        </w:rPr>
        <w:footnoteReference w:id="1111"/>
      </w:r>
      <w:r>
        <w:rPr>
          <w:rFonts w:ascii="IRNazanin" w:hAnsi="IRNazanin" w:eastAsia="IRNazanin"/>
          <w:color w:val="111111"/>
          <w:sz w:val="28"/>
          <w:sz w:val="28"/>
          <w:szCs w:val="28"/>
          <w:rtl w:val="true"/>
          <w:lang w:bidi="fa-IR"/>
        </w:rPr>
        <w:t>، شهید ثانی در مسالک</w:t>
      </w:r>
      <w:r>
        <w:rPr>
          <w:rStyle w:val="FootnoteAnchor"/>
          <w:rtl w:val="true"/>
        </w:rPr>
        <w:footnoteReference w:id="1112"/>
      </w:r>
      <w:r>
        <w:rPr>
          <w:rFonts w:ascii="IRNazanin" w:hAnsi="IRNazanin" w:eastAsia="IRNazanin"/>
          <w:color w:val="111111"/>
          <w:sz w:val="28"/>
          <w:sz w:val="28"/>
          <w:szCs w:val="28"/>
          <w:rtl w:val="true"/>
          <w:lang w:bidi="fa-IR"/>
        </w:rPr>
        <w:t>و بعضی دیگر</w:t>
      </w:r>
    </w:p>
    <w:p>
      <w:pPr>
        <w:pStyle w:val="BookText"/>
        <w:rPr/>
      </w:pPr>
      <w:r>
        <w:rPr>
          <w:rFonts w:ascii="IRNazanin" w:hAnsi="IRNazanin" w:eastAsia="IRNazanin"/>
          <w:color w:val="111111"/>
          <w:sz w:val="28"/>
          <w:sz w:val="28"/>
          <w:szCs w:val="28"/>
          <w:rtl w:val="true"/>
          <w:lang w:bidi="fa-IR"/>
        </w:rPr>
        <w:t>به جواز و صحّت چنین شرطی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برای صحّت این شرط ادّعای عدم خلاف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این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محقّق در شرایع و علاّمه در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وقف بر اولاد باشد یا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ریاض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دلیل این قول همان عموم امر به وفای به عقود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باشد؛ چرا که این عموم در این مورد معارضی هم ندارند</w:t>
      </w:r>
      <w:r>
        <w:rPr>
          <w:rStyle w:val="FootnoteAnchor"/>
          <w:rtl w:val="true"/>
        </w:rPr>
        <w:footnoteReference w:id="1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w:t>
      </w:r>
    </w:p>
    <w:p>
      <w:pPr>
        <w:pStyle w:val="BookText"/>
        <w:rPr/>
      </w:pPr>
      <w:r>
        <w:rPr>
          <w:rFonts w:ascii="IRNazanin" w:hAnsi="IRNazanin" w:eastAsia="IRNazanin"/>
          <w:color w:val="111111"/>
          <w:sz w:val="28"/>
          <w:sz w:val="28"/>
          <w:szCs w:val="28"/>
          <w:rtl w:val="true"/>
          <w:lang w:bidi="fa-IR"/>
        </w:rPr>
        <w:t>شهید در مسالک؛ این شرط با مقتضای عقد هم منافات ندارد</w:t>
      </w:r>
      <w:r>
        <w:rPr>
          <w:rFonts w:eastAsia="IRNazanin" w:cs="IRNazanin"/>
          <w:color w:val="111111"/>
          <w:sz w:val="28"/>
          <w:szCs w:val="28"/>
          <w:rtl w:val="true"/>
          <w:lang w:bidi="fa-IR"/>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شیخ طوسی در مبسوط، شرط ادخال را، همانند شرط اخراج موجب بطلان وقف دانسته است؛ زیرا این شرط، تصرّف در ملک دیگران است</w:t>
      </w:r>
      <w:r>
        <w:rPr>
          <w:rFonts w:eastAsia="IRNazanin" w:cs="IRNazanin"/>
          <w:color w:val="111111"/>
          <w:sz w:val="28"/>
          <w:szCs w:val="28"/>
          <w:rtl w:val="true"/>
          <w:lang w:bidi="fa-IR"/>
        </w:rPr>
        <w:t>.</w:t>
      </w:r>
      <w:r>
        <w:rPr>
          <w:rStyle w:val="FootnoteAnchor"/>
          <w:rtl w:val="true"/>
        </w:rPr>
        <w:footnoteReference w:id="1116"/>
      </w:r>
      <w:r>
        <w:rPr>
          <w:rFonts w:ascii="IRNazanin" w:hAnsi="IRNazanin" w:eastAsia="IRNazanin"/>
          <w:color w:val="111111"/>
          <w:sz w:val="28"/>
          <w:sz w:val="28"/>
          <w:szCs w:val="28"/>
          <w:rtl w:val="true"/>
          <w:lang w:bidi="fa-IR"/>
        </w:rPr>
        <w:t>در جامع‌المقاصد نیز قول به بطلان را به‌شهید در دروس نسبت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 سپس در پاسخ این اشکال</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ادخال کسانی که واقف اراده می‌کند، مقتضی نقصان حصّه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w:t>
      </w:r>
    </w:p>
    <w:p>
      <w:pPr>
        <w:pStyle w:val="BookText"/>
        <w:rPr/>
      </w:pPr>
      <w:r>
        <w:rPr>
          <w:rFonts w:ascii="IRNazanin" w:hAnsi="IRNazanin" w:eastAsia="IRNazanin"/>
          <w:color w:val="111111"/>
          <w:sz w:val="28"/>
          <w:sz w:val="28"/>
          <w:szCs w:val="28"/>
          <w:rtl w:val="true"/>
          <w:lang w:bidi="fa-IR"/>
        </w:rPr>
        <w:t>موجب بطلان می‌شود،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وقتی عقد متضمّن این شرط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همین شرط حقّی نخواهند داشت و استحقاقشان بر طبق این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وقف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الجمله واجب 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طور مطلق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در تعیین مقدار نصیب، قطعا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می‌بینیم، اگر کسی بر افرادی و</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اولاد آنها مالی را وقف کند، بدون تردید بعد از پیدایش اولاد از سهم و نصیب پدران کاسته می‌شود و این نقص، به لزوم وقف آسیبی نمی‌رساند</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به نظر می‌رسد در این جهت که بین شرط ادخال و اخراج فرقی نیست حق با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امّا در حکم مسأله حق با محقّق ثانی باشد، البتّه در هر دو شِق مسأله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اخراج و ادخال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عقد با توجّه به همه شرایط مشروع لازم است نه به‌طور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باید توجه داشت که اگر اجماع معتبری در این مورد محقّق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شکل دیگری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چند فرع که بر مباحث گذشته مترتّب هستند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باذکر اوصاف، اخراج بعضی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کند،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آنها که ازدواج کرد حقّش ساقط است، به این شرط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دوباره واجد آن صفت شد حقّش نیز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از شروطی است که با</w:t>
      </w:r>
    </w:p>
    <w:p>
      <w:pPr>
        <w:pStyle w:val="BookText"/>
        <w:rPr/>
      </w:pPr>
      <w:r>
        <w:rPr>
          <w:rFonts w:ascii="IRNazanin" w:hAnsi="IRNazanin" w:eastAsia="IRNazanin"/>
          <w:color w:val="111111"/>
          <w:sz w:val="28"/>
          <w:sz w:val="28"/>
          <w:szCs w:val="28"/>
          <w:rtl w:val="true"/>
          <w:lang w:bidi="fa-IR"/>
        </w:rPr>
        <w:t>مقتضای عقد منافاتی ندارند</w:t>
      </w:r>
      <w:r>
        <w:rPr>
          <w:rFonts w:eastAsia="IRNazanin" w:cs="IRNazanin"/>
          <w:color w:val="111111"/>
          <w:sz w:val="28"/>
          <w:szCs w:val="28"/>
          <w:rtl w:val="true"/>
          <w:lang w:bidi="fa-IR"/>
        </w:rPr>
        <w:t>.</w:t>
      </w:r>
      <w:r>
        <w:rPr>
          <w:rStyle w:val="FootnoteAnchor"/>
          <w:rtl w:val="true"/>
        </w:rPr>
        <w:footnoteReference w:id="11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دروس و شهید ثانی در مسالک یادآور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شرط کند که برای پرداخت دیون و تأمین هزینه زندگی خود از درآمد وقف استفاده کند،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شرط کند که خانواده‌اش، هر چند واجب النفقه او باشند، از این وقف استفاده کنند،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بطلان در شرط اوّل این است که این شرط با شرط اخراج وقف از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مبحث شرایط وقف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صحّت دوم، سیره رسول خدا صلی‌الله‌علیه‌و‌آله، حضرت فاطمه علیهاالسلام و دیگر معصومین علیهم‌السلام است، رسول خدا و حضرت زهرا علیهاالسلام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صدقات خویش، انتفاع را برای خاندانشان شرط کرده‌اند</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شروطی چون عدم اجاره به افراد زورگو، مماطل و نیز عدم اجاره برای بیش از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بعد از انقضای مدّت اجاره قبلی، و مانند اینها چون با مقتضای وقف و حکم شرع منافات ندارند لازم الوفا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مصادیق شروط واقف،</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و مطالب جزئی متعدّدی وجود دارد که برای جلوگیری از اطاله مبحث، از طرح </w:t>
      </w:r>
      <w:bookmarkStart w:id="664" w:name="pg4267_21988"/>
    </w:p>
    <w:p>
      <w:pPr>
        <w:pStyle w:val="BookText"/>
        <w:rPr/>
      </w:pPr>
      <w:bookmarkEnd w:id="664"/>
      <w:r>
        <w:rPr>
          <w:rFonts w:ascii="IRNazanin" w:hAnsi="IRNazanin" w:eastAsia="IRNazanin"/>
          <w:color w:val="111111"/>
          <w:sz w:val="28"/>
          <w:sz w:val="28"/>
          <w:szCs w:val="28"/>
          <w:rtl w:val="true"/>
          <w:lang w:bidi="fa-IR"/>
        </w:rPr>
        <w:t>آنها خودداری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حکم اغلب آنها با توجّه به شرایطی که برای صحّت شروط بیان گشت،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بخشی از مسائلی که به این مبحث مربوط است، به مناسبت، در باب بیع وقف نیز به آنها اشاره خواهدشد</w:t>
      </w:r>
      <w:r>
        <w:rPr>
          <w:rFonts w:eastAsia="IRNazanin" w:cs="IRNazanin"/>
          <w:color w:val="111111"/>
          <w:sz w:val="28"/>
          <w:szCs w:val="28"/>
          <w:rtl w:val="true"/>
          <w:lang w:bidi="fa-IR"/>
        </w:rPr>
        <w:t>.</w:t>
      </w:r>
    </w:p>
    <w:p>
      <w:pPr>
        <w:pStyle w:val="Heading6"/>
        <w:numPr>
          <w:ilvl w:val="5"/>
          <w:numId w:val="1"/>
        </w:numPr>
        <w:rPr/>
      </w:pPr>
      <w:bookmarkStart w:id="665" w:name="__RefHeading___Toc474381_1479056682"/>
      <w:bookmarkStart w:id="666" w:name="_Toc253"/>
      <w:bookmarkEnd w:id="665"/>
      <w:r>
        <w:rPr>
          <w:rtl w:val="true"/>
        </w:rPr>
        <w:t>فقه اهل سنّت</w:t>
      </w:r>
      <w:bookmarkEnd w:id="666"/>
    </w:p>
    <w:p>
      <w:pPr>
        <w:pStyle w:val="BookText"/>
        <w:rPr/>
      </w:pPr>
      <w:r>
        <w:rPr>
          <w:rFonts w:ascii="IRNazanin" w:hAnsi="IRNazanin" w:eastAsia="IRNazanin"/>
          <w:color w:val="111111"/>
          <w:sz w:val="28"/>
          <w:sz w:val="28"/>
          <w:szCs w:val="28"/>
          <w:rtl w:val="true"/>
          <w:lang w:bidi="fa-IR"/>
        </w:rPr>
        <w:t>شروط عشره</w:t>
      </w:r>
    </w:p>
    <w:p>
      <w:pPr>
        <w:pStyle w:val="BookText"/>
        <w:rPr/>
      </w:pPr>
      <w:r>
        <w:rPr>
          <w:rFonts w:ascii="IRNazanin" w:hAnsi="IRNazanin" w:eastAsia="IRNazanin"/>
          <w:color w:val="111111"/>
          <w:sz w:val="28"/>
          <w:sz w:val="28"/>
          <w:szCs w:val="28"/>
          <w:rtl w:val="true"/>
          <w:lang w:bidi="fa-IR"/>
        </w:rPr>
        <w:t>شروط عشره، اصطلاح جدیدی است که فقها و قانون دانان آن را در محاورات خویش به کار می‌برندو منظور آنان از این شروط این است که واقف، هنگام انشای عقد وقف، این شرایط را برای خود قرار می‌دهد تا بعدا تا حدود زیادی در مورد وقف، دستش 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شروط، هر چند با این عنوان در کلمات فقهای گذشته نیامده است، امّا احکام این موارد به‌طور متفرق در کتب فقهی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شروط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 و حِرمان، اِدخال و اِخراج، زیاده و نقصان، تغییر و تبدیل، ابدال و استبدال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واژه‌ها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استعمال فقها به معنای فروش عین موقوفه برای خریداری عین دیگری به جای آن است و استبدال به معنای گرفتن عین دوم است به جای عین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این دو واژه، در حقیقت، مستلزم دیگری است؛ یعنی وقتی به بیع عین موقوفه توجّه می‌کنیم، ابدال است، آن گاه که به خریداری یا اخذ بدل آن توجّه داریم، استبدال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و حکم آنها در نزد فقها، یکی است</w:t>
      </w:r>
      <w:r>
        <w:rPr>
          <w:rFonts w:eastAsia="IRNazanin" w:cs="IRNazanin"/>
          <w:color w:val="111111"/>
          <w:sz w:val="28"/>
          <w:szCs w:val="28"/>
          <w:rtl w:val="true"/>
          <w:lang w:bidi="fa-IR"/>
        </w:rPr>
        <w:t>.</w:t>
      </w:r>
      <w:r>
        <w:rPr>
          <w:rStyle w:val="FootnoteAnchor"/>
          <w:rtl w:val="true"/>
        </w:rPr>
        <w:footnoteReference w:id="1120"/>
      </w:r>
      <w:bookmarkStart w:id="667" w:name="pg4267_21989"/>
    </w:p>
    <w:p>
      <w:pPr>
        <w:pStyle w:val="BookText"/>
        <w:rPr/>
      </w:pPr>
      <w:bookmarkEnd w:id="667"/>
      <w:r>
        <w:rPr>
          <w:rFonts w:ascii="IRNazanin" w:hAnsi="IRNazanin" w:eastAsia="IRNazanin"/>
          <w:color w:val="111111"/>
          <w:sz w:val="28"/>
          <w:sz w:val="28"/>
          <w:szCs w:val="28"/>
          <w:rtl w:val="true"/>
          <w:lang w:bidi="fa-IR"/>
        </w:rPr>
        <w:t>تغییر و تبدیل</w:t>
      </w:r>
    </w:p>
    <w:p>
      <w:pPr>
        <w:pStyle w:val="BookText"/>
        <w:rPr/>
      </w:pPr>
      <w:r>
        <w:rPr>
          <w:rFonts w:ascii="IRNazanin" w:hAnsi="IRNazanin" w:eastAsia="IRNazanin"/>
          <w:color w:val="111111"/>
          <w:sz w:val="28"/>
          <w:sz w:val="28"/>
          <w:szCs w:val="28"/>
          <w:rtl w:val="true"/>
          <w:lang w:bidi="fa-IR"/>
        </w:rPr>
        <w:t>این دو واژه هر گاه در کنار بقیه شروط ده گانه قرار گیرند، معنای تغییر می‌دهد و آن عبارت خواهد بود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 در مصارف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مصرف را از غیر مترتّب به مترتّب تغییر دهد، یا مصرف عامّ را به بعض موقوفٌ عَلَیْه اختصاص دهد، یا وقف برای خرید کتب و مانند آن را به خرید غذا و پوشاک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تبدیل به معنای تبدیل در</w:t>
      </w:r>
    </w:p>
    <w:p>
      <w:pPr>
        <w:pStyle w:val="BookText"/>
        <w:rPr/>
      </w:pPr>
      <w:r>
        <w:rPr>
          <w:rFonts w:ascii="IRNazanin" w:hAnsi="IRNazanin" w:eastAsia="IRNazanin"/>
          <w:color w:val="111111"/>
          <w:sz w:val="28"/>
          <w:sz w:val="28"/>
          <w:szCs w:val="28"/>
          <w:rtl w:val="true"/>
          <w:lang w:bidi="fa-IR"/>
        </w:rPr>
        <w:t xml:space="preserve">عین موقوفه خواهد بود، مثل این که ساختمان وقفی را که برای اسکان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برای کسب درآمد اجاره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این دو واژه جدای از بقیه شروط به کار روند، شامل همه شروط ده گانه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حرمان نیز با توجّه</w:t>
      </w:r>
    </w:p>
    <w:p>
      <w:pPr>
        <w:pStyle w:val="BookText"/>
        <w:rPr/>
      </w:pPr>
      <w:r>
        <w:rPr>
          <w:rFonts w:ascii="IRNazanin" w:hAnsi="IRNazanin" w:eastAsia="IRNazanin"/>
          <w:color w:val="111111"/>
          <w:sz w:val="28"/>
          <w:sz w:val="28"/>
          <w:szCs w:val="28"/>
          <w:rtl w:val="true"/>
          <w:lang w:bidi="fa-IR"/>
        </w:rPr>
        <w:t>به مباحث گذشته روشن است</w:t>
      </w:r>
      <w:r>
        <w:rPr>
          <w:rFonts w:eastAsia="IRNazanin" w:cs="IRNazanin"/>
          <w:color w:val="111111"/>
          <w:sz w:val="28"/>
          <w:szCs w:val="28"/>
          <w:rtl w:val="true"/>
          <w:lang w:bidi="fa-IR"/>
        </w:rPr>
        <w:t>.</w:t>
      </w:r>
    </w:p>
    <w:p>
      <w:pPr>
        <w:pStyle w:val="Heading6"/>
        <w:numPr>
          <w:ilvl w:val="5"/>
          <w:numId w:val="1"/>
        </w:numPr>
        <w:rPr/>
      </w:pPr>
      <w:bookmarkStart w:id="668" w:name="__RefHeading___Toc474383_1479056682"/>
      <w:bookmarkStart w:id="669" w:name="_Toc254"/>
      <w:bookmarkEnd w:id="668"/>
      <w:r>
        <w:rPr>
          <w:rtl w:val="true"/>
        </w:rPr>
        <w:t>احکام شروط ده‌گانه</w:t>
      </w:r>
      <w:bookmarkEnd w:id="669"/>
    </w:p>
    <w:p>
      <w:pPr>
        <w:pStyle w:val="Heading6"/>
        <w:numPr>
          <w:ilvl w:val="5"/>
          <w:numId w:val="1"/>
        </w:numPr>
        <w:rPr/>
      </w:pPr>
      <w:bookmarkStart w:id="670" w:name="__RefHeading___Toc474385_1479056682"/>
      <w:bookmarkStart w:id="671" w:name="_Toc255"/>
      <w:bookmarkEnd w:id="670"/>
      <w:r>
        <w:rPr/>
        <w:t>1</w:t>
      </w:r>
      <w:r>
        <w:rPr>
          <w:rtl w:val="true"/>
        </w:rPr>
        <w:t xml:space="preserve"> </w:t>
      </w:r>
      <w:r>
        <w:rPr>
          <w:rtl w:val="true"/>
        </w:rPr>
        <w:t xml:space="preserve">و </w:t>
      </w:r>
      <w:r>
        <w:rPr/>
        <w:t>2</w:t>
      </w:r>
      <w:r>
        <w:rPr>
          <w:rtl w:val="true"/>
        </w:rPr>
        <w:t xml:space="preserve">- </w:t>
      </w:r>
      <w:r>
        <w:rPr>
          <w:rtl w:val="true"/>
        </w:rPr>
        <w:t>زیاده و نقصان</w:t>
      </w:r>
      <w:bookmarkEnd w:id="671"/>
    </w:p>
    <w:p>
      <w:pPr>
        <w:pStyle w:val="BookText"/>
        <w:rPr/>
      </w:pPr>
      <w:r>
        <w:rPr>
          <w:rFonts w:ascii="IRNazanin" w:hAnsi="IRNazanin" w:eastAsia="IRNazanin"/>
          <w:color w:val="111111"/>
          <w:sz w:val="28"/>
          <w:sz w:val="28"/>
          <w:szCs w:val="28"/>
          <w:rtl w:val="true"/>
          <w:lang w:bidi="fa-IR"/>
        </w:rPr>
        <w:t xml:space="preserve">واقف حق کم و زیاد کردن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امّا اگر در وقف برای خود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حنفیّه تصریح کرده‌اند که، چنین حقّی را دارد و شرط، موجب بطلان وقف نمی‌شود؛ البتّه از محمّدبن‌حسن نقل شده است که وقف، صحیح امّا شرط،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دیگر مذاهب نیز، هر چند به جواز زیاده ونقصان تصریح نکرده‌اند، امّا کلامشان بر جواز آن، در صورت شرط واقف، دلالت دارد، زیرا آنها به جواز شروط تغییر و تبدیل و ادخال تصریح کرده‌اند که همین خود بر جواز شرط زیاده ونقصان دلالت</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r>
        <w:rPr>
          <w:rStyle w:val="FootnoteAnchor"/>
          <w:rtl w:val="true"/>
        </w:rPr>
        <w:footnoteReference w:id="1121"/>
      </w:r>
    </w:p>
    <w:p>
      <w:pPr>
        <w:pStyle w:val="Heading6"/>
        <w:numPr>
          <w:ilvl w:val="5"/>
          <w:numId w:val="1"/>
        </w:numPr>
        <w:rPr/>
      </w:pPr>
      <w:bookmarkStart w:id="672" w:name="__RefHeading___Toc474387_1479056682"/>
      <w:bookmarkStart w:id="673" w:name="_Toc256"/>
      <w:bookmarkEnd w:id="672"/>
      <w:r>
        <w:rPr/>
        <w:t>3</w:t>
      </w:r>
      <w:r>
        <w:rPr>
          <w:rtl w:val="true"/>
        </w:rPr>
        <w:t xml:space="preserve"> </w:t>
      </w:r>
      <w:r>
        <w:rPr>
          <w:rtl w:val="true"/>
        </w:rPr>
        <w:t xml:space="preserve">و </w:t>
      </w:r>
      <w:r>
        <w:rPr/>
        <w:t>4</w:t>
      </w:r>
      <w:r>
        <w:rPr>
          <w:rtl w:val="true"/>
        </w:rPr>
        <w:t xml:space="preserve">- </w:t>
      </w:r>
      <w:r>
        <w:rPr>
          <w:rtl w:val="true"/>
        </w:rPr>
        <w:t>ادخال و اخراج</w:t>
      </w:r>
      <w:bookmarkEnd w:id="67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حنفیّه، ادخال و اخراج را به طور مطلق جایز شمرده‌اند، امّا شافعیّه آن را به </w:t>
      </w:r>
      <w:bookmarkStart w:id="674" w:name="pg4267_21990"/>
    </w:p>
    <w:p>
      <w:pPr>
        <w:pStyle w:val="BookText"/>
        <w:rPr/>
      </w:pPr>
      <w:bookmarkEnd w:id="674"/>
      <w:r>
        <w:rPr>
          <w:rFonts w:ascii="IRNazanin" w:hAnsi="IRNazanin" w:eastAsia="IRNazanin"/>
          <w:color w:val="111111"/>
          <w:sz w:val="28"/>
          <w:sz w:val="28"/>
          <w:szCs w:val="28"/>
          <w:rtl w:val="true"/>
          <w:lang w:bidi="fa-IR"/>
        </w:rPr>
        <w:t>مواردی که مُدخَل یا مُخرَج وصفی را فاقد بوده، سپس واجد آن شده است مقیّد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حنابله، ادخال و اخراج را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می‌دانند، یعنی</w:t>
      </w:r>
    </w:p>
    <w:p>
      <w:pPr>
        <w:pStyle w:val="BookText"/>
        <w:rPr/>
      </w:pPr>
      <w:r>
        <w:rPr>
          <w:rFonts w:ascii="IRNazanin" w:hAnsi="IRNazanin" w:eastAsia="IRNazanin"/>
          <w:color w:val="111111"/>
          <w:sz w:val="28"/>
          <w:sz w:val="28"/>
          <w:szCs w:val="28"/>
          <w:rtl w:val="true"/>
          <w:lang w:bidi="fa-IR"/>
        </w:rPr>
        <w:t xml:space="preserve">واقف حق دارد در وقف‌نامه شرط کند فردی را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اخراج و سپس او را وارد کند، امّا حق ادخال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فقه حنبلی</w:t>
      </w:r>
    </w:p>
    <w:p>
      <w:pPr>
        <w:pStyle w:val="BookText"/>
        <w:rPr/>
      </w:pPr>
      <w:r>
        <w:rPr>
          <w:rFonts w:ascii="IRNazanin" w:hAnsi="IRNazanin" w:eastAsia="IRNazanin"/>
          <w:color w:val="111111"/>
          <w:sz w:val="28"/>
          <w:sz w:val="28"/>
          <w:szCs w:val="28"/>
          <w:rtl w:val="true"/>
          <w:lang w:bidi="fa-IR"/>
        </w:rPr>
        <w:t>اقوال و انظار دیگری هم هست</w:t>
      </w:r>
      <w:r>
        <w:rPr>
          <w:rFonts w:eastAsia="IRNazanin" w:cs="IRNazanin"/>
          <w:color w:val="111111"/>
          <w:sz w:val="28"/>
          <w:szCs w:val="28"/>
          <w:rtl w:val="true"/>
          <w:lang w:bidi="fa-IR"/>
        </w:rPr>
        <w:t>.</w:t>
      </w:r>
      <w:r>
        <w:rPr>
          <w:rStyle w:val="FootnoteAnchor"/>
          <w:rtl w:val="true"/>
        </w:rPr>
        <w:footnoteReference w:id="1122"/>
      </w:r>
    </w:p>
    <w:p>
      <w:pPr>
        <w:pStyle w:val="Heading6"/>
        <w:numPr>
          <w:ilvl w:val="5"/>
          <w:numId w:val="1"/>
        </w:numPr>
        <w:rPr/>
      </w:pPr>
      <w:bookmarkStart w:id="675" w:name="__RefHeading___Toc474389_1479056682"/>
      <w:bookmarkStart w:id="676" w:name="_Toc257"/>
      <w:bookmarkEnd w:id="675"/>
      <w:r>
        <w:rPr/>
        <w:t>5</w:t>
      </w:r>
      <w:r>
        <w:rPr>
          <w:rtl w:val="true"/>
        </w:rPr>
        <w:t xml:space="preserve"> </w:t>
      </w:r>
      <w:r>
        <w:rPr>
          <w:rtl w:val="true"/>
        </w:rPr>
        <w:t xml:space="preserve">و </w:t>
      </w:r>
      <w:r>
        <w:rPr/>
        <w:t>6</w:t>
      </w:r>
      <w:r>
        <w:rPr>
          <w:rtl w:val="true"/>
        </w:rPr>
        <w:t xml:space="preserve">- </w:t>
      </w:r>
      <w:r>
        <w:rPr>
          <w:rtl w:val="true"/>
        </w:rPr>
        <w:t>اِعطا و حرمان</w:t>
      </w:r>
      <w:bookmarkEnd w:id="676"/>
    </w:p>
    <w:p>
      <w:pPr>
        <w:pStyle w:val="BookText"/>
        <w:rPr/>
      </w:pPr>
      <w:r>
        <w:rPr>
          <w:rFonts w:ascii="IRNazanin" w:hAnsi="IRNazanin" w:eastAsia="IRNazanin"/>
          <w:color w:val="111111"/>
          <w:sz w:val="28"/>
          <w:sz w:val="28"/>
          <w:szCs w:val="28"/>
          <w:rtl w:val="true"/>
          <w:lang w:bidi="fa-IR"/>
        </w:rPr>
        <w:t xml:space="preserve">فقها اعطا و حرمان در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جایز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محروم و سهم او را به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ممکن</w:t>
      </w:r>
    </w:p>
    <w:p>
      <w:pPr>
        <w:pStyle w:val="BookText"/>
        <w:rPr/>
      </w:pPr>
      <w:r>
        <w:rPr>
          <w:rFonts w:ascii="IRNazanin" w:hAnsi="IRNazanin" w:eastAsia="IRNazanin"/>
          <w:color w:val="111111"/>
          <w:sz w:val="28"/>
          <w:sz w:val="28"/>
          <w:szCs w:val="28"/>
          <w:rtl w:val="true"/>
          <w:lang w:bidi="fa-IR"/>
        </w:rPr>
        <w:t>است به میل واقف یا متولّی بستگی داشته باشد و ممکن است به پیدایش صفتی، چون فقر، دانش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اعطا و فسق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حرمان، منوط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حق اعطا و حرمان نباید با شرطی از شروط صحّت وقف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مثال در نزد فقهای حنفیّه اجمالاً قصد قربت شرط است، لذا اگر اعطا و حرمان با این شرط مخالف باشد، صحیح نیست</w:t>
      </w:r>
      <w:r>
        <w:rPr>
          <w:rFonts w:eastAsia="IRNazanin" w:cs="IRNazanin"/>
          <w:color w:val="111111"/>
          <w:sz w:val="28"/>
          <w:szCs w:val="28"/>
          <w:rtl w:val="true"/>
          <w:lang w:bidi="fa-IR"/>
        </w:rPr>
        <w:t>.</w:t>
      </w:r>
      <w:r>
        <w:rPr>
          <w:rStyle w:val="FootnoteAnchor"/>
          <w:rtl w:val="true"/>
        </w:rPr>
        <w:footnoteReference w:id="1123"/>
      </w:r>
    </w:p>
    <w:p>
      <w:pPr>
        <w:pStyle w:val="Heading6"/>
        <w:numPr>
          <w:ilvl w:val="5"/>
          <w:numId w:val="1"/>
        </w:numPr>
        <w:rPr/>
      </w:pPr>
      <w:bookmarkStart w:id="677" w:name="__RefHeading___Toc474391_1479056682"/>
      <w:bookmarkStart w:id="678" w:name="_Toc258"/>
      <w:bookmarkEnd w:id="677"/>
      <w:r>
        <w:rPr/>
        <w:t>7</w:t>
      </w:r>
      <w:r>
        <w:rPr>
          <w:rtl w:val="true"/>
        </w:rPr>
        <w:t xml:space="preserve"> </w:t>
      </w:r>
      <w:r>
        <w:rPr>
          <w:rtl w:val="true"/>
        </w:rPr>
        <w:t xml:space="preserve">و </w:t>
      </w:r>
      <w:r>
        <w:rPr/>
        <w:t>8</w:t>
      </w:r>
      <w:r>
        <w:rPr>
          <w:rtl w:val="true"/>
        </w:rPr>
        <w:t xml:space="preserve">- </w:t>
      </w:r>
      <w:r>
        <w:rPr>
          <w:rtl w:val="true"/>
        </w:rPr>
        <w:t>تغییر و تبدیل</w:t>
      </w:r>
      <w:bookmarkEnd w:id="678"/>
    </w:p>
    <w:p>
      <w:pPr>
        <w:pStyle w:val="BookText"/>
        <w:rPr/>
      </w:pPr>
      <w:r>
        <w:rPr>
          <w:rFonts w:ascii="IRNazanin" w:hAnsi="IRNazanin" w:eastAsia="IRNazanin"/>
          <w:color w:val="111111"/>
          <w:sz w:val="28"/>
          <w:sz w:val="28"/>
          <w:szCs w:val="28"/>
          <w:rtl w:val="true"/>
          <w:lang w:bidi="fa-IR"/>
        </w:rPr>
        <w:t>همان طور که قبلاً گذشت این دو واژه مفهومی عامّ و گسترده دارند؛ به طوری که هرگاه جدای از بقیه شروط ذکر شوند زیادت و نقصان، ادخال و اخراج، اعطا و حرمان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می‌شوند و هرگاه با بعضی از شروط ده گانه ذکر شوند، بقیه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در بر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فقهااین حق را برای واقف قایل شده‌اند که برای خودش در وقف تغییر و</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تبدیل را شرط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 که بیان شد ضیق و گستردگی معنای آنها به چگونگی کاربرد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دیگر شروط یا جداگانه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bookmarkStart w:id="679" w:name="pg4267_21991"/>
    </w:p>
    <w:p>
      <w:pPr>
        <w:pStyle w:val="Heading6"/>
        <w:numPr>
          <w:ilvl w:val="5"/>
          <w:numId w:val="1"/>
        </w:numPr>
        <w:rPr/>
      </w:pPr>
      <w:bookmarkStart w:id="680" w:name="__RefHeading___Toc474393_1479056682"/>
      <w:bookmarkStart w:id="681" w:name="_Toc259"/>
      <w:bookmarkEnd w:id="679"/>
      <w:bookmarkEnd w:id="680"/>
      <w:r>
        <w:rPr/>
        <w:t>9</w:t>
      </w:r>
      <w:r>
        <w:rPr>
          <w:rtl w:val="true"/>
        </w:rPr>
        <w:t xml:space="preserve"> </w:t>
      </w:r>
      <w:r>
        <w:rPr>
          <w:rtl w:val="true"/>
        </w:rPr>
        <w:t xml:space="preserve">و </w:t>
      </w:r>
      <w:r>
        <w:rPr/>
        <w:t>10</w:t>
      </w:r>
      <w:r>
        <w:rPr>
          <w:rtl w:val="true"/>
        </w:rPr>
        <w:t xml:space="preserve">- </w:t>
      </w:r>
      <w:r>
        <w:rPr>
          <w:rtl w:val="true"/>
        </w:rPr>
        <w:t>اِبدال و اِستبدال</w:t>
      </w:r>
      <w:bookmarkEnd w:id="681"/>
    </w:p>
    <w:p>
      <w:pPr>
        <w:pStyle w:val="BookText"/>
        <w:rPr/>
      </w:pPr>
      <w:r>
        <w:rPr>
          <w:rFonts w:ascii="IRNazanin" w:hAnsi="IRNazanin" w:eastAsia="IRNazanin"/>
          <w:color w:val="111111"/>
          <w:sz w:val="28"/>
          <w:sz w:val="28"/>
          <w:szCs w:val="28"/>
          <w:rtl w:val="true"/>
          <w:lang w:bidi="fa-IR"/>
        </w:rPr>
        <w:t>جمهور فقهای مذاهب، ابدال و استبدال را جایز شمرده‌اند، امّا هر کدام برای آن شروطی در نظر گرفته‌اند که به آنها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حنفیّه، استبدال زمین وقف به زمین دیگری را، در صورتی که در وقف شرط کرده باشد، جایز می‌دانند؛ امّا اگر شرط نکرده باشد تنها با اذن قاضی جایز است و برای</w:t>
      </w:r>
    </w:p>
    <w:p>
      <w:pPr>
        <w:pStyle w:val="BookText"/>
        <w:rPr/>
      </w:pPr>
      <w:r>
        <w:rPr>
          <w:rFonts w:ascii="IRNazanin" w:hAnsi="IRNazanin" w:eastAsia="IRNazanin"/>
          <w:color w:val="111111"/>
          <w:sz w:val="28"/>
          <w:sz w:val="28"/>
          <w:szCs w:val="28"/>
          <w:rtl w:val="true"/>
          <w:lang w:bidi="fa-IR"/>
        </w:rPr>
        <w:t>استبدال، توسّط قاضی هم شروطی ذکر کرده‌اند که در جای خودش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مالکیّه بین منقول و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معتقدند، اگر مال موقوف، منقول باشد، مثل لباس هر گاه غیر قابل انتفاع گردد استبدال آن جایز است، امّا</w:t>
      </w:r>
    </w:p>
    <w:p>
      <w:pPr>
        <w:pStyle w:val="BookText"/>
        <w:rPr/>
      </w:pPr>
      <w:r>
        <w:rPr>
          <w:rFonts w:ascii="IRNazanin" w:hAnsi="IRNazanin" w:eastAsia="IRNazanin"/>
          <w:color w:val="111111"/>
          <w:sz w:val="28"/>
          <w:sz w:val="28"/>
          <w:szCs w:val="28"/>
          <w:rtl w:val="true"/>
          <w:lang w:bidi="fa-IR"/>
        </w:rPr>
        <w:t xml:space="preserve">اگر زمینی باشد استبدال آن جز برای توسعه در مسجد جایز نیست ، امّا فروش مسجد به هیچ وجه جایز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شافعیّه بیع موقوف را، هر چند خراب و تعطیل شود، جایز نمی‌دانند، امّا بیع حصیرهای مسجد را در صورت اندراس و تیرهای سقف را در صورتی که جز برای سوختن به کار نیاید، برای جلوگیری از تضیع وقف،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 بیع و مناقله وقف را، در صورت تعطیل منافع مقصوده، جایز می‌دانند، حتّی اگر مسجدی خراب شود و اعاده آن ممکن نباشد، فروش آن و صرف بهایش در ساختن مسجدی مشابه، جایز است؛ زیرا از اضاعه مال،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چند نکته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اشتراط شرط باید همراه با انشای عقد وقف باشد وگرنه حقّی برای واقف و یا متولّی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عشره، تنها یک بار قابل اعمال هستند، مگر آن که در هنگام عقد تکرار آن شرط شده باشد</w:t>
      </w:r>
      <w:r>
        <w:rPr>
          <w:rFonts w:eastAsia="IRNazanin" w:cs="IRNazanin"/>
          <w:color w:val="111111"/>
          <w:sz w:val="28"/>
          <w:szCs w:val="28"/>
          <w:rtl w:val="true"/>
          <w:lang w:bidi="fa-IR"/>
        </w:rPr>
        <w:t>.</w:t>
      </w:r>
      <w:r>
        <w:rPr>
          <w:rStyle w:val="FootnoteAnchor"/>
          <w:rtl w:val="true"/>
        </w:rPr>
        <w:footnoteReference w:id="1124"/>
      </w:r>
    </w:p>
    <w:p>
      <w:pPr>
        <w:pStyle w:val="BookText"/>
        <w:rPr/>
      </w:pPr>
      <w:r>
        <w:rPr>
          <w:rFonts w:eastAsia="Times New Roman" w:cs="Times New Roman" w:ascii="Times New Roman" w:hAnsi="Times New Roman"/>
          <w:color w:val="111111"/>
          <w:sz w:val="28"/>
          <w:szCs w:val="28"/>
          <w:lang w:val="en-US" w:bidi="en-US"/>
        </w:rPr>
        <w:t>2/11-45</w:t>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بیشتر این مباحث در باب بیع وقف خواهدآمد</w:t>
      </w:r>
      <w:r>
        <w:rPr>
          <w:rFonts w:eastAsia="IRNazanin" w:cs="IRNazanin"/>
          <w:color w:val="111111"/>
          <w:sz w:val="28"/>
          <w:szCs w:val="28"/>
          <w:rtl w:val="true"/>
          <w:lang w:bidi="fa-IR"/>
        </w:rPr>
        <w:t>.</w:t>
      </w:r>
      <w:bookmarkStart w:id="682" w:name="pg4267_21992"/>
    </w:p>
    <w:p>
      <w:pPr>
        <w:pStyle w:val="Heading5"/>
        <w:numPr>
          <w:ilvl w:val="4"/>
          <w:numId w:val="1"/>
        </w:numPr>
        <w:rPr/>
      </w:pPr>
      <w:bookmarkStart w:id="683" w:name="__RefHeading___Toc474395_1479056682"/>
      <w:bookmarkStart w:id="684" w:name="_Toc260"/>
      <w:bookmarkEnd w:id="682"/>
      <w:bookmarkEnd w:id="683"/>
      <w:r>
        <w:rPr>
          <w:rtl w:val="true"/>
        </w:rPr>
        <w:t xml:space="preserve">گفتار </w:t>
      </w:r>
      <w:r>
        <w:rPr/>
        <w:t>5</w:t>
      </w:r>
      <w:r>
        <w:rPr>
          <w:rtl w:val="true"/>
        </w:rPr>
        <w:t xml:space="preserve">- </w:t>
      </w:r>
      <w:r>
        <w:rPr>
          <w:rtl w:val="true"/>
        </w:rPr>
        <w:t>حکم شرط فاسد</w:t>
      </w:r>
      <w:bookmarkEnd w:id="684"/>
    </w:p>
    <w:p>
      <w:pPr>
        <w:pStyle w:val="Heading6"/>
        <w:numPr>
          <w:ilvl w:val="5"/>
          <w:numId w:val="1"/>
        </w:numPr>
        <w:rPr/>
      </w:pPr>
      <w:bookmarkStart w:id="685" w:name="__RefHeading___Toc474397_1479056682"/>
      <w:bookmarkStart w:id="686" w:name="_Toc261"/>
      <w:bookmarkEnd w:id="685"/>
      <w:r>
        <w:rPr>
          <w:rtl w:val="true"/>
        </w:rPr>
        <w:t>اشاره</w:t>
      </w:r>
      <w:bookmarkEnd w:id="686"/>
    </w:p>
    <w:p>
      <w:pPr>
        <w:pStyle w:val="BookText"/>
        <w:rPr/>
      </w:pPr>
      <w:r>
        <w:rPr>
          <w:rFonts w:ascii="IRNazanin" w:hAnsi="IRNazanin" w:eastAsia="IRNazanin"/>
          <w:color w:val="111111"/>
          <w:sz w:val="28"/>
          <w:sz w:val="28"/>
          <w:szCs w:val="28"/>
          <w:rtl w:val="true"/>
          <w:lang w:bidi="fa-IR"/>
        </w:rPr>
        <w:t>آیا شرطهای فاسد در وقف موجب فساد در وقف نیز هستند، یا تنها شرط فاسد و عقد صحیح است ؟ کاشف‌الغطاء تصریح کرده است که همه شروط فاسده فی‌الجمله مفسد وقف هستند</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علاّمه در قواعد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بطلان وقف، 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ذیل این عبارت علاّمه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یک طرف واقف دو کار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وقف و دیگری شرط و با بطلان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صحّت خود باقی است، چون چیزی که مقتضی بطلان آن باشد وجود ندارد و این دیدگاه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از طرف دیگر عقد تنها بر وجه اشتراطی واقع شده که فاسد است لذا وقف هم باطل خواهد بود و وقف بر وجه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بدون اقتران به 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واقع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صحیح نیست؛ زیرا عقد بدون اقتران به‌این شرط مقصود نظر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کسی بین شروط فاسد در عقود معاوضات و شروط فاسد در وقف، و مانند آن، فرق بگذارد، به این که؛ شرط در عوض مدخلیّت دارد لذا در رضایت به عقد این شرط ملحوظ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بافوت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رضایت به عقد نیز منتفی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عقد چون رضایت شرط کننده را ندارد باطل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وقف در هر صورت، تبرّع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عوض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با انتفای شرط، رضا منتفی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فرق محلّ نظر و اشکال است؛ زیرا با تفاوت وجوه تبرّعات، اغراض نیز متفاوت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شرط، در رضایت شرط کننده تأثیر آشکار دارد و از این رو قول به بطلان وقف در موارد بطلان شرط، اقوی است</w:t>
      </w:r>
      <w:r>
        <w:rPr>
          <w:rFonts w:eastAsia="IRNazanin" w:cs="IRNazanin"/>
          <w:color w:val="111111"/>
          <w:sz w:val="28"/>
          <w:szCs w:val="28"/>
          <w:rtl w:val="true"/>
          <w:lang w:bidi="fa-IR"/>
        </w:rPr>
        <w:t>.</w:t>
      </w:r>
      <w:r>
        <w:rPr>
          <w:rStyle w:val="FootnoteAnchor"/>
          <w:rtl w:val="true"/>
        </w:rPr>
        <w:footnoteReference w:id="1126"/>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شرط عَوْد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عندالحاجة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گذشت که شیخ، ابن ادریس و محقّق اوّل در شرایع هم شرط را باطل می‌دانستند و هم وقف را</w:t>
      </w:r>
      <w:r>
        <w:rPr>
          <w:rStyle w:val="FootnoteAnchor"/>
          <w:rtl w:val="true"/>
        </w:rPr>
        <w:footnoteReference w:id="1127"/>
      </w:r>
      <w:r>
        <w:rPr>
          <w:rFonts w:ascii="IRNazanin" w:hAnsi="IRNazanin" w:eastAsia="IRNazanin"/>
          <w:color w:val="111111"/>
          <w:sz w:val="28"/>
          <w:sz w:val="28"/>
          <w:szCs w:val="28"/>
          <w:rtl w:val="true"/>
          <w:lang w:bidi="fa-IR"/>
        </w:rPr>
        <w:t>و لازمه این دیدگاه بطلان و فساد عقد با فساد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قول دیگر هم یکی صحّت هر دو بوده ویکی صحّت شرط </w:t>
      </w:r>
    </w:p>
    <w:p>
      <w:pPr>
        <w:pStyle w:val="BookText"/>
        <w:rPr/>
      </w:pPr>
      <w:r>
        <w:rPr>
          <w:rFonts w:ascii="IRNazanin" w:hAnsi="IRNazanin" w:eastAsia="IRNazanin"/>
          <w:color w:val="111111"/>
          <w:sz w:val="28"/>
          <w:sz w:val="28"/>
          <w:szCs w:val="28"/>
          <w:rtl w:val="true"/>
          <w:lang w:bidi="fa-IR"/>
        </w:rPr>
        <w:t>وبطلان وقف که از هیچ‌کدام، عدم بطلان وقف با بطلان شرط، استفاده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ذیل عبارت محقق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شَرَط اِخراجَ مَن یُریدُ بَطَلَ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برای بطلان وقف ادّعای عدم خلاف کرده است</w:t>
      </w:r>
      <w:r>
        <w:rPr>
          <w:rFonts w:eastAsia="IRNazanin" w:cs="IRNazanin"/>
          <w:color w:val="111111"/>
          <w:sz w:val="28"/>
          <w:szCs w:val="28"/>
          <w:rtl w:val="true"/>
          <w:lang w:bidi="fa-IR"/>
        </w:rPr>
        <w:t>.</w:t>
      </w:r>
      <w:r>
        <w:rPr>
          <w:rStyle w:val="FootnoteAnchor"/>
          <w:rtl w:val="true"/>
        </w:rPr>
        <w:footnoteReference w:id="1128"/>
      </w:r>
      <w:r>
        <w:rPr>
          <w:rFonts w:ascii="IRNazanin" w:hAnsi="IRNazanin" w:eastAsia="IRNazanin"/>
          <w:color w:val="111111"/>
          <w:sz w:val="28"/>
          <w:sz w:val="28"/>
          <w:szCs w:val="28"/>
          <w:rtl w:val="true"/>
          <w:lang w:bidi="fa-IR"/>
        </w:rPr>
        <w:t>و معنای این عبارت، عدم خلاف، در بطلان وقف در صورت اشتراط چنین شرطی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اشتراط خیار ابن‌ادریس و شهید اوّل به بطلان وقف نیز تصریح کرده‌اند</w:t>
      </w:r>
      <w:r>
        <w:rPr>
          <w:rFonts w:eastAsia="IRNazanin" w:cs="IRNazanin"/>
          <w:color w:val="111111"/>
          <w:sz w:val="28"/>
          <w:szCs w:val="28"/>
          <w:rtl w:val="true"/>
          <w:lang w:bidi="fa-IR"/>
        </w:rPr>
        <w:t>.</w:t>
      </w:r>
      <w:r>
        <w:rPr>
          <w:rStyle w:val="FootnoteAnchor"/>
          <w:rtl w:val="true"/>
        </w:rPr>
        <w:footnoteReference w:id="1129"/>
      </w:r>
    </w:p>
    <w:p>
      <w:pPr>
        <w:pStyle w:val="BookText"/>
        <w:rPr/>
      </w:pPr>
      <w:r>
        <w:rPr>
          <w:rFonts w:ascii="IRNazanin" w:hAnsi="IRNazanin" w:eastAsia="IRNazanin"/>
          <w:color w:val="111111"/>
          <w:sz w:val="28"/>
          <w:sz w:val="28"/>
          <w:szCs w:val="28"/>
          <w:rtl w:val="true"/>
          <w:lang w:bidi="fa-IR"/>
        </w:rPr>
        <w:t>فاضل آبی نیز درباره اشتراط عود مال به واقف، قایل به بطلان وقف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شیخ در مبسوط و خلاف نیز قول به بطلان را نقل کرده است</w:t>
      </w:r>
      <w:r>
        <w:rPr>
          <w:rFonts w:eastAsia="IRNazanin" w:cs="IRNazanin"/>
          <w:color w:val="111111"/>
          <w:sz w:val="28"/>
          <w:szCs w:val="28"/>
          <w:rtl w:val="true"/>
          <w:lang w:bidi="fa-IR"/>
        </w:rPr>
        <w:t>.</w:t>
      </w:r>
      <w:r>
        <w:rPr>
          <w:rStyle w:val="FootnoteAnchor"/>
          <w:rtl w:val="true"/>
        </w:rPr>
        <w:footnoteReference w:id="1130"/>
      </w:r>
      <w:r>
        <w:rPr>
          <w:rFonts w:ascii="IRNazanin" w:hAnsi="IRNazanin" w:eastAsia="IRNazanin"/>
          <w:color w:val="111111"/>
          <w:sz w:val="28"/>
          <w:sz w:val="28"/>
          <w:szCs w:val="28"/>
          <w:rtl w:val="true"/>
          <w:lang w:bidi="fa-IR"/>
        </w:rPr>
        <w:t>روشن است که بطلان وقف در نزد این اعلام ناشی از بطلان و فساد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شرط مجهول نیز شیخ انصاری در مکاسب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تأمّل نیست که اگر شرطی به دلیل مجهول بودن فاسد شود، عقد را هم فاسد می‌کند، زیرا جهالت در شرط به‌جهالت در یکی از عوضین منجر می‌شود و بیع غرری خواهد شد</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IRNazanin" w:hAnsi="IRNazanin" w:eastAsia="IRNazanin"/>
          <w:color w:val="111111"/>
          <w:sz w:val="28"/>
          <w:sz w:val="28"/>
          <w:szCs w:val="28"/>
          <w:rtl w:val="true"/>
          <w:lang w:bidi="fa-IR"/>
        </w:rPr>
        <w:t>این بیان اگر چه مربوط به باب بیع است، امّا مدرکی که شیخ ذکر کرده است، یعنی لزوم غرر، در باب وقف نیز می‌آید؛ هر چند در وقف، عوض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پایان بحث حکم شروط فاسد، نتیجه قطعی نمی‌گیرد و مسأله را در غایت اشکال می‌داند؛ امّا با توجه به تتبّع محدودی که اشاره شد به نظر می‌رسد که دست کم در وقف نظر اصحاب این است که در اغلب موارد، شرط فاسد مفسد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توجیه این دیدگاه هم به‌طور خلاصه این است که در جای خودش اثبات شده؛ عقود، تابع قصود هستند و روشن است که عقد بدون شرط در مورد محلّ بحث، منظور و مقصود واقف نیست؛ مگر این که کسی به‌ترکیب در قصد واقف قایل شود، یعنی؛ منظور واقف دو امر مستقل است؛ یکی اصل وقف و دیگری اقتران آن به‌این شرط و با انتفای امر دوم، امر اوّل همچنان منظور و مقصود او خواهد بود</w:t>
      </w:r>
      <w:r>
        <w:rPr>
          <w:rFonts w:eastAsia="IRNazanin" w:cs="IRNazanin"/>
          <w:color w:val="111111"/>
          <w:sz w:val="28"/>
          <w:szCs w:val="28"/>
          <w:rtl w:val="true"/>
          <w:lang w:bidi="fa-IR"/>
        </w:rPr>
        <w:t xml:space="preserve">. </w:t>
      </w:r>
      <w:bookmarkStart w:id="687" w:name="pg4267_21994"/>
    </w:p>
    <w:p>
      <w:pPr>
        <w:pStyle w:val="Heading6"/>
        <w:numPr>
          <w:ilvl w:val="5"/>
          <w:numId w:val="1"/>
        </w:numPr>
        <w:rPr/>
      </w:pPr>
      <w:bookmarkStart w:id="688" w:name="__RefHeading___Toc474399_1479056682"/>
      <w:bookmarkStart w:id="689" w:name="_Toc262"/>
      <w:bookmarkEnd w:id="687"/>
      <w:bookmarkEnd w:id="688"/>
      <w:r>
        <w:rPr>
          <w:rtl w:val="true"/>
        </w:rPr>
        <w:t>دیدگاه دیگر مذاهب</w:t>
      </w:r>
      <w:bookmarkEnd w:id="689"/>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فقهای حنفی شروط واقفین را به سه دسته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اوّل شروطی هستندکه مبطل عقد و مانع از انعقاد آن هستند و اینها شروطی هستند که با لزوم و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تنافی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واقف هنگام انشای وقف</w:t>
      </w:r>
    </w:p>
    <w:p>
      <w:pPr>
        <w:pStyle w:val="BookText"/>
        <w:rPr/>
      </w:pPr>
      <w:r>
        <w:rPr>
          <w:rFonts w:ascii="IRNazanin" w:hAnsi="IRNazanin" w:eastAsia="IRNazanin"/>
          <w:color w:val="111111"/>
          <w:sz w:val="28"/>
          <w:sz w:val="28"/>
          <w:szCs w:val="28"/>
          <w:rtl w:val="true"/>
          <w:lang w:bidi="fa-IR"/>
        </w:rPr>
        <w:t>شرط کند که حق بیع وهبه مال وقفی را داشته باشد یا این که بعد از مرگش به ورثه او بازگردد، یا هنگام نیاز آنها ملک آنان شود و شروطی از این قبیل که با لزوم و تأبید ناسازگارند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 عقد وقتی با این شروط همراه شود نمی‌تواند انشا کننده وقف باشد و مفهوم آن ساقط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دوم شروط باطله ای هستند که خودشان باطلند، امّا موجب بطلان وقف نمی‌شوند؛ یعنی آن دسته از شروطی که مَنهیٌ عَنْه هستند یا با مقرّرات شرعی مخالفند و یا در جهت مصلحت مستحقّین قرار ندارند؛ مانند اشتراط این که مستحقّین برای دریافت غلاّت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مبلغی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شروطی باطل هستند، امّا با فساد آنها</w:t>
      </w:r>
    </w:p>
    <w:p>
      <w:pPr>
        <w:pStyle w:val="BookText"/>
        <w:rPr/>
      </w:pPr>
      <w:r>
        <w:rPr>
          <w:rFonts w:ascii="IRNazanin" w:hAnsi="IRNazanin" w:eastAsia="IRNazanin"/>
          <w:color w:val="111111"/>
          <w:sz w:val="28"/>
          <w:sz w:val="28"/>
          <w:szCs w:val="28"/>
          <w:rtl w:val="true"/>
          <w:lang w:bidi="fa-IR"/>
        </w:rPr>
        <w:t>وقف فاسد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وقف تبرّع است و شروط فاسده تبرّعات را فاسد نمی‌کنند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شروط صحیحی که رعایت و وفای به آنها واجب است، یعنی آن دسته از شروط که بامقتضای وقف تنافی ندارند، با مبادی شرعی هم ناسازگار نیستند، موجب ضرر به وقف و مستحقّین هم نمی‌شوند مانند اشتراط مصرف درآمد وقف در جهتی معیّن و اشتراط ادای دین ورثه‌اش از درآمد وقف و</w:t>
      </w:r>
      <w:r>
        <w:rPr>
          <w:rFonts w:eastAsia="IRNazanin" w:cs="IRNazanin"/>
          <w:color w:val="111111"/>
          <w:sz w:val="28"/>
          <w:szCs w:val="28"/>
          <w:rtl w:val="true"/>
          <w:lang w:bidi="fa-IR"/>
        </w:rPr>
        <w:t>...</w:t>
      </w:r>
      <w:r>
        <w:rPr>
          <w:rStyle w:val="FootnoteAnchor"/>
          <w:rtl w:val="true"/>
        </w:rPr>
        <w:footnoteReference w:id="1132"/>
      </w:r>
    </w:p>
    <w:p>
      <w:pPr>
        <w:pStyle w:val="BookText"/>
        <w:rPr/>
      </w:pPr>
      <w:r>
        <w:rPr>
          <w:rFonts w:ascii="Amiri" w:hAnsi="Amiri" w:eastAsia="Amiri" w:cs="Amiri"/>
          <w:color w:val="111111"/>
          <w:sz w:val="28"/>
          <w:sz w:val="28"/>
          <w:szCs w:val="28"/>
          <w:rtl w:val="true"/>
          <w:lang w:bidi="ar-SA"/>
        </w:rPr>
        <w:t>مالکیّه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مالکیّه معتقدند، در مواردی چون اشتراط اصلاح وقف توسّط مستحق یا پرداخت مالیات بدون حق به حاکم ظالم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وقف، صحیح و شرط،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شرط عدم شروع به اصلاح مال وقفی از درآمد آن و</w:t>
      </w:r>
      <w:r>
        <w:rPr>
          <w:rFonts w:eastAsia="IRNazanin" w:cs="IRNazanin"/>
          <w:color w:val="111111"/>
          <w:sz w:val="28"/>
          <w:szCs w:val="28"/>
          <w:rtl w:val="true"/>
          <w:lang w:bidi="fa-IR"/>
        </w:rPr>
        <w:t xml:space="preserve">... </w:t>
      </w:r>
      <w:bookmarkStart w:id="690" w:name="pg4267_21995"/>
    </w:p>
    <w:p>
      <w:pPr>
        <w:pStyle w:val="BookText"/>
        <w:rPr/>
      </w:pPr>
      <w:bookmarkEnd w:id="690"/>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شافعیّه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فروش وقف و شرط ادخال هر که را بخواهد و اخراج او همانند شرط خیار موجب بطلان وقف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حنابله نیز در این مورد با شافعیّه موافقت کرده‌اند و مثالهایی زده‌اند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هبه وبیع وقف در هر زمان که بخواهد یا شرط ابطال وقف هر گاه بخواهدو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شروطی که بامقتضای وقف منافی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شرط فروش وقف در صورت خرابی و مصرف ثمن آن در تهیه بدل و جایگزین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است، در حالی که موجب فساد عقد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شروط فاسد در بیع</w:t>
      </w:r>
      <w:r>
        <w:rPr>
          <w:rFonts w:eastAsia="IRNazanin" w:cs="IRNazanin"/>
          <w:color w:val="111111"/>
          <w:sz w:val="28"/>
          <w:szCs w:val="28"/>
          <w:rtl w:val="true"/>
          <w:lang w:bidi="fa-IR"/>
        </w:rPr>
        <w:t>.</w:t>
      </w:r>
      <w:r>
        <w:rPr>
          <w:rStyle w:val="FootnoteAnchor"/>
          <w:rtl w:val="true"/>
        </w:rPr>
        <w:footnoteReference w:id="1133"/>
      </w:r>
    </w:p>
    <w:p>
      <w:pPr>
        <w:pStyle w:val="Heading4"/>
        <w:numPr>
          <w:ilvl w:val="3"/>
          <w:numId w:val="1"/>
        </w:numPr>
        <w:rPr/>
      </w:pPr>
      <w:bookmarkStart w:id="691" w:name="__RefHeading___Toc474401_1479056682"/>
      <w:bookmarkStart w:id="692" w:name="_Toc263"/>
      <w:bookmarkEnd w:id="691"/>
      <w:r>
        <w:rPr>
          <w:rtl w:val="true"/>
        </w:rPr>
        <w:t>مبحث چهارم</w:t>
      </w:r>
      <w:r>
        <w:rPr>
          <w:rtl w:val="true"/>
        </w:rPr>
        <w:t xml:space="preserve">: </w:t>
      </w:r>
      <w:r>
        <w:rPr>
          <w:rtl w:val="true"/>
        </w:rPr>
        <w:t>تولیت و نظارت بر وقف</w:t>
      </w:r>
      <w:bookmarkEnd w:id="692"/>
    </w:p>
    <w:p>
      <w:pPr>
        <w:pStyle w:val="Heading5"/>
        <w:numPr>
          <w:ilvl w:val="4"/>
          <w:numId w:val="1"/>
        </w:numPr>
        <w:rPr/>
      </w:pPr>
      <w:bookmarkStart w:id="693" w:name="__RefHeading___Toc474403_1479056682"/>
      <w:bookmarkStart w:id="694" w:name="_Toc264"/>
      <w:bookmarkEnd w:id="693"/>
      <w:r>
        <w:rPr>
          <w:rtl w:val="true"/>
        </w:rPr>
        <w:t xml:space="preserve">گفتار </w:t>
      </w:r>
      <w:r>
        <w:rPr/>
        <w:t>1</w:t>
      </w:r>
      <w:r>
        <w:rPr>
          <w:rtl w:val="true"/>
        </w:rPr>
        <w:t xml:space="preserve">- </w:t>
      </w:r>
      <w:r>
        <w:rPr>
          <w:rtl w:val="true"/>
        </w:rPr>
        <w:t xml:space="preserve">معنای تولیت </w:t>
      </w:r>
      <w:r>
        <w:rPr>
          <w:rtl w:val="true"/>
        </w:rPr>
        <w:t>(</w:t>
      </w:r>
      <w:r>
        <w:rPr>
          <w:rtl w:val="true"/>
        </w:rPr>
        <w:t>ولایت</w:t>
      </w:r>
      <w:r>
        <w:rPr>
          <w:rtl w:val="true"/>
        </w:rPr>
        <w:t xml:space="preserve">) </w:t>
      </w:r>
      <w:r>
        <w:rPr>
          <w:rtl w:val="true"/>
        </w:rPr>
        <w:t>و نظارت بر وقف</w:t>
      </w:r>
      <w:bookmarkEnd w:id="694"/>
    </w:p>
    <w:p>
      <w:pPr>
        <w:pStyle w:val="Heading6"/>
        <w:numPr>
          <w:ilvl w:val="5"/>
          <w:numId w:val="1"/>
        </w:numPr>
        <w:rPr/>
      </w:pPr>
      <w:bookmarkStart w:id="695" w:name="__RefHeading___Toc474405_1479056682"/>
      <w:bookmarkStart w:id="696" w:name="_Toc265"/>
      <w:bookmarkEnd w:id="695"/>
      <w:r>
        <w:rPr>
          <w:rtl w:val="true"/>
        </w:rPr>
        <w:t>اشاره</w:t>
      </w:r>
      <w:bookmarkEnd w:id="6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معانی متعدّدی دارد که ریشه آنها یکی است؛ از جمله این معانی، 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اصفهانی در یک مورد، حقیقت آن را تولّی امر دانسته است</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و استیلای مشخّص و معیّن برای رعایت، اصلاح و بهره برداری از وقف و انفاق درآمد آن در جهات وقف</w:t>
      </w:r>
      <w:r>
        <w:rPr>
          <w:rFonts w:eastAsia="IRNazanin" w:cs="IRNazanin"/>
          <w:color w:val="111111"/>
          <w:sz w:val="28"/>
          <w:szCs w:val="28"/>
          <w:rtl w:val="true"/>
          <w:lang w:bidi="fa-IR"/>
        </w:rPr>
        <w:t>.</w:t>
      </w:r>
      <w:r>
        <w:rPr>
          <w:rStyle w:val="FootnoteAnchor"/>
          <w:rtl w:val="true"/>
        </w:rPr>
        <w:footnoteReference w:id="1135"/>
      </w:r>
      <w:bookmarkStart w:id="697" w:name="pg4267_21996"/>
    </w:p>
    <w:p>
      <w:pPr>
        <w:pStyle w:val="Heading6"/>
        <w:numPr>
          <w:ilvl w:val="5"/>
          <w:numId w:val="1"/>
        </w:numPr>
        <w:rPr/>
      </w:pPr>
      <w:bookmarkStart w:id="698" w:name="__RefHeading___Toc474407_1479056682"/>
      <w:bookmarkStart w:id="699" w:name="_Toc266"/>
      <w:bookmarkEnd w:id="697"/>
      <w:bookmarkEnd w:id="698"/>
      <w:r>
        <w:rPr>
          <w:rtl w:val="true"/>
        </w:rPr>
        <w:t>نظارت در لغت</w:t>
      </w:r>
      <w:bookmarkEnd w:id="699"/>
    </w:p>
    <w:p>
      <w:pPr>
        <w:pStyle w:val="BookText"/>
        <w:rPr/>
      </w:pPr>
      <w:r>
        <w:rPr>
          <w:rFonts w:ascii="IRNazanin" w:hAnsi="IRNazanin" w:eastAsia="IRNazanin"/>
          <w:color w:val="111111"/>
          <w:sz w:val="28"/>
          <w:sz w:val="28"/>
          <w:szCs w:val="28"/>
          <w:rtl w:val="true"/>
          <w:lang w:bidi="fa-IR"/>
        </w:rPr>
        <w:t>نظارت نیز در لغت دارای معانی متعدّد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تدبّر، تفکّر، طلب و جست و جو برای ادراک شی‌ء، حفظ و نگهداری و تصدّی اداره امری از امور</w:t>
      </w:r>
      <w:r>
        <w:rPr>
          <w:rFonts w:eastAsia="IRNazanin" w:cs="IRNazanin"/>
          <w:color w:val="111111"/>
          <w:sz w:val="28"/>
          <w:szCs w:val="28"/>
          <w:rtl w:val="true"/>
          <w:lang w:bidi="fa-IR"/>
        </w:rPr>
        <w:t>.</w:t>
      </w:r>
      <w:r>
        <w:rPr>
          <w:rStyle w:val="FootnoteAnchor"/>
          <w:rtl w:val="true"/>
        </w:rPr>
        <w:footnoteReference w:id="1136"/>
      </w:r>
    </w:p>
    <w:p>
      <w:pPr>
        <w:pStyle w:val="Heading6"/>
        <w:numPr>
          <w:ilvl w:val="5"/>
          <w:numId w:val="1"/>
        </w:numPr>
        <w:rPr/>
      </w:pPr>
      <w:bookmarkStart w:id="700" w:name="__RefHeading___Toc474409_1479056682"/>
      <w:bookmarkStart w:id="701" w:name="_Toc267"/>
      <w:bookmarkEnd w:id="700"/>
      <w:r>
        <w:rPr>
          <w:rtl w:val="true"/>
        </w:rPr>
        <w:t>نظارت در اصطلاح</w:t>
      </w:r>
      <w:bookmarkEnd w:id="701"/>
    </w:p>
    <w:p>
      <w:pPr>
        <w:pStyle w:val="BookText"/>
        <w:rPr/>
      </w:pPr>
      <w:r>
        <w:rPr>
          <w:rFonts w:ascii="IRNazanin" w:hAnsi="IRNazanin" w:eastAsia="IRNazanin"/>
          <w:color w:val="111111"/>
          <w:sz w:val="28"/>
          <w:sz w:val="28"/>
          <w:szCs w:val="28"/>
          <w:rtl w:val="true"/>
          <w:lang w:bidi="fa-IR"/>
        </w:rPr>
        <w:t xml:space="preserve">نظارت در اصطلاح،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تصرّف در مال موقوف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ابن‌عابدین از الفتاوی الخیریّة نقل کرده است که؛ قیّم، متولّی و ناظر در کلام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یک معنا هستند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در منابع امامیّه نیز در بسیاری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شاید اغلب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در وقف به‌معنای تولیت آمده است</w:t>
      </w:r>
      <w:r>
        <w:rPr>
          <w:rFonts w:eastAsia="IRNazanin" w:cs="IRNazanin"/>
          <w:color w:val="111111"/>
          <w:sz w:val="28"/>
          <w:szCs w:val="28"/>
          <w:rtl w:val="true"/>
          <w:lang w:bidi="fa-IR"/>
        </w:rPr>
        <w:t>.</w:t>
      </w:r>
      <w:r>
        <w:rPr>
          <w:rStyle w:val="FootnoteAnchor"/>
          <w:rtl w:val="true"/>
        </w:rPr>
        <w:footnoteReference w:id="1138"/>
      </w:r>
    </w:p>
    <w:p>
      <w:pPr>
        <w:pStyle w:val="BookText"/>
        <w:rPr/>
      </w:pPr>
      <w:r>
        <w:rPr>
          <w:rFonts w:ascii="IRNazanin" w:hAnsi="IRNazanin" w:eastAsia="IRNazanin"/>
          <w:color w:val="111111"/>
          <w:sz w:val="28"/>
          <w:sz w:val="28"/>
          <w:szCs w:val="28"/>
          <w:rtl w:val="true"/>
          <w:lang w:bidi="fa-IR"/>
        </w:rPr>
        <w:t>بنابراین نظارت مطلق در باب وقف همان معنای ولایت و تولیت رادارد و این غیر از ناظرِ مشرفی است که در بعضی از موارد، واقف و یا حاکم برای نظارت بر کار متولّی و یا</w:t>
      </w:r>
    </w:p>
    <w:p>
      <w:pPr>
        <w:pStyle w:val="BookText"/>
        <w:rPr/>
      </w:pPr>
      <w:r>
        <w:rPr>
          <w:rFonts w:ascii="IRNazanin" w:hAnsi="IRNazanin" w:eastAsia="IRNazanin"/>
          <w:color w:val="111111"/>
          <w:sz w:val="28"/>
          <w:sz w:val="28"/>
          <w:szCs w:val="28"/>
          <w:rtl w:val="true"/>
          <w:lang w:bidi="fa-IR"/>
        </w:rPr>
        <w:t>موقوفٌ علیه تعیین می‌کند که گاه اطّلاعی است و تنها نظارتش برای اطّلاع او از جریان و چگونگی انجام کار است و گاه استصوابی است، یعنی نظارتش فراتر از اطّلاع است و کارهایی که قرار است افراد تحت نظارت انجام دهند باید به‌تصویب او نیز برسد وگرنه قابل اجرا نیستند</w:t>
      </w:r>
      <w:r>
        <w:rPr>
          <w:rFonts w:eastAsia="IRNazanin" w:cs="IRNazanin"/>
          <w:color w:val="111111"/>
          <w:sz w:val="28"/>
          <w:szCs w:val="28"/>
          <w:rtl w:val="true"/>
          <w:lang w:bidi="fa-IR"/>
        </w:rPr>
        <w:t>.</w:t>
      </w:r>
    </w:p>
    <w:p>
      <w:pPr>
        <w:pStyle w:val="Heading5"/>
        <w:numPr>
          <w:ilvl w:val="4"/>
          <w:numId w:val="1"/>
        </w:numPr>
        <w:rPr/>
      </w:pPr>
      <w:bookmarkStart w:id="702" w:name="__RefHeading___Toc474411_1479056682"/>
      <w:bookmarkStart w:id="703" w:name="_Toc268"/>
      <w:bookmarkEnd w:id="702"/>
      <w:r>
        <w:rPr>
          <w:rtl w:val="true"/>
        </w:rPr>
        <w:t xml:space="preserve">گفتار </w:t>
      </w:r>
      <w:r>
        <w:rPr/>
        <w:t>2</w:t>
      </w:r>
      <w:r>
        <w:rPr>
          <w:rtl w:val="true"/>
        </w:rPr>
        <w:t xml:space="preserve">- </w:t>
      </w:r>
      <w:r>
        <w:rPr>
          <w:rtl w:val="true"/>
        </w:rPr>
        <w:t>اقسام ولایت</w:t>
      </w:r>
      <w:bookmarkEnd w:id="703"/>
    </w:p>
    <w:p>
      <w:pPr>
        <w:pStyle w:val="Heading6"/>
        <w:numPr>
          <w:ilvl w:val="5"/>
          <w:numId w:val="1"/>
        </w:numPr>
        <w:rPr/>
      </w:pPr>
      <w:bookmarkStart w:id="704" w:name="__RefHeading___Toc474413_1479056682"/>
      <w:bookmarkStart w:id="705" w:name="_Toc269"/>
      <w:bookmarkEnd w:id="704"/>
      <w:r>
        <w:rPr>
          <w:rtl w:val="true"/>
        </w:rPr>
        <w:t>اشاره</w:t>
      </w:r>
      <w:bookmarkEnd w:id="705"/>
    </w:p>
    <w:p>
      <w:pPr>
        <w:pStyle w:val="BookText"/>
        <w:rPr/>
      </w:pPr>
      <w:r>
        <w:rPr>
          <w:rFonts w:ascii="IRNazanin" w:hAnsi="IRNazanin" w:eastAsia="IRNazanin"/>
          <w:color w:val="111111"/>
          <w:sz w:val="28"/>
          <w:sz w:val="28"/>
          <w:szCs w:val="28"/>
          <w:rtl w:val="true"/>
          <w:lang w:bidi="fa-IR"/>
        </w:rPr>
        <w:t>محمّد جواد مغنیه</w:t>
      </w:r>
      <w:r>
        <w:rPr>
          <w:rStyle w:val="FootnoteAnchor"/>
          <w:rtl w:val="true"/>
        </w:rPr>
        <w:footnoteReference w:id="1139"/>
      </w:r>
      <w:r>
        <w:rPr>
          <w:rFonts w:ascii="IRNazanin" w:hAnsi="IRNazanin" w:eastAsia="IRNazanin"/>
          <w:color w:val="111111"/>
          <w:sz w:val="28"/>
          <w:sz w:val="28"/>
          <w:szCs w:val="28"/>
          <w:rtl w:val="true"/>
          <w:lang w:bidi="fa-IR"/>
        </w:rPr>
        <w:t>ولایت را به دو نوع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عامّه که همان ولایت ولیّ امر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خاصّه، و آن ولایتی است که برای متولّی در هنگام انشاء وقف از طرف واقف جعل می‌شود، یا ولایتی که حاکم شرع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قرار می‌دهد و او </w:t>
      </w:r>
      <w:bookmarkStart w:id="706" w:name="pg4267_21997"/>
    </w:p>
    <w:p>
      <w:pPr>
        <w:pStyle w:val="BookText"/>
        <w:rPr/>
      </w:pPr>
      <w:bookmarkEnd w:id="706"/>
      <w:r>
        <w:rPr>
          <w:rFonts w:ascii="IRNazanin" w:hAnsi="IRNazanin" w:eastAsia="IRNazanin"/>
          <w:color w:val="111111"/>
          <w:sz w:val="28"/>
          <w:sz w:val="28"/>
          <w:szCs w:val="28"/>
          <w:rtl w:val="true"/>
          <w:lang w:bidi="fa-IR"/>
        </w:rPr>
        <w:t>را به عنوان متولّی وقف معرفی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مشابه این تقسیم، تقسیمی است که کبیسی در کتاب خود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اصلیّه، و آن ولایتی است که ناشی از شرط واقف در هنگام وقف نباشد و اصالتا برای متولّی ثابت است ؛ مانند ولایت واقف، ولایت موقوفٌ عَلَیْه، و ولایت قاضی</w:t>
      </w:r>
    </w:p>
    <w:p>
      <w:pPr>
        <w:pStyle w:val="BookText"/>
        <w:rPr/>
      </w:pPr>
      <w:r>
        <w:rPr>
          <w:rFonts w:ascii="IRNazanin" w:hAnsi="IRNazanin" w:eastAsia="IRNazanin"/>
          <w:color w:val="111111"/>
          <w:sz w:val="28"/>
          <w:sz w:val="28"/>
          <w:szCs w:val="28"/>
          <w:rtl w:val="true"/>
          <w:lang w:bidi="fa-IR"/>
        </w:rPr>
        <w:t>و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فرعیّه، یعنی ولایتی که ناشی از شرط واقف در وقف‌نامه در هنگام عقد است</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کاشف الغطاء نظارت را به صورت دیگری به دو قسم تقسیم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اصلی و شرعی که محلّ آن تنها اوقاف عامّ است؛ مانند مساجد، مدارس و همه وقفهای عمومی، که اگر واقف کسی را معیّن کرده باشد، همان، متولّی است و مجتهد بر کارهایش ناظر است و اگر واقف کسی رانصب نکرده، نظارت برای مجتهد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غیبت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جعلی یعنی نظارت ناظری که از طرف مالک یا اولیای او و یا از متولّی شرعی تعیین می‌شود برای نظارت بر وقف عامّ و یا خاصّ</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قطع نظر از این تقسیمات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نظارت، همان ولایت است که مغنیه بیان کرد و معنای دیگر آن، اشراف است که دو معنای اطّلاعی و استصوابی آن گذشت</w:t>
      </w:r>
      <w:r>
        <w:rPr>
          <w:rFonts w:eastAsia="IRNazanin" w:cs="IRNazanin"/>
          <w:color w:val="111111"/>
          <w:sz w:val="28"/>
          <w:szCs w:val="28"/>
          <w:rtl w:val="true"/>
          <w:lang w:bidi="fa-IR"/>
        </w:rPr>
        <w:t>.</w:t>
      </w:r>
    </w:p>
    <w:p>
      <w:pPr>
        <w:pStyle w:val="Heading6"/>
        <w:numPr>
          <w:ilvl w:val="5"/>
          <w:numId w:val="1"/>
        </w:numPr>
        <w:rPr/>
      </w:pPr>
      <w:bookmarkStart w:id="707" w:name="__RefHeading___Toc474415_1479056682"/>
      <w:bookmarkStart w:id="708" w:name="_Toc270"/>
      <w:bookmarkEnd w:id="707"/>
      <w:r>
        <w:rPr>
          <w:rtl w:val="true"/>
        </w:rPr>
        <w:t xml:space="preserve">ولایت واقف و </w:t>
      </w:r>
      <w:r>
        <w:rPr>
          <w:rtl w:val="true"/>
        </w:rPr>
        <w:t>...</w:t>
      </w:r>
      <w:bookmarkEnd w:id="708"/>
    </w:p>
    <w:p>
      <w:pPr>
        <w:pStyle w:val="Heading6"/>
        <w:numPr>
          <w:ilvl w:val="5"/>
          <w:numId w:val="1"/>
        </w:numPr>
        <w:rPr/>
      </w:pPr>
      <w:bookmarkStart w:id="709" w:name="__RefHeading___Toc474417_1479056682"/>
      <w:bookmarkStart w:id="710" w:name="_Toc271"/>
      <w:bookmarkEnd w:id="709"/>
      <w:r>
        <w:rPr>
          <w:rtl w:val="true"/>
        </w:rPr>
        <w:t>دیدگاه امامیّه</w:t>
      </w:r>
      <w:bookmarkEnd w:id="710"/>
    </w:p>
    <w:p>
      <w:pPr>
        <w:pStyle w:val="Heading6"/>
        <w:numPr>
          <w:ilvl w:val="5"/>
          <w:numId w:val="1"/>
        </w:numPr>
        <w:rPr/>
      </w:pPr>
      <w:bookmarkStart w:id="711" w:name="__RefHeading___Toc474419_1479056682"/>
      <w:bookmarkStart w:id="712" w:name="_Toc272"/>
      <w:bookmarkEnd w:id="711"/>
      <w:r>
        <w:rPr>
          <w:rtl w:val="true"/>
        </w:rPr>
        <w:t>اشاره</w:t>
      </w:r>
      <w:bookmarkEnd w:id="712"/>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واقف گاه ولایت را برای خودش قرار می‌دهد، گاه برای دیگری و گاه اصلاً کسی را به‌عنوان متولّی نصب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همه این موارد به‌اختصار مورد بررسی قرار می‌گیرند</w:t>
      </w:r>
      <w:r>
        <w:rPr>
          <w:rFonts w:eastAsia="IRNazanin" w:cs="IRNazanin"/>
          <w:color w:val="111111"/>
          <w:sz w:val="28"/>
          <w:szCs w:val="28"/>
          <w:rtl w:val="true"/>
          <w:lang w:bidi="fa-IR"/>
        </w:rPr>
        <w:t xml:space="preserve">: </w:t>
      </w:r>
      <w:bookmarkStart w:id="713" w:name="pg4267_21998"/>
    </w:p>
    <w:p>
      <w:pPr>
        <w:pStyle w:val="Heading6"/>
        <w:numPr>
          <w:ilvl w:val="5"/>
          <w:numId w:val="1"/>
        </w:numPr>
        <w:rPr/>
      </w:pPr>
      <w:bookmarkStart w:id="714" w:name="__RefHeading___Toc474421_1479056682"/>
      <w:bookmarkStart w:id="715" w:name="_Toc273"/>
      <w:bookmarkEnd w:id="713"/>
      <w:bookmarkEnd w:id="714"/>
      <w:r>
        <w:rPr/>
        <w:t>1</w:t>
      </w:r>
      <w:r>
        <w:rPr>
          <w:rtl w:val="true"/>
        </w:rPr>
        <w:t xml:space="preserve">- </w:t>
      </w:r>
      <w:r>
        <w:rPr>
          <w:rtl w:val="true"/>
        </w:rPr>
        <w:t>جعل ولایت از سوی واقف برای خودش</w:t>
      </w:r>
      <w:bookmarkEnd w:id="715"/>
    </w:p>
    <w:p>
      <w:pPr>
        <w:pStyle w:val="BookText"/>
        <w:rPr/>
      </w:pPr>
      <w:r>
        <w:rPr>
          <w:rFonts w:ascii="IRNazanin" w:hAnsi="IRNazanin" w:eastAsia="IRNazanin"/>
          <w:color w:val="111111"/>
          <w:sz w:val="28"/>
          <w:sz w:val="28"/>
          <w:szCs w:val="28"/>
          <w:rtl w:val="true"/>
          <w:lang w:bidi="fa-IR"/>
        </w:rPr>
        <w:t>هر چند علاّمه در مختلف از ابن‌ادریس حکایت کرده است که جعل ولایت از طرف واقف برای خودش جایز نیست،</w:t>
      </w:r>
      <w:r>
        <w:rPr>
          <w:rStyle w:val="FootnoteAnchor"/>
          <w:rtl w:val="true"/>
        </w:rPr>
        <w:footnoteReference w:id="1142"/>
      </w:r>
      <w:r>
        <w:rPr>
          <w:rFonts w:ascii="IRNazanin" w:hAnsi="IRNazanin" w:eastAsia="IRNazanin"/>
          <w:color w:val="111111"/>
          <w:sz w:val="28"/>
          <w:sz w:val="28"/>
          <w:szCs w:val="28"/>
          <w:rtl w:val="true"/>
          <w:lang w:bidi="fa-IR"/>
        </w:rPr>
        <w:t>امّا جمهور فقهای امامیّه تصریح کرده‌اند که واقف می‌تواند ولایت و نظارت بر وقف را برای خودش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تنقیح و حدائق برای این مسأله ادّعای عدم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از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صاحب ریاض</w:t>
      </w:r>
      <w:r>
        <w:rPr>
          <w:rStyle w:val="FootnoteAnchor"/>
          <w:rtl w:val="true"/>
        </w:rPr>
        <w:footnoteReference w:id="1144"/>
      </w:r>
      <w:r>
        <w:rPr>
          <w:rFonts w:ascii="IRNazanin" w:hAnsi="IRNazanin" w:eastAsia="IRNazanin"/>
          <w:color w:val="111111"/>
          <w:sz w:val="28"/>
          <w:sz w:val="28"/>
          <w:szCs w:val="28"/>
          <w:rtl w:val="true"/>
          <w:lang w:bidi="fa-IR"/>
        </w:rPr>
        <w:t>آن را به عامّه متأخران نسبت داده و مغنیه، ادّعای اتفاقِ نظر همه فقهای اسلام،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علاّمه در قواعد، مختلف، تذکره، تحریر و ارشاد؛ محقّق در شرایع و مختصر؛ فاضل آبی در کشف الرّموز؛ شهیدثانی در مسالک، محقّق ثانی ؛ شهیدین در لمعه و روضه؛ سبزواری در کفایه؛ امام خمینی، آیة اللّه خویی، آیه‌اللّه حکیم و دیگران نیز از اعاظمی هستند که به ثبوت چنین حقّی برای واقف تصریح</w:t>
      </w:r>
    </w:p>
    <w:p>
      <w:pPr>
        <w:pStyle w:val="BookText"/>
        <w:rPr/>
      </w:pP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دلایل</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اصحاب با عبارات گوناگون بیان داشته‌اند و شیخ در خلاف به آن تصریح کرده است</w:t>
      </w:r>
      <w:r>
        <w:rPr>
          <w:rFonts w:eastAsia="IRNazanin" w:cs="IRNazanin"/>
          <w:color w:val="111111"/>
          <w:sz w:val="28"/>
          <w:szCs w:val="28"/>
          <w:rtl w:val="true"/>
          <w:lang w:bidi="fa-IR"/>
        </w:rPr>
        <w:t>.</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تردید هر شرطی که با شرع و مقتضای عقد منافی نباشد، اشتراط آن در عقد، جایز و وفای به آن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قرار دادن ولایت برای خود واقف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معروف امام عسکری علیه‌السلام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Style w:val="FootnoteAnchor"/>
          <w:rtl w:val="true"/>
        </w:rPr>
        <w:footnoteReference w:id="1147"/>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حق نظارت این است که برای واقف باشد؛ زیرا اصل قربت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bookmarkStart w:id="716" w:name="pg4267_21999"/>
    </w:p>
    <w:p>
      <w:pPr>
        <w:pStyle w:val="BookText"/>
        <w:rPr/>
      </w:pPr>
      <w:bookmarkEnd w:id="716"/>
      <w:r>
        <w:rPr>
          <w:rFonts w:ascii="IRNazanin" w:hAnsi="IRNazanin" w:eastAsia="IRNazanin"/>
          <w:color w:val="111111"/>
          <w:sz w:val="28"/>
          <w:sz w:val="28"/>
          <w:szCs w:val="28"/>
          <w:rtl w:val="true"/>
          <w:lang w:bidi="fa-IR"/>
        </w:rPr>
        <w:t>تعبیر تذکره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اوست که به‌قصد قربت مال خویش را وقف کرده است؛ لذا نسبت به‌امور آن دلسوزتر و آگاهتر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وی به قیام به مصالح و امور مربوط به وقف از دیگران</w:t>
      </w:r>
    </w:p>
    <w:p>
      <w:pPr>
        <w:pStyle w:val="BookText"/>
        <w:rPr/>
      </w:pPr>
      <w:r>
        <w:rPr>
          <w:rFonts w:ascii="IRNazanin" w:hAnsi="IRNazanin" w:eastAsia="IRNazanin"/>
          <w:color w:val="111111"/>
          <w:sz w:val="28"/>
          <w:sz w:val="28"/>
          <w:szCs w:val="28"/>
          <w:rtl w:val="true"/>
          <w:lang w:bidi="fa-IR"/>
        </w:rPr>
        <w:t>سزاوارتر است</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Amiri" w:hAnsi="Amiri" w:eastAsia="Amiri" w:cs="Amiri"/>
          <w:color w:val="111111"/>
          <w:sz w:val="28"/>
          <w:sz w:val="28"/>
          <w:szCs w:val="28"/>
          <w:rtl w:val="true"/>
          <w:lang w:bidi="ar-SA"/>
        </w:rPr>
        <w:t>علاّمه در مختلف نیز به اصل و حدیث 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149"/>
      </w:r>
    </w:p>
    <w:p>
      <w:pPr>
        <w:pStyle w:val="Heading6"/>
        <w:numPr>
          <w:ilvl w:val="5"/>
          <w:numId w:val="1"/>
        </w:numPr>
        <w:rPr/>
      </w:pPr>
      <w:bookmarkStart w:id="717" w:name="__RefHeading___Toc474423_1479056682"/>
      <w:bookmarkStart w:id="718" w:name="_Toc274"/>
      <w:bookmarkEnd w:id="717"/>
      <w:r>
        <w:rPr/>
        <w:t>2</w:t>
      </w:r>
      <w:r>
        <w:rPr>
          <w:rtl w:val="true"/>
        </w:rPr>
        <w:t xml:space="preserve">- </w:t>
      </w:r>
      <w:r>
        <w:rPr>
          <w:rtl w:val="true"/>
        </w:rPr>
        <w:t>جعل ولایت از سوی واقف برای دیگری</w:t>
      </w:r>
      <w:bookmarkEnd w:id="718"/>
    </w:p>
    <w:p>
      <w:pPr>
        <w:pStyle w:val="Heading6"/>
        <w:numPr>
          <w:ilvl w:val="5"/>
          <w:numId w:val="1"/>
        </w:numPr>
        <w:rPr/>
      </w:pPr>
      <w:bookmarkStart w:id="719" w:name="__RefHeading___Toc474425_1479056682"/>
      <w:bookmarkStart w:id="720" w:name="_Toc275"/>
      <w:bookmarkEnd w:id="719"/>
      <w:r>
        <w:rPr>
          <w:rtl w:val="true"/>
        </w:rPr>
        <w:t>اشاره</w:t>
      </w:r>
      <w:bookmarkEnd w:id="720"/>
    </w:p>
    <w:p>
      <w:pPr>
        <w:pStyle w:val="BookText"/>
        <w:rPr/>
      </w:pPr>
      <w:r>
        <w:rPr>
          <w:rFonts w:ascii="IRNazanin" w:hAnsi="IRNazanin" w:eastAsia="IRNazanin"/>
          <w:color w:val="111111"/>
          <w:sz w:val="28"/>
          <w:sz w:val="28"/>
          <w:szCs w:val="28"/>
          <w:rtl w:val="true"/>
          <w:lang w:bidi="fa-IR"/>
        </w:rPr>
        <w:t>این حق نیز به اتّفاق فقها برای واقف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نهایه اظهار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واقف حق نظارت را برای دیگری قرار دهد، نظارت و ولایت برای همان کس ثابت خواهد بود</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علاّمه در تذکره نیز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واقف، حق تولیت را برای غیر خود قرار دهد، نیز لازم است و در نزد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علمائنا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حق مخالفت با او را ندارد</w:t>
      </w:r>
      <w:r>
        <w:rPr>
          <w:rFonts w:eastAsia="IRNazanin" w:cs="IRNazanin"/>
          <w:color w:val="111111"/>
          <w:sz w:val="28"/>
          <w:szCs w:val="28"/>
          <w:rtl w:val="true"/>
          <w:lang w:bidi="fa-IR"/>
        </w:rPr>
        <w:t>.</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 xml:space="preserve">تقریبا همه اعلامی که جعل ولایت را برای واقف جایز می‌دانند، در منابع و مآخذ یاد شده با همان تعابیر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خلاف، بلا اشکال، بدون تردید، اجماع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می تواند ولایت و نظارت بر وقف خود را برای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انفراد، یا اشتراک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ادلّه‌ای که بر مورد قبلی دلالت داشتند بر این مورد نیز دلالت دارند به اضافه اخبار مستفیضه‌ای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 و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وجود دارد ازجمله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توقیع شریف که در آن، امام زمان علیه‌السلام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امور تعمیر و دخل و خرج و هزینه وقف بر عهده کسی است که، واقف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عنوان متولّی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r>
        <w:rPr>
          <w:rFonts w:eastAsia="IRNazanin" w:cs="IRNazanin"/>
          <w:color w:val="111111"/>
          <w:sz w:val="28"/>
          <w:szCs w:val="28"/>
          <w:rtl w:val="true"/>
          <w:lang w:bidi="fa-IR"/>
        </w:rPr>
        <w:t>»</w:t>
      </w:r>
      <w:r>
        <w:rPr>
          <w:rStyle w:val="FootnoteAnchor"/>
          <w:rtl w:val="true"/>
        </w:rPr>
        <w:footnoteReference w:id="115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روایاتی که متضمن اوقاف و صدقات فاطمه علیهاالسلام، امیرالمؤمنین علیه‌السلام و</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امام‌کاظم علیه‌السلام می‌باشند و در آنها این بزرگواران، حق ولایت و نظارت را برای فرزندان و </w:t>
      </w:r>
      <w:bookmarkStart w:id="721" w:name="pg4267_22000"/>
    </w:p>
    <w:p>
      <w:pPr>
        <w:pStyle w:val="BookText"/>
        <w:rPr/>
      </w:pPr>
      <w:bookmarkEnd w:id="721"/>
      <w:r>
        <w:rPr>
          <w:rFonts w:ascii="IRNazanin" w:hAnsi="IRNazanin" w:eastAsia="IRNazanin"/>
          <w:color w:val="111111"/>
          <w:sz w:val="28"/>
          <w:sz w:val="28"/>
          <w:szCs w:val="28"/>
          <w:rtl w:val="true"/>
          <w:lang w:bidi="fa-IR"/>
        </w:rPr>
        <w:t>خویشان خود قرار داده‌اند</w:t>
      </w:r>
      <w:r>
        <w:rPr>
          <w:rFonts w:eastAsia="IRNazanin" w:cs="IRNazanin"/>
          <w:color w:val="111111"/>
          <w:sz w:val="28"/>
          <w:szCs w:val="28"/>
          <w:rtl w:val="true"/>
          <w:lang w:bidi="fa-IR"/>
        </w:rPr>
        <w:t>.</w:t>
      </w:r>
      <w:r>
        <w:rPr>
          <w:rStyle w:val="FootnoteAnchor"/>
          <w:rtl w:val="true"/>
        </w:rPr>
        <w:footnoteReference w:id="1153"/>
      </w:r>
      <w:r>
        <w:rPr>
          <w:rFonts w:ascii="IRNazanin" w:hAnsi="IRNazanin" w:eastAsia="IRNazanin"/>
          <w:color w:val="111111"/>
          <w:sz w:val="28"/>
          <w:sz w:val="28"/>
          <w:szCs w:val="28"/>
          <w:rtl w:val="true"/>
          <w:lang w:bidi="fa-IR"/>
        </w:rPr>
        <w:t xml:space="preserve">متن این روایات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تاریخچه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 لذا از ذکر دوباره آنها صرف نظر می‌شود</w:t>
      </w:r>
      <w:r>
        <w:rPr>
          <w:rFonts w:eastAsia="IRNazanin" w:cs="IRNazanin"/>
          <w:color w:val="111111"/>
          <w:sz w:val="28"/>
          <w:szCs w:val="28"/>
          <w:rtl w:val="true"/>
          <w:lang w:bidi="fa-IR"/>
        </w:rPr>
        <w:t>.</w:t>
      </w:r>
    </w:p>
    <w:p>
      <w:pPr>
        <w:pStyle w:val="Heading6"/>
        <w:numPr>
          <w:ilvl w:val="5"/>
          <w:numId w:val="1"/>
        </w:numPr>
        <w:rPr/>
      </w:pPr>
      <w:bookmarkStart w:id="722" w:name="__RefHeading___Toc474427_1479056682"/>
      <w:bookmarkStart w:id="723" w:name="_Toc276"/>
      <w:bookmarkEnd w:id="722"/>
      <w:r>
        <w:rPr>
          <w:rtl w:val="true"/>
        </w:rPr>
        <w:t>چندنکته</w:t>
      </w:r>
      <w:bookmarkEnd w:id="7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فقها تصریح کرده‌اند که قبول تولیت و استمرار آن بعد از قبول بر دیگری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واقف ، تولیت رابرای</w:t>
      </w:r>
    </w:p>
    <w:p>
      <w:pPr>
        <w:pStyle w:val="BookText"/>
        <w:rPr/>
      </w:pPr>
      <w:r>
        <w:rPr>
          <w:rFonts w:ascii="IRNazanin" w:hAnsi="IRNazanin" w:eastAsia="IRNazanin"/>
          <w:color w:val="111111"/>
          <w:sz w:val="28"/>
          <w:sz w:val="28"/>
          <w:szCs w:val="28"/>
          <w:rtl w:val="true"/>
          <w:lang w:bidi="fa-IR"/>
        </w:rPr>
        <w:t xml:space="preserve">شخصی شرط کند، بر آن شخص ، قبول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اصاله‌البرائة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اگر قبول کرد، استمرار آن واجب نخواهد بود؛ زیرا قبول در اصل واجب نیست و اصل استصحاب در این جا جاری است</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فیض کاشانی و امام خمینی نیز به این مطلب، تصریح کرده‌اند</w:t>
      </w:r>
      <w:r>
        <w:rPr>
          <w:rFonts w:eastAsia="IRNazanin" w:cs="IRNazanin"/>
          <w:color w:val="111111"/>
          <w:sz w:val="28"/>
          <w:szCs w:val="28"/>
          <w:rtl w:val="true"/>
          <w:lang w:bidi="fa-IR"/>
        </w:rPr>
        <w:t>.</w:t>
      </w:r>
      <w:r>
        <w:rPr>
          <w:rStyle w:val="FootnoteAnchor"/>
          <w:rtl w:val="true"/>
        </w:rPr>
        <w:footnoteReference w:id="1155"/>
      </w:r>
      <w:r>
        <w:rPr>
          <w:rFonts w:ascii="IRNazanin" w:hAnsi="IRNazanin" w:eastAsia="IRNazanin"/>
          <w:color w:val="111111"/>
          <w:sz w:val="28"/>
          <w:sz w:val="28"/>
          <w:szCs w:val="28"/>
          <w:rtl w:val="true"/>
          <w:lang w:bidi="fa-IR"/>
        </w:rPr>
        <w:t>صاحب مفتاح این قول را از مسالک، روضه، مفاتیح و دروس نیز نقل کرده است</w:t>
      </w:r>
      <w:r>
        <w:rPr>
          <w:rFonts w:eastAsia="IRNazanin" w:cs="IRNazanin"/>
          <w:color w:val="111111"/>
          <w:sz w:val="28"/>
          <w:szCs w:val="28"/>
          <w:rtl w:val="true"/>
          <w:lang w:bidi="fa-IR"/>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البتّه بعد از قبول تولیت، استناد به‌استصحاب برای عدم وجوب استمرار آن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بعد از قبول، بدون تردید، انجام امور مربوط به‌تولیت بر او واجب می‌شود و اگر قرار باشد استصحابی جاری شود استصحاب این وجوب اولویّت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 متعدّد بودند، همگی در اعمال نظارت شریکند و هیچ یک بدون اذن بقیّه، حق نظارت ندارد</w:t>
      </w:r>
      <w:r>
        <w:rPr>
          <w:rFonts w:eastAsia="IRNazanin" w:cs="IRNazanin"/>
          <w:color w:val="111111"/>
          <w:sz w:val="28"/>
          <w:szCs w:val="28"/>
          <w:rtl w:val="true"/>
          <w:lang w:bidi="fa-IR"/>
        </w:rPr>
        <w:t>.</w:t>
      </w:r>
      <w:r>
        <w:rPr>
          <w:rStyle w:val="FootnoteAnchor"/>
          <w:rtl w:val="true"/>
        </w:rPr>
        <w:footnoteReference w:id="1157"/>
      </w:r>
      <w:r>
        <w:rPr>
          <w:rFonts w:ascii="IRNazanin" w:hAnsi="IRNazanin" w:eastAsia="IRNazanin"/>
          <w:color w:val="111111"/>
          <w:sz w:val="28"/>
          <w:sz w:val="28"/>
          <w:szCs w:val="28"/>
          <w:rtl w:val="true"/>
          <w:lang w:bidi="fa-IR"/>
        </w:rPr>
        <w:t>زیرا نظر واقف، اِعمال نظارت توسّط ناظران متعدّد است و اِعمال آن به‌وسیله فردی دیگر بدون اذن بقیه با این نظر مخالف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که واقف می‌تواند برای خود یا دیگری جعل تولیت کند، در صورتی است که در ضمن عقد وقف، چنینن شرطی کرده باشد، و گر نه بعد از تمامیّت وقف، او نیز نسبت به این وقف اجنبی خواهد بود و حق جعل تولیت و عزل متولّی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صورتی که این حق را در عقد برای خود قرار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Style w:val="FootnoteAnchor"/>
          <w:rtl w:val="true"/>
        </w:rPr>
        <w:footnoteReference w:id="1158"/>
      </w:r>
      <w:bookmarkStart w:id="724" w:name="pg4267_22001"/>
    </w:p>
    <w:p>
      <w:pPr>
        <w:pStyle w:val="Heading6"/>
        <w:numPr>
          <w:ilvl w:val="5"/>
          <w:numId w:val="1"/>
        </w:numPr>
        <w:rPr/>
      </w:pPr>
      <w:bookmarkStart w:id="725" w:name="__RefHeading___Toc474429_1479056682"/>
      <w:bookmarkStart w:id="726" w:name="_Toc277"/>
      <w:bookmarkEnd w:id="724"/>
      <w:bookmarkEnd w:id="725"/>
      <w:r>
        <w:rPr/>
        <w:t>3</w:t>
      </w:r>
      <w:r>
        <w:rPr>
          <w:rtl w:val="true"/>
        </w:rPr>
        <w:t xml:space="preserve">- </w:t>
      </w:r>
      <w:r>
        <w:rPr>
          <w:rtl w:val="true"/>
        </w:rPr>
        <w:t>تولیت و نظارت در صورت عدم تعیین</w:t>
      </w:r>
      <w:bookmarkEnd w:id="726"/>
    </w:p>
    <w:p>
      <w:pPr>
        <w:pStyle w:val="BookText"/>
        <w:rPr/>
      </w:pPr>
      <w:r>
        <w:rPr>
          <w:rFonts w:ascii="IRNazanin" w:hAnsi="IRNazanin" w:eastAsia="IRNazanin"/>
          <w:color w:val="111111"/>
          <w:sz w:val="28"/>
          <w:sz w:val="28"/>
          <w:szCs w:val="28"/>
          <w:rtl w:val="true"/>
          <w:lang w:bidi="fa-IR"/>
        </w:rPr>
        <w:t>در صورتی که واقف حق تولیت را برای خود یا دیگری قرار نداده باشد، تولیت و نظارت بر وقف، بر عهده چه کسی است؟ در این‌جا به‌طور عمده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بر انتقال ملک مبتنی است؛ شیخ در مبسوط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مسأله بر انتقال ملک مبتنی است، کسانی که ملکیّت در وقف را برای خداوند متعال می‌دانند، نظارت را در این فرض برای حاکم قایل هستند و کسانی که مذهبشان، انتقال ملکیّت به موقوفٌ عَلَیْه است، حق نظارت را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محقّق اوّل در شرایع و علاّمه در قواعد</w:t>
      </w:r>
      <w:r>
        <w:rPr>
          <w:rStyle w:val="FootnoteAnchor"/>
          <w:rtl w:val="true"/>
        </w:rPr>
        <w:footnoteReference w:id="1160"/>
      </w:r>
      <w:r>
        <w:rPr>
          <w:rFonts w:ascii="IRNazanin" w:hAnsi="IRNazanin" w:eastAsia="IRNazanin"/>
          <w:color w:val="111111"/>
          <w:sz w:val="28"/>
          <w:sz w:val="28"/>
          <w:szCs w:val="28"/>
          <w:rtl w:val="true"/>
          <w:lang w:bidi="fa-IR"/>
        </w:rPr>
        <w:t xml:space="preserve">نیز تصریح کرده‌اند که بنا بر انتقال ملک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فرض، نظارت نیز برای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در مسالک در</w:t>
      </w:r>
    </w:p>
    <w:p>
      <w:pPr>
        <w:pStyle w:val="BookText"/>
        <w:rPr/>
      </w:pPr>
      <w:r>
        <w:rPr>
          <w:rFonts w:ascii="IRNazanin" w:hAnsi="IRNazanin" w:eastAsia="IRNazanin"/>
          <w:color w:val="111111"/>
          <w:sz w:val="28"/>
          <w:sz w:val="28"/>
          <w:szCs w:val="28"/>
          <w:rtl w:val="true"/>
          <w:lang w:bidi="fa-IR"/>
        </w:rPr>
        <w:t>ذیل عبارت محقّق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فرض مزبور نظارت مبتنی بر انتقال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 وقف را برای مالک و یا موقوفٌ عَلَیْه بدانیم، نظارت نیز برای آنهاست، و اگر ملکیّت رادر وقف عامّ برای خداوند و در معین برای موقوفٌ عَلَیْه بدانیم، که مختار ما نیز همین بود، نظارت در وقف معیّن برای موقوفٌ عَلَیْه و در وقف عامّ برای حاکم شرع</w:t>
      </w:r>
    </w:p>
    <w:p>
      <w:pPr>
        <w:pStyle w:val="BookText"/>
        <w:rPr/>
      </w:pPr>
      <w:r>
        <w:rPr>
          <w:rFonts w:ascii="IRNazanin" w:hAnsi="IRNazanin" w:eastAsia="IRNazanin"/>
          <w:color w:val="111111"/>
          <w:sz w:val="28"/>
          <w:sz w:val="28"/>
          <w:szCs w:val="28"/>
          <w:rtl w:val="true"/>
          <w:lang w:bidi="fa-IR"/>
        </w:rPr>
        <w:t>ثابت خواهد بود؛ زیرا واقف با وقف، همانند اجنبی است و در هر موردی هم که ناظر خاصّ یافت نشود، ناظر عامّ، حاکم خواهد بود</w:t>
      </w:r>
      <w:r>
        <w:rPr>
          <w:rFonts w:eastAsia="IRNazanin" w:cs="IRNazanin"/>
          <w:color w:val="111111"/>
          <w:sz w:val="28"/>
          <w:szCs w:val="28"/>
          <w:rtl w:val="true"/>
          <w:lang w:bidi="fa-IR"/>
        </w:rPr>
        <w:t>.</w:t>
      </w:r>
      <w:r>
        <w:rPr>
          <w:rStyle w:val="FootnoteAnchor"/>
          <w:rtl w:val="true"/>
        </w:rPr>
        <w:footnoteReference w:id="1161"/>
      </w:r>
    </w:p>
    <w:p>
      <w:pPr>
        <w:pStyle w:val="BookText"/>
        <w:rPr/>
      </w:pPr>
      <w:r>
        <w:rPr>
          <w:rFonts w:ascii="IRNazanin" w:hAnsi="IRNazanin" w:eastAsia="IRNazanin"/>
          <w:color w:val="111111"/>
          <w:sz w:val="28"/>
          <w:sz w:val="28"/>
          <w:szCs w:val="28"/>
          <w:rtl w:val="true"/>
          <w:lang w:bidi="fa-IR"/>
        </w:rPr>
        <w:t xml:space="preserve">فیض کاشانی، صاحب حدائق، فخر المحقّقین در ایضاح، محقّق ثانی و فاضل آبی در کشف الرموز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همین مطلب، تصریح کرده‌اند</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مطلقا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ظاهر عبارت محقّق در مختصر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وقف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متولّی تعیین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برای ارباب وقف خواهد بود</w:t>
      </w:r>
      <w:r>
        <w:rPr>
          <w:rFonts w:eastAsia="IRNazanin" w:cs="IRNazanin"/>
          <w:color w:val="111111"/>
          <w:sz w:val="28"/>
          <w:szCs w:val="28"/>
          <w:rtl w:val="true"/>
          <w:lang w:bidi="fa-IR"/>
        </w:rPr>
        <w:t>».</w:t>
      </w:r>
      <w:r>
        <w:rPr>
          <w:rStyle w:val="FootnoteAnchor"/>
          <w:rtl w:val="true"/>
        </w:rPr>
        <w:footnoteReference w:id="1163"/>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ریاض در ذیل این عبارت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عبارت اقتضا دارد که، </w:t>
      </w:r>
      <w:bookmarkStart w:id="727" w:name="pg4267_22002"/>
    </w:p>
    <w:p>
      <w:pPr>
        <w:pStyle w:val="BookText"/>
        <w:rPr/>
      </w:pPr>
      <w:bookmarkEnd w:id="727"/>
      <w:r>
        <w:rPr>
          <w:rFonts w:ascii="Amiri" w:hAnsi="Amiri" w:eastAsia="Amiri" w:cs="Amiri"/>
          <w:color w:val="111111"/>
          <w:sz w:val="28"/>
          <w:sz w:val="28"/>
          <w:szCs w:val="28"/>
          <w:rtl w:val="true"/>
          <w:lang w:bidi="ar-SA"/>
        </w:rPr>
        <w:t xml:space="preserve">تفاوتی نمی‌کند،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باشند یا خاصّ</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در وقف بر معیّن،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شهیدین در لمعه و روضه، صاحب ریاض، شهید در دروس،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در تنقیح، این نظر را برگزیده‌اند</w:t>
      </w:r>
      <w:r>
        <w:rPr>
          <w:rFonts w:eastAsia="IRNazanin" w:cs="IRNazanin"/>
          <w:color w:val="111111"/>
          <w:sz w:val="28"/>
          <w:szCs w:val="28"/>
          <w:rtl w:val="true"/>
          <w:lang w:bidi="fa-IR"/>
        </w:rPr>
        <w:t>.</w:t>
      </w:r>
      <w:r>
        <w:rPr>
          <w:rStyle w:val="FootnoteAnchor"/>
          <w:rtl w:val="true"/>
        </w:rPr>
        <w:footnoteReference w:id="1165"/>
      </w:r>
    </w:p>
    <w:p>
      <w:pPr>
        <w:pStyle w:val="BookText"/>
        <w:rPr/>
      </w:pPr>
      <w:r>
        <w:rPr>
          <w:rFonts w:ascii="IRNazanin" w:hAnsi="IRNazanin" w:eastAsia="IRNazanin"/>
          <w:color w:val="111111"/>
          <w:sz w:val="28"/>
          <w:sz w:val="28"/>
          <w:szCs w:val="28"/>
          <w:rtl w:val="true"/>
          <w:lang w:bidi="fa-IR"/>
        </w:rPr>
        <w:t xml:space="preserve">البتّه بعید نیست این نظر نیز مبتنی باشد بر انتقال ملک؛ یعنی این بزرگان، در وقف عام، مالک را خداوند متعال و در وقف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لذا در باب تولیت نیز به این دیدگاه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تعیین ناظر از سوی واقف، نظارت برای حاکم یا کسی است که از جانب حاکم، به عنوان ولیّ و قیّم وقف، منصوب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این گونه استدلال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 دراین فرض حق نظارت ندارد، زیرا در صورت عدم ملکیّت، او نیز نسبت به این مال اجنبی می‌شود و دارای حقّی نیست و در صورت بقای ملکیّت او نیز حق ولایت ندارد، زیرا ولایت وجواز تصرّف از آثار ملک مطلق است نه از آثار مطلق 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عدم ثبوت حق نظارت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است که حق بطون لاحقه نیز به این مال، تعلّق گرفته و بطن موجود بر آنها ولایتی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تصرّفاتی چون بهره برداری از محصول و مانند آن، از تصرّفاتی که برای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w:t>
      </w:r>
    </w:p>
    <w:p>
      <w:pPr>
        <w:pStyle w:val="BookText"/>
        <w:rPr/>
      </w:pPr>
      <w:r>
        <w:rPr>
          <w:rFonts w:ascii="IRNazanin" w:hAnsi="IRNazanin" w:eastAsia="IRNazanin"/>
          <w:color w:val="111111"/>
          <w:sz w:val="28"/>
          <w:sz w:val="28"/>
          <w:szCs w:val="28"/>
          <w:rtl w:val="true"/>
          <w:lang w:bidi="fa-IR"/>
        </w:rPr>
        <w:t>لازم است و با حقوق بطون آینده هم منافاتی ندارد، جایز و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Style w:val="FootnoteAnchor"/>
          <w:rtl w:val="true"/>
        </w:rPr>
        <w:footnoteReference w:id="1166"/>
      </w:r>
      <w:r>
        <w:rPr>
          <w:rFonts w:ascii="IRNazanin" w:hAnsi="IRNazanin" w:eastAsia="IRNazanin"/>
          <w:color w:val="111111"/>
          <w:sz w:val="28"/>
          <w:sz w:val="28"/>
          <w:szCs w:val="28"/>
          <w:rtl w:val="true"/>
          <w:lang w:bidi="fa-IR"/>
        </w:rPr>
        <w:t>صاحب عروه؛</w:t>
      </w:r>
      <w:r>
        <w:rPr>
          <w:rStyle w:val="FootnoteAnchor"/>
          <w:rtl w:val="true"/>
        </w:rPr>
        <w:footnoteReference w:id="1167"/>
      </w:r>
      <w:r>
        <w:rPr>
          <w:rFonts w:ascii="IRNazanin" w:hAnsi="IRNazanin" w:eastAsia="IRNazanin"/>
          <w:color w:val="111111"/>
          <w:sz w:val="28"/>
          <w:sz w:val="28"/>
          <w:szCs w:val="28"/>
          <w:rtl w:val="true"/>
          <w:lang w:bidi="fa-IR"/>
        </w:rPr>
        <w:t>امام خمینی؛</w:t>
      </w:r>
      <w:r>
        <w:rPr>
          <w:rStyle w:val="FootnoteAnchor"/>
          <w:rtl w:val="true"/>
        </w:rPr>
        <w:footnoteReference w:id="1168"/>
      </w:r>
      <w:r>
        <w:rPr>
          <w:rFonts w:ascii="IRNazanin" w:hAnsi="IRNazanin" w:eastAsia="IRNazanin"/>
          <w:color w:val="111111"/>
          <w:sz w:val="28"/>
          <w:sz w:val="28"/>
          <w:szCs w:val="28"/>
          <w:rtl w:val="true"/>
          <w:lang w:bidi="fa-IR"/>
        </w:rPr>
        <w:t>این قول را اختیار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w:t>
      </w:r>
    </w:p>
    <w:p>
      <w:pPr>
        <w:pStyle w:val="BookText"/>
        <w:rPr/>
      </w:pPr>
      <w:r>
        <w:rPr>
          <w:rFonts w:ascii="IRNazanin" w:hAnsi="IRNazanin" w:eastAsia="IRNazanin"/>
          <w:color w:val="111111"/>
          <w:sz w:val="28"/>
          <w:sz w:val="28"/>
          <w:szCs w:val="28"/>
          <w:rtl w:val="true"/>
          <w:lang w:bidi="fa-IR"/>
        </w:rPr>
        <w:t>در دروس نیز این قول را به عنوان احتمال از بعضی نقل کرده است</w:t>
      </w:r>
      <w:r>
        <w:rPr>
          <w:rFonts w:eastAsia="IRNazanin" w:cs="IRNazanin"/>
          <w:color w:val="111111"/>
          <w:sz w:val="28"/>
          <w:szCs w:val="28"/>
          <w:rtl w:val="true"/>
          <w:lang w:bidi="fa-IR"/>
        </w:rPr>
        <w:t>.</w:t>
      </w:r>
      <w:r>
        <w:rPr>
          <w:rStyle w:val="FootnoteAnchor"/>
          <w:rtl w:val="true"/>
        </w:rPr>
        <w:footnoteReference w:id="1169"/>
      </w:r>
    </w:p>
    <w:p>
      <w:pPr>
        <w:pStyle w:val="Heading6"/>
        <w:numPr>
          <w:ilvl w:val="5"/>
          <w:numId w:val="1"/>
        </w:numPr>
        <w:rPr/>
      </w:pPr>
      <w:bookmarkStart w:id="728" w:name="__RefHeading___Toc474431_1479056682"/>
      <w:bookmarkStart w:id="729" w:name="_Toc278"/>
      <w:bookmarkEnd w:id="728"/>
      <w:r>
        <w:rPr>
          <w:rtl w:val="true"/>
        </w:rPr>
        <w:t>چند نکته</w:t>
      </w:r>
      <w:bookmarkEnd w:id="729"/>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حاکم ولزوم اذن او شامل درختان، چاههای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استفاده عموم </w:t>
      </w:r>
      <w:bookmarkStart w:id="730" w:name="pg4267_22003"/>
    </w:p>
    <w:p>
      <w:pPr>
        <w:pStyle w:val="BookText"/>
        <w:rPr/>
      </w:pPr>
      <w:bookmarkEnd w:id="730"/>
      <w:r>
        <w:rPr>
          <w:rFonts w:ascii="IRNazanin" w:hAnsi="IRNazanin" w:eastAsia="IRNazanin"/>
          <w:color w:val="111111"/>
          <w:sz w:val="28"/>
          <w:sz w:val="28"/>
          <w:szCs w:val="28"/>
          <w:rtl w:val="true"/>
          <w:lang w:bidi="fa-IR"/>
        </w:rPr>
        <w:t>مردم وقف شده‌اند، نمی‌شود؛ زیرا قصد واقف از این گونه وقفها تفویض انتفاع به همه مردم بوده است</w:t>
      </w:r>
      <w:r>
        <w:rPr>
          <w:rFonts w:eastAsia="IRNazanin" w:cs="IRNazanin"/>
          <w:color w:val="111111"/>
          <w:sz w:val="28"/>
          <w:szCs w:val="28"/>
          <w:rtl w:val="true"/>
          <w:lang w:bidi="fa-IR"/>
        </w:rPr>
        <w:t>.</w:t>
      </w:r>
      <w:r>
        <w:rPr>
          <w:rStyle w:val="FootnoteAnchor"/>
          <w:rtl w:val="true"/>
        </w:rPr>
        <w:footnoteReference w:id="117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حق تولیت با حاکم است می‌تواند خود، متصدّی وقف شود یا دیگری را وکیل کند و یا منصوب سازد و حاکم حق عزل وکیل خود را دارد، امّا حق عزل متولّی منصوب را، تازمانی که بر اهلیّت باقی است، ندارد</w:t>
      </w:r>
      <w:r>
        <w:rPr>
          <w:rFonts w:eastAsia="IRNazanin" w:cs="IRNazanin"/>
          <w:color w:val="111111"/>
          <w:sz w:val="28"/>
          <w:szCs w:val="28"/>
          <w:rtl w:val="true"/>
          <w:lang w:bidi="fa-IR"/>
        </w:rPr>
        <w:t>.</w:t>
      </w:r>
      <w:r>
        <w:rPr>
          <w:rStyle w:val="FootnoteAnchor"/>
          <w:rtl w:val="true"/>
        </w:rPr>
        <w:footnoteReference w:id="117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امر تولیت با حاکم یا منصوب از طرف اوست، اگر حاکم و منصوب وی موجود نبودند و یا دسترسی به آنها ممکن نبود، وقف با عدول مؤمنین است</w:t>
      </w:r>
      <w:r>
        <w:rPr>
          <w:rFonts w:eastAsia="IRNazanin" w:cs="IRNazanin"/>
          <w:color w:val="111111"/>
          <w:sz w:val="28"/>
          <w:szCs w:val="28"/>
          <w:rtl w:val="true"/>
          <w:lang w:bidi="fa-IR"/>
        </w:rPr>
        <w:t>.</w:t>
      </w:r>
      <w:r>
        <w:rPr>
          <w:rStyle w:val="FootnoteAnchor"/>
          <w:rtl w:val="true"/>
        </w:rPr>
        <w:footnoteReference w:id="1172"/>
      </w:r>
      <w:r>
        <w:rPr>
          <w:rFonts w:ascii="Amiri" w:hAnsi="Amiri" w:eastAsia="Amiri" w:cs="Amiri"/>
          <w:color w:val="111111"/>
          <w:sz w:val="28"/>
          <w:sz w:val="28"/>
          <w:szCs w:val="28"/>
          <w:rtl w:val="true"/>
          <w:lang w:bidi="ar-SA"/>
        </w:rPr>
        <w:t xml:space="preserve">البتّه تعبیر شهید در قواعد،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آحاد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برای آن به حدیث نبوی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w:t>
      </w:r>
    </w:p>
    <w:p>
      <w:pPr>
        <w:pStyle w:val="BookText"/>
        <w:rPr/>
      </w:pPr>
      <w:r>
        <w:rPr>
          <w:rFonts w:ascii="Amiri" w:hAnsi="Amiri" w:eastAsia="Amiri" w:cs="Amiri"/>
          <w:color w:val="111111"/>
          <w:sz w:val="28"/>
          <w:sz w:val="28"/>
          <w:szCs w:val="28"/>
          <w:rtl w:val="true"/>
          <w:lang w:bidi="ar-SA"/>
        </w:rPr>
        <w:t>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یااطلاق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تَعاوَنوُا عَلَی‌الْبِرّ </w:t>
      </w:r>
      <w:r>
        <w:rPr>
          <w:rFonts w:eastAsia="Amiri" w:cs="Amiri" w:ascii="Amiri" w:hAnsi="Amiri"/>
          <w:color w:val="111111"/>
          <w:sz w:val="28"/>
          <w:szCs w:val="28"/>
          <w:rtl w:val="true"/>
          <w:lang w:bidi="ar-SA"/>
        </w:rPr>
        <w:t>...»</w:t>
      </w:r>
      <w:r>
        <w:rPr>
          <w:rStyle w:val="FootnoteAnchor"/>
          <w:rtl w:val="true"/>
        </w:rPr>
        <w:footnoteReference w:id="1173"/>
      </w:r>
      <w:r>
        <w:rPr>
          <w:rFonts w:ascii="IRNazanin" w:hAnsi="IRNazanin" w:eastAsia="IRNazanin"/>
          <w:color w:val="111111"/>
          <w:sz w:val="28"/>
          <w:sz w:val="28"/>
          <w:szCs w:val="28"/>
          <w:rtl w:val="true"/>
          <w:lang w:bidi="fa-IR"/>
        </w:rPr>
        <w:t>، استناد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خویی و آیه‌اللّه حکیم بیانی دارند که شاید بتوان بر بعضی از اقوال گذشته</w:t>
      </w:r>
    </w:p>
    <w:p>
      <w:pPr>
        <w:pStyle w:val="BookText"/>
        <w:rPr/>
      </w:pPr>
      <w:r>
        <w:rPr>
          <w:rFonts w:ascii="IRNazanin" w:hAnsi="IRNazanin" w:eastAsia="IRNazanin"/>
          <w:color w:val="111111"/>
          <w:sz w:val="28"/>
          <w:sz w:val="28"/>
          <w:szCs w:val="28"/>
          <w:rtl w:val="true"/>
          <w:lang w:bidi="fa-IR"/>
        </w:rPr>
        <w:t>منطبق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واقف کسی را به عنوان متولّی تعیین نکرده است، اگر وقف به نحو تملیک و وقف خاصّ باشد، مثل وقف بر اولاد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ولایت بر آن و منافع،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اگر وقف خاصّ و یا به نحو تملیک نباشد، مثل</w:t>
      </w:r>
    </w:p>
    <w:p>
      <w:pPr>
        <w:pStyle w:val="BookText"/>
        <w:rPr/>
      </w:pPr>
      <w:r>
        <w:rPr>
          <w:rFonts w:ascii="IRNazanin" w:hAnsi="IRNazanin" w:eastAsia="IRNazanin"/>
          <w:color w:val="111111"/>
          <w:sz w:val="28"/>
          <w:sz w:val="28"/>
          <w:szCs w:val="28"/>
          <w:rtl w:val="true"/>
          <w:lang w:bidi="fa-IR"/>
        </w:rPr>
        <w:t>این که وقف به نحو بیان مصرف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ولایت برای حاکم شرعی است</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 xml:space="preserve">باتوجّه به همه جوانب مسأله، از جمله زوال ملک واقف و اجنبی شدن وی نسبت به وقف و تعلّق حقوق بطون و نسلهای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 بر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لزوم رعایت مصالح 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اوقاف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گستردگی دامنه اختیارات حاکم و ولیّ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جای خودش اثبات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اَصحّ اقوال، در مواردی که واقف کسی را برای تولیت انتخاب نکرده است، قول چهارم باشد</w:t>
      </w:r>
      <w:r>
        <w:rPr>
          <w:rFonts w:eastAsia="IRNazanin" w:cs="IRNazanin"/>
          <w:color w:val="111111"/>
          <w:sz w:val="28"/>
          <w:szCs w:val="28"/>
          <w:rtl w:val="true"/>
          <w:lang w:bidi="fa-IR"/>
        </w:rPr>
        <w:t>.</w:t>
      </w:r>
    </w:p>
    <w:p>
      <w:pPr>
        <w:pStyle w:val="Heading6"/>
        <w:numPr>
          <w:ilvl w:val="5"/>
          <w:numId w:val="1"/>
        </w:numPr>
        <w:rPr/>
      </w:pPr>
      <w:bookmarkStart w:id="731" w:name="__RefHeading___Toc474433_1479056682"/>
      <w:bookmarkStart w:id="732" w:name="_Toc279"/>
      <w:bookmarkEnd w:id="731"/>
      <w:r>
        <w:rPr>
          <w:rtl w:val="true"/>
        </w:rPr>
        <w:t>نکته‌هایی از قانون مدنی</w:t>
      </w:r>
      <w:bookmarkEnd w:id="732"/>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می‌تواند تولیت امور موقوفه را مادام الحیات یا در مدّت معیّنی برای خود </w:t>
      </w:r>
      <w:bookmarkStart w:id="733" w:name="pg4267_22004"/>
    </w:p>
    <w:p>
      <w:pPr>
        <w:pStyle w:val="BookText"/>
        <w:rPr/>
      </w:pPr>
      <w:bookmarkEnd w:id="733"/>
      <w:r>
        <w:rPr>
          <w:rFonts w:ascii="IRNazanin" w:hAnsi="IRNazanin" w:eastAsia="IRNazanin"/>
          <w:color w:val="111111"/>
          <w:sz w:val="28"/>
          <w:sz w:val="28"/>
          <w:szCs w:val="28"/>
          <w:rtl w:val="true"/>
          <w:lang w:bidi="fa-IR"/>
        </w:rPr>
        <w:t>یا دیگری قرار دهد و نیز می‌تواند شرط کند که خود او یا متولّی که معیّن شده است، نصب متولّی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واقف، او را متولّی قرار داده می‌تواند بدوا تولیت را قبول یا رد کند و اگر قبول کرد دیگر نمی‌تواند 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یا حاکم نمی‌توانند کسی را که در ضمن عقد وقف، متولّی قرار داده شده است، عزل کنند، مگر در صورتی که حق عزل شرط شده باشد و اگر خیانت متولّی ظاهر شود، حاکم ضمّ امین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وصف مخصوصی را در شخص متولّی شرط کرده باشد و متولّی فاقد آن وصف شود، منعزل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اوقاف عامّه که متولّی معیّن نداشته باشد اداره موقوفه طبق نظر ولیّ فقیه خواهد بود</w:t>
      </w:r>
      <w:r>
        <w:rPr>
          <w:rFonts w:eastAsia="IRNazanin" w:cs="IRNazanin"/>
          <w:color w:val="111111"/>
          <w:sz w:val="28"/>
          <w:szCs w:val="28"/>
          <w:rtl w:val="true"/>
          <w:lang w:bidi="fa-IR"/>
        </w:rPr>
        <w:t>.</w:t>
      </w:r>
      <w:r>
        <w:rPr>
          <w:rStyle w:val="FootnoteAnchor"/>
          <w:rtl w:val="true"/>
        </w:rPr>
        <w:footnoteReference w:id="1175"/>
      </w:r>
    </w:p>
    <w:p>
      <w:pPr>
        <w:pStyle w:val="Heading6"/>
        <w:numPr>
          <w:ilvl w:val="5"/>
          <w:numId w:val="1"/>
        </w:numPr>
        <w:rPr/>
      </w:pPr>
      <w:bookmarkStart w:id="734" w:name="__RefHeading___Toc474435_1479056682"/>
      <w:bookmarkStart w:id="735" w:name="_Toc280"/>
      <w:bookmarkEnd w:id="734"/>
      <w:r>
        <w:rPr>
          <w:rtl w:val="true"/>
        </w:rPr>
        <w:t>دیدگاه دیگر مذاهب</w:t>
      </w:r>
      <w:bookmarkEnd w:id="735"/>
    </w:p>
    <w:p>
      <w:pPr>
        <w:pStyle w:val="BookText"/>
        <w:rPr/>
      </w:pPr>
      <w:r>
        <w:rPr>
          <w:rFonts w:ascii="IRNazanin" w:hAnsi="IRNazanin" w:eastAsia="IRNazanin"/>
          <w:color w:val="111111"/>
          <w:sz w:val="28"/>
          <w:sz w:val="28"/>
          <w:szCs w:val="28"/>
          <w:rtl w:val="true"/>
          <w:lang w:bidi="fa-IR"/>
        </w:rPr>
        <w:t>جمهور فقهای مذاهب اربعه جعل ولایت ونظارت از طرف واقف را برای خودش و یا دیگری، خواه از فرزندان و خویشان و خواه اجنبی، جایز و صحیح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ابویوسف تصریح کرده است که ولایت در مرحله اول برای واقف ثابت است و ثبوت آن برای او به تصریح در وقف نامه یا هنگام انشای عقد نیاز ندارد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غالب عبارات کتب مذاهب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الشّرح الصّغیر، ابن قُدامه در مغنی، ابن قیّم جوزی در اِعْلامُ‌الْمُوَقِّعین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کتب خویش به این مطلب تصریح کرده‌اند</w:t>
      </w:r>
      <w:r>
        <w:rPr>
          <w:rStyle w:val="FootnoteAnchor"/>
          <w:rtl w:val="true"/>
        </w:rPr>
        <w:footnoteReference w:id="1176"/>
      </w:r>
      <w:r>
        <w:rPr>
          <w:rFonts w:ascii="IRNazanin" w:hAnsi="IRNazanin" w:eastAsia="IRNazanin"/>
          <w:color w:val="111111"/>
          <w:sz w:val="28"/>
          <w:sz w:val="28"/>
          <w:szCs w:val="28"/>
          <w:rtl w:val="true"/>
          <w:lang w:bidi="fa-IR"/>
        </w:rPr>
        <w:t xml:space="preserve">البتّه مغنیه از فتح‌الباری نقل کرده است که واقف در صورتی می‌تواند ولایت را برای خودش قرار دهد که از لوازمی چون، طولانی شدن عهد و در نتیجه فراموش شدن وقف، تصرّف نابجای ورثه، مفلّس شدن واقف و به دنبال آن </w:t>
      </w:r>
    </w:p>
    <w:p>
      <w:pPr>
        <w:pStyle w:val="BookText"/>
        <w:rPr/>
      </w:pPr>
      <w:r>
        <w:rPr>
          <w:rFonts w:ascii="IRNazanin" w:hAnsi="IRNazanin" w:eastAsia="IRNazanin"/>
          <w:color w:val="111111"/>
          <w:sz w:val="28"/>
          <w:sz w:val="28"/>
          <w:szCs w:val="28"/>
          <w:rtl w:val="true"/>
          <w:lang w:bidi="fa-IR"/>
        </w:rPr>
        <w:t>تصرّف در وقف ایمن باشد</w:t>
      </w:r>
      <w:r>
        <w:rPr>
          <w:rFonts w:eastAsia="IRNazanin" w:cs="IRNazanin"/>
          <w:color w:val="111111"/>
          <w:sz w:val="28"/>
          <w:szCs w:val="28"/>
          <w:rtl w:val="true"/>
          <w:lang w:bidi="fa-IR"/>
        </w:rPr>
        <w:t>.</w:t>
      </w:r>
      <w:r>
        <w:rPr>
          <w:rStyle w:val="FootnoteAnchor"/>
          <w:rtl w:val="true"/>
        </w:rPr>
        <w:footnoteReference w:id="1177"/>
      </w:r>
      <w:r>
        <w:rPr>
          <w:rFonts w:ascii="IRNazanin" w:hAnsi="IRNazanin" w:eastAsia="IRNazanin"/>
          <w:color w:val="111111"/>
          <w:sz w:val="28"/>
          <w:sz w:val="28"/>
          <w:szCs w:val="28"/>
          <w:rtl w:val="true"/>
          <w:lang w:bidi="fa-IR"/>
        </w:rPr>
        <w:t xml:space="preserve">در البحر 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شده است که ولایت در مرحله اوّل برای واقف و یا شخص منصوب از سوی اوست</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دلایل این دیدگاه</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و سیره صحابه؛ عمر و دیگر خلفای راشدین و غیر آنها از صحابه، یا خود متولّی اوقاف و صدقات خویش بودند و یا کسانی را برای تولیت آنها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صلی‌الله‌علیه‌و‌آله نیز وقتی به عمر اشاره کرد که زمین خود را وقف کند به او نفرمود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تو تنها در صورتی صحیح است که از دستت خارج شود و خودت نباید نظارت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از بقیّه مردم به وقف نزدیکتراست و مصلحت آن را بیش از دیگران تشخیص می‌دهد و نسبت به آن دلسوزتر از هر کس دیگر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گذشت که علامه، از فقهای امامیّه، نیز به‌این دلیل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سومین دلیل که هر چندممکن است به عنوان دلیل به آن تصریح نکرده باشند، امّا از لابه لای کلماتشان به دست می‌آید که اجماع همه فقها بر این مطلب است</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ولایت در صورت عدم تعیین</w:t>
      </w:r>
    </w:p>
    <w:p>
      <w:pPr>
        <w:pStyle w:val="BookText"/>
        <w:rPr/>
      </w:pPr>
      <w:r>
        <w:rPr>
          <w:rFonts w:ascii="IRNazanin" w:hAnsi="IRNazanin" w:eastAsia="IRNazanin"/>
          <w:color w:val="111111"/>
          <w:sz w:val="28"/>
          <w:sz w:val="28"/>
          <w:szCs w:val="28"/>
          <w:rtl w:val="true"/>
          <w:lang w:bidi="fa-IR"/>
        </w:rPr>
        <w:t>اگر واقف ولایت بر وقف را برای خود یا دیگری قرار نداد، ولایت بر وقف برای چه کسی خواهد بود؟</w:t>
      </w:r>
    </w:p>
    <w:p>
      <w:pPr>
        <w:pStyle w:val="BookText"/>
        <w:rPr/>
      </w:pPr>
      <w:r>
        <w:rPr>
          <w:rFonts w:ascii="Amiri" w:hAnsi="Amiri" w:eastAsia="Amiri" w:cs="Amiri"/>
          <w:color w:val="111111"/>
          <w:sz w:val="28"/>
          <w:sz w:val="28"/>
          <w:szCs w:val="28"/>
          <w:rtl w:val="true"/>
          <w:lang w:bidi="ar-SA"/>
        </w:rPr>
        <w:t>حنفیّه</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حنفیّه، در فرض عدم تعیین متولّی از سوی واقف، ولایت را برای واقف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ابویوسف گذشت که ثبوت ولایت برای واقف نیازی به ذکر و تصریح در </w:t>
      </w:r>
    </w:p>
    <w:p>
      <w:pPr>
        <w:pStyle w:val="BookText"/>
        <w:rPr/>
      </w:pPr>
      <w:r>
        <w:rPr>
          <w:rFonts w:ascii="IRNazanin" w:hAnsi="IRNazanin" w:eastAsia="IRNazanin"/>
          <w:color w:val="111111"/>
          <w:sz w:val="28"/>
          <w:sz w:val="28"/>
          <w:szCs w:val="28"/>
          <w:rtl w:val="true"/>
          <w:lang w:bidi="fa-IR"/>
        </w:rPr>
        <w:t>وقف‌نامه و یا هنگام انشای عقد، ندارد</w:t>
      </w:r>
      <w:r>
        <w:rPr>
          <w:rFonts w:eastAsia="IRNazanin" w:cs="IRNazanin"/>
          <w:color w:val="111111"/>
          <w:sz w:val="28"/>
          <w:szCs w:val="28"/>
          <w:rtl w:val="true"/>
          <w:lang w:bidi="fa-IR"/>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از متون اصلی مذهب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ولایت با قاضی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مانندزمانی که واقف قبل از تعیین متولّی از دنیا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w:t>
      </w:r>
    </w:p>
    <w:p>
      <w:pPr>
        <w:pStyle w:val="BookText"/>
        <w:rPr/>
      </w:pPr>
      <w:r>
        <w:rPr>
          <w:rFonts w:ascii="IRNazanin" w:hAnsi="IRNazanin" w:eastAsia="IRNazanin"/>
          <w:color w:val="111111"/>
          <w:sz w:val="28"/>
          <w:sz w:val="28"/>
          <w:szCs w:val="28"/>
          <w:rtl w:val="true"/>
          <w:lang w:bidi="fa-IR"/>
        </w:rPr>
        <w:t>این است که تا در میان فرزندان و خویشان واقف، فردی شایسته تولیت، موجود باشد قاضی فرد اجنبی را متولّی قرار ندهد، زیرا روشن است که واقف دوست دارد وقف به وی منسوب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فرزند و خویشان واقف نسبت به وقف از دیگران، دلسوزترند</w:t>
      </w:r>
      <w:r>
        <w:rPr>
          <w:rFonts w:eastAsia="IRNazanin" w:cs="IRNazanin"/>
          <w:color w:val="111111"/>
          <w:sz w:val="28"/>
          <w:szCs w:val="28"/>
          <w:rtl w:val="true"/>
          <w:lang w:bidi="fa-IR"/>
        </w:rPr>
        <w:t>.</w:t>
      </w:r>
      <w:r>
        <w:rPr>
          <w:rStyle w:val="FootnoteAnchor"/>
          <w:rtl w:val="true"/>
        </w:rPr>
        <w:footnoteReference w:id="1181"/>
      </w:r>
    </w:p>
    <w:p>
      <w:pPr>
        <w:pStyle w:val="BookText"/>
        <w:rPr/>
      </w:pPr>
      <w:r>
        <w:rPr>
          <w:rFonts w:ascii="IRNazanin" w:hAnsi="IRNazanin" w:eastAsia="IRNazanin"/>
          <w:color w:val="111111"/>
          <w:sz w:val="28"/>
          <w:sz w:val="28"/>
          <w:szCs w:val="28"/>
          <w:rtl w:val="true"/>
          <w:lang w:bidi="fa-IR"/>
        </w:rPr>
        <w:t>مالکیّه و حنابله</w:t>
      </w:r>
    </w:p>
    <w:p>
      <w:pPr>
        <w:pStyle w:val="BookText"/>
        <w:rPr/>
      </w:pPr>
      <w:r>
        <w:rPr>
          <w:rFonts w:ascii="IRNazanin" w:hAnsi="IRNazanin" w:eastAsia="IRNazanin"/>
          <w:color w:val="111111"/>
          <w:sz w:val="28"/>
          <w:sz w:val="28"/>
          <w:szCs w:val="28"/>
          <w:rtl w:val="true"/>
          <w:lang w:bidi="fa-IR"/>
        </w:rPr>
        <w:t xml:space="preserve">نظر مالکیّه و حنابله این است که در این صورت، در وقف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 بر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زیرا مال موقوف ملک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همانند ملک مطلق بر آن نظارت و ولایت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اوقاف عامّ مانند وقف بر مساکین، مساجد و یا اوقافی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نیستند، نظارت با حاکم است، زیرا در این صورت، مال موقوف مالک معیّنی که بر آن نظارت داشته باشد،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حاکم می‌تواند برای اداره</w:t>
      </w:r>
    </w:p>
    <w:p>
      <w:pPr>
        <w:pStyle w:val="BookText"/>
        <w:rPr/>
      </w:pPr>
      <w:r>
        <w:rPr>
          <w:rFonts w:ascii="IRNazanin" w:hAnsi="IRNazanin" w:eastAsia="IRNazanin"/>
          <w:color w:val="111111"/>
          <w:sz w:val="28"/>
          <w:sz w:val="28"/>
          <w:szCs w:val="28"/>
          <w:rtl w:val="true"/>
          <w:lang w:bidi="fa-IR"/>
        </w:rPr>
        <w:t>آن کسی را نایب خود قرار دهد</w:t>
      </w:r>
      <w:r>
        <w:rPr>
          <w:rFonts w:eastAsia="IRNazanin" w:cs="IRNazanin"/>
          <w:color w:val="111111"/>
          <w:sz w:val="28"/>
          <w:szCs w:val="28"/>
          <w:rtl w:val="true"/>
          <w:lang w:bidi="fa-IR"/>
        </w:rPr>
        <w:t>.</w:t>
      </w:r>
      <w:r>
        <w:rPr>
          <w:rStyle w:val="FootnoteAnchor"/>
          <w:rtl w:val="true"/>
        </w:rPr>
        <w:footnoteReference w:id="1182"/>
      </w:r>
      <w:r>
        <w:rPr>
          <w:rFonts w:ascii="IRNazanin" w:hAnsi="IRNazanin" w:eastAsia="IRNazanin"/>
          <w:color w:val="111111"/>
          <w:sz w:val="28"/>
          <w:sz w:val="28"/>
          <w:szCs w:val="28"/>
          <w:rtl w:val="true"/>
          <w:lang w:bidi="fa-IR"/>
        </w:rPr>
        <w:t xml:space="preserve">در الشّرح الصّغیر آمده است؛ اگر واقف، ناظر را تعیین نکرد چنانچه مستحق غیر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با حاکم است که هر که را بخواهد به عنوان متولّی برمی گزیند</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 xml:space="preserve">امّا وَهبَةُ الزُّحَیلی به مالکیّه نسبت داده است که اگر واقف متولّی را معیّن نکرد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معیّن و غیرمعیّن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برای حاکم است</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شافعیّه</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نظر راجح در مذهب شافعی در فرض مورد بحث این است که ولایت را برای حاکم </w:t>
      </w:r>
      <w:bookmarkStart w:id="736" w:name="pg4267_22007"/>
    </w:p>
    <w:p>
      <w:pPr>
        <w:pStyle w:val="BookText"/>
        <w:rPr/>
      </w:pPr>
      <w:bookmarkEnd w:id="736"/>
      <w:r>
        <w:rPr>
          <w:rFonts w:ascii="IRNazanin" w:hAnsi="IRNazanin" w:eastAsia="IRNazanin"/>
          <w:color w:val="111111"/>
          <w:sz w:val="28"/>
          <w:sz w:val="28"/>
          <w:szCs w:val="28"/>
          <w:rtl w:val="true"/>
          <w:lang w:bidi="fa-IR"/>
        </w:rPr>
        <w:t>می‌داند و استدلال می‌کند که قاضی حق نظارت عامّ دارد، لذا اولویّت نظارت برای اوست و نیز برای این که ملک در وقف برای خدای متعال است و متصدّی این گونه اموال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اقوالی دیگر نیز در شافعیّه مطرح است، مانند قول به ثبوت ولایت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واقف و یا مبتنی شدن مسأله بر اقوالی که در بحث</w:t>
      </w:r>
    </w:p>
    <w:p>
      <w:pPr>
        <w:pStyle w:val="BookText"/>
        <w:rPr/>
      </w:pPr>
      <w:r>
        <w:rPr>
          <w:rFonts w:ascii="Amiri" w:hAnsi="Amiri" w:eastAsia="Amiri" w:cs="Amiri"/>
          <w:color w:val="111111"/>
          <w:sz w:val="28"/>
          <w:sz w:val="28"/>
          <w:szCs w:val="28"/>
          <w:rtl w:val="true"/>
          <w:lang w:bidi="ar-SA"/>
        </w:rPr>
        <w:t xml:space="preserve">ملکیّت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شده‌اند</w:t>
      </w:r>
      <w:r>
        <w:rPr>
          <w:rFonts w:eastAsia="Amiri" w:cs="Amiri" w:ascii="Amiri" w:hAnsi="Amiri"/>
          <w:color w:val="111111"/>
          <w:sz w:val="28"/>
          <w:szCs w:val="28"/>
          <w:rtl w:val="true"/>
          <w:lang w:bidi="ar-SA"/>
        </w:rPr>
        <w:t>.</w:t>
      </w:r>
      <w:r>
        <w:rPr>
          <w:rStyle w:val="FootnoteAnchor"/>
          <w:rtl w:val="true"/>
        </w:rPr>
        <w:footnoteReference w:id="1185"/>
      </w:r>
    </w:p>
    <w:p>
      <w:pPr>
        <w:pStyle w:val="Heading5"/>
        <w:numPr>
          <w:ilvl w:val="4"/>
          <w:numId w:val="1"/>
        </w:numPr>
        <w:rPr/>
      </w:pPr>
      <w:bookmarkStart w:id="737" w:name="__RefHeading___Toc474437_1479056682"/>
      <w:bookmarkStart w:id="738" w:name="_Toc281"/>
      <w:bookmarkEnd w:id="737"/>
      <w:r>
        <w:rPr>
          <w:rtl w:val="true"/>
        </w:rPr>
        <w:t xml:space="preserve">گفتار </w:t>
      </w:r>
      <w:r>
        <w:rPr/>
        <w:t>3</w:t>
      </w:r>
      <w:r>
        <w:rPr>
          <w:rtl w:val="true"/>
        </w:rPr>
        <w:t xml:space="preserve">- </w:t>
      </w:r>
      <w:r>
        <w:rPr>
          <w:rtl w:val="true"/>
        </w:rPr>
        <w:t>شرایط متولّی</w:t>
      </w:r>
      <w:bookmarkEnd w:id="738"/>
    </w:p>
    <w:p>
      <w:pPr>
        <w:pStyle w:val="Heading6"/>
        <w:numPr>
          <w:ilvl w:val="5"/>
          <w:numId w:val="1"/>
        </w:numPr>
        <w:rPr/>
      </w:pPr>
      <w:bookmarkStart w:id="739" w:name="__RefHeading___Toc474439_1479056682"/>
      <w:bookmarkStart w:id="740" w:name="_Toc282"/>
      <w:bookmarkEnd w:id="739"/>
      <w:r>
        <w:rPr>
          <w:rtl w:val="true"/>
        </w:rPr>
        <w:t>دیدگاه امامیّه</w:t>
      </w:r>
      <w:bookmarkEnd w:id="740"/>
    </w:p>
    <w:p>
      <w:pPr>
        <w:pStyle w:val="BookText"/>
        <w:rPr/>
      </w:pPr>
      <w:r>
        <w:rPr>
          <w:rFonts w:ascii="IRNazanin" w:hAnsi="IRNazanin" w:eastAsia="IRNazanin"/>
          <w:color w:val="111111"/>
          <w:sz w:val="28"/>
          <w:sz w:val="28"/>
          <w:szCs w:val="28"/>
          <w:rtl w:val="true"/>
          <w:lang w:bidi="fa-IR"/>
        </w:rPr>
        <w:t>مغنیه در فقه تطبیقی خود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اسلام اتّفاق نظر دارند بر این که متولّی اوقاف باید عاقل، بالغ، رشید و امین باشد، و اختلاف آنها درباره شرط عدالت است</w:t>
      </w:r>
      <w:r>
        <w:rPr>
          <w:rFonts w:eastAsia="IRNazanin" w:cs="IRNazanin"/>
          <w:color w:val="111111"/>
          <w:sz w:val="28"/>
          <w:szCs w:val="28"/>
          <w:rtl w:val="true"/>
          <w:lang w:bidi="fa-IR"/>
        </w:rPr>
        <w:t>.</w:t>
      </w:r>
      <w:r>
        <w:rPr>
          <w:rStyle w:val="FootnoteAnchor"/>
          <w:rtl w:val="true"/>
        </w:rPr>
        <w:footnoteReference w:id="1186"/>
      </w:r>
      <w:r>
        <w:rPr>
          <w:rFonts w:ascii="Amiri" w:hAnsi="Amiri" w:eastAsia="Amiri" w:cs="Amiri"/>
          <w:color w:val="111111"/>
          <w:sz w:val="28"/>
          <w:sz w:val="28"/>
          <w:szCs w:val="28"/>
          <w:rtl w:val="true"/>
          <w:lang w:bidi="ar-SA"/>
        </w:rPr>
        <w:t>البتّه</w:t>
      </w:r>
    </w:p>
    <w:p>
      <w:pPr>
        <w:pStyle w:val="BookText"/>
        <w:rPr/>
      </w:pPr>
      <w:r>
        <w:rPr>
          <w:rFonts w:ascii="IRNazanin" w:hAnsi="IRNazanin" w:eastAsia="IRNazanin"/>
          <w:color w:val="111111"/>
          <w:sz w:val="28"/>
          <w:sz w:val="28"/>
          <w:szCs w:val="28"/>
          <w:rtl w:val="true"/>
          <w:lang w:bidi="fa-IR"/>
        </w:rPr>
        <w:t>نظر گروهی از فقها این است که جعل تولیت برای صغیر از سوی واقف مباح است، امّا تا زمان بلوغ، ولیّ او تولیت را بر عهده می‌گیرد و قاضی نمی‌تواند ولایت</w:t>
      </w:r>
    </w:p>
    <w:p>
      <w:pPr>
        <w:pStyle w:val="BookText"/>
        <w:rPr/>
      </w:pPr>
      <w:r>
        <w:rPr>
          <w:rFonts w:ascii="IRNazanin" w:hAnsi="IRNazanin" w:eastAsia="IRNazanin"/>
          <w:color w:val="111111"/>
          <w:sz w:val="28"/>
          <w:sz w:val="28"/>
          <w:szCs w:val="28"/>
          <w:rtl w:val="true"/>
          <w:lang w:bidi="fa-IR"/>
        </w:rPr>
        <w:t>را جز برای بالغ قرار دهد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درباره شرط عدالت، علاّمه در تذکره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واقف ولایت را برای خودش قرار داده است، حق اعمال ولایت دارد، خواه عادل باشد یا نباشد؛ زیرا وی این مال را با وقف با همین شرط از ملک خود خارج ساخته، لذا از شرطش پیروی می‌شود</w:t>
      </w:r>
      <w:r>
        <w:rPr>
          <w:rFonts w:eastAsia="IRNazanin" w:cs="IRNazanin"/>
          <w:color w:val="111111"/>
          <w:sz w:val="28"/>
          <w:szCs w:val="28"/>
          <w:rtl w:val="true"/>
          <w:lang w:bidi="fa-IR"/>
        </w:rPr>
        <w:t>.</w:t>
      </w:r>
      <w:r>
        <w:rPr>
          <w:rStyle w:val="FootnoteAnchor"/>
          <w:rtl w:val="true"/>
        </w:rPr>
        <w:footnoteReference w:id="1188"/>
      </w:r>
      <w:r>
        <w:rPr>
          <w:rFonts w:ascii="IRNazanin" w:hAnsi="IRNazanin" w:eastAsia="IRNazanin"/>
          <w:color w:val="111111"/>
          <w:sz w:val="28"/>
          <w:sz w:val="28"/>
          <w:szCs w:val="28"/>
          <w:rtl w:val="true"/>
          <w:lang w:bidi="fa-IR"/>
        </w:rPr>
        <w:t>مسالک، ابتدا با ذکر همین بیان و همین استدلال عدالت را شرط‌ندانسته، امّا در پایان با بیان این مطلب که واقف بعد از وقف بادیگران مساوی است اعتبار عدالت را محتمل دانسته است</w:t>
      </w:r>
      <w:r>
        <w:rPr>
          <w:rFonts w:eastAsia="IRNazanin" w:cs="IRNazanin"/>
          <w:color w:val="111111"/>
          <w:sz w:val="28"/>
          <w:szCs w:val="28"/>
          <w:rtl w:val="true"/>
          <w:lang w:bidi="fa-IR"/>
        </w:rPr>
        <w:t>.</w:t>
      </w:r>
      <w:r>
        <w:rPr>
          <w:rStyle w:val="FootnoteAnchor"/>
          <w:rtl w:val="true"/>
        </w:rPr>
        <w:footnoteReference w:id="1189"/>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و صاحب مفتاح، برای عدم اعتبار عدالت در صورتی که واقف خودش متولی باشد، ادّعای عدم خلاف کرده‌اند؛ امّا صاحب ریاض مسأله را محلّ </w:t>
      </w:r>
    </w:p>
    <w:p>
      <w:pPr>
        <w:pStyle w:val="BookText"/>
        <w:rPr/>
      </w:pPr>
      <w:r>
        <w:rPr>
          <w:rFonts w:ascii="IRNazanin" w:hAnsi="IRNazanin" w:eastAsia="IRNazanin"/>
          <w:color w:val="111111"/>
          <w:sz w:val="28"/>
          <w:sz w:val="28"/>
          <w:szCs w:val="28"/>
          <w:rtl w:val="true"/>
          <w:lang w:bidi="fa-IR"/>
        </w:rPr>
        <w:t>اختلاف و نیز وی مقتضای اصل را عدم اعتبار عدالت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حدائق عدم اعتبار را به ظاهر اصحاب نسبت داده است</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بنابراین تقریبا این مطلب مورد اجماع است که اگر ولایت را برای خودش قرار دهد، عدالت در وی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مواردی که واقف، تولیت را برای دیگری قرار داده است ؛ صاحب حدائق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اگر غیر واقف باشد، خواه منصوب از طرف واقف باشد یا نباشد عدالت</w:t>
      </w:r>
    </w:p>
    <w:p>
      <w:pPr>
        <w:pStyle w:val="BookText"/>
        <w:rPr/>
      </w:pPr>
      <w:r>
        <w:rPr>
          <w:rFonts w:ascii="IRNazanin" w:hAnsi="IRNazanin" w:eastAsia="IRNazanin"/>
          <w:color w:val="111111"/>
          <w:sz w:val="28"/>
          <w:sz w:val="28"/>
          <w:szCs w:val="28"/>
          <w:rtl w:val="true"/>
          <w:lang w:bidi="fa-IR"/>
        </w:rPr>
        <w:t>در وی شرط است و در این مورد خلافی را سراغ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همچنین به بیان امیر مؤمنان علیه‌السلام استناد کرده است که درباره وقف یَنبع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برای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پیش آمد، در صورتی که در میان آنها کسی که</w:t>
      </w:r>
    </w:p>
    <w:p>
      <w:pPr>
        <w:pStyle w:val="BookText"/>
        <w:rPr/>
      </w:pPr>
      <w:r>
        <w:rPr>
          <w:rFonts w:ascii="IRNazanin" w:hAnsi="IRNazanin" w:eastAsia="IRNazanin"/>
          <w:color w:val="111111"/>
          <w:sz w:val="28"/>
          <w:sz w:val="28"/>
          <w:szCs w:val="28"/>
          <w:rtl w:val="true"/>
          <w:lang w:bidi="fa-IR"/>
        </w:rPr>
        <w:t>خداوند از هدایت، اسلام و امانت او راضی بود، متولّی باشد</w:t>
      </w:r>
      <w:r>
        <w:rPr>
          <w:rFonts w:eastAsia="IRNazanin" w:cs="IRNazanin"/>
          <w:color w:val="111111"/>
          <w:sz w:val="28"/>
          <w:szCs w:val="28"/>
          <w:rtl w:val="true"/>
          <w:lang w:bidi="fa-IR"/>
        </w:rPr>
        <w:t>».</w:t>
      </w:r>
      <w:r>
        <w:rPr>
          <w:rStyle w:val="FootnoteAnchor"/>
          <w:rtl w:val="true"/>
        </w:rPr>
        <w:footnoteReference w:id="1191"/>
      </w:r>
      <w:r>
        <w:rPr>
          <w:rFonts w:ascii="IRNazanin" w:hAnsi="IRNazanin" w:eastAsia="IRNazanin"/>
          <w:color w:val="111111"/>
          <w:sz w:val="28"/>
          <w:sz w:val="28"/>
          <w:szCs w:val="28"/>
          <w:rtl w:val="true"/>
          <w:lang w:bidi="fa-IR"/>
        </w:rPr>
        <w:t>صاحب حدائق، بجز</w:t>
      </w:r>
    </w:p>
    <w:p>
      <w:pPr>
        <w:pStyle w:val="BookText"/>
        <w:rPr/>
      </w:pPr>
      <w:r>
        <w:rPr>
          <w:rFonts w:ascii="IRNazanin" w:hAnsi="IRNazanin" w:eastAsia="IRNazanin"/>
          <w:color w:val="111111"/>
          <w:sz w:val="28"/>
          <w:sz w:val="28"/>
          <w:szCs w:val="28"/>
          <w:rtl w:val="true"/>
          <w:lang w:bidi="fa-IR"/>
        </w:rPr>
        <w:t>عدالت، بصیر بودن و مدیریّت در تصرّف را نیز معتبر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مسالک نیز</w:t>
      </w:r>
    </w:p>
    <w:p>
      <w:pPr>
        <w:pStyle w:val="BookText"/>
        <w:rPr/>
      </w:pPr>
      <w:r>
        <w:rPr>
          <w:rFonts w:ascii="IRNazanin" w:hAnsi="IRNazanin" w:eastAsia="IRNazanin"/>
          <w:color w:val="111111"/>
          <w:sz w:val="28"/>
          <w:sz w:val="28"/>
          <w:szCs w:val="28"/>
          <w:rtl w:val="true"/>
          <w:lang w:bidi="fa-IR"/>
        </w:rPr>
        <w:t>عدالت، کاردانی و آشنایی با چگونگی تصرّف را معتبر دانسته است</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ابن حمزه در وسیله، ثقه بودن را شرط کرده که اگر ضعیف بود حاکم، امینی قوی را در کنار او قرار می‌دهد، و اگر فاسق شد او را عزل می‌کند</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علاّمه در تذکره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واقف ولایت را به گمان عدالت، برای دیگری قرار داده باشد، عدالت در وی شرط است، به طوری که اگر از عدالت خارج شود وقف، حکم موردی را پیدا می‌کند که واقف کسی را معیّن نکرده باشد و اگر واقف با علم به فسق او، تولیت را برایش</w:t>
      </w:r>
    </w:p>
    <w:p>
      <w:pPr>
        <w:pStyle w:val="BookText"/>
        <w:rPr/>
      </w:pPr>
      <w:r>
        <w:rPr>
          <w:rFonts w:ascii="IRNazanin" w:hAnsi="IRNazanin" w:eastAsia="IRNazanin"/>
          <w:color w:val="111111"/>
          <w:sz w:val="28"/>
          <w:sz w:val="28"/>
          <w:szCs w:val="28"/>
          <w:rtl w:val="true"/>
          <w:lang w:bidi="fa-IR"/>
        </w:rPr>
        <w:t xml:space="preserve">قرار داده، اقرب این است که باید از شرط واقف پیروی کرد و اگر واقف امر تولیت را مطلق گذاشته و متولّی برای وقف معیّن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باید برای این امر صلاحیت داشته باشد و صلاحیت با تحقّق دو وصف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امانت و دیگری کفایت و تدبیر</w:t>
      </w:r>
      <w:r>
        <w:rPr>
          <w:rFonts w:eastAsia="IRNazanin" w:cs="IRNazanin"/>
          <w:color w:val="111111"/>
          <w:sz w:val="28"/>
          <w:szCs w:val="28"/>
          <w:rtl w:val="true"/>
          <w:lang w:bidi="fa-IR"/>
        </w:rPr>
        <w:t>.</w:t>
      </w:r>
      <w:r>
        <w:rPr>
          <w:rStyle w:val="FootnoteAnchor"/>
          <w:rtl w:val="true"/>
        </w:rPr>
        <w:footnoteReference w:id="1194"/>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ضمن ردّ عدم خلاف در مسأله، قول موجّه را عدم اعتبار عدالت دانسته و اظهار داشته است که در متولّی، به امانت و وثاقت اکتفا می‌شود، زیرا برای </w:t>
      </w:r>
    </w:p>
    <w:p>
      <w:pPr>
        <w:pStyle w:val="BookText"/>
        <w:rPr/>
      </w:pPr>
      <w:r>
        <w:rPr>
          <w:rFonts w:ascii="IRNazanin" w:hAnsi="IRNazanin" w:eastAsia="IRNazanin"/>
          <w:color w:val="111111"/>
          <w:sz w:val="28"/>
          <w:sz w:val="28"/>
          <w:szCs w:val="28"/>
          <w:rtl w:val="true"/>
          <w:lang w:bidi="fa-IR"/>
        </w:rPr>
        <w:t>اعتبار این شرط دلیلی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واقف، عدالت رادر متولّی شرط کند باید به شرط وی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معتقد است حدیث وقف علی علیه‌السلام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لزوم عدالت دلالتی ندارد</w:t>
      </w:r>
      <w:r>
        <w:rPr>
          <w:rFonts w:eastAsia="IRNazanin" w:cs="IRNazanin"/>
          <w:color w:val="111111"/>
          <w:sz w:val="28"/>
          <w:szCs w:val="28"/>
          <w:rtl w:val="true"/>
          <w:lang w:bidi="fa-IR"/>
        </w:rPr>
        <w:t>.</w:t>
      </w:r>
      <w:r>
        <w:rPr>
          <w:rStyle w:val="FootnoteAnchor"/>
          <w:rtl w:val="true"/>
        </w:rPr>
        <w:footnoteReference w:id="1195"/>
      </w:r>
      <w:r>
        <w:rPr>
          <w:rFonts w:ascii="IRNazanin" w:hAnsi="IRNazanin" w:eastAsia="IRNazanin"/>
          <w:color w:val="111111"/>
          <w:sz w:val="28"/>
          <w:sz w:val="28"/>
          <w:szCs w:val="28"/>
          <w:rtl w:val="true"/>
          <w:lang w:bidi="fa-IR"/>
        </w:rPr>
        <w:t>صاحب عروه، مغنیه و امام خمینی در تحریر نیز همین نظر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آیه‌اللّه حکیم و آیه‌اللّه خویی حتّی امانت را هم معتبر نمی‌دانند و تصریح</w:t>
      </w:r>
    </w:p>
    <w:p>
      <w:pPr>
        <w:pStyle w:val="BookText"/>
        <w:rPr/>
      </w:pPr>
      <w:r>
        <w:rPr>
          <w:rFonts w:ascii="IRNazanin" w:hAnsi="IRNazanin" w:eastAsia="IRNazanin"/>
          <w:color w:val="111111"/>
          <w:sz w:val="28"/>
          <w:sz w:val="28"/>
          <w:szCs w:val="28"/>
          <w:rtl w:val="true"/>
          <w:lang w:bidi="fa-IR"/>
        </w:rPr>
        <w:t>کرده‌اند که اگر متولّی خائن بود، حاکم شرعی ضمّ امین می‌کند تا او را از خیانت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این امر ممکن نشد، حاکم او را عزل می‌کند</w:t>
      </w:r>
      <w:r>
        <w:rPr>
          <w:rFonts w:eastAsia="IRNazanin" w:cs="IRNazanin"/>
          <w:color w:val="111111"/>
          <w:sz w:val="28"/>
          <w:szCs w:val="28"/>
          <w:rtl w:val="true"/>
          <w:lang w:bidi="fa-IR"/>
        </w:rPr>
        <w:t>.</w:t>
      </w:r>
      <w:r>
        <w:rPr>
          <w:rStyle w:val="FootnoteAnchor"/>
          <w:rtl w:val="true"/>
        </w:rPr>
        <w:footnoteReference w:id="1196"/>
      </w:r>
    </w:p>
    <w:p>
      <w:pPr>
        <w:pStyle w:val="BookText"/>
        <w:rPr/>
      </w:pPr>
      <w:r>
        <w:rPr>
          <w:rFonts w:ascii="IRNazanin" w:hAnsi="IRNazanin" w:eastAsia="IRNazanin"/>
          <w:color w:val="111111"/>
          <w:sz w:val="28"/>
          <w:sz w:val="28"/>
          <w:szCs w:val="28"/>
          <w:rtl w:val="true"/>
          <w:lang w:bidi="fa-IR"/>
        </w:rPr>
        <w:t xml:space="preserve">بدون تردید مسأله تولیت و نظارت بر وقف برای رعایت مصالح مال موقوف و نیز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وجهاتی است که برای مصرف وقف در نظر گرفته شده‌اند؛ و این متولّی است که موظّف است مال وقفی را از تعرّض و تصرّفات بی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زیان وقف است ونیز از دستبرد و تجاوزاتی که اوقاف در معرض آنها قرار دارند، جلوگیری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وظیفه خطیر، به نظر می‌رسد اگر ما در متولّی عدالت را هم شرط ندانیم بجز اعتبار کفایت و امانت، حاکم شرع نیز باید بر رفتار متولّیان اوقاف، اشراف و نظارت کامل و دائم داشته باشد و به قول محمّد ابوزهره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موارد قاضی نباید در ورطه خوشبینی بیفتد و حتّی به شهادت اکتفا کند، بلکه باید به مدارک کتبی و نظر کارشناسان نیز توجّه داشته باشد تا گرفتار شهود زور نشود و خلاصه این مورد شبیه باب</w:t>
      </w:r>
    </w:p>
    <w:p>
      <w:pPr>
        <w:pStyle w:val="BookText"/>
        <w:rPr/>
      </w:pPr>
      <w:r>
        <w:rPr>
          <w:rFonts w:ascii="IRNazanin" w:hAnsi="IRNazanin" w:eastAsia="IRNazanin"/>
          <w:color w:val="111111"/>
          <w:sz w:val="28"/>
          <w:sz w:val="28"/>
          <w:szCs w:val="28"/>
          <w:rtl w:val="true"/>
          <w:lang w:bidi="fa-IR"/>
        </w:rPr>
        <w:t>دَیْن است که خداوند در قرآن کریم</w:t>
      </w:r>
      <w:r>
        <w:rPr>
          <w:rStyle w:val="FootnoteAnchor"/>
          <w:rtl w:val="true"/>
        </w:rPr>
        <w:footnoteReference w:id="1197"/>
      </w:r>
      <w:r>
        <w:rPr>
          <w:rFonts w:ascii="IRNazanin" w:hAnsi="IRNazanin" w:eastAsia="IRNazanin"/>
          <w:color w:val="111111"/>
          <w:sz w:val="28"/>
          <w:sz w:val="28"/>
          <w:szCs w:val="28"/>
          <w:rtl w:val="true"/>
          <w:lang w:bidi="fa-IR"/>
        </w:rPr>
        <w:t>برای املا، اشهاد، رهن، کتابت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فرموده است</w:t>
      </w:r>
      <w:r>
        <w:rPr>
          <w:rFonts w:eastAsia="IRNazanin" w:cs="IRNazanin"/>
          <w:color w:val="111111"/>
          <w:sz w:val="28"/>
          <w:szCs w:val="28"/>
          <w:rtl w:val="true"/>
          <w:lang w:bidi="fa-IR"/>
        </w:rPr>
        <w:t>.</w:t>
      </w:r>
      <w:r>
        <w:rPr>
          <w:rStyle w:val="FootnoteAnchor"/>
          <w:rtl w:val="true"/>
        </w:rPr>
        <w:footnoteReference w:id="1198"/>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 بسیار تلخ موقوفه خواریهای بی حدّ و حصری که در تاریخ اوقاف برای اموال موقوفه رخ داده است بروشنی این ضرورت را ایجاب می‌کند</w:t>
      </w:r>
      <w:r>
        <w:rPr>
          <w:rFonts w:eastAsia="IRNazanin" w:cs="IRNazanin"/>
          <w:color w:val="111111"/>
          <w:sz w:val="28"/>
          <w:szCs w:val="28"/>
          <w:rtl w:val="true"/>
          <w:lang w:bidi="fa-IR"/>
        </w:rPr>
        <w:t xml:space="preserve">. </w:t>
      </w:r>
      <w:bookmarkStart w:id="741" w:name="pg4267_22010"/>
    </w:p>
    <w:p>
      <w:pPr>
        <w:pStyle w:val="Heading6"/>
        <w:numPr>
          <w:ilvl w:val="5"/>
          <w:numId w:val="1"/>
        </w:numPr>
        <w:rPr/>
      </w:pPr>
      <w:bookmarkStart w:id="742" w:name="__RefHeading___Toc474441_1479056682"/>
      <w:bookmarkStart w:id="743" w:name="_Toc283"/>
      <w:bookmarkEnd w:id="741"/>
      <w:bookmarkEnd w:id="742"/>
      <w:r>
        <w:rPr>
          <w:rtl w:val="true"/>
        </w:rPr>
        <w:t>دیدگاه دیگر مذاهب</w:t>
      </w:r>
      <w:bookmarkEnd w:id="743"/>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از عبارات البحر الزّخّار استفاده می‌شود که در متولّی وقف، عدالت شرط است</w:t>
      </w:r>
      <w:r>
        <w:rPr>
          <w:rFonts w:eastAsia="IRNazanin" w:cs="IRNazanin"/>
          <w:color w:val="111111"/>
          <w:sz w:val="28"/>
          <w:szCs w:val="28"/>
          <w:rtl w:val="true"/>
          <w:lang w:bidi="fa-IR"/>
        </w:rPr>
        <w:t>.</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حنفیّه درباره شرط عقل معتقدند که اگر هنگام عقد مجنون باشد ولایتش صحیح نیست و اگر عاقل بوده و بعد دیوانه شده، تولیت صحیح است، امّا اگر جنون اطباقی بود عزل می‌شود و درباره شرط بلوغ نظرشان این است که اگر هنگام عقد صغیر باشد در صورتی که تولیت از طرف قاضی باشد، صحیح نیست و اگر از طرف واقف باشد مقتضای قیاس عدم صحّت است، امّا استحسان، اقتضای انعقاد تولیت صغیر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درباره عدالت؛ وَهبة الزُّحَیْلی اعتبار عدالت ظاهره را به طور مطلق به آنها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ابوزهره معتقد است حنفیّه عدالت را شرط اولویّت ولایت می‌دانند نه شرط صحّت آن؛ کبیسی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از ابن نجیم در البحر الرائق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ابوزهره را قول گروهی از حنفیّه می‌داند و از الاسعاف نقل کرده است که گروه دیگری از فقهای حنفیّه عدالت و امانت راشرط تولیت دانسته‌اند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وَهبَةُ الزُّحَیلی به اجمال، اشتراط عدالت ظاهره را به مالکیّه نسبت داده است، امّا کبیسی تصریح کرده است که متولّی باید مورد وثوق و اطمینان باشد، خواه متولّی منصوب از سوی واقف و یا از سوی حاکم باشد</w:t>
      </w:r>
      <w:r>
        <w:rPr>
          <w:rFonts w:eastAsia="IRNazanin" w:cs="IRNazanin"/>
          <w:color w:val="111111"/>
          <w:sz w:val="28"/>
          <w:szCs w:val="28"/>
          <w:rtl w:val="true"/>
          <w:lang w:bidi="fa-IR"/>
        </w:rPr>
        <w:t>.</w:t>
      </w:r>
      <w:r>
        <w:rPr>
          <w:rStyle w:val="FootnoteAnchor"/>
          <w:rtl w:val="true"/>
        </w:rPr>
        <w:footnoteReference w:id="1201"/>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احکام و فروعات جزئی متعدّد دیگری در این مبحث وجود دارند که برای جلوگیری از اطاله کلام از ذکر آنها خودداری می‌شود</w:t>
      </w:r>
      <w:r>
        <w:rPr>
          <w:rFonts w:eastAsia="IRNazanin" w:cs="IRNazanin"/>
          <w:color w:val="111111"/>
          <w:sz w:val="28"/>
          <w:szCs w:val="28"/>
          <w:rtl w:val="true"/>
          <w:lang w:bidi="fa-IR"/>
        </w:rPr>
        <w:t xml:space="preserve">. </w:t>
      </w:r>
      <w:bookmarkStart w:id="744" w:name="pg4267_22011"/>
    </w:p>
    <w:p>
      <w:pPr>
        <w:pStyle w:val="BookText"/>
        <w:rPr/>
      </w:pPr>
      <w:bookmarkEnd w:id="744"/>
      <w:r>
        <w:rPr>
          <w:rFonts w:ascii="IRNazanin" w:hAnsi="IRNazanin" w:eastAsia="IRNazanin"/>
          <w:color w:val="111111"/>
          <w:sz w:val="28"/>
          <w:sz w:val="28"/>
          <w:szCs w:val="28"/>
          <w:rtl w:val="true"/>
          <w:lang w:bidi="fa-IR"/>
        </w:rPr>
        <w:t>شافعیه</w:t>
      </w:r>
    </w:p>
    <w:p>
      <w:pPr>
        <w:pStyle w:val="BookText"/>
        <w:rPr/>
      </w:pPr>
      <w:r>
        <w:rPr>
          <w:rFonts w:ascii="IRNazanin" w:hAnsi="IRNazanin" w:eastAsia="IRNazanin"/>
          <w:color w:val="111111"/>
          <w:sz w:val="28"/>
          <w:sz w:val="28"/>
          <w:szCs w:val="28"/>
          <w:rtl w:val="true"/>
          <w:lang w:bidi="fa-IR"/>
        </w:rPr>
        <w:t>شافعیّه برای ناظر، عدالت و کفایت را معتبر دانسته‌اند، خواه متولّی خود واقف، یا منصوب از جانب او، یا از سوی قاضی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نظارت خود نوعی ولایت است، همانند نظارت در وصّی و قیّم و ولی، و ناظر در این موارد باید عادل و با کفایت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شربینی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باطنی در متولّی منصوب از طرف حاکم شرط است، امّا در متولّی منصوب از سوی واقف سزاوار است به عدالت ظاهری اکتفا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اگر یکی از این دو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وکفایت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 از ولایت ساقط می‌شود و اگر دوباره عَوْد کرد ولایتش نیز عَوْد می‌کند</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حنابله بلوغ و رشد وعقل را در متولّی شرط نمی‌دانند و در موارد فقدان این شروط یا یکی از آنها وَلِیّ فردِ غیر رشید را جانشین او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حنابله شرط عدالت را نیز معتبر نمی‌دانند و معتقدند برای جمع بین حق متولّی و حق وقف، اگر متولّی فاسق بود و یا بعدا فاسق شد شخصی امین را در کنارش قرار می‌دهند؛ البتّه احتمال می‌رود که تولیت فاسق صحیح نباشد و یا فاسق در اثناء منعزل شود</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در ضمن از عبارت ابن قدامه در مدرک فوق استفاده می‌شود که اگر ناظر موقوفٌ عَلَیْه باشد در صورت فسق هم نیازی به ضمّ امین نیست، زیرا او برای خودش نظارت می‌کند و این مال برای او حکم ملک طِلق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جای این سؤال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بطون و نسلهای بعدی در این مال حقّی ندارند؟</w:t>
      </w:r>
    </w:p>
    <w:p>
      <w:pPr>
        <w:pStyle w:val="Heading5"/>
        <w:numPr>
          <w:ilvl w:val="4"/>
          <w:numId w:val="1"/>
        </w:numPr>
        <w:rPr/>
      </w:pPr>
      <w:bookmarkStart w:id="745" w:name="__RefHeading___Toc474443_1479056682"/>
      <w:bookmarkStart w:id="746" w:name="_Toc284"/>
      <w:bookmarkEnd w:id="745"/>
      <w:r>
        <w:rPr>
          <w:rtl w:val="true"/>
        </w:rPr>
        <w:t xml:space="preserve">گفتار </w:t>
      </w:r>
      <w:r>
        <w:rPr/>
        <w:t>4</w:t>
      </w:r>
      <w:r>
        <w:rPr>
          <w:rtl w:val="true"/>
        </w:rPr>
        <w:t xml:space="preserve">- </w:t>
      </w:r>
      <w:r>
        <w:rPr>
          <w:rtl w:val="true"/>
        </w:rPr>
        <w:t>عزل متولّی در صورت سلب صلاحیت و</w:t>
      </w:r>
      <w:r>
        <w:rPr>
          <w:rtl w:val="true"/>
        </w:rPr>
        <w:t>...</w:t>
      </w:r>
      <w:bookmarkEnd w:id="746"/>
    </w:p>
    <w:p>
      <w:pPr>
        <w:pStyle w:val="Heading6"/>
        <w:numPr>
          <w:ilvl w:val="5"/>
          <w:numId w:val="1"/>
        </w:numPr>
        <w:rPr/>
      </w:pPr>
      <w:bookmarkStart w:id="747" w:name="__RefHeading___Toc474445_1479056682"/>
      <w:bookmarkStart w:id="748" w:name="_Toc285"/>
      <w:bookmarkEnd w:id="747"/>
      <w:r>
        <w:rPr>
          <w:rtl w:val="true"/>
        </w:rPr>
        <w:t>اشاره</w:t>
      </w:r>
      <w:bookmarkEnd w:id="74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چند نکته و مسأله در ذیل این عنوان خالی از فایده نیست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که عدّه‌ای از اَعلام از جمله، علاّمه</w:t>
      </w:r>
      <w:r>
        <w:rPr>
          <w:rStyle w:val="FootnoteAnchor"/>
          <w:rtl w:val="true"/>
        </w:rPr>
        <w:footnoteReference w:id="1204"/>
      </w:r>
      <w:r>
        <w:rPr>
          <w:rFonts w:ascii="IRNazanin" w:hAnsi="IRNazanin" w:eastAsia="IRNazanin"/>
          <w:color w:val="111111"/>
          <w:sz w:val="28"/>
          <w:sz w:val="28"/>
          <w:szCs w:val="28"/>
          <w:rtl w:val="true"/>
          <w:lang w:bidi="fa-IR"/>
        </w:rPr>
        <w:t>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برکسی که واقف در ضمن عقد او را متولّی قرار داده است، قبول تولیت و استمرار آن بعد از قبول واجب نیست وبرای این امر به اصل استناد کرده‌اند، یعنی استصحاب عدم وجوب آن در اصل، و نیز برای این که تولیت در حکم وکالت است که قبول و استمرار در آن بر وکیل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ضمن بیان اقوال و استدلالهایی در جواز ردّ بعد از قبول، مناقشه و اشکال کرده است؛ زیرا استمرار تولیت بعد از قبول، در حقیقت مقتضای اطلاق امر به وفای به عقد از جانب متعاقدین و کسانی است که با عقد، ارتباطی دارند و نیز وجوب قیام به‌مقتضای نظارت و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عقد وقف است؛ زیرا فرض این است که در ضمن عقد برای او قرار داده‌اند و او هم قبول کرده است</w:t>
      </w:r>
      <w:r>
        <w:rPr>
          <w:rFonts w:eastAsia="IRNazanin" w:cs="IRNazanin"/>
          <w:color w:val="111111"/>
          <w:sz w:val="28"/>
          <w:szCs w:val="28"/>
          <w:rtl w:val="true"/>
          <w:lang w:bidi="fa-IR"/>
        </w:rPr>
        <w:t>.</w:t>
      </w:r>
      <w:r>
        <w:rPr>
          <w:rStyle w:val="FootnoteAnchor"/>
          <w:rtl w:val="true"/>
        </w:rPr>
        <w:footnoteReference w:id="1205"/>
      </w:r>
    </w:p>
    <w:p>
      <w:pPr>
        <w:pStyle w:val="BookText"/>
        <w:rPr/>
      </w:pPr>
      <w:r>
        <w:rPr>
          <w:rFonts w:ascii="IRNazanin" w:hAnsi="IRNazanin" w:eastAsia="IRNazanin"/>
          <w:color w:val="111111"/>
          <w:sz w:val="28"/>
          <w:sz w:val="28"/>
          <w:szCs w:val="28"/>
          <w:rtl w:val="true"/>
          <w:lang w:bidi="fa-IR"/>
        </w:rPr>
        <w:t>به نظر می‌رسد در این مورد دیدگاه صاحب جواهر قابل توجیه و تأیید باشد، برای این که گذشته از دو دلیل یا مؤیّدی که وی ذکر کرد، جواز رد بعد از قبول ممکن است به</w:t>
      </w:r>
    </w:p>
    <w:p>
      <w:pPr>
        <w:pStyle w:val="BookText"/>
        <w:rPr/>
      </w:pPr>
      <w:r>
        <w:rPr>
          <w:rFonts w:ascii="Amiri" w:hAnsi="Amiri" w:eastAsia="Amiri" w:cs="Amiri"/>
          <w:color w:val="111111"/>
          <w:sz w:val="28"/>
          <w:sz w:val="28"/>
          <w:szCs w:val="28"/>
          <w:rtl w:val="true"/>
          <w:lang w:bidi="ar-SA"/>
        </w:rPr>
        <w:t xml:space="preserve">مصالح وقف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موقوفٌ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آسیب وارد کند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عزل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اَعلام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واقف کسی که او را در عقد، متولّی قرار داده است، عزل کند واین امر مقتضای عموم امر به رعایت شروط است؛ امّا اگر واقف بعد از عقد وقف کسی را به عنوان متولّی برگزیده باشد هر زمان که</w:t>
      </w:r>
    </w:p>
    <w:p>
      <w:pPr>
        <w:pStyle w:val="BookText"/>
        <w:rPr/>
      </w:pPr>
      <w:r>
        <w:rPr>
          <w:rFonts w:ascii="IRNazanin" w:hAnsi="IRNazanin" w:eastAsia="IRNazanin"/>
          <w:color w:val="111111"/>
          <w:sz w:val="28"/>
          <w:sz w:val="28"/>
          <w:szCs w:val="28"/>
          <w:rtl w:val="true"/>
          <w:lang w:bidi="fa-IR"/>
        </w:rPr>
        <w:t>بخواهد حق عزل او را دارد، زیرا در این صورت متولّی همانند وکیل است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البتّه صاحب حدائق در مورد تولیت در ضمن عقد نیز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بروز عوامل موجب عزل می‌توان او را عزل کرد</w:t>
      </w:r>
      <w:r>
        <w:rPr>
          <w:rFonts w:eastAsia="IRNazanin" w:cs="IRNazanin"/>
          <w:color w:val="111111"/>
          <w:sz w:val="28"/>
          <w:szCs w:val="28"/>
          <w:rtl w:val="true"/>
          <w:lang w:bidi="fa-IR"/>
        </w:rPr>
        <w:t>.</w:t>
      </w:r>
      <w:r>
        <w:rPr>
          <w:rStyle w:val="FootnoteAnchor"/>
          <w:rtl w:val="true"/>
        </w:rPr>
        <w:footnoteReference w:id="1207"/>
      </w:r>
    </w:p>
    <w:p>
      <w:pPr>
        <w:pStyle w:val="BookText"/>
        <w:rPr/>
      </w:pPr>
      <w:r>
        <w:rPr>
          <w:rFonts w:ascii="IRNazanin" w:hAnsi="IRNazanin" w:eastAsia="IRNazanin"/>
          <w:color w:val="111111"/>
          <w:sz w:val="28"/>
          <w:sz w:val="28"/>
          <w:szCs w:val="28"/>
          <w:rtl w:val="true"/>
          <w:lang w:bidi="fa-IR"/>
        </w:rPr>
        <w:t xml:space="preserve">علاّمه کاشف الغطاء نیز تصریح کرده است که نصب کننده یا غیر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مواردی که بر استمرار این تولیت فسادی مترتّب شود یا از اهلیّت و قابلیّت بیفتد حق</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عزل او را ندارند و در صورت سلب صلاحیت منعزل می‌شود که اگر مجددا شایستگی پیدا کرد دوباره حق تولیت او باز می‌گردد؛ امّا اگر حاکم بدون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عَوْد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عزل کرده باشد ولایتش به هیچ وجه باز نمی‌گردد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IRNazanin" w:hAnsi="IRNazanin" w:eastAsia="IRNazanin"/>
          <w:color w:val="111111"/>
          <w:sz w:val="28"/>
          <w:sz w:val="28"/>
          <w:szCs w:val="28"/>
          <w:rtl w:val="true"/>
          <w:lang w:bidi="fa-IR"/>
        </w:rPr>
        <w:t>آیه‌اللّه حکیم و آیه‌اللّه خویی نیز برای واقف، عزل متولّی و ناظر منصوب از سوی خود را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واقف شرطی را معتبر دانسته و متولّی فاقد آن باشد،</w:t>
      </w:r>
    </w:p>
    <w:p>
      <w:pPr>
        <w:pStyle w:val="BookText"/>
        <w:rPr/>
      </w:pPr>
      <w:r>
        <w:rPr>
          <w:rFonts w:ascii="IRNazanin" w:hAnsi="IRNazanin" w:eastAsia="IRNazanin"/>
          <w:color w:val="111111"/>
          <w:sz w:val="28"/>
          <w:sz w:val="28"/>
          <w:szCs w:val="28"/>
          <w:rtl w:val="true"/>
          <w:lang w:bidi="fa-IR"/>
        </w:rPr>
        <w:t>خود به خود منعزل خواهد شد</w:t>
      </w:r>
      <w:r>
        <w:rPr>
          <w:rFonts w:eastAsia="IRNazanin" w:cs="IRNazanin"/>
          <w:color w:val="111111"/>
          <w:sz w:val="28"/>
          <w:szCs w:val="28"/>
          <w:rtl w:val="true"/>
          <w:lang w:bidi="fa-IR"/>
        </w:rPr>
        <w:t>.</w:t>
      </w:r>
      <w:r>
        <w:rPr>
          <w:rStyle w:val="FootnoteAnchor"/>
          <w:rtl w:val="true"/>
        </w:rPr>
        <w:footnoteReference w:id="1209"/>
      </w:r>
      <w:r>
        <w:rPr>
          <w:rFonts w:ascii="IRNazanin" w:hAnsi="IRNazanin" w:eastAsia="IRNazanin"/>
          <w:color w:val="111111"/>
          <w:sz w:val="28"/>
          <w:sz w:val="28"/>
          <w:szCs w:val="28"/>
          <w:rtl w:val="true"/>
          <w:lang w:bidi="fa-IR"/>
        </w:rPr>
        <w:t>و امّا در مواردی که واقف یا حاکم ولیّ را انتخاب کرده باشد تا زمانی که به وظایف خویش عمل می‌کند کسی بر او سلطه‌ای ندارد؛ امّا اگر تقصیر یا خیانت کند به طوری که بقا و استمرار ولایت وی موجب وارد شدن خسارت به وقف یا موقوفٌ عَلَیْه شود، حاکم او را عزل و دیگری را جایگزین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w:t>
      </w:r>
    </w:p>
    <w:p>
      <w:pPr>
        <w:pStyle w:val="BookText"/>
        <w:rPr/>
      </w:pPr>
      <w:r>
        <w:rPr>
          <w:rFonts w:ascii="IRNazanin" w:hAnsi="IRNazanin" w:eastAsia="IRNazanin"/>
          <w:color w:val="111111"/>
          <w:sz w:val="28"/>
          <w:sz w:val="28"/>
          <w:szCs w:val="28"/>
          <w:rtl w:val="true"/>
          <w:lang w:bidi="fa-IR"/>
        </w:rPr>
        <w:t>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در این صورت ضمیمه یک شخص امین و کاردان به این متولّی است</w:t>
      </w:r>
      <w:r>
        <w:rPr>
          <w:rFonts w:eastAsia="IRNazanin" w:cs="IRNazanin"/>
          <w:color w:val="111111"/>
          <w:sz w:val="28"/>
          <w:szCs w:val="28"/>
          <w:rtl w:val="true"/>
          <w:lang w:bidi="fa-IR"/>
        </w:rPr>
        <w:t>.</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به نظر می‌رسد؛ ولایت ونظارت در وقف بیش از آن که حق باشد وظیفه است؛ یعنی جعل تولیت در وقف وسیله‌ای برای به نوا رسیدن فرد یا افرادی نیست، بلکه وسیله‌ای است برای حفظ و نگهداری از وقف و رعایت مصالح و جلوگیری از نابودی واضمحلال آن و همچنین برای اداره امور مربوط به آن و رساندن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مواردی که استمرار ولایت متولّی، هر چند از سوی واقف در ضمن عقد منصوب باشد، به دلیل خیانت یا بی کفایتی موجب تضعیف و یانابودی مال موقوف و یا آسیب رسیدن به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حکم به عدم جواز عزلِ متولّی با فلسفه و حکمت و غرض اصلی جعل تولیت تضادّ و تنافی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هم که به طور مطلق، عدم جواز عزل را مطرح کرده‌اند منظورشان غیر از چنین مواردی می‌باشد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دیگر این که از لابه لای کلمات اَعلام به دست می‌آیدکه در موارد عزل و یا مرگ متولّی حکم تولیت همانند موردی است که واقف کسی را تعیین نکرده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احیانا ممکن است کسانی در این مورد حق حاکم را از موردی که واقف تعیین متولّی نکرده است، بیشتر بدانند</w:t>
      </w:r>
      <w:r>
        <w:rPr>
          <w:rFonts w:eastAsia="IRNazanin" w:cs="IRNazanin"/>
          <w:color w:val="111111"/>
          <w:sz w:val="28"/>
          <w:szCs w:val="28"/>
          <w:rtl w:val="true"/>
          <w:lang w:bidi="fa-IR"/>
        </w:rPr>
        <w:t>.</w:t>
      </w:r>
      <w:r>
        <w:rPr>
          <w:rStyle w:val="FootnoteAnchor"/>
          <w:rtl w:val="true"/>
        </w:rPr>
        <w:footnoteReference w:id="1211"/>
      </w:r>
      <w:bookmarkStart w:id="749" w:name="pg4267_22017"/>
    </w:p>
    <w:p>
      <w:pPr>
        <w:pStyle w:val="Heading6"/>
        <w:numPr>
          <w:ilvl w:val="5"/>
          <w:numId w:val="1"/>
        </w:numPr>
        <w:rPr/>
      </w:pPr>
      <w:bookmarkStart w:id="750" w:name="__RefHeading___Toc474447_1479056682"/>
      <w:bookmarkStart w:id="751" w:name="_Toc286"/>
      <w:bookmarkEnd w:id="749"/>
      <w:bookmarkEnd w:id="750"/>
      <w:r>
        <w:rPr>
          <w:rtl w:val="true"/>
        </w:rPr>
        <w:t>دیدگاه دیگر مذاهب</w:t>
      </w:r>
      <w:bookmarkEnd w:id="751"/>
    </w:p>
    <w:p>
      <w:pPr>
        <w:pStyle w:val="BookText"/>
        <w:rPr/>
      </w:pP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المصطلحات الوقفیّه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نقل از الاسعاف، مواهب الجلیل، روضه‌الطّالبین، کشّاف القناع،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در مورد عزل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دیدگاه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ناظر از سوی واقف وکیل است، بنابراین واقف حق عزل و استبدال او را دارد، همچنان که موکّل حق عزل وکیل خود را، هر چند بدون هیچ سببی،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مالکیّه و شافعیّه و ابویوسف از فقهای حنفیّه این نظر را برگزیده‌اند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الاسعاف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وکیلِ واقف است، لذا هر چند عدم عزل او را بر خود شرط کرده باشد، حق عزل او را دارد و با مرگ واقف، ناظر، منعزل خواهد شد، مگر آن که ولایت را برای او به عنوان وصیّت قرار داده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ناظر از سوی مستحقان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حنابله و محمدبن حسن از حنفیّه این دیدگاه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واقف نظارت را برای دیگری شرط کرده باشد، جز در صورتی که ولایت عزل متولّی را برای خود شرط کرده است، حق عزل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متولّی قائم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ووکیل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اینها مربوط به مواردی است که از متولّی کاری که موجب عزل او شود، صادر نشده باشد؛ امّا در صورتی که از وی عملی که موجب عزل باشد، سرزند مثل این که خیانت کند، حتّی در صورتی که متولّی، خود واقف باشد یا واقف، عدم عزل او را شرط کرده باشد حق عزل او را دارد، زیرا ولایت و نظارت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نیست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وجود شرایط نظارت و صلاحیت برای شغل تولیت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در موردی این شرایط منتفی شد، حاکم او را عزل می‌کند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نجیم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واقفی را که متولّی وقف خویش است، در صورتی که خائن باشد، عزل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ودلیل این امر رعایت مصلحت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صورتی که واقف، شرط عدم عزل، توسّط قاضی یا سلطان، را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شرطش اعتنانمی شود؛ زیرا شرطی است مخالف با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752" w:name="pg4267_22019"/>
    </w:p>
    <w:p>
      <w:pPr>
        <w:pStyle w:val="BookText"/>
        <w:rPr/>
      </w:pPr>
      <w:bookmarkEnd w:id="752"/>
      <w:r>
        <w:rPr>
          <w:rFonts w:ascii="IRNazanin" w:hAnsi="IRNazanin" w:eastAsia="IRNazanin"/>
          <w:color w:val="111111"/>
          <w:sz w:val="28"/>
          <w:sz w:val="28"/>
          <w:szCs w:val="28"/>
          <w:rtl w:val="true"/>
          <w:lang w:bidi="fa-IR"/>
        </w:rPr>
        <w:t>بعضی از فقها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عزل، در صورت خیانت آشکار متولّی است؛ امّا در صورتی که این چنین نباشد و تنها قَدْح و طَعن در امانت وی پدید آمده باشد، حاکم فرد</w:t>
      </w:r>
    </w:p>
    <w:p>
      <w:pPr>
        <w:pStyle w:val="BookText"/>
        <w:rPr/>
      </w:pPr>
      <w:r>
        <w:rPr>
          <w:rFonts w:ascii="IRNazanin" w:hAnsi="IRNazanin" w:eastAsia="IRNazanin"/>
          <w:color w:val="111111"/>
          <w:sz w:val="28"/>
          <w:sz w:val="28"/>
          <w:szCs w:val="28"/>
          <w:rtl w:val="true"/>
          <w:lang w:bidi="fa-IR"/>
        </w:rPr>
        <w:t xml:space="preserve">امینی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نظارت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وی قرار می‌دهد</w:t>
      </w:r>
      <w:r>
        <w:rPr>
          <w:rFonts w:eastAsia="IRNazanin" w:cs="IRNazanin"/>
          <w:color w:val="111111"/>
          <w:sz w:val="28"/>
          <w:szCs w:val="28"/>
          <w:rtl w:val="true"/>
          <w:lang w:bidi="fa-IR"/>
        </w:rPr>
        <w:t>.</w:t>
      </w:r>
      <w:r>
        <w:rPr>
          <w:rStyle w:val="FootnoteAnchor"/>
          <w:rtl w:val="true"/>
        </w:rPr>
        <w:footnoteReference w:id="1212"/>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بلغه‌السّالک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ناظر بمیرد و واقف زنده باشد، هر که را او بخواهد به عنوان متولّی تعیین می‌کند و اگر مرده است این حق برای</w:t>
      </w:r>
    </w:p>
    <w:p>
      <w:pPr>
        <w:pStyle w:val="BookText"/>
        <w:rPr/>
      </w:pPr>
      <w:r>
        <w:rPr>
          <w:rFonts w:ascii="IRNazanin" w:hAnsi="IRNazanin" w:eastAsia="IRNazanin"/>
          <w:color w:val="111111"/>
          <w:sz w:val="28"/>
          <w:sz w:val="28"/>
          <w:szCs w:val="28"/>
          <w:rtl w:val="true"/>
          <w:lang w:bidi="fa-IR"/>
        </w:rPr>
        <w:t>وصیّ اوست در غیر این صورت، حق انتخاب با حاکم است</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مغنیه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منصوب از جانب واقف بمیرد یا به نوعی صلاحیتش زایل شود، جز در مواردی که واقف در هنگام انشای عقد چنین حقی را برای خود قرار داده است، ولایت به او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مالکیه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به واقف باز می‌گردد و او هرگاه که بخواهد حق عزل او را دارد</w:t>
      </w:r>
      <w:r>
        <w:rPr>
          <w:rFonts w:eastAsia="IRNazanin" w:cs="IRNazanin"/>
          <w:color w:val="111111"/>
          <w:sz w:val="28"/>
          <w:szCs w:val="28"/>
          <w:rtl w:val="true"/>
          <w:lang w:bidi="fa-IR"/>
        </w:rPr>
        <w:t>.</w:t>
      </w:r>
      <w:r>
        <w:rPr>
          <w:rStyle w:val="FootnoteAnchor"/>
          <w:rtl w:val="true"/>
        </w:rPr>
        <w:footnoteReference w:id="1214"/>
      </w:r>
      <w:r>
        <w:rPr>
          <w:rFonts w:ascii="IRNazanin" w:hAnsi="IRNazanin" w:eastAsia="IRNazanin"/>
          <w:color w:val="111111"/>
          <w:sz w:val="28"/>
          <w:sz w:val="28"/>
          <w:szCs w:val="28"/>
          <w:rtl w:val="true"/>
          <w:lang w:bidi="fa-IR"/>
        </w:rPr>
        <w:t xml:space="preserve">ولی اگر واقف مرده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باشند خودشان تولیت را بر عهده می‌گیرند</w:t>
      </w:r>
      <w:r>
        <w:rPr>
          <w:rFonts w:eastAsia="IRNazanin" w:cs="IRNazanin"/>
          <w:color w:val="111111"/>
          <w:sz w:val="28"/>
          <w:szCs w:val="28"/>
          <w:rtl w:val="true"/>
          <w:lang w:bidi="fa-IR"/>
        </w:rPr>
        <w:t>.</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 xml:space="preserve">سرخسی در مبسوط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فقه حنفی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متولّی در زمان حیات واقف بمیرد، امر ولایت با واقف است</w:t>
      </w:r>
      <w:r>
        <w:rPr>
          <w:rFonts w:eastAsia="IRNazanin" w:cs="IRNazanin"/>
          <w:color w:val="111111"/>
          <w:sz w:val="28"/>
          <w:szCs w:val="28"/>
          <w:rtl w:val="true"/>
          <w:lang w:bidi="fa-IR"/>
        </w:rPr>
        <w:t>.</w:t>
      </w:r>
      <w:r>
        <w:rPr>
          <w:rStyle w:val="FootnoteAnchor"/>
          <w:rtl w:val="true"/>
        </w:rPr>
        <w:footnoteReference w:id="1216"/>
      </w:r>
    </w:p>
    <w:p>
      <w:pPr>
        <w:pStyle w:val="BookText"/>
        <w:rPr/>
      </w:pPr>
      <w:r>
        <w:rPr>
          <w:rFonts w:ascii="IRNazanin" w:hAnsi="IRNazanin" w:eastAsia="IRNazanin"/>
          <w:color w:val="111111"/>
          <w:sz w:val="28"/>
          <w:sz w:val="28"/>
          <w:szCs w:val="28"/>
          <w:rtl w:val="true"/>
          <w:lang w:bidi="fa-IR"/>
        </w:rPr>
        <w:t>ابن قُدامه، از فقهای حنبلی،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متولّی منصوب از سوی واقف بمیرد، نظارت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7"/>
      </w:r>
    </w:p>
    <w:p>
      <w:pPr>
        <w:pStyle w:val="Heading5"/>
        <w:numPr>
          <w:ilvl w:val="4"/>
          <w:numId w:val="1"/>
        </w:numPr>
        <w:rPr/>
      </w:pPr>
      <w:bookmarkStart w:id="753" w:name="__RefHeading___Toc474449_1479056682"/>
      <w:bookmarkStart w:id="754" w:name="_Toc287"/>
      <w:bookmarkEnd w:id="753"/>
      <w:r>
        <w:rPr>
          <w:rtl w:val="true"/>
        </w:rPr>
        <w:t xml:space="preserve">گفتار </w:t>
      </w:r>
      <w:r>
        <w:rPr/>
        <w:t>5</w:t>
      </w:r>
      <w:r>
        <w:rPr>
          <w:rtl w:val="true"/>
        </w:rPr>
        <w:t xml:space="preserve">- </w:t>
      </w:r>
      <w:r>
        <w:rPr>
          <w:rtl w:val="true"/>
        </w:rPr>
        <w:t xml:space="preserve">ولایت برای تعیین و گزینش نگهبانان و کارگران و </w:t>
      </w:r>
      <w:r>
        <w:rPr>
          <w:rtl w:val="true"/>
        </w:rPr>
        <w:t>...</w:t>
      </w:r>
      <w:bookmarkEnd w:id="754"/>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برای واقف جعل ولایت در همه این موارد بلامانع است، زیرا وقف بر اساس شرایطی است که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و همه اطلاقات و عموماتی که شروط غیر منافی با متقضای عقد را تجویز می‌کنند، این موارد را نیز شامل می‌شوند</w:t>
      </w:r>
      <w:r>
        <w:rPr>
          <w:rFonts w:eastAsia="IRNazanin" w:cs="IRNazanin"/>
          <w:color w:val="111111"/>
          <w:sz w:val="28"/>
          <w:szCs w:val="28"/>
          <w:rtl w:val="true"/>
          <w:lang w:bidi="fa-IR"/>
        </w:rPr>
        <w:t xml:space="preserve">. </w:t>
      </w:r>
      <w:bookmarkStart w:id="755" w:name="pg4267_22021"/>
    </w:p>
    <w:p>
      <w:pPr>
        <w:pStyle w:val="BookText"/>
        <w:rPr/>
      </w:pPr>
      <w:bookmarkEnd w:id="755"/>
      <w:r>
        <w:rPr>
          <w:rFonts w:ascii="IRNazanin" w:hAnsi="IRNazanin" w:eastAsia="IRNazanin"/>
          <w:color w:val="111111"/>
          <w:sz w:val="28"/>
          <w:sz w:val="28"/>
          <w:szCs w:val="28"/>
          <w:rtl w:val="true"/>
          <w:lang w:bidi="fa-IR"/>
        </w:rPr>
        <w:t>صاحب جواهر</w:t>
      </w:r>
      <w:r>
        <w:rPr>
          <w:rStyle w:val="FootnoteAnchor"/>
          <w:rtl w:val="true"/>
        </w:rPr>
        <w:footnoteReference w:id="1218"/>
      </w:r>
      <w:r>
        <w:rPr>
          <w:rFonts w:ascii="IRNazanin" w:hAnsi="IRNazanin" w:eastAsia="IRNazanin"/>
          <w:color w:val="111111"/>
          <w:sz w:val="28"/>
          <w:sz w:val="28"/>
          <w:szCs w:val="28"/>
          <w:rtl w:val="true"/>
          <w:lang w:bidi="fa-IR"/>
        </w:rPr>
        <w:t>برای این مطلب به توقیع شریف 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در این توقیع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درپاسخ سؤال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آن چه پرسیده بودی درباره مردی که ملکی</w:t>
      </w:r>
    </w:p>
    <w:p>
      <w:pPr>
        <w:pStyle w:val="BookText"/>
        <w:rPr/>
      </w:pP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قرار داده است و آن را برای اداره امور تعمیر، پرداخت هزینه</w:t>
      </w:r>
    </w:p>
    <w:p>
      <w:pPr>
        <w:pStyle w:val="BookText"/>
        <w:rPr/>
      </w:pPr>
      <w:r>
        <w:rPr>
          <w:rFonts w:ascii="IRNazanin" w:hAnsi="IRNazanin" w:eastAsia="IRNazanin"/>
          <w:color w:val="111111"/>
          <w:sz w:val="28"/>
          <w:sz w:val="28"/>
          <w:szCs w:val="28"/>
          <w:rtl w:val="true"/>
          <w:lang w:bidi="fa-IR"/>
        </w:rPr>
        <w:t xml:space="preserve">و خراج و ارسال باقی مانده برای ما، در اختیار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w:t>
      </w:r>
    </w:p>
    <w:p>
      <w:pPr>
        <w:pStyle w:val="BookText"/>
        <w:rPr/>
      </w:pPr>
      <w:r>
        <w:rPr>
          <w:rFonts w:ascii="IRNazanin" w:hAnsi="IRNazanin" w:eastAsia="IRNazanin"/>
          <w:color w:val="111111"/>
          <w:sz w:val="28"/>
          <w:sz w:val="28"/>
          <w:szCs w:val="28"/>
          <w:rtl w:val="true"/>
          <w:lang w:bidi="fa-IR"/>
        </w:rPr>
        <w:t xml:space="preserve">پاسخش این است که؛ این وظایف و اختیارات برای همان کسی است که صاحب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برای او قرارداده است</w:t>
      </w:r>
      <w:r>
        <w:rPr>
          <w:rFonts w:eastAsia="IRNazanin" w:cs="IRNazanin"/>
          <w:color w:val="111111"/>
          <w:sz w:val="28"/>
          <w:szCs w:val="28"/>
          <w:rtl w:val="true"/>
          <w:lang w:bidi="fa-IR"/>
        </w:rPr>
        <w:t>».</w:t>
      </w:r>
      <w:r>
        <w:rPr>
          <w:rStyle w:val="FootnoteAnchor"/>
          <w:rtl w:val="true"/>
        </w:rPr>
        <w:footnoteReference w:id="1219"/>
      </w:r>
    </w:p>
    <w:p>
      <w:pPr>
        <w:pStyle w:val="BookText"/>
        <w:rPr/>
      </w:pPr>
      <w:r>
        <w:rPr>
          <w:rFonts w:ascii="IRNazanin" w:hAnsi="IRNazanin" w:eastAsia="IRNazanin"/>
          <w:color w:val="111111"/>
          <w:sz w:val="28"/>
          <w:sz w:val="28"/>
          <w:szCs w:val="28"/>
          <w:rtl w:val="true"/>
          <w:lang w:bidi="fa-IR"/>
        </w:rPr>
        <w:t>بنابراین با وجود ناظر هیچ کس نباید بدون اذن او در درآمد وقف و دیگر امور، تصرّف و دخالت کند و این مطلب مقتضای اطلاق نصّ و فتواست</w:t>
      </w:r>
      <w:r>
        <w:rPr>
          <w:rStyle w:val="FootnoteAnchor"/>
          <w:rtl w:val="true"/>
        </w:rPr>
        <w:footnoteReference w:id="1220"/>
      </w:r>
    </w:p>
    <w:p>
      <w:pPr>
        <w:pStyle w:val="Heading5"/>
        <w:numPr>
          <w:ilvl w:val="4"/>
          <w:numId w:val="1"/>
        </w:numPr>
        <w:rPr/>
      </w:pPr>
      <w:bookmarkStart w:id="756" w:name="__RefHeading___Toc474451_1479056682"/>
      <w:bookmarkStart w:id="757" w:name="_Toc288"/>
      <w:bookmarkEnd w:id="756"/>
      <w:r>
        <w:rPr>
          <w:rtl w:val="true"/>
        </w:rPr>
        <w:t xml:space="preserve">گفتار </w:t>
      </w:r>
      <w:r>
        <w:rPr/>
        <w:t>6</w:t>
      </w:r>
      <w:r>
        <w:rPr>
          <w:rtl w:val="true"/>
        </w:rPr>
        <w:t xml:space="preserve">- </w:t>
      </w:r>
      <w:r>
        <w:rPr>
          <w:rtl w:val="true"/>
        </w:rPr>
        <w:t>نظارت بر متولّی</w:t>
      </w:r>
      <w:bookmarkEnd w:id="757"/>
    </w:p>
    <w:p>
      <w:pPr>
        <w:pStyle w:val="BookText"/>
        <w:rPr/>
      </w:pPr>
      <w:r>
        <w:rPr>
          <w:rFonts w:ascii="IRNazanin" w:hAnsi="IRNazanin" w:eastAsia="IRNazanin"/>
          <w:color w:val="111111"/>
          <w:sz w:val="28"/>
          <w:sz w:val="28"/>
          <w:szCs w:val="28"/>
          <w:rtl w:val="true"/>
          <w:lang w:bidi="fa-IR"/>
        </w:rPr>
        <w:t>واقف می‌تواند برای اطمینان بیشتر و اشراف کامل بر کارهای متولّی، ناظری تعیین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اگر قصد واقف از این تعیین، تنها نظارت اطّلاعی باشد، متولّی در تصرّفات مستقل است، امّا اگر منظور وی نظارت استصوابی باشد، تصرّفات متولّی، جز با اذن ناظر صحیح نخواهد بود و اگر منظور واقف مُحرَز نشد، رعایت هر دو امر لازم است</w:t>
      </w:r>
      <w:r>
        <w:rPr>
          <w:rFonts w:eastAsia="IRNazanin" w:cs="IRNazanin"/>
          <w:color w:val="111111"/>
          <w:sz w:val="28"/>
          <w:szCs w:val="28"/>
          <w:rtl w:val="true"/>
          <w:lang w:bidi="fa-IR"/>
        </w:rPr>
        <w:t>.</w:t>
      </w:r>
      <w:r>
        <w:rPr>
          <w:rStyle w:val="FootnoteAnchor"/>
          <w:rtl w:val="true"/>
        </w:rPr>
        <w:footnoteReference w:id="1221"/>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استصوابی یعنی نظارتی که به موجب آن لازم است همه کارها به تصویب ناظر برسد، در غیر این صورت تصرّفات نافذ نخواهد بود، امّا در نظارت اطّلاعی، منظور، تنها اطّلاع ناظر از چگونگی تصرّفات دیگری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قانون مدنی نیز به ثبوت این حق برای واقف تصریح شده است</w:t>
      </w:r>
      <w:r>
        <w:rPr>
          <w:rFonts w:eastAsia="IRNazanin" w:cs="IRNazanin"/>
          <w:color w:val="111111"/>
          <w:sz w:val="28"/>
          <w:szCs w:val="28"/>
          <w:rtl w:val="true"/>
          <w:lang w:bidi="fa-IR"/>
        </w:rPr>
        <w:t>.</w:t>
      </w:r>
      <w:r>
        <w:rPr>
          <w:rStyle w:val="FootnoteAnchor"/>
          <w:rtl w:val="true"/>
        </w:rPr>
        <w:footnoteReference w:id="1222"/>
      </w:r>
      <w:bookmarkStart w:id="758" w:name="pg4267_22023"/>
    </w:p>
    <w:p>
      <w:pPr>
        <w:pStyle w:val="Heading5"/>
        <w:numPr>
          <w:ilvl w:val="4"/>
          <w:numId w:val="1"/>
        </w:numPr>
        <w:rPr/>
      </w:pPr>
      <w:bookmarkStart w:id="759" w:name="__RefHeading___Toc474453_1479056682"/>
      <w:bookmarkStart w:id="760" w:name="_Toc289"/>
      <w:bookmarkEnd w:id="758"/>
      <w:bookmarkEnd w:id="759"/>
      <w:r>
        <w:rPr>
          <w:rtl w:val="true"/>
        </w:rPr>
        <w:t xml:space="preserve">گفتار </w:t>
      </w:r>
      <w:r>
        <w:rPr/>
        <w:t>7</w:t>
      </w:r>
      <w:r>
        <w:rPr>
          <w:rtl w:val="true"/>
        </w:rPr>
        <w:t xml:space="preserve">- </w:t>
      </w:r>
      <w:r>
        <w:rPr>
          <w:rtl w:val="true"/>
        </w:rPr>
        <w:t>حدود وظایف و اختیارات متولّی</w:t>
      </w:r>
      <w:bookmarkEnd w:id="760"/>
    </w:p>
    <w:p>
      <w:pPr>
        <w:pStyle w:val="Heading6"/>
        <w:numPr>
          <w:ilvl w:val="5"/>
          <w:numId w:val="1"/>
        </w:numPr>
        <w:rPr/>
      </w:pPr>
      <w:bookmarkStart w:id="761" w:name="__RefHeading___Toc474455_1479056682"/>
      <w:bookmarkStart w:id="762" w:name="_Toc290"/>
      <w:bookmarkEnd w:id="761"/>
      <w:r>
        <w:rPr>
          <w:rtl w:val="true"/>
        </w:rPr>
        <w:t>دیدگاه امامیّه</w:t>
      </w:r>
      <w:bookmarkEnd w:id="762"/>
    </w:p>
    <w:p>
      <w:pPr>
        <w:pStyle w:val="BookText"/>
        <w:rPr/>
      </w:pPr>
      <w:r>
        <w:rPr>
          <w:rFonts w:ascii="IRNazanin" w:hAnsi="IRNazanin" w:eastAsia="IRNazanin"/>
          <w:color w:val="111111"/>
          <w:sz w:val="28"/>
          <w:sz w:val="28"/>
          <w:szCs w:val="28"/>
          <w:rtl w:val="true"/>
          <w:lang w:bidi="fa-IR"/>
        </w:rPr>
        <w:t>وظیفه متولّی در مرحله اوّل، حفظ و صیانت اصل وقف و عمارت و اصلاح آن در صورت نیاز، و در مرحله بعد تحصیل و جمع آوری درآمد وقف و تقسیم آن بین مستحقّین است و حتّی مستحقّین نیز حق انجام چنین اموری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واقف وظیفه خاصّ را برای متولّی در نظر گرفته و بعضی از امور یادشده را به او محوّل کرده باشد، لازم است مطابق شرط و نظر واقف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الغطاء برای جعل نظارت از طرف واقف صور متعددی را تصویر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تصرّف در همه امور به طوری که موقوفٌ عَلَیْه حقّی جز دریافت سهم خود از درآمد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 مورد کم و زیاد کردن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بر ادخال و اخراج هرکه را متولّی بخواهد، در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درامور مربوط به‌صلاح و فساد مال موقوف، به‌رغم وجود آن‌در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نظارت سابق با در دست داشتن مال موقوف، توسّط ناظر،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به معنای مرجع بودن برای پاسخگویی و بیان حکم در مواردی که موقوفٌ عَلَیْه به او مراجعه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برای رفع نزاع و تخاصم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مسالک و فیض در مفاتیح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بر عامّه مسلمین که منظور واقف، انتفاع همه مسلمین است، مثل وقف درختان برای رهگذران و مواردی از این قبیل، اگر انتفاع بر اذن متولّی متوقّف باشد، تفویت بسیاری از اغراض واقف لازم می‌آید</w:t>
      </w:r>
      <w:r>
        <w:rPr>
          <w:rFonts w:eastAsia="IRNazanin" w:cs="IRNazanin"/>
          <w:color w:val="111111"/>
          <w:sz w:val="28"/>
          <w:szCs w:val="28"/>
          <w:rtl w:val="true"/>
          <w:lang w:bidi="fa-IR"/>
        </w:rPr>
        <w:t>.</w:t>
      </w:r>
      <w:r>
        <w:rPr>
          <w:rStyle w:val="FootnoteAnchor"/>
          <w:rtl w:val="true"/>
        </w:rPr>
        <w:footnoteReference w:id="122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به این اشکال پاسخ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اخبار باب و قواعد شرعی </w:t>
      </w:r>
      <w:bookmarkStart w:id="763" w:name="pg4267_22026"/>
    </w:p>
    <w:p>
      <w:pPr>
        <w:pStyle w:val="BookText"/>
        <w:rPr/>
      </w:pPr>
      <w:bookmarkEnd w:id="763"/>
      <w:r>
        <w:rPr>
          <w:rFonts w:ascii="IRNazanin" w:hAnsi="IRNazanin" w:eastAsia="IRNazanin"/>
          <w:color w:val="111111"/>
          <w:sz w:val="28"/>
          <w:sz w:val="28"/>
          <w:szCs w:val="28"/>
          <w:rtl w:val="true"/>
          <w:lang w:bidi="fa-IR"/>
        </w:rPr>
        <w:t>استفاده می‌شود که ملاک، قصد و منظور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موارد محلّ اشکال از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بر حاکم واجب است برای رعایت نظر واقف به همه مسلمین اذن عامّ دهد که معمولاً اذن حاکم شرع در این موارد با قراین محقّق است</w:t>
      </w:r>
      <w:r>
        <w:rPr>
          <w:rFonts w:eastAsia="IRNazanin" w:cs="IRNazanin"/>
          <w:color w:val="111111"/>
          <w:sz w:val="28"/>
          <w:szCs w:val="28"/>
          <w:rtl w:val="true"/>
          <w:lang w:bidi="fa-IR"/>
        </w:rPr>
        <w:t>.</w:t>
      </w:r>
      <w:r>
        <w:rPr>
          <w:rStyle w:val="FootnoteAnchor"/>
          <w:rtl w:val="true"/>
        </w:rPr>
        <w:footnoteReference w:id="1224"/>
      </w:r>
    </w:p>
    <w:p>
      <w:pPr>
        <w:pStyle w:val="Heading6"/>
        <w:numPr>
          <w:ilvl w:val="5"/>
          <w:numId w:val="1"/>
        </w:numPr>
        <w:rPr/>
      </w:pPr>
      <w:bookmarkStart w:id="764" w:name="__RefHeading___Toc474457_1479056682"/>
      <w:bookmarkStart w:id="765" w:name="_Toc291"/>
      <w:bookmarkEnd w:id="764"/>
      <w:r>
        <w:rPr>
          <w:rtl w:val="true"/>
        </w:rPr>
        <w:t>تفویض و توکیل در تولیت</w:t>
      </w:r>
      <w:bookmarkEnd w:id="765"/>
    </w:p>
    <w:p>
      <w:pPr>
        <w:pStyle w:val="BookText"/>
        <w:rPr/>
      </w:pPr>
      <w:r>
        <w:rPr>
          <w:rFonts w:ascii="IRNazanin" w:hAnsi="IRNazanin" w:eastAsia="IRNazanin"/>
          <w:color w:val="111111"/>
          <w:sz w:val="28"/>
          <w:sz w:val="28"/>
          <w:szCs w:val="28"/>
          <w:rtl w:val="true"/>
          <w:lang w:bidi="fa-IR"/>
        </w:rPr>
        <w:t>مغنیه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فقهای اسلام بر این مسأله اتّفاق نظر دارند که متولّی وقف، خواه از جانب واقف و یا از جانب حاکم، جز در مواردی که شرط مباشرت شده باشد، می‌تواند برای انجام مصلحتی از مصالح وقف، هر که را بخواهد وکیل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اتّفاق دارندکه متولّی حق واگذارکردن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تولیت، بعد از خود را به دیگری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این واگذاری را در صورت اذن تجویز می‌کنند</w:t>
      </w:r>
      <w:r>
        <w:rPr>
          <w:rFonts w:eastAsia="IRNazanin" w:cs="IRNazanin"/>
          <w:color w:val="111111"/>
          <w:sz w:val="28"/>
          <w:szCs w:val="28"/>
          <w:rtl w:val="true"/>
          <w:lang w:bidi="fa-IR"/>
        </w:rPr>
        <w:t>.</w:t>
      </w:r>
      <w:r>
        <w:rPr>
          <w:rStyle w:val="FootnoteAnchor"/>
          <w:rtl w:val="true"/>
        </w:rPr>
        <w:footnoteReference w:id="1225"/>
      </w:r>
    </w:p>
    <w:p>
      <w:pPr>
        <w:pStyle w:val="BookText"/>
        <w:rPr/>
      </w:pPr>
      <w:r>
        <w:rPr>
          <w:rFonts w:ascii="IRNazanin" w:hAnsi="IRNazanin" w:eastAsia="IRNazanin"/>
          <w:color w:val="111111"/>
          <w:sz w:val="28"/>
          <w:sz w:val="28"/>
          <w:szCs w:val="28"/>
          <w:rtl w:val="true"/>
          <w:lang w:bidi="fa-IR"/>
        </w:rPr>
        <w:t>علاّمه در تذکره نیز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تولیت را برای شخص متولّی شرط کند یا آن را به کسی تفویض کند، شخص ناظر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نایب گرفتن در تولیت را ندارد</w:t>
      </w:r>
      <w:r>
        <w:rPr>
          <w:rFonts w:eastAsia="IRNazanin" w:cs="IRNazanin"/>
          <w:color w:val="111111"/>
          <w:sz w:val="28"/>
          <w:szCs w:val="28"/>
          <w:rtl w:val="true"/>
          <w:lang w:bidi="fa-IR"/>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امام خمینی، آیه‌اللّه خویی و آیه‌اللّه حکیم، از فقهای معاصر نیز تفویض تولیت به دیگری را، جز در مواردی که واقف هنگام جعل تولیت چنین حقّی را برای او قرار داده باشد، جایز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متولّی می‌تواند برای انجام بعضی از کارهایی که خود متصدّی آنهاست، دیگری را وکیل کند</w:t>
      </w:r>
      <w:r>
        <w:rPr>
          <w:rFonts w:eastAsia="IRNazanin" w:cs="IRNazanin"/>
          <w:color w:val="111111"/>
          <w:sz w:val="28"/>
          <w:szCs w:val="28"/>
          <w:rtl w:val="true"/>
          <w:lang w:bidi="fa-IR"/>
        </w:rPr>
        <w:t>.</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در قانون مدنی نیز تفویضِ تولیت به دیگری جز در صورت اذن واقف در ضمن عقد، ممنوع شده است</w:t>
      </w:r>
      <w:r>
        <w:rPr>
          <w:rFonts w:eastAsia="IRNazanin" w:cs="IRNazanin"/>
          <w:color w:val="111111"/>
          <w:sz w:val="28"/>
          <w:szCs w:val="28"/>
          <w:rtl w:val="true"/>
          <w:lang w:bidi="fa-IR"/>
        </w:rPr>
        <w:t>.</w:t>
      </w:r>
      <w:r>
        <w:rPr>
          <w:rStyle w:val="FootnoteAnchor"/>
          <w:rtl w:val="true"/>
        </w:rPr>
        <w:footnoteReference w:id="1228"/>
      </w:r>
    </w:p>
    <w:p>
      <w:pPr>
        <w:pStyle w:val="Heading6"/>
        <w:numPr>
          <w:ilvl w:val="5"/>
          <w:numId w:val="1"/>
        </w:numPr>
        <w:rPr/>
      </w:pPr>
      <w:bookmarkStart w:id="766" w:name="__RefHeading___Toc474459_1479056682"/>
      <w:bookmarkStart w:id="767" w:name="_Toc292"/>
      <w:bookmarkEnd w:id="766"/>
      <w:r>
        <w:rPr>
          <w:rtl w:val="true"/>
        </w:rPr>
        <w:t>اجاره مال موقوف توسّط متولّی</w:t>
      </w:r>
      <w:bookmarkEnd w:id="767"/>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متولّی حق دارد برای تحصیل درآمد، مال موقوف را هر مدّت که صلاح بداند اجاره </w:t>
      </w:r>
      <w:bookmarkStart w:id="768" w:name="pg4267_22028"/>
    </w:p>
    <w:p>
      <w:pPr>
        <w:pStyle w:val="BookText"/>
        <w:rPr/>
      </w:pPr>
      <w:bookmarkEnd w:id="768"/>
      <w:r>
        <w:rPr>
          <w:rFonts w:ascii="IRNazanin" w:hAnsi="IRNazanin" w:eastAsia="IRNazanin"/>
          <w:color w:val="111111"/>
          <w:sz w:val="28"/>
          <w:sz w:val="28"/>
          <w:szCs w:val="28"/>
          <w:rtl w:val="true"/>
          <w:lang w:bidi="fa-IR"/>
        </w:rPr>
        <w:t>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واقف، برای این کار مدّت خاصّ را شرط کرده باشد، رعایت آن لازم است و اگر متولّی مال وقف را به زمانی بیشتر از آن مقدار اجاره دهد، عقد اجاره نسبت</w:t>
      </w:r>
    </w:p>
    <w:p>
      <w:pPr>
        <w:pStyle w:val="BookText"/>
        <w:rPr/>
      </w:pPr>
      <w:r>
        <w:rPr>
          <w:rFonts w:ascii="IRNazanin" w:hAnsi="IRNazanin" w:eastAsia="IRNazanin"/>
          <w:color w:val="111111"/>
          <w:sz w:val="28"/>
          <w:sz w:val="28"/>
          <w:szCs w:val="28"/>
          <w:rtl w:val="true"/>
          <w:lang w:bidi="fa-IR"/>
        </w:rPr>
        <w:t>به آن مقدار زاید،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عدم بطلان اجاره از اصل این است که مورد از قبیل تبعیض صَفْقه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اجاره مایملک به همراه ما لایملک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نزد فقهای ما تبعیض صفقه موجب بطلان عقد نیست، هر چند موجب ثبوت خیار برای مستأجر می‌شود در ضمن اگر متولّی وقف آن را با اجره‌المثل، اجاره دهد، امّا کشف شود که کسانی به بیش از این مبلغ نیز این مال را اجاره می‌کرده‌اند، اجاره فسخ نمی‌شود، زیرا بعد از وقوع عقد اجاره با وجهی شرعی و معتبر، اصل، لزوم آن است</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IRNazanin" w:hAnsi="IRNazanin" w:eastAsia="IRNazanin"/>
          <w:color w:val="111111"/>
          <w:sz w:val="28"/>
          <w:sz w:val="28"/>
          <w:szCs w:val="28"/>
          <w:rtl w:val="true"/>
          <w:lang w:bidi="fa-IR"/>
        </w:rPr>
        <w:t>شکی نیست که جواز اجاره مال موقوف، حتّی برای مدّت طولانی مربوط به‌فرضی است که متولّی واجد شرایط لازم و رعایت همه جوانب و مصالح را می‌کند، در غیر این صورت ممکن است، بویژه در جواز اجاره‌های درازمدت، تردید شود</w:t>
      </w:r>
      <w:r>
        <w:rPr>
          <w:rFonts w:eastAsia="IRNazanin" w:cs="IRNazanin"/>
          <w:color w:val="111111"/>
          <w:sz w:val="28"/>
          <w:szCs w:val="28"/>
          <w:rtl w:val="true"/>
          <w:lang w:bidi="fa-IR"/>
        </w:rPr>
        <w:t>.</w:t>
      </w:r>
    </w:p>
    <w:p>
      <w:pPr>
        <w:pStyle w:val="Heading6"/>
        <w:numPr>
          <w:ilvl w:val="5"/>
          <w:numId w:val="1"/>
        </w:numPr>
        <w:rPr/>
      </w:pPr>
      <w:bookmarkStart w:id="769" w:name="__RefHeading___Toc474461_1479056682"/>
      <w:bookmarkStart w:id="770" w:name="_Toc293"/>
      <w:bookmarkEnd w:id="769"/>
      <w:r>
        <w:rPr>
          <w:rtl w:val="true"/>
        </w:rPr>
        <w:t>دیدگاه دیگر مذاهب</w:t>
      </w:r>
      <w:bookmarkEnd w:id="770"/>
    </w:p>
    <w:p>
      <w:pPr>
        <w:pStyle w:val="BookText"/>
        <w:rPr/>
      </w:pPr>
      <w:r>
        <w:rPr>
          <w:rFonts w:ascii="IRNazanin" w:hAnsi="IRNazanin" w:eastAsia="IRNazanin"/>
          <w:color w:val="111111"/>
          <w:sz w:val="28"/>
          <w:sz w:val="28"/>
          <w:szCs w:val="28"/>
          <w:rtl w:val="true"/>
          <w:lang w:bidi="fa-IR"/>
        </w:rPr>
        <w:t>فقهای اهل سنّت نیز حفظ و صیانت وقف، عمارت، ایجار، زرع، تحصیل درآمد و توزیع آن بین مستحقّین و مانند اینها را از وظایف و اختیارات ناظر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در امور و مصالح یاد شده با رعایت مصلحت وقف، به انجام وظیفه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واقف، محدودیّتهایی را در نظر گرفته و تولیت را در بعضی از امور به شخصی واگذار کرده است، باید مطابق شرط و نظر وی عمل شود</w:t>
      </w:r>
      <w:r>
        <w:rPr>
          <w:rFonts w:eastAsia="IRNazanin" w:cs="IRNazanin"/>
          <w:color w:val="111111"/>
          <w:sz w:val="28"/>
          <w:szCs w:val="28"/>
          <w:rtl w:val="true"/>
          <w:lang w:bidi="fa-IR"/>
        </w:rPr>
        <w:t>.</w:t>
      </w:r>
      <w:r>
        <w:rPr>
          <w:rStyle w:val="FootnoteAnchor"/>
          <w:rtl w:val="true"/>
        </w:rPr>
        <w:footnoteReference w:id="123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شَربینی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باید با رعایت دقّت و احتیاط، در مال وقف تصرّف کند، زیرا نظارتش تصرّف در مصالح دیگران است و به ولیّ یتیم شباهت دارد</w:t>
      </w:r>
      <w:r>
        <w:rPr>
          <w:rFonts w:eastAsia="IRNazanin" w:cs="IRNazanin"/>
          <w:color w:val="111111"/>
          <w:sz w:val="28"/>
          <w:szCs w:val="28"/>
          <w:rtl w:val="true"/>
          <w:lang w:bidi="fa-IR"/>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تفویض و توکیل در وقف</w:t>
      </w:r>
    </w:p>
    <w:p>
      <w:pPr>
        <w:pStyle w:val="BookText"/>
        <w:rPr/>
      </w:pPr>
      <w:r>
        <w:rPr>
          <w:rFonts w:ascii="IRNazanin" w:hAnsi="IRNazanin" w:eastAsia="IRNazanin"/>
          <w:color w:val="111111"/>
          <w:sz w:val="28"/>
          <w:sz w:val="28"/>
          <w:szCs w:val="28"/>
          <w:rtl w:val="true"/>
          <w:lang w:bidi="fa-IR"/>
        </w:rPr>
        <w:t>جمهور فقهای اهل سنّت برای متولّی جایز می‌دانند که در مورد بعضی یا تمام تصرّفاتی که برعهده اوست دیگری را وکیل کند و چون وکالت عقدی جایز است، در هر زمان که بخواهد او را عزل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تفویضِ تولیت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حنفیّه</w:t>
      </w:r>
    </w:p>
    <w:p>
      <w:pPr>
        <w:pStyle w:val="BookText"/>
        <w:rPr/>
      </w:pPr>
      <w:r>
        <w:rPr>
          <w:rFonts w:ascii="IRNazanin" w:hAnsi="IRNazanin" w:eastAsia="IRNazanin"/>
          <w:color w:val="111111"/>
          <w:sz w:val="28"/>
          <w:sz w:val="28"/>
          <w:szCs w:val="28"/>
          <w:rtl w:val="true"/>
          <w:lang w:bidi="fa-IR"/>
        </w:rPr>
        <w:t>ابوزهره در مورد تفویضِ تولیت به دیگری، به این معنا که ناظر، خودش را عزل و ولایت بر وقف را به طور مستقل به دیگری تملیک کند،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تفویض در نزد حنفیّه سه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برای ناظر حق تولیت جعل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 یا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تفویض را هم به او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متولّی حق تفویض ولایت را به دیگری دارد و اگر تفویض کرد جز در صورتی که واقف حق عزل را هم به او داده است، حق عزل او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برای متولّی حق تفویض قرار نداده است، اما متولّی اکنون در حال بیماری مرگ است و قصد تفویض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نیز بعضی حق تفویض را به او داده‌اند، و دلیلشان این است که این تفویض در حقیقت ایصا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قیّم بر وقف از طرف واقف مانند وصیّ می‌تواند برای بعد از مرگش حق وصیّت را به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در رد این نظر گفته‌اند؛ قیاس مع‌الفارق است، زیرا کلام ما در تفویض است نه در ایصا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حالتهای قبلی در کار نباشد و متولّی ولایت را به دیگری تفویض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قاضی این تفویض را تقریر و تنفیذ کند، صحیح است و گر نه اثری بر آن مترتّب نخواهد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مالکیّه</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فقهای مالکیّه، تفویض ولایت از جانب واقف به هرکس که بخواهد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هم دوست داشت او را عزل می‌کند؛ امّا ناظری که واقف او را برگزیده </w:t>
      </w:r>
    </w:p>
    <w:p>
      <w:pPr>
        <w:pStyle w:val="BookText"/>
        <w:rPr/>
      </w:pPr>
      <w:r>
        <w:rPr>
          <w:rFonts w:ascii="IRNazanin" w:hAnsi="IRNazanin" w:eastAsia="IRNazanin"/>
          <w:color w:val="111111"/>
          <w:sz w:val="28"/>
          <w:sz w:val="28"/>
          <w:szCs w:val="28"/>
          <w:rtl w:val="true"/>
          <w:lang w:bidi="fa-IR"/>
        </w:rPr>
        <w:t>است جز با تصریح و شرط واقف چنین حقّی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و مبنای مالکیّه در این موارد و موارد مشابه، قاعده‌ای در باب قضاست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دارای حقّی باشد که عزل او ممکن است، حق ندارد در مورد آن حق وصیّت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بدون تردید در فرض مورد نظر، واقف حق عزل متولّی را دارد، لذا متولّی در مرض موت هم حق ایصای تولیت به غیر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 xml:space="preserve">در نزد شافعیّه متولّی تنها با نصّ و شرط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تفویض دارد و اگر با تحقّق این شرط، تفویض کرد، حق عزل یا مشارکت 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حنابله</w:t>
      </w:r>
    </w:p>
    <w:p>
      <w:pPr>
        <w:pStyle w:val="BookText"/>
        <w:rPr/>
      </w:pPr>
      <w:r>
        <w:rPr>
          <w:rFonts w:ascii="IRNazanin" w:hAnsi="IRNazanin" w:eastAsia="IRNazanin"/>
          <w:color w:val="111111"/>
          <w:sz w:val="28"/>
          <w:sz w:val="28"/>
          <w:szCs w:val="28"/>
          <w:rtl w:val="true"/>
          <w:lang w:bidi="fa-IR"/>
        </w:rPr>
        <w:t xml:space="preserve">حنابله معتقدند که ناظر منصوب از جانب واقف یا حاکم، جز با نصّ و شرط واقف حق تفویض ندارد؛ امّا متولّی و ناظر بالأَصالة،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وحاکم، حق تفویض دارد و در هر زمان که بخواهد به دیگری واگذار می‌کند و بعد اگر مایل بود او را</w:t>
      </w:r>
    </w:p>
    <w:p>
      <w:pPr>
        <w:pStyle w:val="BookText"/>
        <w:rPr/>
      </w:pPr>
      <w:r>
        <w:rPr>
          <w:rFonts w:ascii="IRNazanin" w:hAnsi="IRNazanin" w:eastAsia="IRNazanin"/>
          <w:color w:val="111111"/>
          <w:sz w:val="28"/>
          <w:sz w:val="28"/>
          <w:szCs w:val="28"/>
          <w:rtl w:val="true"/>
          <w:lang w:bidi="fa-IR"/>
        </w:rPr>
        <w:t>معزول می‌دارد</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اجاره مال موقوف</w:t>
      </w:r>
    </w:p>
    <w:p>
      <w:pPr>
        <w:pStyle w:val="BookText"/>
        <w:rPr/>
      </w:pPr>
      <w:r>
        <w:rPr>
          <w:rFonts w:ascii="IRNazanin" w:hAnsi="IRNazanin" w:eastAsia="IRNazanin"/>
          <w:color w:val="111111"/>
          <w:sz w:val="28"/>
          <w:sz w:val="28"/>
          <w:szCs w:val="28"/>
          <w:rtl w:val="true"/>
          <w:lang w:bidi="fa-IR"/>
        </w:rPr>
        <w:t>جمهور فقهای اهل سنّت اجاره مال وقفی را برای متولّی آن جایز می‌دانند، زیرا تحصیل درآمد از وقف و به مصرف مستحقّان رسانیدن، منظور و مقصود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در صورتی است که با شرط واقف مخالف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کبیسی تصریح کرده است، فقها در صورت ضرورت، مخالفت با شرط واقف را جایز شمرده‌اند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اعتقاد فقها بر ابطال اجاره‌های درازمدّت در اوقاف، اراضی ایتام و اراضی بیت‌المال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اجاره‌های درازمدّت، حتّی با عقدهای تجدید شده در هر سال نیز، </w:t>
      </w:r>
    </w:p>
    <w:p>
      <w:pPr>
        <w:pStyle w:val="BookText"/>
        <w:rPr/>
      </w:pP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 اضطرار، برای تعمیر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مصالح مشابه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بلامانع است</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کبیسی برای حنفیّه در مورد مدّت اجاره به هفت قول اشاره کرده است ؛ امّا قول راجح این است که اگر متولّی به اجاره دراز مدّت نیاز داشت می‌تواند از عقود مترادفه</w:t>
      </w:r>
    </w:p>
    <w:p>
      <w:pPr>
        <w:pStyle w:val="BookText"/>
        <w:rPr/>
      </w:pPr>
      <w:r>
        <w:rPr>
          <w:rFonts w:ascii="IRNazanin" w:hAnsi="IRNazanin" w:eastAsia="IRNazanin"/>
          <w:color w:val="111111"/>
          <w:sz w:val="28"/>
          <w:sz w:val="28"/>
          <w:szCs w:val="28"/>
          <w:rtl w:val="true"/>
          <w:lang w:bidi="fa-IR"/>
        </w:rPr>
        <w:t>استفاده کند، یعنی برای اجاره سی ساله، موقوفه را با سی عقد مستقل اجاره دهد</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rtl w:val="true"/>
          <w:lang w:bidi="fa-IR"/>
        </w:rPr>
        <w:t>در مورد اجرت اجاره، فقهای حنفیّه عقیده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اجاره به کمتر از اجره‌المثل باشد عقد اجاره فاسد است ؛ زیرا این کار با مصلحت وقف و بطون بعدی منافات دارد</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IRNazanin" w:hAnsi="IRNazanin" w:eastAsia="IRNazanin"/>
          <w:color w:val="111111"/>
          <w:sz w:val="28"/>
          <w:sz w:val="28"/>
          <w:szCs w:val="28"/>
          <w:rtl w:val="true"/>
          <w:lang w:bidi="fa-IR"/>
        </w:rPr>
        <w:t xml:space="preserve">در مورد مدّت اجاره در الشّرح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معیّن باشند و مال موقوف به غیر آنها اجاره داده می‌شود ناظر می‌تواند از یک سال تا دو سال آن را اجاره دهد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معیّن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اجاره</w:t>
      </w:r>
    </w:p>
    <w:p>
      <w:pPr>
        <w:pStyle w:val="BookText"/>
        <w:rPr/>
      </w:pPr>
      <w:r>
        <w:rPr>
          <w:rFonts w:ascii="IRNazanin" w:hAnsi="IRNazanin" w:eastAsia="IRNazanin"/>
          <w:color w:val="111111"/>
          <w:sz w:val="28"/>
          <w:sz w:val="28"/>
          <w:szCs w:val="28"/>
          <w:rtl w:val="true"/>
          <w:lang w:bidi="fa-IR"/>
        </w:rPr>
        <w:t>چهار سال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مستأجر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ناظر 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قول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ده سال به آنها اجاره دهد و برای ضرورت اصلاح وقف، اجاره دراز مدت، مثل چهل سال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نزد فقهای مالکیّه، اجاره باید به اجره‌المثل باشد و گر نه عقد فسخ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اجاره با اجره‌المثل باشد اگر فردی آن را به مبلغ بیشتری هم اجاره می‌کند،</w:t>
      </w:r>
    </w:p>
    <w:p>
      <w:pPr>
        <w:pStyle w:val="BookText"/>
        <w:rPr/>
      </w:pPr>
      <w:r>
        <w:rPr>
          <w:rFonts w:ascii="IRNazanin" w:hAnsi="IRNazanin" w:eastAsia="IRNazanin"/>
          <w:color w:val="111111"/>
          <w:sz w:val="28"/>
          <w:sz w:val="28"/>
          <w:szCs w:val="28"/>
          <w:rtl w:val="true"/>
          <w:lang w:bidi="fa-IR"/>
        </w:rPr>
        <w:t>اجاره باطل نمی‌شود</w:t>
      </w:r>
      <w:r>
        <w:rPr>
          <w:rFonts w:eastAsia="IRNazanin" w:cs="IRNazanin"/>
          <w:color w:val="111111"/>
          <w:sz w:val="28"/>
          <w:szCs w:val="28"/>
          <w:rtl w:val="true"/>
          <w:lang w:bidi="fa-IR"/>
        </w:rPr>
        <w:t>.</w:t>
      </w:r>
      <w:r>
        <w:rPr>
          <w:rStyle w:val="FootnoteAnchor"/>
          <w:rtl w:val="true"/>
        </w:rPr>
        <w:footnoteReference w:id="1236"/>
      </w:r>
    </w:p>
    <w:p>
      <w:pPr>
        <w:pStyle w:val="BookText"/>
        <w:rPr/>
      </w:pPr>
      <w:r>
        <w:rPr>
          <w:rFonts w:ascii="IRNazanin" w:hAnsi="IRNazanin" w:eastAsia="IRNazanin"/>
          <w:color w:val="111111"/>
          <w:sz w:val="28"/>
          <w:sz w:val="28"/>
          <w:szCs w:val="28"/>
          <w:rtl w:val="true"/>
          <w:lang w:bidi="fa-IR"/>
        </w:rPr>
        <w:t>فقهای شافعی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موقوفه را می‌توان با در نظر گرفتن عمر آن مال و نظر کارشناس اجاره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می‌توان خانه و مانند آن را به مدّت سی سال، حیوانات را</w:t>
      </w:r>
    </w:p>
    <w:p>
      <w:pPr>
        <w:pStyle w:val="BookText"/>
        <w:rPr/>
      </w:pPr>
      <w:r>
        <w:rPr>
          <w:rFonts w:ascii="IRNazanin" w:hAnsi="IRNazanin" w:eastAsia="IRNazanin"/>
          <w:color w:val="111111"/>
          <w:sz w:val="28"/>
          <w:sz w:val="28"/>
          <w:szCs w:val="28"/>
          <w:rtl w:val="true"/>
          <w:lang w:bidi="fa-IR"/>
        </w:rPr>
        <w:t>ده سال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 یا دو سال و زمین را به مدّت یک صد سال با اجاره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قول مشهور شافعیّه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عمر متوسّط اموال شصت سال است وبرای نصف آن یعنی سی سال می‌توان موقوفه را اجاره داد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اجرت؛ فقهای شافعی معتقدند که اگر موقوفٌ عَلَیْه متولّی باشد می‌تواند به هر مبلغ که مایل است آن را بااجاره واگذار کند؛ امّا اگر متولّی غیر از موقوفٌ عَلَیْه باشد و </w:t>
      </w:r>
      <w:bookmarkStart w:id="771" w:name="pg4267_22036"/>
    </w:p>
    <w:p>
      <w:pPr>
        <w:pStyle w:val="BookText"/>
        <w:rPr/>
      </w:pPr>
      <w:bookmarkEnd w:id="771"/>
      <w:r>
        <w:rPr>
          <w:rFonts w:ascii="IRNazanin" w:hAnsi="IRNazanin" w:eastAsia="IRNazanin"/>
          <w:color w:val="111111"/>
          <w:sz w:val="28"/>
          <w:sz w:val="28"/>
          <w:szCs w:val="28"/>
          <w:rtl w:val="true"/>
          <w:lang w:bidi="fa-IR"/>
        </w:rPr>
        <w:t>موقوفه را با اجره‌المثل اجاره دهد و بعد از عقد اجاره، میزان اجاره بها افزایش پیدا کند، نظر مشهور شافعیّه این است که عقد اجاره فسخ نمی‌شود</w:t>
      </w:r>
      <w:r>
        <w:rPr>
          <w:rFonts w:eastAsia="IRNazanin" w:cs="IRNazanin"/>
          <w:color w:val="111111"/>
          <w:sz w:val="28"/>
          <w:szCs w:val="28"/>
          <w:rtl w:val="true"/>
          <w:lang w:bidi="fa-IR"/>
        </w:rPr>
        <w:t>.</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فقهای حنبلی نیز مانند شافعیّه در مورد مدّت اجاره قایل به توسعه هستند و یادآور شده‌اند که موُجِر وقف، خواه متولّی یا قاضی، لازم است؛ اوّلاً عرف و عادت مستمّر را</w:t>
      </w:r>
    </w:p>
    <w:p>
      <w:pPr>
        <w:pStyle w:val="BookText"/>
        <w:rPr/>
      </w:pPr>
      <w:r>
        <w:rPr>
          <w:rFonts w:ascii="IRNazanin" w:hAnsi="IRNazanin" w:eastAsia="IRNazanin"/>
          <w:color w:val="111111"/>
          <w:sz w:val="28"/>
          <w:sz w:val="28"/>
          <w:szCs w:val="28"/>
          <w:rtl w:val="true"/>
          <w:lang w:bidi="fa-IR"/>
        </w:rPr>
        <w:t>در هر مورد رعایت کند، زیرا احکام عرفی به منزله شروط واقفان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توجّه داشته باشد؛ در صورتی که شرط واقف با ضرورت و مصلحت مخالف باشد لازم‌الوفا نیست و مخالفت با آن بلامانع است، زیرا شروط واقف در مواردی واجب الوفا هستند که با مقصود مشروع واقف ناسازگار نباشند و گر نه لازم الوفا، بلکه</w:t>
      </w:r>
    </w:p>
    <w:p>
      <w:pPr>
        <w:pStyle w:val="BookText"/>
        <w:rPr/>
      </w:pPr>
      <w:r>
        <w:rPr>
          <w:rFonts w:ascii="IRNazanin" w:hAnsi="IRNazanin" w:eastAsia="IRNazanin"/>
          <w:color w:val="111111"/>
          <w:sz w:val="28"/>
          <w:sz w:val="28"/>
          <w:szCs w:val="28"/>
          <w:rtl w:val="true"/>
          <w:lang w:bidi="fa-IR"/>
        </w:rPr>
        <w:t>جایز الوفا،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اجرت و اجاره بها، فقهای حنبلی غبن فاحش را موجب بطلان اجاره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متولّی خود موقوفٌ عَلَیه و منحصر به فرد باشد ضامن مابه التفاوت</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38"/>
      </w:r>
    </w:p>
    <w:p>
      <w:pPr>
        <w:pStyle w:val="Heading5"/>
        <w:numPr>
          <w:ilvl w:val="4"/>
          <w:numId w:val="1"/>
        </w:numPr>
        <w:rPr/>
      </w:pPr>
      <w:bookmarkStart w:id="772" w:name="__RefHeading___Toc474463_1479056682"/>
      <w:bookmarkStart w:id="773" w:name="_Toc294"/>
      <w:bookmarkEnd w:id="772"/>
      <w:r>
        <w:rPr>
          <w:rtl w:val="true"/>
        </w:rPr>
        <w:t xml:space="preserve">گفتار </w:t>
      </w:r>
      <w:r>
        <w:rPr/>
        <w:t>8</w:t>
      </w:r>
      <w:r>
        <w:rPr>
          <w:rtl w:val="true"/>
        </w:rPr>
        <w:t xml:space="preserve">- </w:t>
      </w:r>
      <w:r>
        <w:rPr>
          <w:rtl w:val="true"/>
        </w:rPr>
        <w:t xml:space="preserve">اجرت متولّی </w:t>
      </w:r>
      <w:r>
        <w:rPr>
          <w:rtl w:val="true"/>
        </w:rPr>
        <w:t>(</w:t>
      </w:r>
      <w:r>
        <w:rPr>
          <w:rtl w:val="true"/>
        </w:rPr>
        <w:t>حق التّولیة</w:t>
      </w:r>
      <w:r>
        <w:rPr>
          <w:rtl w:val="true"/>
        </w:rPr>
        <w:t>)</w:t>
      </w:r>
      <w:bookmarkEnd w:id="773"/>
    </w:p>
    <w:p>
      <w:pPr>
        <w:pStyle w:val="Heading6"/>
        <w:numPr>
          <w:ilvl w:val="5"/>
          <w:numId w:val="1"/>
        </w:numPr>
        <w:rPr/>
      </w:pPr>
      <w:bookmarkStart w:id="774" w:name="__RefHeading___Toc474465_1479056682"/>
      <w:bookmarkStart w:id="775" w:name="_Toc295"/>
      <w:bookmarkEnd w:id="774"/>
      <w:r>
        <w:rPr>
          <w:rtl w:val="true"/>
        </w:rPr>
        <w:t>دیدگاه امامیّه</w:t>
      </w:r>
      <w:bookmarkEnd w:id="775"/>
    </w:p>
    <w:p>
      <w:pPr>
        <w:pStyle w:val="BookText"/>
        <w:rPr/>
      </w:pPr>
      <w:r>
        <w:rPr>
          <w:rFonts w:ascii="IRNazanin" w:hAnsi="IRNazanin" w:eastAsia="IRNazanin"/>
          <w:color w:val="111111"/>
          <w:sz w:val="28"/>
          <w:sz w:val="28"/>
          <w:szCs w:val="28"/>
          <w:rtl w:val="true"/>
          <w:lang w:bidi="fa-IR"/>
        </w:rPr>
        <w:t>حق تولیت از هزینه‌های تحصیل درآمد وقف است و مختار جمهور فقها این است که؛ متولّی، خواه منصوب از جانب واقف باشد و یا از جانب حاکم، برای کارهایی که انجام می‌دهد، حق اجرت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صاحب حدائق معتقد است؛ در صورتی که واقف</w:t>
      </w:r>
    </w:p>
    <w:p>
      <w:pPr>
        <w:pStyle w:val="BookText"/>
        <w:rPr/>
      </w:pPr>
      <w:r>
        <w:rPr>
          <w:rFonts w:ascii="IRNazanin" w:hAnsi="IRNazanin" w:eastAsia="IRNazanin"/>
          <w:color w:val="111111"/>
          <w:sz w:val="28"/>
          <w:sz w:val="28"/>
          <w:szCs w:val="28"/>
          <w:rtl w:val="true"/>
          <w:lang w:bidi="fa-IR"/>
        </w:rPr>
        <w:t xml:space="preserve">برای متولّی چیزی را شرط و تعیین وحتّی به اجمال هم اشاره‌ای به حق و اجرت برای او نکرده باشد، ظاهر این است که چون تولیت را تبرعا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است، حق اجرة المثل ندارد</w:t>
      </w:r>
      <w:r>
        <w:rPr>
          <w:rFonts w:eastAsia="IRNazanin" w:cs="IRNazanin"/>
          <w:color w:val="111111"/>
          <w:sz w:val="28"/>
          <w:szCs w:val="28"/>
          <w:rtl w:val="true"/>
          <w:lang w:bidi="fa-IR"/>
        </w:rPr>
        <w:t>.</w:t>
      </w:r>
      <w:r>
        <w:rPr>
          <w:rStyle w:val="FootnoteAnchor"/>
          <w:rtl w:val="true"/>
        </w:rPr>
        <w:footnoteReference w:id="1239"/>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عروه در پاسخ صاحب حدائق یادآور شده است که حق تولیت از هزینه‌های تحصیل درآمد وقف است و باید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واقف آن را در نظر گرفته بود که هیچ، </w:t>
      </w:r>
      <w:bookmarkStart w:id="776" w:name="pg4267_22039"/>
    </w:p>
    <w:p>
      <w:pPr>
        <w:pStyle w:val="BookText"/>
        <w:rPr/>
      </w:pPr>
      <w:bookmarkEnd w:id="776"/>
      <w:r>
        <w:rPr>
          <w:rFonts w:ascii="IRNazanin" w:hAnsi="IRNazanin" w:eastAsia="IRNazanin"/>
          <w:color w:val="111111"/>
          <w:sz w:val="28"/>
          <w:sz w:val="28"/>
          <w:szCs w:val="28"/>
          <w:rtl w:val="true"/>
          <w:lang w:bidi="fa-IR"/>
        </w:rPr>
        <w:t>وگرنه باید اجرة المثل به‌متولّی پرداخت شود</w:t>
      </w:r>
      <w:r>
        <w:rPr>
          <w:rFonts w:eastAsia="IRNazanin" w:cs="IRNazanin"/>
          <w:color w:val="111111"/>
          <w:sz w:val="28"/>
          <w:szCs w:val="28"/>
          <w:rtl w:val="true"/>
          <w:lang w:bidi="fa-IR"/>
        </w:rPr>
        <w:t>.</w:t>
      </w:r>
      <w:r>
        <w:rPr>
          <w:rStyle w:val="FootnoteAnchor"/>
          <w:rtl w:val="true"/>
        </w:rPr>
        <w:footnoteReference w:id="1240"/>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تذکره تصریح کرده است که اگر واقف چیزی از درآمد وقف را برای متولّی شرط کرده باشد همان، اجرت عمل او خواهد بود، هر چند که کمتر از اجرة المثل باشد و اگر واقف متعرّض این امر نشده باشد، اقرب این است که حق متولّی اجرة المثل است</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اکثر فقهای امامیّه، از جمله، شهید ثانی در مسالک، شهیدین در لمعه و روضة، فیض</w:t>
      </w:r>
    </w:p>
    <w:p>
      <w:pPr>
        <w:pStyle w:val="BookText"/>
        <w:rPr/>
      </w:pPr>
      <w:r>
        <w:rPr>
          <w:rFonts w:ascii="IRNazanin" w:hAnsi="IRNazanin" w:eastAsia="IRNazanin"/>
          <w:color w:val="111111"/>
          <w:sz w:val="28"/>
          <w:sz w:val="28"/>
          <w:szCs w:val="28"/>
          <w:rtl w:val="true"/>
          <w:lang w:bidi="fa-IR"/>
        </w:rPr>
        <w:t>کاشانی در مفاتیح، صاحب مفتاح الکرامة، سبزواری در کفایه، و از متأخران و معاصران، صاحب وسیله، امام خمینی، آیه‌اللّه حکیم و دیگران نیز تصریح کرده‌اند که اگر واقف برای متولّی چیزی از درآمد وقف را در نظر نگرفته باشد، حق التّولیه، اجره‌المثل خواهد</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1242"/>
      </w:r>
    </w:p>
    <w:p>
      <w:pPr>
        <w:pStyle w:val="BookText"/>
        <w:rPr/>
      </w:pPr>
      <w:r>
        <w:rPr>
          <w:rFonts w:ascii="IRNazanin" w:hAnsi="IRNazanin" w:eastAsia="IRNazanin"/>
          <w:color w:val="111111"/>
          <w:sz w:val="28"/>
          <w:sz w:val="28"/>
          <w:szCs w:val="28"/>
          <w:rtl w:val="true"/>
          <w:lang w:bidi="fa-IR"/>
        </w:rPr>
        <w:t>البتّه صاحب ریاض برای ثبوت اجره‌المثل شرط کرده است که، متولّی قصد اجرت کرده باشد؛ امّا در ادامه پذیرفته است که متولّیان عادتا این کار را تبرّعا انجام نمی‌دهند</w:t>
      </w:r>
      <w:r>
        <w:rPr>
          <w:rFonts w:eastAsia="IRNazanin" w:cs="IRNazanin"/>
          <w:color w:val="111111"/>
          <w:sz w:val="28"/>
          <w:szCs w:val="28"/>
          <w:rtl w:val="true"/>
          <w:lang w:bidi="fa-IR"/>
        </w:rPr>
        <w:t>.</w:t>
      </w:r>
      <w:r>
        <w:rPr>
          <w:rStyle w:val="FootnoteAnchor"/>
          <w:rtl w:val="true"/>
        </w:rPr>
        <w:footnoteReference w:id="1243"/>
      </w:r>
    </w:p>
    <w:p>
      <w:pPr>
        <w:pStyle w:val="BookText"/>
        <w:rPr/>
      </w:pPr>
      <w:r>
        <w:rPr>
          <w:rFonts w:ascii="IRNazanin" w:hAnsi="IRNazanin" w:eastAsia="IRNazanin"/>
          <w:color w:val="111111"/>
          <w:sz w:val="28"/>
          <w:sz w:val="28"/>
          <w:szCs w:val="28"/>
          <w:rtl w:val="true"/>
          <w:lang w:bidi="fa-IR"/>
        </w:rPr>
        <w:t>کاشف الغطاء نیز به نکته قابل توجّهی اشاره کرده است و آن این که؛ اجرت متولّی می‌تواند از درآمد مال وقفی باشد و می‌تواند از جای دیگری تأمین شود، امّا در هر صورت نباید از عین مال موقوف برداشته شود</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IRNazanin" w:hAnsi="IRNazanin" w:eastAsia="IRNazanin"/>
          <w:color w:val="111111"/>
          <w:sz w:val="28"/>
          <w:sz w:val="28"/>
          <w:szCs w:val="28"/>
          <w:rtl w:val="true"/>
          <w:lang w:bidi="fa-IR"/>
        </w:rPr>
        <w:t>توجّه به این نکته نیز خالی از فایده نیست که در بسیاری از موارد متولّی برای اداره و تدبیر امور وقف به یک سازمان و نظام تولیتی، با افراد و کارکنان متعدّد،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در این موارد، باید حق تولیت به فراخور و نسبت افراد و هزینه‌های متعارف این</w:t>
      </w:r>
    </w:p>
    <w:p>
      <w:pPr>
        <w:pStyle w:val="BookText"/>
        <w:rPr/>
      </w:pPr>
      <w:r>
        <w:rPr>
          <w:rFonts w:ascii="IRNazanin" w:hAnsi="IRNazanin" w:eastAsia="IRNazanin"/>
          <w:color w:val="111111"/>
          <w:sz w:val="28"/>
          <w:sz w:val="28"/>
          <w:szCs w:val="28"/>
          <w:rtl w:val="true"/>
          <w:lang w:bidi="fa-IR"/>
        </w:rPr>
        <w:t>نظام در نظر گرفته شود</w:t>
      </w:r>
      <w:r>
        <w:rPr>
          <w:rFonts w:eastAsia="IRNazanin" w:cs="IRNazanin"/>
          <w:color w:val="111111"/>
          <w:sz w:val="28"/>
          <w:szCs w:val="28"/>
          <w:rtl w:val="true"/>
          <w:lang w:bidi="fa-IR"/>
        </w:rPr>
        <w:t>.</w:t>
      </w:r>
    </w:p>
    <w:p>
      <w:pPr>
        <w:pStyle w:val="Heading6"/>
        <w:numPr>
          <w:ilvl w:val="5"/>
          <w:numId w:val="1"/>
        </w:numPr>
        <w:rPr/>
      </w:pPr>
      <w:bookmarkStart w:id="777" w:name="__RefHeading___Toc474467_1479056682"/>
      <w:bookmarkStart w:id="778" w:name="_Toc296"/>
      <w:bookmarkEnd w:id="777"/>
      <w:r>
        <w:rPr>
          <w:rtl w:val="true"/>
        </w:rPr>
        <w:t>دیدگاه دیگر مذاهب</w:t>
      </w:r>
      <w:bookmarkEnd w:id="778"/>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ابوزهره درباره اصل ثبوت حق اجرت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ثبوت اجرت برای متولّی، </w:t>
      </w:r>
    </w:p>
    <w:p>
      <w:pPr>
        <w:pStyle w:val="BookText"/>
        <w:rPr/>
      </w:pPr>
      <w:r>
        <w:rPr>
          <w:rFonts w:ascii="IRNazanin" w:hAnsi="IRNazanin" w:eastAsia="IRNazanin"/>
          <w:color w:val="111111"/>
          <w:sz w:val="28"/>
          <w:sz w:val="28"/>
          <w:szCs w:val="28"/>
          <w:rtl w:val="true"/>
          <w:lang w:bidi="fa-IR"/>
        </w:rPr>
        <w:t>فعل عمربن الخطاب، علی بن ابی طالب علیه‌السلام و دیگر صحابه و تابعین در مورد صدقاتشان می‌باشد، زیرا اینان در صدقات خود مقداری را هم برای متولّی قرار داده بودند</w:t>
      </w:r>
      <w:r>
        <w:rPr>
          <w:rFonts w:eastAsia="IRNazanin" w:cs="IRNazanin"/>
          <w:color w:val="111111"/>
          <w:sz w:val="28"/>
          <w:szCs w:val="28"/>
          <w:rtl w:val="true"/>
          <w:lang w:bidi="fa-IR"/>
        </w:rPr>
        <w:t>.</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مقدار اجرت</w:t>
      </w:r>
    </w:p>
    <w:p>
      <w:pPr>
        <w:pStyle w:val="BookText"/>
        <w:rPr/>
      </w:pPr>
      <w:r>
        <w:rPr>
          <w:rFonts w:ascii="IRNazanin" w:hAnsi="IRNazanin" w:eastAsia="IRNazanin"/>
          <w:color w:val="111111"/>
          <w:sz w:val="28"/>
          <w:sz w:val="28"/>
          <w:szCs w:val="28"/>
          <w:rtl w:val="true"/>
          <w:lang w:bidi="fa-IR"/>
        </w:rPr>
        <w:t>دیدگاه حنفیّه</w:t>
      </w:r>
    </w:p>
    <w:p>
      <w:pPr>
        <w:pStyle w:val="BookText"/>
        <w:rPr/>
      </w:pPr>
      <w:r>
        <w:rPr>
          <w:rFonts w:ascii="IRNazanin" w:hAnsi="IRNazanin" w:eastAsia="IRNazanin"/>
          <w:color w:val="111111"/>
          <w:sz w:val="28"/>
          <w:sz w:val="28"/>
          <w:szCs w:val="28"/>
          <w:rtl w:val="true"/>
          <w:lang w:bidi="fa-IR"/>
        </w:rPr>
        <w:t xml:space="preserve">در فقه حنفی اگر واقف مقداری را، هرچند بیش از اجره‌المثل، برای متولّی قرار دهد، حق وی خواهد بود، حتّی اگر بیمار شود تا زمانی که توان امر و نهی دارد مستحق اجرت است، امّا اگر اجرت تعیین شده از سوی واقف، کمتر از اجرة المثل باشد اگر ناظر مطالبه کند قاضی آن را بالا می‌برد، زیرا اجره‌المثل، اجرت کاری است که با طلب، مستحق آن می‌شود و اگر مطالبه نکرد نسبت به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متبرّع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در صورتی که واقف اجرتی را برای ناظر معیّن نکرده باشد، قاضی برای او اجره‌المثل را</w:t>
      </w:r>
    </w:p>
    <w:p>
      <w:pPr>
        <w:pStyle w:val="BookText"/>
        <w:rPr/>
      </w:pPr>
      <w:r>
        <w:rPr>
          <w:rFonts w:ascii="IRNazanin" w:hAnsi="IRNazanin" w:eastAsia="IRNazanin"/>
          <w:color w:val="111111"/>
          <w:sz w:val="28"/>
          <w:sz w:val="28"/>
          <w:szCs w:val="28"/>
          <w:rtl w:val="true"/>
          <w:lang w:bidi="fa-IR"/>
        </w:rPr>
        <w:t>در نظر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اگر متولّی از طرف قاضی منصوب باشد و اجرتی برای او تعیین نشده باشد</w:t>
      </w:r>
      <w:r>
        <w:rPr>
          <w:rFonts w:eastAsia="IRNazanin" w:cs="IRNazanin"/>
          <w:color w:val="111111"/>
          <w:sz w:val="28"/>
          <w:szCs w:val="28"/>
          <w:rtl w:val="true"/>
          <w:lang w:bidi="fa-IR"/>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مالکیّه</w:t>
      </w:r>
    </w:p>
    <w:p>
      <w:pPr>
        <w:pStyle w:val="BookText"/>
        <w:rPr/>
      </w:pPr>
      <w:r>
        <w:rPr>
          <w:rFonts w:ascii="IRNazanin" w:hAnsi="IRNazanin" w:eastAsia="IRNazanin"/>
          <w:color w:val="111111"/>
          <w:sz w:val="28"/>
          <w:sz w:val="28"/>
          <w:szCs w:val="28"/>
          <w:rtl w:val="true"/>
          <w:lang w:bidi="fa-IR"/>
        </w:rPr>
        <w:t>اگر واقف یا قاضی مقدار معیّن را برای ناظر در نظر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 وی خواهد بود و باید رعایت شود، و اگر اجرتی معیّن نشده باشد، یک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ابن عتاب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اجرت متولّی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تأمین می‌شود</w:t>
      </w:r>
      <w:r>
        <w:rPr>
          <w:rFonts w:eastAsia="IRNazanin" w:cs="IRNazanin"/>
          <w:color w:val="111111"/>
          <w:sz w:val="28"/>
          <w:szCs w:val="28"/>
          <w:rtl w:val="true"/>
          <w:lang w:bidi="fa-IR"/>
        </w:rPr>
        <w:t>.</w:t>
      </w:r>
      <w:r>
        <w:rPr>
          <w:rStyle w:val="FootnoteAnchor"/>
          <w:rtl w:val="true"/>
        </w:rPr>
        <w:footnoteReference w:id="1247"/>
      </w:r>
    </w:p>
    <w:p>
      <w:pPr>
        <w:pStyle w:val="BookText"/>
        <w:rPr/>
      </w:pPr>
      <w:r>
        <w:rPr>
          <w:rFonts w:ascii="IRNazanin" w:hAnsi="IRNazanin" w:eastAsia="IRNazanin"/>
          <w:color w:val="111111"/>
          <w:sz w:val="28"/>
          <w:sz w:val="28"/>
          <w:szCs w:val="28"/>
          <w:rtl w:val="true"/>
          <w:lang w:bidi="fa-IR"/>
        </w:rPr>
        <w:t>ابوزهره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مبنای این قول این است که اداره اوقاف از اعمال دولت است و از اموری است که محتسب اکبر، یعنی حاکم، مسؤول اداره آن است، لذا متولّی نیز همانند کارمندان دولت حقوقش را از بیت المال می‌گیرد؛ امّا این دیدگاه و</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مرجوح است؛ برای این که در اوقاف مصالح خاصّه بر مصالح عامّه می‌چربد</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Amiri" w:hAnsi="Amiri" w:eastAsia="Amiri" w:cs="Amiri"/>
          <w:color w:val="111111"/>
          <w:sz w:val="28"/>
          <w:sz w:val="28"/>
          <w:szCs w:val="28"/>
          <w:rtl w:val="true"/>
          <w:lang w:bidi="ar-SA"/>
        </w:rPr>
        <w:t>شافعیّه</w:t>
      </w:r>
    </w:p>
    <w:p>
      <w:pPr>
        <w:pStyle w:val="BookText"/>
        <w:rPr/>
      </w:pPr>
      <w:r>
        <w:rPr>
          <w:rFonts w:ascii="IRNazanin" w:hAnsi="IRNazanin" w:eastAsia="IRNazanin"/>
          <w:color w:val="111111"/>
          <w:sz w:val="28"/>
          <w:sz w:val="28"/>
          <w:szCs w:val="28"/>
          <w:rtl w:val="true"/>
          <w:lang w:bidi="fa-IR"/>
        </w:rPr>
        <w:t>اگر واقف چیزی را برای متولّی تعیین کرده باشد، در صورتی که خودش ناظر نباشد، اجرت تعیین شده، هرچند بیش از اجرة المثل باشد، حق ناظر است؛ امّا اگر خود واقف ناظر باشد، اجرتش نباید بیش از اجرة المثل باشد، در صورتی که واقف برای ناظر اجرتی را تعیین نکرده باشد اجرتی برای او نیست تااین که از قاضی مطالبه اجرت کند که</w:t>
      </w:r>
    </w:p>
    <w:p>
      <w:pPr>
        <w:pStyle w:val="BookText"/>
        <w:rPr/>
      </w:pPr>
      <w:r>
        <w:rPr>
          <w:rFonts w:ascii="IRNazanin" w:hAnsi="IRNazanin" w:eastAsia="IRNazanin"/>
          <w:color w:val="111111"/>
          <w:sz w:val="28"/>
          <w:sz w:val="28"/>
          <w:szCs w:val="28"/>
          <w:rtl w:val="true"/>
          <w:lang w:bidi="fa-IR"/>
        </w:rPr>
        <w:t xml:space="preserve">در این صورت، مطابق نظر بعضی از شافعیّه، مستحق اجره‌المثل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نیازمند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 نیاز برای امرار معاش مستحقّ اجرت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صورتی که مطالبه نکند مستحق اجرت نخواهد بود؛ زیرا در این صورت متبرّع خواهد بود</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Amiri" w:hAnsi="Amiri" w:eastAsia="Amiri" w:cs="Amiri"/>
          <w:color w:val="111111"/>
          <w:sz w:val="28"/>
          <w:sz w:val="28"/>
          <w:szCs w:val="28"/>
          <w:rtl w:val="true"/>
          <w:lang w:bidi="ar-SA"/>
        </w:rPr>
        <w:t>حنبلیّه</w:t>
      </w:r>
    </w:p>
    <w:p>
      <w:pPr>
        <w:pStyle w:val="BookText"/>
        <w:rPr/>
      </w:pPr>
      <w:r>
        <w:rPr>
          <w:rFonts w:ascii="IRNazanin" w:hAnsi="IRNazanin" w:eastAsia="IRNazanin"/>
          <w:color w:val="111111"/>
          <w:sz w:val="28"/>
          <w:sz w:val="28"/>
          <w:szCs w:val="28"/>
          <w:rtl w:val="true"/>
          <w:lang w:bidi="fa-IR"/>
        </w:rPr>
        <w:t xml:space="preserve">در فقه حنبلی اگر واقف، اجرت معلومی را برای ناظر قرار داد مطابق همان شرط واقف عمل می‌شود و اگر چیزی تعیین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حنابله دو قول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استفاده به قدر متعارف دارد، نه بیشتر و این مطلب در وقف نامه عمر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می تواند به قدر متعارف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گروهی شرط استفاده را، همانند وَلیِّ صغیر، فقر متولّی دانسته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متولّی اجرة المثل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در صورتی است که ناظر از کسانی باشد که غالبا برای انجام این کارها عوض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اگر از کسانی باشد که معمولاً تبرّعا به این امور می‌پردازند، حق اجرتی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با قبول</w:t>
      </w:r>
    </w:p>
    <w:p>
      <w:pPr>
        <w:pStyle w:val="BookText"/>
        <w:rPr/>
      </w:pPr>
      <w:r>
        <w:rPr>
          <w:rFonts w:ascii="IRNazanin" w:hAnsi="IRNazanin" w:eastAsia="IRNazanin"/>
          <w:color w:val="111111"/>
          <w:sz w:val="28"/>
          <w:sz w:val="28"/>
          <w:szCs w:val="28"/>
          <w:rtl w:val="true"/>
          <w:lang w:bidi="fa-IR"/>
        </w:rPr>
        <w:t>اداره وقف بدون تعیین اجرت، به کار تبرّعی ملتزم شده است</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در قانون مدنی ایران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واقف از منابع موقوفه، سهمی برای عمل متولّی قرار دهد و اگر حق التّولیة معیّن نشده باشد متولّی مستحق اجره‌المثل عمل</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51"/>
      </w:r>
      <w:bookmarkStart w:id="779" w:name="pg4267_22045"/>
    </w:p>
    <w:p>
      <w:pPr>
        <w:pStyle w:val="Heading5"/>
        <w:numPr>
          <w:ilvl w:val="4"/>
          <w:numId w:val="1"/>
        </w:numPr>
        <w:rPr/>
      </w:pPr>
      <w:bookmarkStart w:id="780" w:name="__RefHeading___Toc474469_1479056682"/>
      <w:bookmarkStart w:id="781" w:name="_Toc297"/>
      <w:bookmarkEnd w:id="779"/>
      <w:bookmarkEnd w:id="780"/>
      <w:r>
        <w:rPr>
          <w:rtl w:val="true"/>
        </w:rPr>
        <w:t xml:space="preserve">گفتار </w:t>
      </w:r>
      <w:r>
        <w:rPr/>
        <w:t>9</w:t>
      </w:r>
      <w:r>
        <w:rPr>
          <w:rtl w:val="true"/>
        </w:rPr>
        <w:t xml:space="preserve">- </w:t>
      </w:r>
      <w:r>
        <w:rPr>
          <w:rtl w:val="true"/>
        </w:rPr>
        <w:t>متولّی امین است</w:t>
      </w:r>
      <w:bookmarkEnd w:id="781"/>
    </w:p>
    <w:p>
      <w:pPr>
        <w:pStyle w:val="BookText"/>
        <w:rPr/>
      </w:pPr>
      <w:r>
        <w:rPr>
          <w:rFonts w:ascii="IRNazanin" w:hAnsi="IRNazanin" w:eastAsia="IRNazanin"/>
          <w:color w:val="111111"/>
          <w:sz w:val="28"/>
          <w:sz w:val="28"/>
          <w:szCs w:val="28"/>
          <w:rtl w:val="true"/>
          <w:lang w:bidi="fa-IR"/>
        </w:rPr>
        <w:t>فقهای اسلام اتّفاق نظر دارند که متولّی امین است و جز با تعدّی و تقصیر ضامن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باید قول او بدون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مواردی که تعدّی و تقصیر کرده باشد، مثل این که غلاّت مستحقّین را حبس کرده و علی رغم مطالبه آنان، بدون مجوّز شرعی از تحویل به آنها امتناع کرده باشد، ضامن است، زیرا در این صورت و موارد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امانی نیست، بلکه ید متعدّی و ضامن است</w:t>
      </w:r>
      <w:r>
        <w:rPr>
          <w:rFonts w:eastAsia="IRNazanin" w:cs="IRNazanin"/>
          <w:color w:val="111111"/>
          <w:sz w:val="28"/>
          <w:szCs w:val="28"/>
          <w:rtl w:val="true"/>
          <w:lang w:bidi="fa-IR"/>
        </w:rPr>
        <w:t>.</w:t>
      </w:r>
      <w:r>
        <w:rPr>
          <w:rStyle w:val="FootnoteAnchor"/>
          <w:rtl w:val="true"/>
        </w:rPr>
        <w:footnoteReference w:id="1252"/>
      </w:r>
    </w:p>
    <w:p>
      <w:pPr>
        <w:pStyle w:val="Heading4"/>
        <w:numPr>
          <w:ilvl w:val="3"/>
          <w:numId w:val="1"/>
        </w:numPr>
        <w:rPr/>
      </w:pPr>
      <w:bookmarkStart w:id="782" w:name="__RefHeading___Toc474471_1479056682"/>
      <w:bookmarkStart w:id="783" w:name="_Toc298"/>
      <w:bookmarkEnd w:id="782"/>
      <w:r>
        <w:rPr>
          <w:rtl w:val="true"/>
        </w:rPr>
        <w:t>مبحث پنجم</w:t>
      </w:r>
      <w:r>
        <w:rPr>
          <w:rtl w:val="true"/>
        </w:rPr>
        <w:t xml:space="preserve">: </w:t>
      </w:r>
      <w:r>
        <w:rPr>
          <w:rtl w:val="true"/>
        </w:rPr>
        <w:t>بیع و استبدال وقف</w:t>
      </w:r>
      <w:bookmarkEnd w:id="783"/>
    </w:p>
    <w:p>
      <w:pPr>
        <w:pStyle w:val="Heading5"/>
        <w:numPr>
          <w:ilvl w:val="4"/>
          <w:numId w:val="1"/>
        </w:numPr>
        <w:rPr/>
      </w:pPr>
      <w:bookmarkStart w:id="784" w:name="__RefHeading___Toc474473_1479056682"/>
      <w:bookmarkStart w:id="785" w:name="_Toc299"/>
      <w:bookmarkEnd w:id="784"/>
      <w:r>
        <w:rPr>
          <w:rtl w:val="true"/>
        </w:rPr>
        <w:t xml:space="preserve">گفتار </w:t>
      </w:r>
      <w:r>
        <w:rPr/>
        <w:t>1</w:t>
      </w:r>
      <w:r>
        <w:rPr>
          <w:rtl w:val="true"/>
        </w:rPr>
        <w:t xml:space="preserve">- </w:t>
      </w:r>
      <w:r>
        <w:rPr>
          <w:rtl w:val="true"/>
        </w:rPr>
        <w:t xml:space="preserve">ادلّه عدم جواز بیع </w:t>
      </w:r>
      <w:r>
        <w:rPr>
          <w:rtl w:val="true"/>
        </w:rPr>
        <w:t>(</w:t>
      </w:r>
      <w:r>
        <w:rPr>
          <w:rtl w:val="true"/>
        </w:rPr>
        <w:t>فی‌الجمله</w:t>
      </w:r>
      <w:r>
        <w:rPr>
          <w:rtl w:val="true"/>
        </w:rPr>
        <w:t>)</w:t>
      </w:r>
      <w:bookmarkEnd w:id="785"/>
    </w:p>
    <w:p>
      <w:pPr>
        <w:pStyle w:val="BookText"/>
        <w:rPr/>
      </w:pPr>
      <w:r>
        <w:rPr>
          <w:rFonts w:ascii="IRNazanin" w:hAnsi="IRNazanin" w:eastAsia="IRNazanin"/>
          <w:color w:val="111111"/>
          <w:sz w:val="28"/>
          <w:sz w:val="28"/>
          <w:szCs w:val="28"/>
          <w:rtl w:val="true"/>
          <w:lang w:bidi="fa-IR"/>
        </w:rPr>
        <w:t xml:space="preserve">بحث بیع وقف در ابواب گوناگون فقه، مانند باب وقف، باب بیع و کتاب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مبحث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اَعلام امامیّه، صاحب جواهر و شیخ انصاری و به دنبال آنها امام خمینی، در کتاب بیع در بحث شرایط مبیع، مفصلتر از دیگران به این مسأله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یکی از شرایط مبیع، ملک طِلق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متفرّع بر این شرط، فقها مسأله بیع وقف را که فاقد این شرط است به میان آورده آن را مورد بررسی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برای عدم جواز 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ادلّه ای چون اجماع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روایات، استدلال کرده است، روایاتی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اَلْوُقُوفُ عَلی حَسَبِ ما</w:t>
      </w:r>
    </w:p>
    <w:p>
      <w:pPr>
        <w:pStyle w:val="BookText"/>
        <w:rPr/>
      </w:pPr>
      <w:r>
        <w:rPr>
          <w:rFonts w:ascii="Amiri" w:hAnsi="Amiri" w:eastAsia="Amiri" w:cs="Amiri"/>
          <w:color w:val="111111"/>
          <w:sz w:val="28"/>
          <w:sz w:val="28"/>
          <w:szCs w:val="28"/>
          <w:rtl w:val="true"/>
          <w:lang w:bidi="ar-SA"/>
        </w:rPr>
        <w:t>یَقِفُها اَهْلُها</w:t>
      </w:r>
      <w:r>
        <w:rPr>
          <w:rFonts w:eastAsia="Amiri" w:cs="Amiri" w:ascii="Amiri" w:hAnsi="Amiri"/>
          <w:color w:val="111111"/>
          <w:sz w:val="28"/>
          <w:szCs w:val="28"/>
          <w:rtl w:val="true"/>
          <w:lang w:bidi="ar-SA"/>
        </w:rPr>
        <w:t>»</w:t>
      </w:r>
      <w:r>
        <w:rPr>
          <w:rStyle w:val="FootnoteAnchor"/>
          <w:rtl w:val="true"/>
        </w:rPr>
        <w:footnoteReference w:id="1253"/>
      </w:r>
      <w:r>
        <w:rPr>
          <w:rFonts w:ascii="Amiri" w:hAnsi="Amiri" w:eastAsia="Amiri" w:cs="Amiri"/>
          <w:color w:val="111111"/>
          <w:sz w:val="28"/>
          <w:sz w:val="28"/>
          <w:szCs w:val="28"/>
          <w:rtl w:val="true"/>
          <w:lang w:bidi="ar-SA"/>
        </w:rPr>
        <w:t>، و روایت علی‌بن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 شِراءُالْوَقْفِ وَ لا تَدْخُلُ‌الْغَلَّةُ فی مِلکِکَ ادْفَعْها اِلی ما اَوْقَفْتَ عَلَیْه</w:t>
      </w:r>
      <w:r>
        <w:rPr>
          <w:rFonts w:eastAsia="Amiri" w:cs="Amiri" w:ascii="Amiri" w:hAnsi="Amiri"/>
          <w:color w:val="111111"/>
          <w:sz w:val="28"/>
          <w:szCs w:val="28"/>
          <w:rtl w:val="true"/>
          <w:lang w:bidi="ar-SA"/>
        </w:rPr>
        <w:t>»</w:t>
      </w:r>
      <w:r>
        <w:rPr>
          <w:rStyle w:val="FootnoteAnchor"/>
          <w:rtl w:val="true"/>
        </w:rPr>
        <w:footnoteReference w:id="12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خریداری کردن وقف جایز نیست و درآمد آن ملک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بود، آن را به جهتی که مال برای آن وقف شده است تحویل ده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روایاتی که درباره وقف علی و ائمه علیهم‌السلام حکایت شده اند، مانند روایت رِبْعی بن </w:t>
      </w:r>
    </w:p>
    <w:p>
      <w:pPr>
        <w:pStyle w:val="BookText"/>
        <w:rPr/>
      </w:pPr>
      <w:r>
        <w:rPr>
          <w:rFonts w:ascii="IRNazanin" w:hAnsi="IRNazanin" w:eastAsia="IRNazanin"/>
          <w:color w:val="111111"/>
          <w:sz w:val="28"/>
          <w:sz w:val="28"/>
          <w:szCs w:val="28"/>
          <w:rtl w:val="true"/>
          <w:lang w:bidi="fa-IR"/>
        </w:rPr>
        <w:t>عبد اللّه از امام صادق علیه‌السلام در مورد نوشته امیر مؤمنان علیه‌السلام که در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تَصَدَّقَ بِهِ عَلِیُّ بْنُ اَبی طالِبٍ، وَ هُوَ حَیٌّ سَوِیٌّ، تَصَدَّقَ بِدارِهِ الَّتی فی بَنی زُرَیْق، صَدَقَةً لا تُباعُ وَ لا تُوهَبُ حتّی یَرِثَهَا اللّهُ الَّذی یَرِثُ السَّمواتِ وَالْاَرْضَ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صورتِ مالی است که علی بن ابی‌طالب آن را تصدّق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خانه خود در بنی زُرَیْق را صدقه قرار داد تا به‌هیچ وجه فروخته نشود، هبه نگردد تا آن گاه که وارث</w:t>
      </w:r>
    </w:p>
    <w:p>
      <w:pPr>
        <w:pStyle w:val="BookText"/>
        <w:rPr/>
      </w:pPr>
      <w:r>
        <w:rPr>
          <w:rFonts w:ascii="IRNazanin" w:hAnsi="IRNazanin" w:eastAsia="IRNazanin"/>
          <w:color w:val="111111"/>
          <w:sz w:val="28"/>
          <w:sz w:val="28"/>
          <w:szCs w:val="28"/>
          <w:rtl w:val="true"/>
          <w:lang w:bidi="fa-IR"/>
        </w:rPr>
        <w:t>آسمانها و زمین آن را به ارث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انصاری تأکید کرده است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 وَ لا تُوهَبُ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و قید برای نوع وقف است، نه برای شخص، و نیز مصداق خاصّی است که حضرت در وقف نامه خود ذکر کرده، از این رو عدم جواز بیع وهبه مقتضای نوع وقف خواهد بود</w:t>
      </w:r>
      <w:r>
        <w:rPr>
          <w:rFonts w:eastAsia="IRNazanin" w:cs="IRNazanin"/>
          <w:color w:val="111111"/>
          <w:sz w:val="28"/>
          <w:szCs w:val="28"/>
          <w:rtl w:val="true"/>
          <w:lang w:bidi="fa-IR"/>
        </w:rPr>
        <w:t>.</w:t>
      </w:r>
      <w:r>
        <w:rPr>
          <w:rStyle w:val="FootnoteAnchor"/>
          <w:rtl w:val="true"/>
        </w:rPr>
        <w:footnoteReference w:id="1255"/>
      </w:r>
      <w:r>
        <w:rPr>
          <w:rFonts w:ascii="IRNazanin" w:hAnsi="IRNazanin" w:eastAsia="IRNazanin"/>
          <w:color w:val="111111"/>
          <w:sz w:val="28"/>
          <w:sz w:val="28"/>
          <w:szCs w:val="28"/>
          <w:rtl w:val="true"/>
          <w:lang w:bidi="fa-IR"/>
        </w:rPr>
        <w:t>صاحب جواهر</w:t>
      </w:r>
    </w:p>
    <w:p>
      <w:pPr>
        <w:pStyle w:val="BookText"/>
        <w:rPr/>
      </w:pPr>
      <w:r>
        <w:rPr>
          <w:rFonts w:ascii="IRNazanin" w:hAnsi="IRNazanin" w:eastAsia="IRNazanin"/>
          <w:color w:val="111111"/>
          <w:sz w:val="28"/>
          <w:sz w:val="28"/>
          <w:szCs w:val="28"/>
          <w:rtl w:val="true"/>
          <w:lang w:bidi="fa-IR"/>
        </w:rPr>
        <w:t>نیز با عباراتی مشابه، به‌همین عمومات استدلال کرده و در ادامه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تأبید و دوامی که در روایات آمده از مقتضیات وقف و مقوّمات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که نفی معاوضات بر اعیان آن از همان آغاز در وقف لحاظ شده، بویژه آن که حق اعقاب و بطون بعدی نیز به آن تعلّق گرفته است، حتّی می‌توان از جانب عوام از متشرّعه، چه رسد به علمای آنان، بر این مسأله ادّعای ضرورت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اصحاب به اتّفاق آراء نظرشان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وقف، منع از بیع آن می‌باشد، هر چند درباره مواردی که با دلیل از این اصل خارج شده‌اند، اختلاف دارند</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شیخ در مکاسب، سپس متفرّع بر این ادلّه و عمومات، برای بیع وقف، سه مانع اصلی ذکر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واقف که به اقتضای صیغه وقف، این مال را صدقه جاریه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بطون و نسلهای آینده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شرعی که از روایات استفاده می‌شود، چرا که وقف متعلّق حق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در آن قصد قربت معتبر است، برای خدا انجام می‌شود و عوض آن نیز بر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گاهی بعضی از این موانع و گاهی تمام </w:t>
      </w:r>
    </w:p>
    <w:p>
      <w:pPr>
        <w:pStyle w:val="BookText"/>
        <w:rPr/>
      </w:pPr>
      <w:r>
        <w:rPr>
          <w:rFonts w:ascii="IRNazanin" w:hAnsi="IRNazanin" w:eastAsia="IRNazanin"/>
          <w:color w:val="111111"/>
          <w:sz w:val="28"/>
          <w:sz w:val="28"/>
          <w:szCs w:val="28"/>
          <w:rtl w:val="true"/>
          <w:lang w:bidi="fa-IR"/>
        </w:rPr>
        <w:t>آنها برطرف شوند که توضیح آنها خواهد آمد</w:t>
      </w:r>
      <w:r>
        <w:rPr>
          <w:rFonts w:eastAsia="IRNazanin" w:cs="IRNazanin"/>
          <w:color w:val="111111"/>
          <w:sz w:val="28"/>
          <w:szCs w:val="28"/>
          <w:rtl w:val="true"/>
          <w:lang w:bidi="fa-IR"/>
        </w:rPr>
        <w:t>.</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 xml:space="preserve">امام خمینی پس از نقد و ردّ استدلال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روایات یاد شده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تُباعُ </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که در وقف امیرمؤمنان علیه‌السلام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آن‌طور که شیخ و صاحب جواهر تصوّر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برای نوع وقف نیست، بلکه نهی و زجری است از جانب واقف، نه این که حکایت از زجر تشریعی از جانب خداوند متعال باشد، لذا حضرت به دنبال 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را بفروشد یا هبه کند،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وصف، ظاهر در احتراز است؛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صَدَقَةً 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از مواردی که چنین شرطی در آنها لحاظ نشده و قابل بیع هستند، احتراز شده است، بویژه آن که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بعد از انشای وقف و تمامیّت آن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مجموع ادلّه و اقوال استفاده می‌شود که وقف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واقف، آن را به عدم جواز بیع مقیّد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 که واقف، آن را به جواز بیع مقیّد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که؛ وقف در جواز و عدم جواز بیع، تابع جعل آن توسّط واقف است، امّا اگر واقف قیدی را ذکر نکند باید به دنبال دلیل دیگری بود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ascii="IRNazanin" w:hAnsi="IRNazanin" w:eastAsia="IRNazanin"/>
          <w:color w:val="111111"/>
          <w:sz w:val="28"/>
          <w:sz w:val="28"/>
          <w:szCs w:val="28"/>
          <w:rtl w:val="true"/>
          <w:lang w:bidi="fa-IR"/>
        </w:rPr>
        <w:t xml:space="preserve">به نظر می‌رسد در این مورد، مدّعای شیخ و صاحب جواهر، بیشتر قابل دفاع باشد، زیرا ظاهر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وصف برای نوع است نه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خمینی بیان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 قید، احتراز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احادیث با این وصف، نوع دیگر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 غیر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نه نوع دیگر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ای که قابل بیع و تملیک است، و آن صدقه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ای که مقتضایش عدم جواز بیع آن است، هر چند امکان دارد به عللی موانع بیع برطرف شود و به دنبال آن ، بیع وقف، تجویز گردد</w:t>
      </w:r>
      <w:r>
        <w:rPr>
          <w:rFonts w:eastAsia="IRNazanin" w:cs="IRNazanin"/>
          <w:color w:val="111111"/>
          <w:sz w:val="28"/>
          <w:szCs w:val="28"/>
          <w:rtl w:val="true"/>
          <w:lang w:bidi="fa-IR"/>
        </w:rPr>
        <w:t xml:space="preserve">. </w:t>
      </w:r>
      <w:bookmarkStart w:id="786" w:name="pg4267_22050"/>
    </w:p>
    <w:p>
      <w:pPr>
        <w:pStyle w:val="BookText"/>
        <w:rPr/>
      </w:pPr>
      <w:bookmarkEnd w:id="786"/>
      <w:r>
        <w:rPr>
          <w:rFonts w:ascii="IRNazanin" w:hAnsi="IRNazanin" w:eastAsia="IRNazanin"/>
          <w:color w:val="111111"/>
          <w:sz w:val="28"/>
          <w:sz w:val="28"/>
          <w:szCs w:val="28"/>
          <w:rtl w:val="true"/>
          <w:lang w:bidi="fa-IR"/>
        </w:rPr>
        <w:t xml:space="preserve">البتّه امام خمینی نیز در ادامه به نوعی این مطلب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نقل، مقتضای ماهیّت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تأیید کرده است، امّا نه با استفاده از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تُباعُ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تعلّق حقوق ثلاثه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حقّ‌اللّه، حق واقف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دلیل که؛ وقف با همه اقسامش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تملیک نیست و فَکّ ملک است، یعنی مال، محبوس و موقوف شده تا منافع آن به مصرف افرادی برسد، نه این که بر آن افراد ایقاف شده باشد،</w:t>
      </w:r>
    </w:p>
    <w:p>
      <w:pPr>
        <w:pStyle w:val="BookText"/>
        <w:rPr/>
      </w:pPr>
      <w:r>
        <w:rPr>
          <w:rFonts w:ascii="IRNazanin" w:hAnsi="IRNazanin" w:eastAsia="IRNazanin"/>
          <w:color w:val="111111"/>
          <w:sz w:val="28"/>
          <w:sz w:val="28"/>
          <w:szCs w:val="28"/>
          <w:rtl w:val="true"/>
          <w:lang w:bidi="fa-IR"/>
        </w:rPr>
        <w:t xml:space="preserve">در حقیقت، وقف ایقاف و حبسی است بدون اضافه، و به عبارت دیگر؛ 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وَقَفْتُ لَهُمْ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برای ملکیّت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حبسِ عین از نقل و تسبیل منافع</w:t>
      </w:r>
    </w:p>
    <w:p>
      <w:pPr>
        <w:pStyle w:val="BookText"/>
        <w:rPr/>
      </w:pPr>
      <w:r>
        <w:rPr>
          <w:rFonts w:ascii="IRNazanin" w:hAnsi="IRNazanin" w:eastAsia="IRNazanin"/>
          <w:color w:val="111111"/>
          <w:sz w:val="28"/>
          <w:sz w:val="28"/>
          <w:szCs w:val="28"/>
          <w:rtl w:val="true"/>
          <w:lang w:bidi="fa-IR"/>
        </w:rPr>
        <w:t>آن، جزو ماهیّت وقف است</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IRNazanin" w:hAnsi="IRNazanin" w:eastAsia="IRNazanin"/>
          <w:color w:val="111111"/>
          <w:sz w:val="28"/>
          <w:sz w:val="28"/>
          <w:szCs w:val="28"/>
          <w:rtl w:val="true"/>
          <w:lang w:bidi="fa-IR"/>
        </w:rPr>
        <w:t>امام خمینی در منبع یاد شده به جز این دلیل، اجماع و ارتکاز متشرّعه را از هر ملّت، بلکه ارتکاز همه عقلا را نیز به عنوان دلیل بر ممنوعیّت وقف از بیع، ذکر کرده و یادآور</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ارتکاز ضروری مسلمین در موقوفات، موجب ظهور روایات در منع بیع وقف می‌شود، مانند روایت اَبوُعَلی‌بْنِ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r>
        <w:rPr>
          <w:rStyle w:val="FootnoteAnchor"/>
          <w:rtl w:val="true"/>
        </w:rPr>
        <w:footnoteReference w:id="1261"/>
      </w:r>
    </w:p>
    <w:p>
      <w:pPr>
        <w:pStyle w:val="Heading5"/>
        <w:numPr>
          <w:ilvl w:val="4"/>
          <w:numId w:val="1"/>
        </w:numPr>
        <w:rPr/>
      </w:pPr>
      <w:bookmarkStart w:id="787" w:name="__RefHeading___Toc474475_1479056682"/>
      <w:bookmarkStart w:id="788" w:name="_Toc300"/>
      <w:bookmarkEnd w:id="787"/>
      <w:r>
        <w:rPr>
          <w:rtl w:val="true"/>
        </w:rPr>
        <w:t xml:space="preserve">گفتار </w:t>
      </w:r>
      <w:r>
        <w:rPr/>
        <w:t>2</w:t>
      </w:r>
      <w:r>
        <w:rPr>
          <w:rtl w:val="true"/>
        </w:rPr>
        <w:t xml:space="preserve">- </w:t>
      </w:r>
      <w:r>
        <w:rPr>
          <w:rtl w:val="true"/>
        </w:rPr>
        <w:t>آیا وقف با بیع باطل می‌شود یا با جواز بیع؟</w:t>
      </w:r>
      <w:bookmarkEnd w:id="788"/>
    </w:p>
    <w:p>
      <w:pPr>
        <w:pStyle w:val="BookText"/>
        <w:rPr/>
      </w:pPr>
      <w:r>
        <w:rPr>
          <w:rFonts w:ascii="IRNazanin" w:hAnsi="IRNazanin" w:eastAsia="IRNazanin"/>
          <w:color w:val="111111"/>
          <w:sz w:val="28"/>
          <w:sz w:val="28"/>
          <w:szCs w:val="28"/>
          <w:rtl w:val="true"/>
          <w:lang w:bidi="fa-IR"/>
        </w:rPr>
        <w:t xml:space="preserve">اگر به مجرّد جواز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عروض بعضی از مسوّغات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باطل شود بیع آن در موارد تجویز شده در حقیقت بیع وقف نخواهد بود، و گر نه بیع 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این نظر را تقویت کرده است که بیع وقف تا زمانی که وقف است، جایز نیست، بلکه جواز بیع با وقف بودن مُتَضادّ است و جواز تنها بعد از بطلان بیع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مواردی که بیع وقف به عللی جایز است ابتدا وقف باطل می‌شود و پس از آن بیع، جایز می‌گردد</w:t>
      </w:r>
      <w:r>
        <w:rPr>
          <w:rFonts w:eastAsia="IRNazanin" w:cs="IRNazanin"/>
          <w:color w:val="111111"/>
          <w:sz w:val="28"/>
          <w:szCs w:val="28"/>
          <w:rtl w:val="true"/>
          <w:lang w:bidi="fa-IR"/>
        </w:rPr>
        <w:t>.</w:t>
      </w:r>
      <w:r>
        <w:rPr>
          <w:rStyle w:val="FootnoteAnchor"/>
          <w:rtl w:val="true"/>
        </w:rPr>
        <w:footnoteReference w:id="1262"/>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شیخ انصاری با عنایت به این بیان صاحب جواهر،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بیع با بقای وقف هیچ منافاتی ندارد و وقف با بیع آن، باطل می‌شود نه با جواز بیع؛ </w:t>
      </w:r>
    </w:p>
    <w:p>
      <w:pPr>
        <w:pStyle w:val="BookText"/>
        <w:rPr/>
      </w:pPr>
      <w:r>
        <w:rPr>
          <w:rFonts w:ascii="IRNazanin" w:hAnsi="IRNazanin" w:eastAsia="IRNazanin"/>
          <w:color w:val="111111"/>
          <w:sz w:val="28"/>
          <w:sz w:val="28"/>
          <w:szCs w:val="28"/>
          <w:rtl w:val="true"/>
          <w:lang w:bidi="fa-IR"/>
        </w:rPr>
        <w:t>بنابراین معنای جواز بیع عین موقوفه، جواز ابطال آن است نه ابطال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صیغه وقف، دوام و منع از معاوضه، لحاظ و اعتبار شده است، امّا اشکالی ندارد که با عروض عواملی با این انشاء مخالفت شود، چنان که مقتضای عقد جایزی مانند هبه، تملیک آن به مُتَّهِب است، تملیکی که مُقتضِی تسلّط مُتَهب بر آن مال می‌باشد و با جوازِ باز پس گرفتن از او منافات دارد، امّا در</w:t>
      </w:r>
    </w:p>
    <w:p>
      <w:pPr>
        <w:pStyle w:val="BookText"/>
        <w:rPr/>
      </w:pPr>
      <w:r>
        <w:rPr>
          <w:rFonts w:ascii="IRNazanin" w:hAnsi="IRNazanin" w:eastAsia="IRNazanin"/>
          <w:color w:val="111111"/>
          <w:sz w:val="28"/>
          <w:sz w:val="28"/>
          <w:szCs w:val="28"/>
          <w:rtl w:val="true"/>
          <w:lang w:bidi="fa-IR"/>
        </w:rPr>
        <w:t>عین حال می‌توان این سلطنت ناشی از عقد هبه را قطع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ادامه، نظر صاحب جواهر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وقف با جواز بیع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اجماع دانسته است، زیرا هیچ یک از کسانی که در بعضی از صور، بیع وقف را جایز دانسته اند، قایل به بطلان وقف، قبل از بیع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همین است که اگر عامل مجوّز بیع برطرف شد، مثل این که نیاز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بر قول به جواز بیع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گردید و یا به هر دلیلی بیع انجام نشد، وقف به حال خود باقی است شیخ اضافه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جامع المقاصد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 وقف، حتّی در صورتی که به حدّ جواز بیع رسیده است، صحیح نیست</w:t>
      </w:r>
      <w:r>
        <w:rPr>
          <w:rFonts w:eastAsia="IRNazanin" w:cs="IRNazanin"/>
          <w:color w:val="111111"/>
          <w:sz w:val="28"/>
          <w:szCs w:val="28"/>
          <w:rtl w:val="true"/>
          <w:lang w:bidi="fa-IR"/>
        </w:rPr>
        <w:t>.</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امام خمینی نیز در این جا بحث مفصّلی دارد که از طرح آن خودداری می‌شود و تنها به یک نکته از کلام ایشان که بر مبنای خودشان مبتنی است،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پاسخ صاحب جواهر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 تجویز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است، امّا ممنوعیّت بیع وقف، منع مالکی است نه شرعی؛ زیرا حبس عین از بیع و هبه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واقف است و در حقیقت، تحبیس از واقف است نه از شارع و روشن است که جواز شرعی با منع مالکی منافات ندارد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امّا چنان که گذشت این بیان، مبتنی بر مبنای ایشان است که؛ ممنوعیّت از بیع را مجعول واقف می‌داند نه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این مبنا به اختصار نقد وبررسی شد در این جا یادآور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بیع و مانند آن تملیک از جانب بایع، امّا حکم به لزوم و</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احکام از جانب شارع است، در وقف نیز تحبیس و وقف از جانب واقف است، امّا احکامی چون لزوم وقف، عدم جواز بیع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شارع می‌باشد</w:t>
      </w:r>
      <w:r>
        <w:rPr>
          <w:rFonts w:eastAsia="IRNazanin" w:cs="IRNazanin"/>
          <w:color w:val="111111"/>
          <w:sz w:val="28"/>
          <w:szCs w:val="28"/>
          <w:rtl w:val="true"/>
          <w:lang w:bidi="fa-IR"/>
        </w:rPr>
        <w:t xml:space="preserve">. </w:t>
      </w:r>
      <w:bookmarkStart w:id="789" w:name="pg4267_22054"/>
    </w:p>
    <w:p>
      <w:pPr>
        <w:pStyle w:val="Heading5"/>
        <w:numPr>
          <w:ilvl w:val="4"/>
          <w:numId w:val="1"/>
        </w:numPr>
        <w:rPr/>
      </w:pPr>
      <w:bookmarkStart w:id="790" w:name="__RefHeading___Toc474477_1479056682"/>
      <w:bookmarkStart w:id="791" w:name="_Toc301"/>
      <w:bookmarkEnd w:id="789"/>
      <w:bookmarkEnd w:id="790"/>
      <w:r>
        <w:rPr>
          <w:rtl w:val="true"/>
        </w:rPr>
        <w:t xml:space="preserve">گفتار </w:t>
      </w:r>
      <w:r>
        <w:rPr/>
        <w:t>3</w:t>
      </w:r>
      <w:r>
        <w:rPr>
          <w:rtl w:val="true"/>
        </w:rPr>
        <w:t xml:space="preserve">- </w:t>
      </w:r>
      <w:r>
        <w:rPr>
          <w:rtl w:val="true"/>
        </w:rPr>
        <w:t>اقسام وقف و حکم بیع و استبدال آنها</w:t>
      </w:r>
      <w:bookmarkEnd w:id="791"/>
    </w:p>
    <w:p>
      <w:pPr>
        <w:pStyle w:val="Heading6"/>
        <w:numPr>
          <w:ilvl w:val="5"/>
          <w:numId w:val="1"/>
        </w:numPr>
        <w:rPr/>
      </w:pPr>
      <w:bookmarkStart w:id="792" w:name="__RefHeading___Toc474479_1479056682"/>
      <w:bookmarkStart w:id="793" w:name="_Toc302"/>
      <w:bookmarkEnd w:id="792"/>
      <w:r>
        <w:rPr>
          <w:rtl w:val="true"/>
        </w:rPr>
        <w:t>دیدگاه امامیّه</w:t>
      </w:r>
      <w:bookmarkEnd w:id="793"/>
    </w:p>
    <w:p>
      <w:pPr>
        <w:pStyle w:val="BookText"/>
        <w:rPr/>
      </w:pPr>
      <w:r>
        <w:rPr>
          <w:rFonts w:ascii="IRNazanin" w:hAnsi="IRNazanin" w:eastAsia="IRNazanin"/>
          <w:color w:val="111111"/>
          <w:sz w:val="28"/>
          <w:sz w:val="28"/>
          <w:szCs w:val="28"/>
          <w:rtl w:val="true"/>
          <w:lang w:bidi="fa-IR"/>
        </w:rPr>
        <w:t>در این بخش، تقسیم بندی شیخ انصاری در مکاسب محور بحث قرار گرفته و براساس آن، اقوال و انظار اعلام، بررسی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وقف یا مُؤَبَّد است یا منقطع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 مشروعیّت وقف منقطع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وقف مُؤَبَّد نیز بر دو قسم‌است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اوقافی که ملک کسی نیستند و همانند تحریر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 مِلک هستند، مثل مساجد، مدارس، بیمارستانهاو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که اوقاف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چنان که گروهی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ملک مسلمین داخل نمی‌شوند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مالک انتفاع هستند و منفعت را مالک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کسی بناحق در آنها ساکن شود، ضامن اجرة المثل نخواهد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اوقافی که در آنها مال موقوف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آنها مالک منفعت آن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حق استیجار و نیز حق گرفتن اجرة المثل را از کسی که بناحق از آن</w:t>
      </w:r>
    </w:p>
    <w:p>
      <w:pPr>
        <w:pStyle w:val="BookText"/>
        <w:rPr/>
      </w:pPr>
      <w:r>
        <w:rPr>
          <w:rFonts w:ascii="IRNazanin" w:hAnsi="IRNazanin" w:eastAsia="IRNazanin"/>
          <w:color w:val="111111"/>
          <w:sz w:val="28"/>
          <w:sz w:val="28"/>
          <w:szCs w:val="28"/>
          <w:rtl w:val="true"/>
          <w:lang w:bidi="fa-IR"/>
        </w:rPr>
        <w:t>استفاده کرده است،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قسم اوّل را اصلاً محلّ بحث و خلاف ندانسته و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عدم جواز بیع این قسم اختلافی نیست، زیرا اختلاف و بحث اَعلام در مورد وقفی است که ملکِ غیر طِلق است، نه مواردی که اصلاً ملک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این جهت، بین مسجد و غیر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مدارس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قایل نشده است</w:t>
      </w:r>
      <w:r>
        <w:rPr>
          <w:rFonts w:eastAsia="IRNazanin" w:cs="IRNazanin"/>
          <w:color w:val="111111"/>
          <w:sz w:val="28"/>
          <w:szCs w:val="28"/>
          <w:rtl w:val="true"/>
          <w:lang w:bidi="fa-IR"/>
        </w:rPr>
        <w:t>.</w:t>
      </w:r>
      <w:r>
        <w:rPr>
          <w:rStyle w:val="FootnoteAnchor"/>
          <w:rtl w:val="true"/>
        </w:rPr>
        <w:footnoteReference w:id="1265"/>
      </w:r>
    </w:p>
    <w:p>
      <w:pPr>
        <w:pStyle w:val="BookText"/>
        <w:rPr/>
      </w:pPr>
      <w:r>
        <w:rPr>
          <w:rFonts w:ascii="IRNazanin" w:hAnsi="IRNazanin" w:eastAsia="IRNazanin"/>
          <w:color w:val="111111"/>
          <w:sz w:val="28"/>
          <w:sz w:val="28"/>
          <w:szCs w:val="28"/>
          <w:rtl w:val="true"/>
          <w:lang w:bidi="fa-IR"/>
        </w:rPr>
        <w:t>امّا برخی از فقها بین مسجد و اموری چون مدارس، بیمارستانهاو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گذاشته اند که به آن اشاره خواهد شد</w:t>
      </w:r>
      <w:r>
        <w:rPr>
          <w:rFonts w:eastAsia="IRNazanin" w:cs="IRNazanin"/>
          <w:color w:val="111111"/>
          <w:sz w:val="28"/>
          <w:szCs w:val="28"/>
          <w:rtl w:val="true"/>
          <w:lang w:bidi="fa-IR"/>
        </w:rPr>
        <w:t>.</w:t>
      </w:r>
    </w:p>
    <w:p>
      <w:pPr>
        <w:pStyle w:val="Heading5"/>
        <w:numPr>
          <w:ilvl w:val="4"/>
          <w:numId w:val="1"/>
        </w:numPr>
        <w:rPr/>
      </w:pPr>
      <w:bookmarkStart w:id="794" w:name="__RefHeading___Toc474481_1479056682"/>
      <w:bookmarkStart w:id="795" w:name="_Toc303"/>
      <w:bookmarkEnd w:id="794"/>
      <w:r>
        <w:rPr>
          <w:rtl w:val="true"/>
        </w:rPr>
        <w:t xml:space="preserve">گفتار </w:t>
      </w:r>
      <w:r>
        <w:rPr/>
        <w:t>4</w:t>
      </w:r>
      <w:r>
        <w:rPr>
          <w:rtl w:val="true"/>
        </w:rPr>
        <w:t xml:space="preserve">- </w:t>
      </w:r>
      <w:r>
        <w:rPr>
          <w:rtl w:val="true"/>
        </w:rPr>
        <w:t>مساجد</w:t>
      </w:r>
      <w:bookmarkEnd w:id="795"/>
    </w:p>
    <w:p>
      <w:pPr>
        <w:pStyle w:val="Heading6"/>
        <w:numPr>
          <w:ilvl w:val="5"/>
          <w:numId w:val="1"/>
        </w:numPr>
        <w:rPr/>
      </w:pPr>
      <w:bookmarkStart w:id="796" w:name="__RefHeading___Toc474483_1479056682"/>
      <w:bookmarkStart w:id="797" w:name="_Toc304"/>
      <w:bookmarkEnd w:id="796"/>
      <w:r>
        <w:rPr>
          <w:rtl w:val="true"/>
        </w:rPr>
        <w:t>اشاره</w:t>
      </w:r>
      <w:bookmarkEnd w:id="7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ابتدا، حتّی‌الامکان به اختصار، بعضی از احکام مساجد مطرح و بررسی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بیع مساجد در دو مقام انجام می‌شود</w:t>
      </w:r>
      <w:r>
        <w:rPr>
          <w:rFonts w:eastAsia="IRNazanin" w:cs="IRNazanin"/>
          <w:color w:val="111111"/>
          <w:sz w:val="28"/>
          <w:szCs w:val="28"/>
          <w:rtl w:val="true"/>
          <w:lang w:bidi="fa-IR"/>
        </w:rPr>
        <w:t xml:space="preserve">: </w:t>
      </w:r>
      <w:bookmarkStart w:id="798" w:name="pg4267_22056"/>
    </w:p>
    <w:p>
      <w:pPr>
        <w:pStyle w:val="BookText"/>
        <w:rPr/>
      </w:pPr>
      <w:bookmarkEnd w:id="798"/>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 تصرّف در اصل مسجد و عرصه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خرابی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اموال مسجد، مانند فرش، مصالح ساختمانی و</w:t>
      </w:r>
      <w:r>
        <w:rPr>
          <w:rFonts w:eastAsia="IRNazanin" w:cs="IRNazanin"/>
          <w:color w:val="111111"/>
          <w:sz w:val="28"/>
          <w:szCs w:val="28"/>
          <w:rtl w:val="true"/>
          <w:lang w:bidi="fa-IR"/>
        </w:rPr>
        <w:t>...</w:t>
      </w:r>
    </w:p>
    <w:p>
      <w:pPr>
        <w:pStyle w:val="Heading6"/>
        <w:numPr>
          <w:ilvl w:val="5"/>
          <w:numId w:val="1"/>
        </w:numPr>
        <w:rPr/>
      </w:pPr>
      <w:bookmarkStart w:id="799" w:name="__RefHeading___Toc474485_1479056682"/>
      <w:bookmarkStart w:id="800" w:name="_Toc305"/>
      <w:bookmarkEnd w:id="799"/>
      <w:r>
        <w:rPr>
          <w:rtl w:val="true"/>
        </w:rPr>
        <w:t>مقام اوّل</w:t>
      </w:r>
      <w:r>
        <w:rPr>
          <w:rtl w:val="true"/>
        </w:rPr>
        <w:t xml:space="preserve">: </w:t>
      </w:r>
      <w:r>
        <w:rPr>
          <w:rtl w:val="true"/>
        </w:rPr>
        <w:t>بیع و تصرّف در اصل مسجد</w:t>
      </w:r>
      <w:bookmarkEnd w:id="800"/>
    </w:p>
    <w:p>
      <w:pPr>
        <w:pStyle w:val="BookText"/>
        <w:rPr/>
      </w:pPr>
      <w:r>
        <w:rPr>
          <w:rFonts w:ascii="IRNazanin" w:hAnsi="IRNazanin" w:eastAsia="IRNazanin"/>
          <w:color w:val="111111"/>
          <w:sz w:val="28"/>
          <w:sz w:val="28"/>
          <w:szCs w:val="28"/>
          <w:rtl w:val="true"/>
          <w:lang w:bidi="fa-IR"/>
        </w:rPr>
        <w:t>نظر جمهور فقهای امامیّه این است که نقض و ویران کردن مسجد برای هر هدفی جز توسعه آن، همچنین در صورت خرابی، آن را جزء راه و خیابان قرار دادن و یا به تملّک خود در آوردن و مانند اینها به هیچ وجه و تحت هیچ عنوانی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خلاف و مبسوط در این باره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گاه مسجدی خراب شود و محلّه یا قریه نیز ویران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ملک واقف باز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نهایه نیز تصریح</w:t>
      </w:r>
    </w:p>
    <w:p>
      <w:pPr>
        <w:pStyle w:val="BookText"/>
        <w:rPr/>
      </w:pPr>
      <w:r>
        <w:rPr>
          <w:rFonts w:ascii="IRNazanin" w:hAnsi="IRNazanin" w:eastAsia="IRNazanin"/>
          <w:color w:val="111111"/>
          <w:sz w:val="28"/>
          <w:sz w:val="28"/>
          <w:szCs w:val="28"/>
          <w:rtl w:val="true"/>
          <w:lang w:bidi="fa-IR"/>
        </w:rPr>
        <w:t xml:space="preserve">کرده است؛ تملّک و تصرّف در هیچ چیز از اموال مساجد جایز نیست </w:t>
      </w:r>
      <w:r>
        <w:rPr>
          <w:rFonts w:eastAsia="IRNazanin" w:cs="IRNazanin"/>
          <w:color w:val="111111"/>
          <w:sz w:val="28"/>
          <w:szCs w:val="28"/>
          <w:rtl w:val="true"/>
          <w:lang w:bidi="fa-IR"/>
        </w:rPr>
        <w:t>...</w:t>
      </w:r>
      <w:r>
        <w:rPr>
          <w:rStyle w:val="FootnoteAnchor"/>
          <w:rtl w:val="true"/>
        </w:rPr>
        <w:footnoteReference w:id="1266"/>
      </w:r>
    </w:p>
    <w:p>
      <w:pPr>
        <w:pStyle w:val="BookText"/>
        <w:rPr/>
      </w:pPr>
      <w:r>
        <w:rPr>
          <w:rFonts w:ascii="IRNazanin" w:hAnsi="IRNazanin" w:eastAsia="IRNazanin"/>
          <w:color w:val="111111"/>
          <w:sz w:val="28"/>
          <w:sz w:val="28"/>
          <w:szCs w:val="28"/>
          <w:rtl w:val="true"/>
          <w:lang w:bidi="fa-IR"/>
        </w:rPr>
        <w:t>صاحب مفتاح در ذیل عبارت قواعد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مسجدی را وقف کند و قریه یا محلّه ای که مسجد در آن واقع است، ویران شود، بیع آن مسجد جایز نیست و به ملک واقف نیز باز نمی‌گردد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مسأله کسی جز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نیست</w:t>
      </w:r>
      <w:r>
        <w:rPr>
          <w:rFonts w:eastAsia="IRNazanin" w:cs="IRNazanin"/>
          <w:color w:val="111111"/>
          <w:sz w:val="28"/>
          <w:szCs w:val="28"/>
          <w:rtl w:val="true"/>
          <w:lang w:bidi="fa-IR"/>
        </w:rPr>
        <w:t>.</w:t>
      </w:r>
      <w:r>
        <w:rPr>
          <w:rStyle w:val="FootnoteAnchor"/>
          <w:rtl w:val="true"/>
        </w:rPr>
        <w:footnoteReference w:id="1267"/>
      </w:r>
    </w:p>
    <w:p>
      <w:pPr>
        <w:pStyle w:val="BookText"/>
        <w:rPr/>
      </w:pPr>
      <w:r>
        <w:rPr>
          <w:rFonts w:ascii="IRNazanin" w:hAnsi="IRNazanin" w:eastAsia="IRNazanin"/>
          <w:color w:val="111111"/>
          <w:sz w:val="28"/>
          <w:sz w:val="28"/>
          <w:szCs w:val="28"/>
          <w:rtl w:val="true"/>
          <w:lang w:bidi="fa-IR"/>
        </w:rPr>
        <w:t>علاّمه در تحریر و نهایه، سبزواری در کفایه، فاضل هندی در کشف اللّثام، محقّق ثانی، صاحب حدائق، شهیدین در لمعه و روضه، شهید در دروس، کاشف الغطاء و دیگران تصریح کرده‌اند که با ویرانی و زوال آثار مسجد، عرصه آن از مسجدیّت خارج نمی‌شود و همه احکام مسجد بر آن جاری خواهد بود</w:t>
      </w:r>
      <w:r>
        <w:rPr>
          <w:rFonts w:eastAsia="IRNazanin" w:cs="IRNazanin"/>
          <w:color w:val="111111"/>
          <w:sz w:val="28"/>
          <w:szCs w:val="28"/>
          <w:rtl w:val="true"/>
          <w:lang w:bidi="fa-IR"/>
        </w:rPr>
        <w:t>.</w:t>
      </w:r>
      <w:r>
        <w:rPr>
          <w:rStyle w:val="FootnoteAnchor"/>
          <w:rtl w:val="true"/>
        </w:rPr>
        <w:footnoteReference w:id="1268"/>
      </w:r>
      <w:r>
        <w:rPr>
          <w:rFonts w:ascii="IRNazanin" w:hAnsi="IRNazanin" w:eastAsia="IRNazanin"/>
          <w:color w:val="111111"/>
          <w:sz w:val="28"/>
          <w:sz w:val="28"/>
          <w:szCs w:val="28"/>
          <w:rtl w:val="true"/>
          <w:lang w:bidi="fa-IR"/>
        </w:rPr>
        <w:t>کاشف الغطاء مدارس را نیز در ردیف مساجد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فقهای امامیّه 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مشاهد، مدارس و حتّی مساجد را فکّ و تحریر ملک نمی داند و معتقد است؛ بنابر عدم بقای آنها بر ملک واقف و عدم انتقال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ملک خدای متعال می باشند، همانند ملکیّت خداوند نسبت به سُدِس خُمس که در آیه کریمه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لِلّهِ خُمُسَهُ وَ لِلرَّسُولِ وَ لِذِی‌الْقُرْبی </w:t>
      </w:r>
      <w:r>
        <w:rPr>
          <w:rFonts w:eastAsia="Amiri" w:cs="Amiri" w:ascii="Amiri" w:hAnsi="Amiri"/>
          <w:color w:val="111111"/>
          <w:sz w:val="28"/>
          <w:szCs w:val="28"/>
          <w:rtl w:val="true"/>
          <w:lang w:bidi="ar-SA"/>
        </w:rPr>
        <w:t>...».</w:t>
      </w:r>
      <w:r>
        <w:rPr>
          <w:rStyle w:val="FootnoteAnchor"/>
          <w:rtl w:val="true"/>
        </w:rPr>
        <w:footnoteReference w:id="1269"/>
      </w:r>
    </w:p>
    <w:p>
      <w:pPr>
        <w:pStyle w:val="BookText"/>
        <w:rPr/>
      </w:pPr>
      <w:r>
        <w:rPr>
          <w:rFonts w:ascii="IRNazanin" w:hAnsi="IRNazanin" w:eastAsia="IRNazanin"/>
          <w:color w:val="111111"/>
          <w:sz w:val="28"/>
          <w:sz w:val="28"/>
          <w:szCs w:val="28"/>
          <w:rtl w:val="true"/>
          <w:lang w:bidi="fa-IR"/>
        </w:rPr>
        <w:t xml:space="preserve">به عبارت روشنتر، وقف مساجد به منزله مباحات اصلیّه نیست تا به دلیل ملک نبودن و با استدلال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بیع آنها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مواردی که بیع وقف جایز است، بین وقف بر اولاد و فقرا و وقف بر مساجد و مدارس فرقی نخواهد بود</w:t>
      </w:r>
      <w:r>
        <w:rPr>
          <w:rFonts w:eastAsia="IRNazanin" w:cs="IRNazanin"/>
          <w:color w:val="111111"/>
          <w:sz w:val="28"/>
          <w:szCs w:val="28"/>
          <w:rtl w:val="true"/>
          <w:lang w:bidi="fa-IR"/>
        </w:rPr>
        <w:t>.</w:t>
      </w:r>
      <w:r>
        <w:rPr>
          <w:rStyle w:val="FootnoteAnchor"/>
          <w:rtl w:val="true"/>
        </w:rPr>
        <w:footnoteReference w:id="1270"/>
      </w:r>
    </w:p>
    <w:p>
      <w:pPr>
        <w:pStyle w:val="BookText"/>
        <w:rPr/>
      </w:pPr>
      <w:r>
        <w:rPr>
          <w:rFonts w:ascii="IRNazanin" w:hAnsi="IRNazanin" w:eastAsia="IRNazanin"/>
          <w:color w:val="111111"/>
          <w:sz w:val="28"/>
          <w:sz w:val="28"/>
          <w:szCs w:val="28"/>
          <w:rtl w:val="true"/>
          <w:lang w:bidi="fa-IR"/>
        </w:rPr>
        <w:t>این دیدگاه سیّد درباره مساجد، چنان که مغنیه</w:t>
      </w:r>
      <w:r>
        <w:rPr>
          <w:rStyle w:val="FootnoteAnchor"/>
          <w:rtl w:val="true"/>
        </w:rPr>
        <w:footnoteReference w:id="1271"/>
      </w:r>
      <w:r>
        <w:rPr>
          <w:rFonts w:ascii="IRNazanin" w:hAnsi="IRNazanin" w:eastAsia="IRNazanin"/>
          <w:color w:val="111111"/>
          <w:sz w:val="28"/>
          <w:sz w:val="28"/>
          <w:szCs w:val="28"/>
          <w:rtl w:val="true"/>
          <w:lang w:bidi="fa-IR"/>
        </w:rPr>
        <w:t>اشاره کرده است، با دیدگاه احمد بن حنبل، از ائمّه اهل سنّت،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مساجد از دیدگاه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احمد بن حنبل نیز مطرح و بررسی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این دیدگاه</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ملکیّت واقف زایل شده و بازگشت آن به دلیل نیاز دارد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وقف، تأبید است و خرابی مسجد یا قریه موجب بطلان آن نمی‌شود؛ زیرا خرابی آن با بقای وقفیّت آن منافات ندارد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و غرض واقف از وقف مسجد، عبادت خداوند است و با ویرانی مسجد، امید آبادانی و رونق مجدّد محلّ و نیز نماز گزاردن رهگذران در آن منتفی نیست</w:t>
      </w:r>
      <w:r>
        <w:rPr>
          <w:rFonts w:eastAsia="IRNazanin" w:cs="IRNazanin"/>
          <w:color w:val="111111"/>
          <w:sz w:val="28"/>
          <w:szCs w:val="28"/>
          <w:rtl w:val="true"/>
          <w:lang w:bidi="fa-IR"/>
        </w:rPr>
        <w:t>.</w:t>
      </w:r>
      <w:r>
        <w:rPr>
          <w:rStyle w:val="FootnoteAnchor"/>
          <w:rtl w:val="true"/>
        </w:rPr>
        <w:footnoteReference w:id="1274"/>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مسجد در حقیقت به عرصه آن است نه به آثار، لذا اگر در اثر آب گرفتگی و مانند آن، زمین مسجد از صلاحیت برای نماز هم خارج شود، کسی حق تملّک آن و انجام کاری را که با مسجدیّت آن منافی است، ندارد</w:t>
      </w:r>
      <w:r>
        <w:rPr>
          <w:rFonts w:eastAsia="IRNazanin" w:cs="IRNazanin"/>
          <w:color w:val="111111"/>
          <w:sz w:val="28"/>
          <w:szCs w:val="28"/>
          <w:rtl w:val="true"/>
          <w:lang w:bidi="fa-IR"/>
        </w:rPr>
        <w:t>.</w:t>
      </w:r>
      <w:r>
        <w:rPr>
          <w:rStyle w:val="FootnoteAnchor"/>
          <w:rtl w:val="true"/>
        </w:rPr>
        <w:footnoteReference w:id="1275"/>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و عدم خلاف؛ جمهور فقهای امامیّه این دیدگاه را قبول دارند</w:t>
      </w:r>
      <w:r>
        <w:rPr>
          <w:rFonts w:eastAsia="IRNazanin" w:cs="IRNazanin"/>
          <w:color w:val="111111"/>
          <w:sz w:val="28"/>
          <w:szCs w:val="28"/>
          <w:rtl w:val="true"/>
          <w:lang w:bidi="fa-IR"/>
        </w:rPr>
        <w:t>.</w:t>
      </w:r>
      <w:r>
        <w:rPr>
          <w:rStyle w:val="FootnoteAnchor"/>
          <w:rtl w:val="true"/>
        </w:rPr>
        <w:footnoteReference w:id="1276"/>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در مسجد تملیک نیست، بلکه همانند عتق، فکّ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نه واقف، مالک آن است و نه موقوفٌ عَلَیْه، در نتیجه کسی حق بیع آن را نخواهد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بَیْعَ اِلاّ فِی مِلْکٍ</w:t>
      </w:r>
      <w:r>
        <w:rPr>
          <w:rFonts w:eastAsia="IRNazanin" w:cs="IRNazanin"/>
          <w:color w:val="111111"/>
          <w:sz w:val="28"/>
          <w:szCs w:val="28"/>
          <w:rtl w:val="true"/>
          <w:lang w:bidi="fa-IR"/>
        </w:rPr>
        <w:t>».</w:t>
      </w:r>
      <w:r>
        <w:rPr>
          <w:rStyle w:val="FootnoteAnchor"/>
          <w:rtl w:val="true"/>
        </w:rPr>
        <w:footnoteReference w:id="1277"/>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وقفیّت عرصه مسجد</w:t>
      </w:r>
      <w:r>
        <w:rPr>
          <w:rFonts w:eastAsia="IRNazanin" w:cs="IRNazanin"/>
          <w:color w:val="111111"/>
          <w:sz w:val="28"/>
          <w:szCs w:val="28"/>
          <w:rtl w:val="true"/>
          <w:lang w:bidi="fa-IR"/>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سیّد محمّد شیرازی مدّعی شده است که بعد از خرابی و یا در مسیر خیابان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گرفتن مسجد، آب گرفتگی و مانند اینها، عرف ملکیّت را زایل می‌داند، ازاین رو در مثل</w:t>
      </w:r>
    </w:p>
    <w:p>
      <w:pPr>
        <w:pStyle w:val="BookText"/>
        <w:rPr/>
      </w:pPr>
      <w:r>
        <w:rPr>
          <w:rFonts w:ascii="IRNazanin" w:hAnsi="IRNazanin" w:eastAsia="IRNazanin"/>
          <w:color w:val="111111"/>
          <w:sz w:val="28"/>
          <w:sz w:val="28"/>
          <w:szCs w:val="28"/>
          <w:rtl w:val="true"/>
          <w:lang w:bidi="fa-IR"/>
        </w:rPr>
        <w:t>مساجد واماکن مانند آن نیز موضوع استصحاب، منتفی می‌شود</w:t>
      </w:r>
      <w:r>
        <w:rPr>
          <w:rFonts w:eastAsia="IRNazanin" w:cs="IRNazanin"/>
          <w:color w:val="111111"/>
          <w:sz w:val="28"/>
          <w:szCs w:val="28"/>
          <w:rtl w:val="true"/>
          <w:lang w:bidi="fa-IR"/>
        </w:rPr>
        <w:t>.</w:t>
      </w:r>
      <w:r>
        <w:rPr>
          <w:rStyle w:val="FootnoteAnchor"/>
          <w:rtl w:val="true"/>
        </w:rPr>
        <w:footnoteReference w:id="1279"/>
      </w:r>
      <w:r>
        <w:rPr>
          <w:rFonts w:ascii="Amiri" w:hAnsi="Amiri" w:eastAsia="Amiri" w:cs="Amiri"/>
          <w:color w:val="111111"/>
          <w:sz w:val="28"/>
          <w:sz w:val="28"/>
          <w:szCs w:val="28"/>
          <w:rtl w:val="true"/>
          <w:lang w:bidi="ar-SA"/>
        </w:rPr>
        <w:t>امّا این بیان محلّ تأمّل و تردید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اقسام وقف به هیچ وجه بدلیّت در آنها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از امام خمینی است و توضیح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دسته از مراکز و مواردی که شخص آنها موضوع اثر و حکم شرعی قرار گرفته است مانند، عَرَفات، مَشْعر، مِنی ، مَطاف، مَسْعی، مَشاهِد، و مطلقِ مساجد، بدل بردار</w:t>
      </w:r>
    </w:p>
    <w:p>
      <w:pPr>
        <w:pStyle w:val="BookText"/>
        <w:rPr/>
      </w:pP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ثمن یا آنچه که با ثمن این اماکن خریداری می‌شود به مجرّد معاوضه، مسجد نخواهد شد، زیرا بدل مسجد به مجرّد بدلیّت مسجد نمی‌شود و اگر به عنوان مسجد، جعل گردد، مسجدی مستقل خواهد بود و بدل این مسجد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آثار مسجدیّت، و محو آثار مشعریّت و مسجدیّت خواهد بود، نه مبادله مَشعر با مَشعر</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Amiri" w:hAnsi="Amiri" w:eastAsia="Amiri" w:cs="Amiri"/>
          <w:color w:val="111111"/>
          <w:sz w:val="28"/>
          <w:sz w:val="28"/>
          <w:szCs w:val="28"/>
          <w:rtl w:val="true"/>
          <w:lang w:bidi="ar-SA"/>
        </w:rPr>
        <w:t xml:space="preserve">دلیل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عمومات و قواعد مانع‌از بیع‌وقف و عود آن‌به‌واقف،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 شِراءُالْوَقْفِ</w:t>
      </w:r>
      <w:r>
        <w:rPr>
          <w:rFonts w:eastAsia="Amiri" w:cs="Amiri" w:ascii="Amiri" w:hAnsi="Amiri"/>
          <w:color w:val="111111"/>
          <w:sz w:val="28"/>
          <w:szCs w:val="28"/>
          <w:rtl w:val="true"/>
          <w:lang w:bidi="ar-SA"/>
        </w:rPr>
        <w:t>»</w:t>
      </w:r>
      <w:r>
        <w:rPr>
          <w:rStyle w:val="FootnoteAnchor"/>
          <w:rtl w:val="true"/>
        </w:rPr>
        <w:footnoteReference w:id="1281"/>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در عدم جواز بیع و استبدال اعیانی و عرصه مسجد تردید و اختلافی نیست و نیازی به بحث بیش از این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شایان یادآوری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را در هیچ یک از اقسام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 عامّ، مساجد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تملیک نمی داند بلکه نوعی حبس است برای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 آن</w:t>
      </w:r>
      <w:r>
        <w:rPr>
          <w:rStyle w:val="FootnoteAnchor"/>
          <w:rtl w:val="true"/>
        </w:rPr>
        <w:footnoteReference w:id="1282"/>
      </w:r>
    </w:p>
    <w:p>
      <w:pPr>
        <w:pStyle w:val="BookText"/>
        <w:rPr/>
      </w:pPr>
      <w:r>
        <w:rPr>
          <w:rFonts w:ascii="IRNazanin" w:hAnsi="IRNazanin" w:eastAsia="IRNazanin"/>
          <w:color w:val="111111"/>
          <w:sz w:val="28"/>
          <w:sz w:val="28"/>
          <w:szCs w:val="28"/>
          <w:rtl w:val="true"/>
          <w:lang w:bidi="fa-IR"/>
        </w:rPr>
        <w:t>نکته دیگر این که شیخ در مکاسب، و محمّد جواد مغنیه، موقوفات عامّه ای چون مدارس، مشاهد، مسافرخانه 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کنار مساجد قرار داده اند و ادّعای اتّفاق</w:t>
      </w:r>
    </w:p>
    <w:p>
      <w:pPr>
        <w:pStyle w:val="BookText"/>
        <w:rPr/>
      </w:pPr>
      <w:r>
        <w:rPr>
          <w:rFonts w:ascii="IRNazanin" w:hAnsi="IRNazanin" w:eastAsia="IRNazanin"/>
          <w:color w:val="111111"/>
          <w:sz w:val="28"/>
          <w:sz w:val="28"/>
          <w:szCs w:val="28"/>
          <w:rtl w:val="true"/>
          <w:lang w:bidi="fa-IR"/>
        </w:rPr>
        <w:t>نظر فقهای امامیّه بر عدم جواز بیع و استبدال آنها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آنها، همان فکِّ ملک</w:t>
      </w:r>
    </w:p>
    <w:p>
      <w:pPr>
        <w:pStyle w:val="BookText"/>
        <w:rPr/>
      </w:pPr>
      <w:r>
        <w:rPr>
          <w:rFonts w:ascii="IRNazanin" w:hAnsi="IRNazanin" w:eastAsia="IRNazanin"/>
          <w:color w:val="111111"/>
          <w:sz w:val="28"/>
          <w:sz w:val="28"/>
          <w:szCs w:val="28"/>
          <w:rtl w:val="true"/>
          <w:lang w:bidi="fa-IR"/>
        </w:rPr>
        <w:t>بودن این اوقاف و عدم اختصاص آنها به فرد یا گروهی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بعد از تمامیّت وقف، حکم مباحات عمومی را پیدا خواهند کرد و روشن است که بیع جز در ملک، صحیح و نافذ نخواهد بود</w:t>
      </w:r>
      <w:r>
        <w:rPr>
          <w:rFonts w:eastAsia="IRNazanin" w:cs="IRNazanin"/>
          <w:color w:val="111111"/>
          <w:sz w:val="28"/>
          <w:szCs w:val="28"/>
          <w:rtl w:val="true"/>
          <w:lang w:bidi="fa-IR"/>
        </w:rPr>
        <w:t>.</w:t>
      </w:r>
      <w:r>
        <w:rPr>
          <w:rStyle w:val="FootnoteAnchor"/>
          <w:rtl w:val="true"/>
        </w:rPr>
        <w:footnoteReference w:id="1283"/>
      </w:r>
    </w:p>
    <w:p>
      <w:pPr>
        <w:pStyle w:val="BookText"/>
        <w:rPr/>
      </w:pPr>
      <w:r>
        <w:rPr>
          <w:rFonts w:ascii="IRNazanin" w:hAnsi="IRNazanin" w:eastAsia="IRNazanin"/>
          <w:color w:val="111111"/>
          <w:sz w:val="28"/>
          <w:sz w:val="28"/>
          <w:szCs w:val="28"/>
          <w:rtl w:val="true"/>
          <w:lang w:bidi="fa-IR"/>
        </w:rPr>
        <w:t>فقهاتصریح کرده اند که محلّ خلاف، موردی است که مال، ملک موقوفٌ عَلَیْه می‌شود و یا حدّاقلّ آنها مالک منفعت آن هستند و حق اجاره دارند و اگر کسی از این ملک بناحق استفاده کرد اجرتش را به موقوفٌ عَلَیْه ضامن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عدم جواز بیع مواردی چون مساجد، مشاهد، مدارس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وقف در آنها فکّ ملک است، خلافی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کسانی چون مُغنیه، وقف بر فقرا و مانند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اوقاف خاصّه به شمار آورده‌اند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مالک منفعت هستند</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امام خمینی، مسافرخانه‌ها، بیمارستانها، مدارس و مانند اینها را تحت عنوان اوقاف بر جهات عامّه ذکر کرده و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ما وقف در اینها را فکّ ملک بدانیم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هم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معتقد به مالکیّت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شویم، اگر امثال این اوقاف</w:t>
      </w:r>
    </w:p>
    <w:p>
      <w:pPr>
        <w:pStyle w:val="BookText"/>
        <w:rPr/>
      </w:pPr>
      <w:r>
        <w:rPr>
          <w:rFonts w:ascii="IRNazanin" w:hAnsi="IRNazanin" w:eastAsia="IRNazanin"/>
          <w:color w:val="111111"/>
          <w:sz w:val="28"/>
          <w:sz w:val="28"/>
          <w:szCs w:val="28"/>
          <w:rtl w:val="true"/>
          <w:lang w:bidi="fa-IR"/>
        </w:rPr>
        <w:t xml:space="preserve">ویران شدند به طوری که امید آبادانی مجدّد آنها نمی‌رود،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حافظ مصالح عمومی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آنها را بفروشد و به مشابه تبدیل کند و اگر تبدیل میسّر نبود آن را در دیگر مصالح مسلمین صرف نماید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که هر چند وقف در اینها فکّ ملک است، امّا این امور اموال هستند و دارای </w:t>
      </w:r>
      <w:bookmarkStart w:id="801" w:name="pg4267_22064"/>
    </w:p>
    <w:p>
      <w:pPr>
        <w:pStyle w:val="BookText"/>
        <w:rPr/>
      </w:pPr>
      <w:bookmarkEnd w:id="801"/>
      <w:r>
        <w:rPr>
          <w:rFonts w:ascii="IRNazanin" w:hAnsi="IRNazanin" w:eastAsia="IRNazanin"/>
          <w:color w:val="111111"/>
          <w:sz w:val="28"/>
          <w:sz w:val="28"/>
          <w:szCs w:val="28"/>
          <w:rtl w:val="true"/>
          <w:lang w:bidi="fa-IR"/>
        </w:rPr>
        <w:t xml:space="preserve">مالیت می‌باشند و با وقف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بنابر قول به فکّ ملک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بودن ساقط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بیع در اوقاف عامّه مانند، مدارس، بیمارستانها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وقف بر جهات و عناوین کلیّه ای چون، فقرا، مسلمین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حدوث عوارضی چون خرابی، عدم امکان انتفاع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 اوقاف خاصّه،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مُسلّما این</w:t>
      </w:r>
    </w:p>
    <w:p>
      <w:pPr>
        <w:pStyle w:val="BookText"/>
        <w:rPr/>
      </w:pPr>
      <w:r>
        <w:rPr>
          <w:rFonts w:ascii="IRNazanin" w:hAnsi="IRNazanin" w:eastAsia="IRNazanin"/>
          <w:color w:val="111111"/>
          <w:sz w:val="28"/>
          <w:sz w:val="28"/>
          <w:szCs w:val="28"/>
          <w:rtl w:val="true"/>
          <w:lang w:bidi="fa-IR"/>
        </w:rPr>
        <w:t>امور از حِسبیات هستند که آنها در دست وَلیّ مسلمین است و بر اوست که نسبت به منافع و مصالح مسلمین اِهمال نورزد و حافظ منافع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حق را برای متولّی</w:t>
      </w:r>
    </w:p>
    <w:p>
      <w:pPr>
        <w:pStyle w:val="BookText"/>
        <w:rPr/>
      </w:pPr>
      <w:r>
        <w:rPr>
          <w:rFonts w:ascii="IRNazanin" w:hAnsi="IRNazanin" w:eastAsia="IRNazanin"/>
          <w:color w:val="111111"/>
          <w:sz w:val="28"/>
          <w:sz w:val="28"/>
          <w:szCs w:val="28"/>
          <w:rtl w:val="true"/>
          <w:lang w:bidi="fa-IR"/>
        </w:rPr>
        <w:t xml:space="preserve">خاص، جز در مواردی که واقف برای او شرط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نفوذ شرط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نمی‌داند و این کارها را خارج از حدود اختیارات او می‌داند</w:t>
      </w:r>
      <w:r>
        <w:rPr>
          <w:rFonts w:eastAsia="IRNazanin" w:cs="IRNazanin"/>
          <w:color w:val="111111"/>
          <w:sz w:val="28"/>
          <w:szCs w:val="28"/>
          <w:rtl w:val="true"/>
          <w:lang w:bidi="fa-IR"/>
        </w:rPr>
        <w:t>.</w:t>
      </w:r>
      <w:r>
        <w:rPr>
          <w:rStyle w:val="FootnoteAnchor"/>
          <w:rtl w:val="true"/>
        </w:rPr>
        <w:footnoteReference w:id="1285"/>
      </w:r>
    </w:p>
    <w:p>
      <w:pPr>
        <w:pStyle w:val="BookText"/>
        <w:rPr/>
      </w:pPr>
      <w:r>
        <w:rPr>
          <w:rFonts w:ascii="IRNazanin" w:hAnsi="IRNazanin" w:eastAsia="IRNazanin"/>
          <w:color w:val="111111"/>
          <w:sz w:val="28"/>
          <w:sz w:val="28"/>
          <w:szCs w:val="28"/>
          <w:rtl w:val="true"/>
          <w:lang w:bidi="fa-IR"/>
        </w:rPr>
        <w:t xml:space="preserve">در بحث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متولّی بَیْع اوقاف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که کوتاه کردن دست متولّی خاصّ که از جانب واقف منصوب است، در صورتی که واقف قلمرو اختیاراتش را محدود نکرده باشد، محلّ تأمّل و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حق نظارت حاکم و حتّی دخالت او در مواردی که مصالح عمومی را در معرض تلف و نابودی می‌بیند،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مسأله اختیارات و قدرت ولیّ امر مسلمین و حق اعمال آن به عناوین ثانویّه</w:t>
      </w:r>
    </w:p>
    <w:p>
      <w:pPr>
        <w:pStyle w:val="BookText"/>
        <w:rPr/>
      </w:pPr>
      <w:r>
        <w:rPr>
          <w:rFonts w:ascii="IRNazanin" w:hAnsi="IRNazanin" w:eastAsia="IRNazanin"/>
          <w:color w:val="111111"/>
          <w:sz w:val="28"/>
          <w:sz w:val="28"/>
          <w:szCs w:val="28"/>
          <w:rtl w:val="true"/>
          <w:lang w:bidi="fa-IR"/>
        </w:rPr>
        <w:t>مسأله دیگری است که در مبحث ولایت و حدود و اختیارات ولیّ امر مطرح می‌شود</w:t>
      </w:r>
      <w:r>
        <w:rPr>
          <w:rFonts w:eastAsia="IRNazanin" w:cs="IRNazanin"/>
          <w:color w:val="111111"/>
          <w:sz w:val="28"/>
          <w:szCs w:val="28"/>
          <w:rtl w:val="true"/>
          <w:lang w:bidi="fa-IR"/>
        </w:rPr>
        <w:t>.</w:t>
      </w:r>
    </w:p>
    <w:p>
      <w:pPr>
        <w:pStyle w:val="Heading6"/>
        <w:numPr>
          <w:ilvl w:val="5"/>
          <w:numId w:val="1"/>
        </w:numPr>
        <w:rPr/>
      </w:pPr>
      <w:bookmarkStart w:id="802" w:name="__RefHeading___Toc474487_1479056682"/>
      <w:bookmarkStart w:id="803" w:name="_Toc306"/>
      <w:bookmarkEnd w:id="802"/>
      <w:r>
        <w:rPr>
          <w:rtl w:val="true"/>
        </w:rPr>
        <w:t>مقام دوم</w:t>
      </w:r>
      <w:r>
        <w:rPr>
          <w:rtl w:val="true"/>
        </w:rPr>
        <w:t xml:space="preserve">: </w:t>
      </w:r>
      <w:r>
        <w:rPr>
          <w:rtl w:val="true"/>
        </w:rPr>
        <w:t>اموال مساجد</w:t>
      </w:r>
      <w:bookmarkEnd w:id="803"/>
    </w:p>
    <w:p>
      <w:pPr>
        <w:pStyle w:val="Heading6"/>
        <w:numPr>
          <w:ilvl w:val="5"/>
          <w:numId w:val="1"/>
        </w:numPr>
        <w:rPr/>
      </w:pPr>
      <w:bookmarkStart w:id="804" w:name="__RefHeading___Toc474489_1479056682"/>
      <w:bookmarkStart w:id="805" w:name="_Toc307"/>
      <w:bookmarkEnd w:id="804"/>
      <w:r>
        <w:rPr>
          <w:rtl w:val="true"/>
        </w:rPr>
        <w:t>اشاره</w:t>
      </w:r>
      <w:bookmarkEnd w:id="805"/>
    </w:p>
    <w:p>
      <w:pPr>
        <w:pStyle w:val="BookText"/>
        <w:rPr/>
      </w:pPr>
      <w:r>
        <w:rPr>
          <w:rFonts w:ascii="IRNazanin" w:hAnsi="IRNazanin" w:eastAsia="IRNazanin"/>
          <w:color w:val="111111"/>
          <w:sz w:val="28"/>
          <w:sz w:val="28"/>
          <w:szCs w:val="28"/>
          <w:rtl w:val="true"/>
          <w:lang w:bidi="fa-IR"/>
        </w:rPr>
        <w:t>بحث اموال مساجد نیز از دو جهت قابل بررسی است</w:t>
      </w:r>
      <w:r>
        <w:rPr>
          <w:rFonts w:eastAsia="IRNazanin" w:cs="IRNazanin"/>
          <w:color w:val="111111"/>
          <w:sz w:val="28"/>
          <w:szCs w:val="28"/>
          <w:rtl w:val="true"/>
          <w:lang w:bidi="fa-IR"/>
        </w:rPr>
        <w:t>:</w:t>
      </w:r>
    </w:p>
    <w:p>
      <w:pPr>
        <w:pStyle w:val="Heading6"/>
        <w:numPr>
          <w:ilvl w:val="5"/>
          <w:numId w:val="1"/>
        </w:numPr>
        <w:rPr/>
      </w:pPr>
      <w:bookmarkStart w:id="806" w:name="__RefHeading___Toc474491_1479056682"/>
      <w:bookmarkStart w:id="807" w:name="_Toc308"/>
      <w:bookmarkEnd w:id="806"/>
      <w:r>
        <w:rPr/>
        <w:t>1</w:t>
      </w:r>
      <w:r>
        <w:rPr>
          <w:rtl w:val="true"/>
        </w:rPr>
        <w:t xml:space="preserve">- </w:t>
      </w:r>
      <w:r>
        <w:rPr>
          <w:rtl w:val="true"/>
        </w:rPr>
        <w:t>به کار بردن و استفاده آنها در دیگر مساجد</w:t>
      </w:r>
      <w:bookmarkEnd w:id="807"/>
    </w:p>
    <w:p>
      <w:pPr>
        <w:pStyle w:val="BookText"/>
        <w:rPr/>
      </w:pPr>
      <w:r>
        <w:rPr>
          <w:rFonts w:ascii="IRNazanin" w:hAnsi="IRNazanin" w:eastAsia="IRNazanin"/>
          <w:color w:val="111111"/>
          <w:sz w:val="28"/>
          <w:sz w:val="28"/>
          <w:szCs w:val="28"/>
          <w:rtl w:val="true"/>
          <w:lang w:bidi="fa-IR"/>
        </w:rPr>
        <w:t>محقّق در شرایع و علاّمه در منتهی و تحریر به طور مطلق تصریح کرده اند که صرف آلات مسجد در دیگر مساجد خالی از اشکال است</w:t>
      </w:r>
      <w:r>
        <w:rPr>
          <w:rFonts w:eastAsia="IRNazanin" w:cs="IRNazanin"/>
          <w:color w:val="111111"/>
          <w:sz w:val="28"/>
          <w:szCs w:val="28"/>
          <w:rtl w:val="true"/>
          <w:lang w:bidi="fa-IR"/>
        </w:rPr>
        <w:t>.</w:t>
      </w:r>
      <w:r>
        <w:rPr>
          <w:rStyle w:val="FootnoteAnchor"/>
          <w:rtl w:val="true"/>
        </w:rPr>
        <w:footnoteReference w:id="1286"/>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در مسالک این کار را در صورت بی نیاز بودن مسجد اوّل یا عدم امکان </w:t>
      </w:r>
      <w:bookmarkStart w:id="808" w:name="pg4267_22066"/>
    </w:p>
    <w:p>
      <w:pPr>
        <w:pStyle w:val="BookText"/>
        <w:rPr/>
      </w:pPr>
      <w:bookmarkEnd w:id="808"/>
      <w:r>
        <w:rPr>
          <w:rFonts w:ascii="IRNazanin" w:hAnsi="IRNazanin" w:eastAsia="IRNazanin"/>
          <w:color w:val="111111"/>
          <w:sz w:val="28"/>
          <w:sz w:val="28"/>
          <w:szCs w:val="28"/>
          <w:rtl w:val="true"/>
          <w:lang w:bidi="fa-IR"/>
        </w:rPr>
        <w:t xml:space="preserve">استفاده از آنها در آن و نیز در صورت نیاز بیشتر مسجد دیگر به خاطر کثرت نمازگزاران، بلااشکال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شهید اوّل در ذکری نیز مشابه عبارت مسالک است</w:t>
      </w:r>
      <w:r>
        <w:rPr>
          <w:rFonts w:eastAsia="IRNazanin" w:cs="IRNazanin"/>
          <w:color w:val="111111"/>
          <w:sz w:val="28"/>
          <w:szCs w:val="28"/>
          <w:rtl w:val="true"/>
          <w:lang w:bidi="fa-IR"/>
        </w:rPr>
        <w:t>.</w:t>
      </w:r>
      <w:r>
        <w:rPr>
          <w:rStyle w:val="FootnoteAnchor"/>
          <w:rtl w:val="true"/>
        </w:rPr>
        <w:footnoteReference w:id="1287"/>
      </w:r>
      <w:r>
        <w:rPr>
          <w:rFonts w:ascii="IRNazanin" w:hAnsi="IRNazanin" w:eastAsia="IRNazanin"/>
          <w:color w:val="111111"/>
          <w:sz w:val="28"/>
          <w:sz w:val="28"/>
          <w:szCs w:val="28"/>
          <w:rtl w:val="true"/>
          <w:lang w:bidi="fa-IR"/>
        </w:rPr>
        <w:t xml:space="preserve">بنابراین به کار بردن اموال و آلات مسجدی در مسجد دیگر نزد فقها فی الجمله خالی از اشکال است؛ هر چند کسانی چون علاّمه در تحریر و منتهی و محقّق در 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سبزواری</w:t>
      </w:r>
      <w:r>
        <w:rPr>
          <w:rStyle w:val="FootnoteAnchor"/>
          <w:rtl w:val="true"/>
        </w:rPr>
        <w:footnoteReference w:id="1288"/>
      </w:r>
      <w:r>
        <w:rPr>
          <w:rFonts w:ascii="IRNazanin" w:hAnsi="IRNazanin" w:eastAsia="IRNazanin"/>
          <w:color w:val="111111"/>
          <w:sz w:val="28"/>
          <w:sz w:val="28"/>
          <w:szCs w:val="28"/>
          <w:rtl w:val="true"/>
          <w:lang w:bidi="fa-IR"/>
        </w:rPr>
        <w:t>قید و شرطی برای آن ذکر نکرده‌اند؛ امّا برخی چون شهیدین در مسالک و ذکری ، فقیه همدانی</w:t>
      </w:r>
      <w:r>
        <w:rPr>
          <w:rStyle w:val="FootnoteAnchor"/>
          <w:rtl w:val="true"/>
        </w:rPr>
        <w:footnoteReference w:id="1289"/>
      </w:r>
      <w:r>
        <w:rPr>
          <w:rFonts w:ascii="Amiri" w:hAnsi="Amiri" w:eastAsia="Amiri" w:cs="Amiri"/>
          <w:color w:val="111111"/>
          <w:sz w:val="28"/>
          <w:sz w:val="28"/>
          <w:szCs w:val="28"/>
          <w:rtl w:val="true"/>
          <w:lang w:bidi="ar-SA"/>
        </w:rPr>
        <w:t>، قاضی ابن بَرّاج</w:t>
      </w:r>
      <w:r>
        <w:rPr>
          <w:rStyle w:val="FootnoteAnchor"/>
          <w:rtl w:val="true"/>
        </w:rPr>
        <w:footnoteReference w:id="1290"/>
      </w:r>
      <w:r>
        <w:rPr>
          <w:rFonts w:ascii="IRNazanin" w:hAnsi="IRNazanin" w:eastAsia="IRNazanin"/>
          <w:color w:val="111111"/>
          <w:sz w:val="28"/>
          <w:sz w:val="28"/>
          <w:szCs w:val="28"/>
          <w:rtl w:val="true"/>
          <w:lang w:bidi="fa-IR"/>
        </w:rPr>
        <w:t>آن را به صورت بی نیازی مسجد و عدم امکان استفاده در آن و یا نیاز بیشتر مسجد دیگر مقیّد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مدارک اضافه‌کرده‌است‌که برای جواز این کار باید مطمئن باشیم که در آینده نیز مسجد اوّل به این نیاز پیدا نخواهد کرد در این صورت صرف آن حتّی در مشاهد دیگر نیز جایز است</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منتهی برای این مطلب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همه مساجد خداست و مصرف آلات و اموال هر یک در دیگری بلامانع است</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البتّه این مسأله با این اطلاق محلّ تأمّل است، زیرا رعایت غرض واقف را نیز، حتّی‌الامکان، نباید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شهید در مسالک، علاّمه در قواعد و صاحب مفتاح یادآور شده‌اند، صرف آلات و اَدَوات مشهد در مشهد یا مسجد دیگر جایز نیست؛ زیرا وقف در این موارد به محلّ معیّنی تعلّق گرفته است</w:t>
      </w:r>
      <w:r>
        <w:rPr>
          <w:rFonts w:eastAsia="IRNazanin" w:cs="IRNazanin"/>
          <w:color w:val="111111"/>
          <w:sz w:val="28"/>
          <w:szCs w:val="28"/>
          <w:rtl w:val="true"/>
          <w:lang w:bidi="fa-IR"/>
        </w:rPr>
        <w:t>.</w:t>
      </w:r>
      <w:r>
        <w:rPr>
          <w:rStyle w:val="FootnoteAnchor"/>
          <w:rtl w:val="true"/>
        </w:rPr>
        <w:footnoteReference w:id="1293"/>
      </w:r>
    </w:p>
    <w:p>
      <w:pPr>
        <w:pStyle w:val="Heading6"/>
        <w:numPr>
          <w:ilvl w:val="5"/>
          <w:numId w:val="1"/>
        </w:numPr>
        <w:rPr/>
      </w:pPr>
      <w:bookmarkStart w:id="809" w:name="__RefHeading___Toc474493_1479056682"/>
      <w:bookmarkStart w:id="810" w:name="_Toc309"/>
      <w:bookmarkEnd w:id="809"/>
      <w:r>
        <w:rPr/>
        <w:t>2</w:t>
      </w:r>
      <w:r>
        <w:rPr>
          <w:rtl w:val="true"/>
        </w:rPr>
        <w:t xml:space="preserve">- </w:t>
      </w:r>
      <w:r>
        <w:rPr>
          <w:rtl w:val="true"/>
        </w:rPr>
        <w:t>بیع اموال مسجد و</w:t>
      </w:r>
      <w:r>
        <w:rPr>
          <w:rtl w:val="true"/>
        </w:rPr>
        <w:t>...</w:t>
      </w:r>
      <w:bookmarkEnd w:id="810"/>
    </w:p>
    <w:p>
      <w:pPr>
        <w:pStyle w:val="BookText"/>
        <w:rPr/>
      </w:pPr>
      <w:r>
        <w:rPr>
          <w:rFonts w:ascii="IRNazanin" w:hAnsi="IRNazanin" w:eastAsia="IRNazanin"/>
          <w:color w:val="111111"/>
          <w:sz w:val="28"/>
          <w:sz w:val="28"/>
          <w:szCs w:val="28"/>
          <w:rtl w:val="true"/>
          <w:lang w:bidi="fa-IR"/>
        </w:rPr>
        <w:t xml:space="preserve">محقّق در شرایع اظهار داشته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آلات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مدارک در ذیل این عبارت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به طور مطلق مشکل است، زیرا</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تحریم بیع در صورت نبودن هیچ مصلحتی ثابت است، در غیر این صورت قطعا جایز، </w:t>
      </w:r>
    </w:p>
    <w:p>
      <w:pPr>
        <w:pStyle w:val="BookText"/>
        <w:rPr/>
      </w:pPr>
      <w:r>
        <w:rPr>
          <w:rFonts w:ascii="IRNazanin" w:hAnsi="IRNazanin" w:eastAsia="IRNazanin"/>
          <w:color w:val="111111"/>
          <w:sz w:val="28"/>
          <w:sz w:val="28"/>
          <w:szCs w:val="28"/>
          <w:rtl w:val="true"/>
          <w:lang w:bidi="fa-IR"/>
        </w:rPr>
        <w:t>بلکه در بعضی از موارد واجب است و ناظر، متولّی آن خواهد بود</w:t>
      </w:r>
      <w:r>
        <w:rPr>
          <w:rFonts w:eastAsia="IRNazanin" w:cs="IRNazanin"/>
          <w:color w:val="111111"/>
          <w:sz w:val="28"/>
          <w:szCs w:val="28"/>
          <w:rtl w:val="true"/>
          <w:lang w:bidi="fa-IR"/>
        </w:rPr>
        <w:t>.</w:t>
      </w:r>
      <w:r>
        <w:rPr>
          <w:rStyle w:val="FootnoteAnchor"/>
          <w:rtl w:val="true"/>
        </w:rPr>
        <w:footnoteReference w:id="1294"/>
      </w: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قواعد در مورد حصیر کهنه و تیر چوبی شکسته مسجد چنین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 به کار سوختن نمی‌آید، بیع آنهاو صرف در مسجد جایز است</w:t>
      </w:r>
      <w:r>
        <w:rPr>
          <w:rFonts w:eastAsia="IRNazanin" w:cs="IRNazanin"/>
          <w:color w:val="111111"/>
          <w:sz w:val="28"/>
          <w:szCs w:val="28"/>
          <w:rtl w:val="true"/>
          <w:lang w:bidi="fa-IR"/>
        </w:rPr>
        <w:t>.</w:t>
      </w:r>
      <w:r>
        <w:rPr>
          <w:rStyle w:val="FootnoteAnchor"/>
          <w:rtl w:val="true"/>
        </w:rPr>
        <w:footnoteReference w:id="1295"/>
      </w:r>
      <w:r>
        <w:rPr>
          <w:rFonts w:ascii="IRNazanin" w:hAnsi="IRNazanin" w:eastAsia="IRNazanin"/>
          <w:color w:val="111111"/>
          <w:sz w:val="28"/>
          <w:sz w:val="28"/>
          <w:szCs w:val="28"/>
          <w:rtl w:val="true"/>
          <w:lang w:bidi="fa-IR"/>
        </w:rPr>
        <w:t>شهید اوّل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خود آن مسجد یا مساجد دیگر قابل استفاده نباشد ، بیع آن بلااشکال است</w:t>
      </w:r>
      <w:r>
        <w:rPr>
          <w:rFonts w:eastAsia="IRNazanin" w:cs="IRNazanin"/>
          <w:color w:val="111111"/>
          <w:sz w:val="28"/>
          <w:szCs w:val="28"/>
          <w:rtl w:val="true"/>
          <w:lang w:bidi="fa-IR"/>
        </w:rPr>
        <w:t>.</w:t>
      </w:r>
      <w:r>
        <w:rPr>
          <w:rStyle w:val="FootnoteAnchor"/>
          <w:rtl w:val="true"/>
        </w:rPr>
        <w:footnoteReference w:id="1296"/>
      </w:r>
      <w:r>
        <w:rPr>
          <w:rFonts w:ascii="IRNazanin" w:hAnsi="IRNazanin" w:eastAsia="IRNazanin"/>
          <w:color w:val="111111"/>
          <w:sz w:val="28"/>
          <w:sz w:val="28"/>
          <w:szCs w:val="28"/>
          <w:rtl w:val="true"/>
          <w:lang w:bidi="fa-IR"/>
        </w:rPr>
        <w:t>شهید توضیح نداده است که با ثمن آن چه 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و به پیروی از وی محمّدجواد مغنیه اموال مسجد را بر دو نوع تقسیم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که متولّی وقف آنها را از درآمد موقوفات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اجاره اراضی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چنین اموالی، هر چند قابل استفاده هم باشند برای ناظر جایز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و اعیانی که مسلمانان خَیِّر آنها را برای مصلحت مسجد یا مدرسه وقف کرده‌اند، که در این صورت چون وقف بر مسلمین گردیده‌اند، حکم اوقاف خاصّه را دارند که تنها در صورت بروز یکی از اسباب مجوّز بیع می‌توان آن را فروخت</w:t>
      </w:r>
      <w:r>
        <w:rPr>
          <w:rFonts w:eastAsia="IRNazanin" w:cs="IRNazanin"/>
          <w:color w:val="111111"/>
          <w:sz w:val="28"/>
          <w:szCs w:val="28"/>
          <w:rtl w:val="true"/>
          <w:lang w:bidi="fa-IR"/>
        </w:rPr>
        <w:t>.</w:t>
      </w:r>
      <w:r>
        <w:rPr>
          <w:rStyle w:val="FootnoteAnchor"/>
          <w:rtl w:val="true"/>
        </w:rPr>
        <w:footnoteReference w:id="1297"/>
      </w:r>
      <w:r>
        <w:rPr>
          <w:rFonts w:ascii="IRNazanin" w:hAnsi="IRNazanin" w:eastAsia="IRNazanin"/>
          <w:color w:val="111111"/>
          <w:sz w:val="28"/>
          <w:sz w:val="28"/>
          <w:szCs w:val="28"/>
          <w:rtl w:val="true"/>
          <w:lang w:bidi="fa-IR"/>
        </w:rPr>
        <w:t>قبل از شیخ، محقّق ثانی نیز این تفصیل را محتمل دانسته است</w:t>
      </w:r>
      <w:r>
        <w:rPr>
          <w:rFonts w:eastAsia="IRNazanin" w:cs="IRNazanin"/>
          <w:color w:val="111111"/>
          <w:sz w:val="28"/>
          <w:szCs w:val="28"/>
          <w:rtl w:val="true"/>
          <w:lang w:bidi="fa-IR"/>
        </w:rPr>
        <w:t>.</w:t>
      </w:r>
      <w:r>
        <w:rPr>
          <w:rStyle w:val="FootnoteAnchor"/>
          <w:rtl w:val="true"/>
        </w:rPr>
        <w:footnoteReference w:id="1298"/>
      </w:r>
    </w:p>
    <w:p>
      <w:pPr>
        <w:pStyle w:val="BookText"/>
        <w:rPr/>
      </w:pPr>
      <w:r>
        <w:rPr>
          <w:rFonts w:ascii="IRNazanin" w:hAnsi="IRNazanin" w:eastAsia="IRNazanin"/>
          <w:color w:val="111111"/>
          <w:sz w:val="28"/>
          <w:sz w:val="28"/>
          <w:szCs w:val="28"/>
          <w:rtl w:val="true"/>
          <w:lang w:bidi="fa-IR"/>
        </w:rPr>
        <w:t>در هر صورت رعایت نظر واقف تا آن‌جا که امکان دارد و با مصالح وقف و مسجد ناسازگار نیست، لازم است؛ در غیر این صورت ظاهرا بیع این اموال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مصرف ثمن</w:t>
      </w:r>
    </w:p>
    <w:p>
      <w:pPr>
        <w:pStyle w:val="BookText"/>
        <w:rPr/>
      </w:pPr>
      <w:r>
        <w:rPr>
          <w:rFonts w:ascii="IRNazanin" w:hAnsi="IRNazanin" w:eastAsia="IRNazanin"/>
          <w:color w:val="111111"/>
          <w:sz w:val="28"/>
          <w:sz w:val="28"/>
          <w:szCs w:val="28"/>
          <w:rtl w:val="true"/>
          <w:lang w:bidi="fa-IR"/>
        </w:rPr>
        <w:t>قبلاً اشاره شد که علاّمه در قواعد، مورد مصرف ثمن را مصالح مسجد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در ذیل این بیان علاّمه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فروش این اموال، واجب است با ثمن آن بدلی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 قول را از ایضاح الفوائد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دروس نیز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نیز خریداری بدل مماثل را موافق با اصول و </w:t>
      </w:r>
      <w:bookmarkStart w:id="811" w:name="pg4267_22070"/>
    </w:p>
    <w:p>
      <w:pPr>
        <w:pStyle w:val="BookText"/>
        <w:rPr/>
      </w:pPr>
      <w:bookmarkEnd w:id="811"/>
      <w:r>
        <w:rPr>
          <w:rFonts w:ascii="IRNazanin" w:hAnsi="IRNazanin" w:eastAsia="IRNazanin"/>
          <w:color w:val="111111"/>
          <w:sz w:val="28"/>
          <w:sz w:val="28"/>
          <w:szCs w:val="28"/>
          <w:rtl w:val="true"/>
          <w:lang w:bidi="fa-IR"/>
        </w:rPr>
        <w:t>قواعد شرعیّه ذکرکرده‌است</w:t>
      </w:r>
      <w:r>
        <w:rPr>
          <w:rFonts w:eastAsia="IRNazanin" w:cs="IRNazanin"/>
          <w:color w:val="111111"/>
          <w:sz w:val="28"/>
          <w:szCs w:val="28"/>
          <w:rtl w:val="true"/>
          <w:lang w:bidi="fa-IR"/>
        </w:rPr>
        <w:t>.</w:t>
      </w:r>
      <w:r>
        <w:rPr>
          <w:rStyle w:val="FootnoteAnchor"/>
          <w:rtl w:val="true"/>
        </w:rPr>
        <w:footnoteReference w:id="1299"/>
      </w:r>
    </w:p>
    <w:p>
      <w:pPr>
        <w:pStyle w:val="BookText"/>
        <w:rPr/>
      </w:pPr>
      <w:r>
        <w:rPr>
          <w:rFonts w:ascii="IRNazanin" w:hAnsi="IRNazanin" w:eastAsia="IRNazanin"/>
          <w:color w:val="111111"/>
          <w:sz w:val="28"/>
          <w:sz w:val="28"/>
          <w:szCs w:val="28"/>
          <w:rtl w:val="true"/>
          <w:lang w:bidi="fa-IR"/>
        </w:rPr>
        <w:t>دلیل این گروه این است که بدل مماثل به مراد و منظور واقف نزدیکتر است و اگر این کار میسّر نشد، ثمن، صرف مصالح مسجد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ثانی از علاّمه در تذکره نقل کرده است که خریداری کردن بدل واجب نیست و همان ثمن به مصرف مصالح مسجد می رسد</w:t>
      </w:r>
      <w:r>
        <w:rPr>
          <w:rFonts w:eastAsia="IRNazanin" w:cs="IRNazanin"/>
          <w:color w:val="111111"/>
          <w:sz w:val="28"/>
          <w:szCs w:val="28"/>
          <w:rtl w:val="true"/>
          <w:lang w:bidi="fa-IR"/>
        </w:rPr>
        <w:t>.</w:t>
      </w:r>
      <w:r>
        <w:rPr>
          <w:rStyle w:val="FootnoteAnchor"/>
          <w:rtl w:val="true"/>
        </w:rPr>
        <w:footnoteReference w:id="1300"/>
      </w:r>
    </w:p>
    <w:p>
      <w:pPr>
        <w:pStyle w:val="BookText"/>
        <w:rPr/>
      </w:pPr>
      <w:r>
        <w:rPr>
          <w:rFonts w:ascii="IRNazanin" w:hAnsi="IRNazanin" w:eastAsia="IRNazanin"/>
          <w:color w:val="111111"/>
          <w:sz w:val="28"/>
          <w:sz w:val="28"/>
          <w:szCs w:val="28"/>
          <w:rtl w:val="true"/>
          <w:lang w:bidi="fa-IR"/>
        </w:rPr>
        <w:t>به نظر می‌رسد اگر مصالح مال فروخته شده از قبیل قسم اوّلی باشد که شیخ انصاری و مغنیه ذکر کرده اند، تبدیل ثمن آن به بدل مماثل واجب نباشد، زیرا نظر واقف صرف این درآمدها در هر گونه مصلحتی از مصالح مسجد است؛ مگر آن که شرط خاصّی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قبیل قسم دوم باشد، حدّاقلّ احتیاط اقتضا می کند که با ثمن آن شی‌ء</w:t>
      </w:r>
    </w:p>
    <w:p>
      <w:pPr>
        <w:pStyle w:val="BookText"/>
        <w:rPr/>
      </w:pPr>
      <w:r>
        <w:rPr>
          <w:rFonts w:ascii="IRNazanin" w:hAnsi="IRNazanin" w:eastAsia="IRNazanin"/>
          <w:color w:val="111111"/>
          <w:sz w:val="28"/>
          <w:sz w:val="28"/>
          <w:szCs w:val="28"/>
          <w:rtl w:val="true"/>
          <w:lang w:bidi="fa-IR"/>
        </w:rPr>
        <w:t>مماثل خریداری شود و تا آن جا که ممکن است نظر و غرض واقف ، رعایت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اگر واقف دارای ناظر خاصّ باشد، علی القاعده ، چنان که صاحب جواهر تصریح کرده است</w:t>
      </w:r>
      <w:r>
        <w:rPr>
          <w:rStyle w:val="FootnoteAnchor"/>
          <w:rtl w:val="true"/>
        </w:rPr>
        <w:footnoteReference w:id="1301"/>
      </w:r>
      <w:r>
        <w:rPr>
          <w:rFonts w:ascii="IRNazanin" w:hAnsi="IRNazanin" w:eastAsia="IRNazanin"/>
          <w:color w:val="111111"/>
          <w:sz w:val="28"/>
          <w:sz w:val="28"/>
          <w:szCs w:val="28"/>
          <w:rtl w:val="true"/>
          <w:lang w:bidi="fa-IR"/>
        </w:rPr>
        <w:t>متولّی و متصدّی این امور ، ناظر خاصّ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اَوْلی و مطابق با احتیاط این است که حاکم، متصدّی این امور شود</w:t>
      </w:r>
      <w:r>
        <w:rPr>
          <w:rFonts w:eastAsia="IRNazanin" w:cs="IRNazanin"/>
          <w:color w:val="111111"/>
          <w:sz w:val="28"/>
          <w:szCs w:val="28"/>
          <w:rtl w:val="true"/>
          <w:lang w:bidi="fa-IR"/>
        </w:rPr>
        <w:t>.</w:t>
      </w:r>
    </w:p>
    <w:p>
      <w:pPr>
        <w:pStyle w:val="Heading6"/>
        <w:numPr>
          <w:ilvl w:val="5"/>
          <w:numId w:val="1"/>
        </w:numPr>
        <w:rPr/>
      </w:pPr>
      <w:bookmarkStart w:id="812" w:name="__RefHeading___Toc474495_1479056682"/>
      <w:bookmarkStart w:id="813" w:name="_Toc310"/>
      <w:bookmarkEnd w:id="812"/>
      <w:r>
        <w:rPr>
          <w:rtl w:val="true"/>
        </w:rPr>
        <w:t>دیدگاه دیگر مذاهب درباره مساجد</w:t>
      </w:r>
      <w:bookmarkEnd w:id="813"/>
    </w:p>
    <w:p>
      <w:pPr>
        <w:pStyle w:val="Heading6"/>
        <w:numPr>
          <w:ilvl w:val="5"/>
          <w:numId w:val="1"/>
        </w:numPr>
        <w:rPr/>
      </w:pPr>
      <w:bookmarkStart w:id="814" w:name="__RefHeading___Toc474497_1479056682"/>
      <w:bookmarkStart w:id="815" w:name="_Toc311"/>
      <w:bookmarkEnd w:id="814"/>
      <w:r>
        <w:rPr>
          <w:rtl w:val="true"/>
        </w:rPr>
        <w:t>مقام اوّل</w:t>
      </w:r>
      <w:r>
        <w:rPr>
          <w:rtl w:val="true"/>
        </w:rPr>
        <w:t xml:space="preserve">: </w:t>
      </w:r>
      <w:r>
        <w:rPr>
          <w:rtl w:val="true"/>
        </w:rPr>
        <w:t>اصل مسجد</w:t>
      </w:r>
      <w:bookmarkEnd w:id="815"/>
    </w:p>
    <w:p>
      <w:pPr>
        <w:pStyle w:val="BookText"/>
        <w:rPr/>
      </w:pPr>
      <w:r>
        <w:rPr>
          <w:rFonts w:ascii="IRNazanin" w:hAnsi="IRNazanin" w:eastAsia="IRNazanin"/>
          <w:color w:val="111111"/>
          <w:sz w:val="28"/>
          <w:sz w:val="28"/>
          <w:szCs w:val="28"/>
          <w:rtl w:val="true"/>
          <w:lang w:bidi="fa-IR"/>
        </w:rPr>
        <w:t>جمهور فقهای اهل سنّت، بجز احمد، تملّک و بیع مسجد را به هیچ وجه جایز ندانسته اند و معتقدند تحت هیچ شرایطی، حتّی در صورت ویرانی مسجد و کوچ کردن مردم محلّه و قریه و به طور کلّی بریده شدن پای عابران از آن جا و نبودن هیچ نمازگزاری، بیع مسجد جایز نیست و واجب است مسجد به حال خود باقی باشد و کسی حق تغییر و تبدیل آن را نخواهد داشت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اسهل‌المدارک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جواز بیع مساجد، ادّعای اجماع شده است</w:t>
      </w:r>
      <w:r>
        <w:rPr>
          <w:rFonts w:eastAsia="IRNazanin" w:cs="IRNazanin"/>
          <w:color w:val="111111"/>
          <w:sz w:val="28"/>
          <w:szCs w:val="28"/>
          <w:rtl w:val="true"/>
          <w:lang w:bidi="fa-IR"/>
        </w:rPr>
        <w:t>.</w:t>
      </w:r>
      <w:r>
        <w:rPr>
          <w:rStyle w:val="FootnoteAnchor"/>
          <w:rtl w:val="true"/>
        </w:rPr>
        <w:footnoteReference w:id="1302"/>
      </w:r>
    </w:p>
    <w:p>
      <w:pPr>
        <w:pStyle w:val="BookText"/>
        <w:rPr/>
      </w:pPr>
      <w:r>
        <w:rPr>
          <w:rFonts w:ascii="IRNazanin" w:hAnsi="IRNazanin" w:eastAsia="IRNazanin"/>
          <w:color w:val="111111"/>
          <w:sz w:val="28"/>
          <w:sz w:val="28"/>
          <w:szCs w:val="28"/>
          <w:rtl w:val="true"/>
          <w:lang w:bidi="fa-IR"/>
        </w:rPr>
        <w:t>فقهای حنفیّه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انعقاد وقف ، مسجد تحت هیچ عنوانی از مسجد بودن نمی افتد، هر چند مردم از آن بی نیاز شوند و یا ویران شده باشد و بودجه ای که با آن ، تعمیر شود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همه این شرایط ، در نزد ابوحنیفه و محمّدبن حسن ، مسجد تاقیام قیامت مسجد است ، نه به ملک بانی آن باز می گرددو نه کسی حق تبدیل آن را دارد</w:t>
      </w:r>
      <w:r>
        <w:rPr>
          <w:rFonts w:eastAsia="IRNazanin" w:cs="IRNazanin"/>
          <w:color w:val="111111"/>
          <w:sz w:val="28"/>
          <w:szCs w:val="28"/>
          <w:rtl w:val="true"/>
          <w:lang w:bidi="fa-IR"/>
        </w:rPr>
        <w:t>.</w:t>
      </w:r>
      <w:r>
        <w:rPr>
          <w:rStyle w:val="FootnoteAnchor"/>
          <w:rtl w:val="true"/>
        </w:rPr>
        <w:footnoteReference w:id="1303"/>
      </w:r>
    </w:p>
    <w:p>
      <w:pPr>
        <w:pStyle w:val="BookText"/>
        <w:rPr/>
      </w:pPr>
      <w:r>
        <w:rPr>
          <w:rFonts w:ascii="IRNazanin" w:hAnsi="IRNazanin" w:eastAsia="IRNazanin"/>
          <w:color w:val="111111"/>
          <w:sz w:val="28"/>
          <w:sz w:val="28"/>
          <w:szCs w:val="28"/>
          <w:rtl w:val="true"/>
          <w:lang w:bidi="fa-IR"/>
        </w:rPr>
        <w:t>ابویوسف ، طبق نقل سرخسی ، برای عدم عَوْد مسجدی که خراب شده و مردم از نمازگزاردن در آن بی‌نیاز شده‌اند، به بانی آن ، استدلال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تمامیّت</w:t>
      </w:r>
    </w:p>
    <w:p>
      <w:pPr>
        <w:pStyle w:val="BookText"/>
        <w:rPr/>
      </w:pPr>
      <w:r>
        <w:rPr>
          <w:rFonts w:ascii="IRNazanin" w:hAnsi="IRNazanin" w:eastAsia="IRNazanin"/>
          <w:color w:val="111111"/>
          <w:sz w:val="28"/>
          <w:sz w:val="28"/>
          <w:szCs w:val="28"/>
          <w:rtl w:val="true"/>
          <w:lang w:bidi="fa-IR"/>
        </w:rPr>
        <w:t xml:space="preserve">وقف، عین از ملک بانی خارج و خالص برای خدا می شود، از این رو به هیچ وجه به ملک بانی باز نمی‌گردد، همانند عتق رقبه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ممکن است مسافران و رهگذران از این زمین برای نماز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سرخسی به محمّدبن حسن نسبت داده است که اگر مردم اقامه نماز جماعت را در مسجدی رها کردند آن محلّ از مسجدیّت خارج می شود و به ملک بانی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وی این است که وقف تسبیل منفعت است و در صورت زوال منفعت،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زایل می‌شود، در نتیجه ملکیّت وی نیز زایل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لطیفه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سرخسی در این مورد لطیفه‌ای را نیز حکایت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محمّد از کنار مزبله‌ای می‌گذشت، به آن جا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مسجد ابویوسف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فتوای ابویوسف به عدم عَوْد مسجد خراب شده به بانی آن ،مسجد را به مزبله تبدیل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متقابلاً وقتی ابویوسف از کنار اِصطبلی عبور می‌کرد به آن اشاره کرد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مسجد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فتوای محمّد به بازگشت مسجدِ ویران شده به ملک بانی، اصطبل شدن آن را در پی خواهد داشت</w:t>
      </w:r>
      <w:r>
        <w:rPr>
          <w:rFonts w:eastAsia="IRNazanin" w:cs="IRNazanin"/>
          <w:color w:val="111111"/>
          <w:sz w:val="28"/>
          <w:szCs w:val="28"/>
          <w:rtl w:val="true"/>
          <w:lang w:bidi="fa-IR"/>
        </w:rPr>
        <w:t>.</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شَربینی، از فقهای شافعیّه نیز ضمن مطرح کردن این نظر برای آن چنین استدلال کرده</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نمازگزاردن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رهگذران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امکان عَوْد آن منتفی نیست، لذا </w:t>
      </w:r>
      <w:bookmarkStart w:id="816" w:name="pg4267_22074"/>
    </w:p>
    <w:p>
      <w:pPr>
        <w:pStyle w:val="BookText"/>
        <w:rPr/>
      </w:pPr>
      <w:bookmarkEnd w:id="816"/>
      <w:r>
        <w:rPr>
          <w:rFonts w:ascii="IRNazanin" w:hAnsi="IRNazanin" w:eastAsia="IRNazanin"/>
          <w:color w:val="111111"/>
          <w:sz w:val="28"/>
          <w:sz w:val="28"/>
          <w:szCs w:val="28"/>
          <w:rtl w:val="true"/>
          <w:lang w:bidi="fa-IR"/>
        </w:rPr>
        <w:t>مسجد در صورت انهدام نیز به هیچ وجه نباید فروخته شود</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امّا در مذهب احمد بیع و تبدیل مسجد در بعضی از احوال بلااشکال است؛ در صورتی که مسجدی از غرض و هدف اصلی واقف باز بماند، مثل این که جا برای نمازگزاردن تنگ شود و توسعه آن هم میسّر نباشد یا منطقه ای که مسجد در آن واقع است، ویران و خالی از سکنه شود و از حیّز انتفاع بیفتد، بیع مسجد و صرف ثمن آن در ایجاد مسجدی دیگر جایز است</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ابن قُدامه برای این دیدگاه به فعل عمر استناد کرده است که؛ دستور نقل مسجدی را در کوفه به محلّ دیگر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کار موجب استمرار و استبقای وقف و نگهداری آن از ضایع شدن می‌شود</w:t>
      </w:r>
      <w:r>
        <w:rPr>
          <w:rFonts w:eastAsia="IRNazanin" w:cs="IRNazanin"/>
          <w:color w:val="111111"/>
          <w:sz w:val="28"/>
          <w:szCs w:val="28"/>
          <w:rtl w:val="true"/>
          <w:lang w:bidi="fa-IR"/>
        </w:rPr>
        <w:t>.</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در پاسخ استدلال اوّل ابن قُدامه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رفتار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حجّت بودن فعل او چنان که اهل سنّت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بر جواز بیع مسجد دلالت ندارد، زیرادراین روایت، برای حفظ بیت المال و نگهداری آن در یک جای امن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زیرا بیت المال در کنار مسجد قرار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نقل مسجد به جای دیگر داده شده است ، امّا صراحت ندارد که مسجد اوّل را بفروشد و با بهای آن این کار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دیگر وی نیز مخدوش است ، زیرا آزاد گذاشتن افراد در نقل و انتقال مسجد، در بسیاری از اوقاف موجب تضییع و از بین رفتن مسجد و وقف و نیز تضییع غرض واقف خواهد شد</w:t>
      </w:r>
      <w:r>
        <w:rPr>
          <w:rFonts w:eastAsia="IRNazanin" w:cs="IRNazanin"/>
          <w:color w:val="111111"/>
          <w:sz w:val="28"/>
          <w:szCs w:val="28"/>
          <w:rtl w:val="true"/>
          <w:lang w:bidi="fa-IR"/>
        </w:rPr>
        <w:t>.</w:t>
      </w:r>
    </w:p>
    <w:p>
      <w:pPr>
        <w:pStyle w:val="Heading6"/>
        <w:numPr>
          <w:ilvl w:val="5"/>
          <w:numId w:val="1"/>
        </w:numPr>
        <w:rPr/>
      </w:pPr>
      <w:bookmarkStart w:id="817" w:name="__RefHeading___Toc474499_1479056682"/>
      <w:bookmarkStart w:id="818" w:name="_Toc312"/>
      <w:bookmarkEnd w:id="817"/>
      <w:r>
        <w:rPr>
          <w:rtl w:val="true"/>
        </w:rPr>
        <w:t>مقام دوم</w:t>
      </w:r>
      <w:r>
        <w:rPr>
          <w:rtl w:val="true"/>
        </w:rPr>
        <w:t xml:space="preserve">: </w:t>
      </w:r>
      <w:r>
        <w:rPr>
          <w:rtl w:val="true"/>
        </w:rPr>
        <w:t>اموال مسجد</w:t>
      </w:r>
      <w:bookmarkEnd w:id="818"/>
    </w:p>
    <w:p>
      <w:pPr>
        <w:pStyle w:val="BookText"/>
        <w:rPr/>
      </w:pPr>
      <w:r>
        <w:rPr>
          <w:rFonts w:ascii="IRNazanin" w:hAnsi="IRNazanin" w:eastAsia="IRNazanin"/>
          <w:color w:val="111111"/>
          <w:sz w:val="28"/>
          <w:sz w:val="28"/>
          <w:szCs w:val="28"/>
          <w:rtl w:val="true"/>
          <w:lang w:bidi="fa-IR"/>
        </w:rPr>
        <w:t xml:space="preserve">ابویوسف، از فقهای حنفی، نیز درباره حصیر مسجد و اموال مشابه آن، فروش مصالح و اموال منقول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معرض تلف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آنها را در مسجدی دیگر جایز دانسته است</w:t>
      </w:r>
      <w:r>
        <w:rPr>
          <w:rFonts w:eastAsia="IRNazanin" w:cs="IRNazanin"/>
          <w:color w:val="111111"/>
          <w:sz w:val="28"/>
          <w:szCs w:val="28"/>
          <w:rtl w:val="true"/>
          <w:lang w:bidi="fa-IR"/>
        </w:rPr>
        <w:t>.</w:t>
      </w:r>
      <w:r>
        <w:rPr>
          <w:rStyle w:val="FootnoteAnchor"/>
          <w:rtl w:val="true"/>
        </w:rPr>
        <w:footnoteReference w:id="130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فقه مالکی فروش اموال مسجد، در صورتی که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w:t>
      </w:r>
      <w:bookmarkStart w:id="819" w:name="pg4267_22076"/>
    </w:p>
    <w:p>
      <w:pPr>
        <w:pStyle w:val="BookText"/>
        <w:rPr/>
      </w:pPr>
      <w:bookmarkEnd w:id="819"/>
      <w:r>
        <w:rPr>
          <w:rFonts w:ascii="IRNazanin" w:hAnsi="IRNazanin" w:eastAsia="IRNazanin"/>
          <w:color w:val="111111"/>
          <w:sz w:val="28"/>
          <w:sz w:val="28"/>
          <w:szCs w:val="28"/>
          <w:rtl w:val="true"/>
          <w:lang w:bidi="fa-IR"/>
        </w:rPr>
        <w:t>جایز نیست؛ زیرا امید انتفاع آنها در آینده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مصالح و اموال منقول داشته باشد که در معرض تلف شدن و فساد هستند، می توان آنها را فروخت و ثمن را در مسجد دیگری به مصرف رسانید</w:t>
      </w:r>
      <w:r>
        <w:rPr>
          <w:rFonts w:eastAsia="IRNazanin" w:cs="IRNazanin"/>
          <w:color w:val="111111"/>
          <w:sz w:val="28"/>
          <w:szCs w:val="28"/>
          <w:rtl w:val="true"/>
          <w:lang w:bidi="fa-IR"/>
        </w:rPr>
        <w:t>.</w:t>
      </w:r>
      <w:r>
        <w:rPr>
          <w:rStyle w:val="FootnoteAnchor"/>
          <w:rtl w:val="true"/>
        </w:rPr>
        <w:footnoteReference w:id="1309"/>
      </w:r>
    </w:p>
    <w:p>
      <w:pPr>
        <w:pStyle w:val="BookText"/>
        <w:rPr/>
      </w:pPr>
      <w:r>
        <w:rPr>
          <w:rFonts w:ascii="IRNazanin" w:hAnsi="IRNazanin" w:eastAsia="IRNazanin"/>
          <w:color w:val="111111"/>
          <w:sz w:val="28"/>
          <w:sz w:val="28"/>
          <w:szCs w:val="28"/>
          <w:rtl w:val="true"/>
          <w:lang w:bidi="fa-IR"/>
        </w:rPr>
        <w:t xml:space="preserve">وَهبهُ‌الزُّحَیلی از فقه شافعی نقل کرده است که اگر مسجدی مصالح ساختمانی اضافی دارد می توان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الامکان در نزدیکی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را بنا کرد و اگر مسجدی منبع درآمدی دارد باید با مازاد آن درآمد، املاکی خریداری و وقف همان مسجد کرد و در صورتی که برای مصرف خاصّ ، چون گچ کاری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وقف شده باشد باید در همان مورد به مصرف رساند؛ امّا حصیر و فرشهای مسجد و مانند اینها اگر آن چنان فرسوده شده باشند که جز به کار سوختن نیایند فروش آنها برای صرف بهایشان در مصالح مسجد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کار جلوگیری از ضایع شدن وقف است و البتّه باید با ثمن آن اموالی مماثل و مشابه ، برای مسجد خریداری شود</w:t>
      </w:r>
      <w:r>
        <w:rPr>
          <w:rFonts w:eastAsia="IRNazanin" w:cs="IRNazanin"/>
          <w:color w:val="111111"/>
          <w:sz w:val="28"/>
          <w:szCs w:val="28"/>
          <w:rtl w:val="true"/>
          <w:lang w:bidi="fa-IR"/>
        </w:rPr>
        <w:t>.</w:t>
      </w:r>
      <w:r>
        <w:rPr>
          <w:rStyle w:val="FootnoteAnchor"/>
          <w:rtl w:val="true"/>
        </w:rPr>
        <w:footnoteReference w:id="1310"/>
      </w:r>
    </w:p>
    <w:p>
      <w:p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تصریح کرده است؛ آنچه از حصیرها و روغن و زیتون مسجد زیاد آمده باشد و مورد نیاز مسجد نباشد، جایز است به مصرف مسجدی دیگر و یا فقرای همسایه مسجد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احمدبن حنبل در این مسأله به فروش کسوه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w:t>
      </w:r>
      <w:r>
        <w:rPr>
          <w:rStyle w:val="FootnoteAnchor"/>
          <w:rtl w:val="true"/>
        </w:rPr>
        <w:footnoteReference w:id="1311"/>
      </w:r>
    </w:p>
    <w:p>
      <w:pPr>
        <w:pStyle w:val="Heading5"/>
        <w:numPr>
          <w:ilvl w:val="4"/>
          <w:numId w:val="1"/>
        </w:numPr>
        <w:rPr/>
      </w:pPr>
      <w:bookmarkStart w:id="820" w:name="__RefHeading___Toc474501_1479056682"/>
      <w:bookmarkStart w:id="821" w:name="_Toc313"/>
      <w:bookmarkEnd w:id="820"/>
      <w:r>
        <w:rPr>
          <w:rtl w:val="true"/>
        </w:rPr>
        <w:t xml:space="preserve">گفتار </w:t>
      </w:r>
      <w:r>
        <w:rPr/>
        <w:t>5</w:t>
      </w:r>
      <w:r>
        <w:rPr>
          <w:rtl w:val="true"/>
        </w:rPr>
        <w:t xml:space="preserve">- </w:t>
      </w:r>
      <w:r>
        <w:rPr>
          <w:rtl w:val="true"/>
        </w:rPr>
        <w:t>بیع و استبدال در وقف خاصّ</w:t>
      </w:r>
      <w:bookmarkEnd w:id="821"/>
    </w:p>
    <w:p>
      <w:pPr>
        <w:pStyle w:val="Heading6"/>
        <w:numPr>
          <w:ilvl w:val="5"/>
          <w:numId w:val="1"/>
        </w:numPr>
        <w:rPr/>
      </w:pPr>
      <w:bookmarkStart w:id="822" w:name="__RefHeading___Toc474503_1479056682"/>
      <w:bookmarkStart w:id="823" w:name="_Toc314"/>
      <w:bookmarkEnd w:id="822"/>
      <w:r>
        <w:rPr>
          <w:rtl w:val="true"/>
        </w:rPr>
        <w:t>اشاره</w:t>
      </w:r>
      <w:bookmarkEnd w:id="823"/>
    </w:p>
    <w:p>
      <w:pPr>
        <w:pStyle w:val="BookText"/>
        <w:rPr/>
      </w:pPr>
      <w:r>
        <w:rPr>
          <w:rFonts w:ascii="IRNazanin" w:hAnsi="IRNazanin" w:eastAsia="IRNazanin"/>
          <w:color w:val="111111"/>
          <w:sz w:val="28"/>
          <w:sz w:val="28"/>
          <w:szCs w:val="28"/>
          <w:rtl w:val="true"/>
          <w:lang w:bidi="fa-IR"/>
        </w:rPr>
        <w:t>قبلاً اشاره شد که برخی از فقها مورد اختلاف در بیع وقف خاصّ را شامل عناوینی چون فقرا، علما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وقف خاصّ در این جا منحصر در وقف بر</w:t>
      </w:r>
    </w:p>
    <w:p>
      <w:pPr>
        <w:pStyle w:val="BookText"/>
        <w:rPr/>
      </w:pPr>
      <w:r>
        <w:rPr>
          <w:rFonts w:ascii="IRNazanin" w:hAnsi="IRNazanin" w:eastAsia="IRNazanin"/>
          <w:color w:val="111111"/>
          <w:sz w:val="28"/>
          <w:sz w:val="28"/>
          <w:szCs w:val="28"/>
          <w:rtl w:val="true"/>
          <w:lang w:bidi="fa-IR"/>
        </w:rPr>
        <w:t>افراد معیّن و یا اولاد نیست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امامیه، ابن ادریس، مطلق بیع وقف را ممنوع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مقتضای مذهب ما این است که بعد از وقف و اقباض آن، رجوع از آن، </w:t>
      </w:r>
      <w:bookmarkStart w:id="824" w:name="pg4267_22078"/>
    </w:p>
    <w:p>
      <w:pPr>
        <w:pStyle w:val="BookText"/>
        <w:rPr/>
      </w:pPr>
      <w:bookmarkEnd w:id="824"/>
      <w:r>
        <w:rPr>
          <w:rFonts w:ascii="IRNazanin" w:hAnsi="IRNazanin" w:eastAsia="IRNazanin"/>
          <w:color w:val="111111"/>
          <w:sz w:val="28"/>
          <w:sz w:val="28"/>
          <w:szCs w:val="28"/>
          <w:rtl w:val="true"/>
          <w:lang w:bidi="fa-IR"/>
        </w:rPr>
        <w:t>تغییر از جهات و طرق تعیین شده و بیع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بیع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 باشد یا نباشد ، خراب شده باشد و کسی که آن را تعمیر کند، پیدا نشود یا چنین نباشد، از انتفاع افتاده باشد یا هنوز قابل استفاده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هیچ یک از این صور بیع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همگی اتّفاق نظر داریم که این مال، وقف است و تغییر آن جایز نیست و اگر</w:t>
      </w:r>
    </w:p>
    <w:p>
      <w:pPr>
        <w:pStyle w:val="BookText"/>
        <w:rPr/>
      </w:pPr>
      <w:r>
        <w:rPr>
          <w:rFonts w:ascii="IRNazanin" w:hAnsi="IRNazanin" w:eastAsia="IRNazanin"/>
          <w:color w:val="111111"/>
          <w:sz w:val="28"/>
          <w:sz w:val="28"/>
          <w:szCs w:val="28"/>
          <w:rtl w:val="true"/>
          <w:lang w:bidi="fa-IR"/>
        </w:rPr>
        <w:t xml:space="preserve">کسی غیر این را ادّعا کند، ادّعای حکمی شرعی را کرده است که در اثبات آن به دلیل شرعی نیاز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هم گروهی بیع را تجویز و بقیّه آن را منع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اجماع بر وقف بودن محقّق است، امّا برخروج از وقفیت به هیچ وجه اجماعی حاصل نشده است و در مواردی این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اجماع محقّق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به اخبار آحادی که نه موجب علمند و نه موجب عمل، استناد کرد</w:t>
      </w:r>
      <w:r>
        <w:rPr>
          <w:rFonts w:eastAsia="IRNazanin" w:cs="IRNazanin"/>
          <w:color w:val="111111"/>
          <w:sz w:val="28"/>
          <w:szCs w:val="28"/>
          <w:rtl w:val="true"/>
          <w:lang w:bidi="fa-IR"/>
        </w:rPr>
        <w:t>.</w:t>
      </w:r>
      <w:r>
        <w:rPr>
          <w:rStyle w:val="FootnoteAnchor"/>
          <w:rtl w:val="true"/>
        </w:rPr>
        <w:footnoteReference w:id="1312"/>
      </w:r>
      <w:r>
        <w:rPr>
          <w:rFonts w:ascii="IRNazanin" w:hAnsi="IRNazanin" w:eastAsia="IRNazanin"/>
          <w:color w:val="111111"/>
          <w:sz w:val="28"/>
          <w:sz w:val="28"/>
          <w:szCs w:val="28"/>
          <w:rtl w:val="true"/>
          <w:lang w:bidi="fa-IR"/>
        </w:rPr>
        <w:t>از عبارات فخر المحقّقین، نیز منع مطلق استفاده می شود</w:t>
      </w:r>
      <w:r>
        <w:rPr>
          <w:rFonts w:eastAsia="IRNazanin" w:cs="IRNazanin"/>
          <w:color w:val="111111"/>
          <w:sz w:val="28"/>
          <w:szCs w:val="28"/>
          <w:rtl w:val="true"/>
          <w:lang w:bidi="fa-IR"/>
        </w:rPr>
        <w:t>.</w:t>
      </w:r>
      <w:r>
        <w:rPr>
          <w:rStyle w:val="FootnoteAnchor"/>
          <w:rtl w:val="true"/>
        </w:rPr>
        <w:footnoteReference w:id="1313"/>
      </w:r>
    </w:p>
    <w:p>
      <w:pPr>
        <w:pStyle w:val="BookText"/>
        <w:rPr/>
      </w:pPr>
      <w:r>
        <w:rPr>
          <w:rFonts w:ascii="IRNazanin" w:hAnsi="IRNazanin" w:eastAsia="IRNazanin"/>
          <w:color w:val="111111"/>
          <w:sz w:val="28"/>
          <w:sz w:val="28"/>
          <w:szCs w:val="28"/>
          <w:rtl w:val="true"/>
          <w:lang w:bidi="fa-IR"/>
        </w:rPr>
        <w:t>شیخ انصاری این قول را از اسکافی نیز حکایت کرده است</w:t>
      </w:r>
      <w:r>
        <w:rPr>
          <w:rFonts w:eastAsia="IRNazanin" w:cs="IRNazanin"/>
          <w:color w:val="111111"/>
          <w:sz w:val="28"/>
          <w:szCs w:val="28"/>
          <w:rtl w:val="true"/>
          <w:lang w:bidi="fa-IR"/>
        </w:rPr>
        <w:t>.</w:t>
      </w:r>
      <w:r>
        <w:rPr>
          <w:rStyle w:val="FootnoteAnchor"/>
          <w:rtl w:val="true"/>
        </w:rPr>
        <w:footnoteReference w:id="1314"/>
      </w:r>
      <w:r>
        <w:rPr>
          <w:rFonts w:ascii="IRNazanin" w:hAnsi="IRNazanin" w:eastAsia="IRNazanin"/>
          <w:color w:val="111111"/>
          <w:sz w:val="28"/>
          <w:sz w:val="28"/>
          <w:szCs w:val="28"/>
          <w:rtl w:val="true"/>
          <w:lang w:bidi="fa-IR"/>
        </w:rPr>
        <w:t>صاحب جواهر، منع</w:t>
      </w:r>
    </w:p>
    <w:p>
      <w:pPr>
        <w:pStyle w:val="BookText"/>
        <w:rPr/>
      </w:pPr>
      <w:r>
        <w:rPr>
          <w:rFonts w:ascii="IRNazanin" w:hAnsi="IRNazanin" w:eastAsia="IRNazanin"/>
          <w:color w:val="111111"/>
          <w:sz w:val="28"/>
          <w:sz w:val="28"/>
          <w:szCs w:val="28"/>
          <w:rtl w:val="true"/>
          <w:lang w:bidi="fa-IR"/>
        </w:rPr>
        <w:t>مطلق را به گروهی از اصحاب و جواز فی‌الجمله را به اکثر اصحاب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شده است که کلمات مجوّزین در مورد تعیین محلّ و موارد جواز بیع، اختلاف شدید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که در کمتر مسأله‌ای رخ داده است، به طوری که گاه یک نفر از اَعلام دارای دو نظر جداگانه است و حتّی گاه، نظر بعضی در یک باب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نظر خودش در باب دیگر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w:t>
      </w:r>
      <w:r>
        <w:rPr>
          <w:rStyle w:val="FootnoteAnchor"/>
          <w:rtl w:val="true"/>
        </w:rPr>
        <w:footnoteReference w:id="1315"/>
      </w:r>
      <w:r>
        <w:rPr>
          <w:rFonts w:ascii="IRNazanin" w:hAnsi="IRNazanin" w:eastAsia="IRNazanin"/>
          <w:color w:val="111111"/>
          <w:sz w:val="28"/>
          <w:sz w:val="28"/>
          <w:szCs w:val="28"/>
          <w:rtl w:val="true"/>
          <w:lang w:bidi="fa-IR"/>
        </w:rPr>
        <w:t>پیش از وی، شهید ثانی در مسالک نیز به اضطراب فتاوای اصحاب در مسأله بیع وقف تصریح کرده است</w:t>
      </w:r>
      <w:r>
        <w:rPr>
          <w:rFonts w:eastAsia="IRNazanin" w:cs="IRNazanin"/>
          <w:color w:val="111111"/>
          <w:sz w:val="28"/>
          <w:szCs w:val="28"/>
          <w:rtl w:val="true"/>
          <w:lang w:bidi="fa-IR"/>
        </w:rPr>
        <w:t>.</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از این رو، چنان که پیش از این نیز اشاره شد، برای رعایت انسجام بیشتر در این قسمت متن مکاسب شیخ و در بعضی از موارد، جواهر الکلام، محور بحث قرار گرفته است و اقوال و انظار دیگر فقیهان و اَعلام در حَوْل این محور بررسی خواهد شد</w:t>
      </w:r>
      <w:r>
        <w:rPr>
          <w:rFonts w:eastAsia="IRNazanin" w:cs="IRNazanin"/>
          <w:color w:val="111111"/>
          <w:sz w:val="28"/>
          <w:szCs w:val="28"/>
          <w:rtl w:val="true"/>
          <w:lang w:bidi="fa-IR"/>
        </w:rPr>
        <w:t>.</w:t>
      </w:r>
    </w:p>
    <w:p>
      <w:pPr>
        <w:pStyle w:val="Heading6"/>
        <w:numPr>
          <w:ilvl w:val="5"/>
          <w:numId w:val="1"/>
        </w:numPr>
        <w:rPr/>
      </w:pPr>
      <w:bookmarkStart w:id="825" w:name="__RefHeading___Toc474505_1479056682"/>
      <w:bookmarkStart w:id="826" w:name="_Toc315"/>
      <w:bookmarkEnd w:id="825"/>
      <w:r>
        <w:rPr>
          <w:rtl w:val="true"/>
        </w:rPr>
        <w:t>صُوَر ده‌گانه جواز بیع</w:t>
      </w:r>
      <w:bookmarkEnd w:id="826"/>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دوازده صورت و شیخ انصاری ده صورت را ذکر کرده‌اند که اصحاب </w:t>
      </w:r>
    </w:p>
    <w:p>
      <w:pPr>
        <w:pStyle w:val="BookText"/>
        <w:rPr/>
      </w:pPr>
      <w:r>
        <w:rPr>
          <w:rFonts w:ascii="IRNazanin" w:hAnsi="IRNazanin" w:eastAsia="IRNazanin"/>
          <w:color w:val="111111"/>
          <w:sz w:val="28"/>
          <w:sz w:val="28"/>
          <w:szCs w:val="28"/>
          <w:rtl w:val="true"/>
          <w:lang w:bidi="fa-IR"/>
        </w:rPr>
        <w:t>امامیّه به‌طور اشتراک یا اختصاص به آنها پرداخته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وقف آن‌گونه که با بقا قابل استفاده نباشد</w:t>
      </w:r>
    </w:p>
    <w:p>
      <w:pPr>
        <w:pStyle w:val="BookText"/>
        <w:rPr/>
      </w:pPr>
      <w:r>
        <w:rPr>
          <w:rFonts w:ascii="IRNazanin" w:hAnsi="IRNazanin" w:eastAsia="IRNazanin"/>
          <w:color w:val="111111"/>
          <w:sz w:val="28"/>
          <w:sz w:val="28"/>
          <w:szCs w:val="28"/>
          <w:rtl w:val="true"/>
          <w:lang w:bidi="fa-IR"/>
        </w:rPr>
        <w:t>اوّلین صورت موردی است که وقف خراب شود، آن گونه که نتوان با بقا و استمرار عین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حیوان ذبح شده، تیر شکسته، حصیر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مندرس و فرسوده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مکاسب ، جواز بیع را در این صورت تقویت کرده است و صاحب مفتاح چنین اظهار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مواردی است که در جواز آن تردیدی نیست</w:t>
      </w:r>
      <w:r>
        <w:rPr>
          <w:rFonts w:eastAsia="IRNazanin" w:cs="IRNazanin"/>
          <w:color w:val="111111"/>
          <w:sz w:val="28"/>
          <w:szCs w:val="28"/>
          <w:rtl w:val="true"/>
          <w:lang w:bidi="fa-IR"/>
        </w:rPr>
        <w:t>.</w:t>
      </w:r>
      <w:r>
        <w:rPr>
          <w:rStyle w:val="FootnoteAnchor"/>
          <w:rtl w:val="true"/>
        </w:rPr>
        <w:footnoteReference w:id="1317"/>
      </w:r>
      <w:r>
        <w:rPr>
          <w:rFonts w:ascii="IRNazanin" w:hAnsi="IRNazanin" w:eastAsia="IRNazanin"/>
          <w:color w:val="111111"/>
          <w:sz w:val="28"/>
          <w:sz w:val="28"/>
          <w:szCs w:val="28"/>
          <w:rtl w:val="true"/>
          <w:lang w:bidi="fa-IR"/>
        </w:rPr>
        <w:t>شیخ طوسی در خلاف و مبسوط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نخله ای از وقف ، از جای کنده شود یا بشکند بیع آن برای ارباب وقف،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قول به عدم جواز بیع را ، بدون ذکر قایل، ذکر، امّا خود، بیع را تقویت کرده است</w:t>
      </w:r>
      <w:r>
        <w:rPr>
          <w:rFonts w:eastAsia="IRNazanin" w:cs="IRNazanin"/>
          <w:color w:val="111111"/>
          <w:sz w:val="28"/>
          <w:szCs w:val="28"/>
          <w:rtl w:val="true"/>
          <w:lang w:bidi="fa-IR"/>
        </w:rPr>
        <w:t>.</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شیخ مفید نیز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خراب شود و کسی حاضر به عمارت آن نباشد یا به مرحله ای برسد که هیچ نفعی در برندارد،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دارند آن را</w:t>
      </w:r>
    </w:p>
    <w:p>
      <w:pPr>
        <w:pStyle w:val="BookText"/>
        <w:rPr/>
      </w:pPr>
      <w:r>
        <w:rPr>
          <w:rFonts w:ascii="IRNazanin" w:hAnsi="IRNazanin" w:eastAsia="IRNazanin"/>
          <w:color w:val="111111"/>
          <w:sz w:val="28"/>
          <w:sz w:val="28"/>
          <w:szCs w:val="28"/>
          <w:rtl w:val="true"/>
          <w:lang w:bidi="fa-IR"/>
        </w:rPr>
        <w:t>بفروشند و از ثمن آن استفاده کنند</w:t>
      </w:r>
      <w:r>
        <w:rPr>
          <w:rFonts w:eastAsia="IRNazanin" w:cs="IRNazanin"/>
          <w:color w:val="111111"/>
          <w:sz w:val="28"/>
          <w:szCs w:val="28"/>
          <w:rtl w:val="true"/>
          <w:lang w:bidi="fa-IR"/>
        </w:rPr>
        <w:t>.</w:t>
      </w:r>
      <w:r>
        <w:rPr>
          <w:rStyle w:val="FootnoteAnchor"/>
          <w:rtl w:val="true"/>
        </w:rPr>
        <w:footnoteReference w:id="1319"/>
      </w:r>
    </w:p>
    <w:p>
      <w:pPr>
        <w:pStyle w:val="BookText"/>
        <w:rPr/>
      </w:pPr>
      <w:r>
        <w:rPr>
          <w:rFonts w:ascii="IRNazanin" w:hAnsi="IRNazanin" w:eastAsia="IRNazanin"/>
          <w:color w:val="111111"/>
          <w:sz w:val="28"/>
          <w:sz w:val="28"/>
          <w:szCs w:val="28"/>
          <w:rtl w:val="true"/>
          <w:lang w:bidi="fa-IR"/>
        </w:rPr>
        <w:t>قطب راوندی،</w:t>
      </w:r>
      <w:r>
        <w:rPr>
          <w:rStyle w:val="FootnoteAnchor"/>
          <w:rtl w:val="true"/>
        </w:rPr>
        <w:footnoteReference w:id="1320"/>
      </w:r>
      <w:r>
        <w:rPr>
          <w:rFonts w:ascii="IRNazanin" w:hAnsi="IRNazanin" w:eastAsia="IRNazanin"/>
          <w:color w:val="111111"/>
          <w:sz w:val="28"/>
          <w:sz w:val="28"/>
          <w:szCs w:val="28"/>
          <w:rtl w:val="true"/>
          <w:lang w:bidi="fa-IR"/>
        </w:rPr>
        <w:t>ابن جنید و علاّمه در مختلف،</w:t>
      </w:r>
      <w:r>
        <w:rPr>
          <w:rStyle w:val="FootnoteAnchor"/>
          <w:rtl w:val="true"/>
        </w:rPr>
        <w:footnoteReference w:id="1321"/>
      </w:r>
      <w:r>
        <w:rPr>
          <w:rFonts w:ascii="IRNazanin" w:hAnsi="IRNazanin" w:eastAsia="IRNazanin"/>
          <w:color w:val="111111"/>
          <w:sz w:val="28"/>
          <w:sz w:val="28"/>
          <w:szCs w:val="28"/>
          <w:rtl w:val="true"/>
          <w:lang w:bidi="fa-IR"/>
        </w:rPr>
        <w:t>شهید در دروس،</w:t>
      </w:r>
      <w:r>
        <w:rPr>
          <w:rStyle w:val="FootnoteAnchor"/>
          <w:rtl w:val="true"/>
        </w:rPr>
        <w:footnoteReference w:id="1322"/>
      </w:r>
      <w:r>
        <w:rPr>
          <w:rFonts w:ascii="IRNazanin" w:hAnsi="IRNazanin" w:eastAsia="IRNazanin"/>
          <w:color w:val="111111"/>
          <w:sz w:val="28"/>
          <w:sz w:val="28"/>
          <w:szCs w:val="28"/>
          <w:rtl w:val="true"/>
          <w:lang w:bidi="fa-IR"/>
        </w:rPr>
        <w:t>ابن سعید حلّی</w:t>
      </w:r>
      <w:r>
        <w:rPr>
          <w:rStyle w:val="FootnoteAnchor"/>
          <w:rtl w:val="true"/>
        </w:rPr>
        <w:footnoteReference w:id="1323"/>
      </w:r>
      <w:r>
        <w:rPr>
          <w:rFonts w:ascii="IRNazanin" w:hAnsi="IRNazanin" w:eastAsia="IRNazanin"/>
          <w:color w:val="111111"/>
          <w:sz w:val="28"/>
          <w:sz w:val="28"/>
          <w:szCs w:val="28"/>
          <w:rtl w:val="true"/>
          <w:lang w:bidi="fa-IR"/>
        </w:rPr>
        <w:t>فیض کاشانی</w:t>
      </w:r>
      <w:r>
        <w:rPr>
          <w:rStyle w:val="FootnoteAnchor"/>
          <w:rtl w:val="true"/>
        </w:rPr>
        <w:footnoteReference w:id="1324"/>
      </w:r>
      <w:r>
        <w:rPr>
          <w:rFonts w:ascii="IRNazanin" w:hAnsi="IRNazanin" w:eastAsia="IRNazanin"/>
          <w:color w:val="111111"/>
          <w:sz w:val="28"/>
          <w:sz w:val="28"/>
          <w:szCs w:val="28"/>
          <w:rtl w:val="true"/>
          <w:lang w:bidi="fa-IR"/>
        </w:rPr>
        <w:t>و فخر در ایضاح،</w:t>
      </w:r>
      <w:r>
        <w:rPr>
          <w:rStyle w:val="FootnoteAnchor"/>
          <w:rtl w:val="true"/>
        </w:rPr>
        <w:footnoteReference w:id="1325"/>
      </w:r>
      <w:r>
        <w:rPr>
          <w:rFonts w:ascii="IRNazanin" w:hAnsi="IRNazanin" w:eastAsia="IRNazanin"/>
          <w:color w:val="111111"/>
          <w:sz w:val="28"/>
          <w:sz w:val="28"/>
          <w:szCs w:val="28"/>
          <w:rtl w:val="true"/>
          <w:lang w:bidi="fa-IR"/>
        </w:rPr>
        <w:t>سید مرتضی در انتصار،</w:t>
      </w:r>
      <w:r>
        <w:rPr>
          <w:rStyle w:val="FootnoteAnchor"/>
          <w:rtl w:val="true"/>
        </w:rPr>
        <w:footnoteReference w:id="1326"/>
      </w:r>
      <w:r>
        <w:rPr>
          <w:rFonts w:ascii="IRNazanin" w:hAnsi="IRNazanin" w:eastAsia="IRNazanin"/>
          <w:color w:val="111111"/>
          <w:sz w:val="28"/>
          <w:sz w:val="28"/>
          <w:szCs w:val="28"/>
          <w:rtl w:val="true"/>
          <w:lang w:bidi="fa-IR"/>
        </w:rPr>
        <w:t>و شهید ثانی</w:t>
      </w:r>
      <w:r>
        <w:rPr>
          <w:rStyle w:val="FootnoteAnchor"/>
          <w:rtl w:val="true"/>
        </w:rPr>
        <w:footnoteReference w:id="1327"/>
      </w:r>
      <w:r>
        <w:rPr>
          <w:rFonts w:ascii="IRNazanin" w:hAnsi="IRNazanin" w:eastAsia="IRNazanin"/>
          <w:color w:val="111111"/>
          <w:sz w:val="28"/>
          <w:sz w:val="28"/>
          <w:szCs w:val="28"/>
          <w:rtl w:val="true"/>
          <w:lang w:bidi="fa-IR"/>
        </w:rPr>
        <w:t>همگی به جواز بیع وقف در این صورت تصریح کرده‌اند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فقهای امامیّه، ابن ادریس بیع وقف را در این صورت نیز ممنوع دانسته و همانند شافعیّه معتقد است تنها ارباب وقف حق دارند به همین صورت از آن استفاده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ادلّه مجوزّین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الکرامة، قول مخالف را تنها به شافعیّه نسبت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که ابن ادریس، از امامیّه هم، 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قول به جواز را از منفردات امامیّه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مفتاح، ادّعای اجماع را از غنیه، ظاهر مبسوط و قطب راوندی نیز نقل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اجماعات چون مُحتمل المَدرکیهّ‌اند نمی‌توانند دلیل مستقلّ باشند، امّا بدون تردید می‌توانند مؤیّدات خوبی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از تضییع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سقوط مال وقف از انتفاع و عدم امکان انتفاع</w:t>
      </w:r>
    </w:p>
    <w:p>
      <w:pPr>
        <w:pStyle w:val="BookText"/>
        <w:rPr/>
      </w:pPr>
      <w:r>
        <w:rPr>
          <w:rFonts w:ascii="IRNazanin" w:hAnsi="IRNazanin" w:eastAsia="IRNazanin"/>
          <w:color w:val="111111"/>
          <w:sz w:val="28"/>
          <w:sz w:val="28"/>
          <w:szCs w:val="28"/>
          <w:rtl w:val="true"/>
          <w:lang w:bidi="fa-IR"/>
        </w:rPr>
        <w:t>جز از راه بیع، باقی گذارندن آن، تضییع وقف است بدون این که بتوان از آن در جهتی که</w:t>
      </w:r>
    </w:p>
    <w:p>
      <w:pPr>
        <w:pStyle w:val="BookText"/>
        <w:rPr/>
      </w:pPr>
      <w:r>
        <w:rPr>
          <w:rFonts w:ascii="IRNazanin" w:hAnsi="IRNazanin" w:eastAsia="IRNazanin"/>
          <w:color w:val="111111"/>
          <w:sz w:val="28"/>
          <w:sz w:val="28"/>
          <w:szCs w:val="28"/>
          <w:rtl w:val="true"/>
          <w:lang w:bidi="fa-IR"/>
        </w:rPr>
        <w:t>منظور واقف بوده است، استفاده کرد و به تعبیر شیخ انصاری؛ جواز بیع در این صورت با مقصود واقف نیز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امر دایر است بین این که مال وقف رها شود تا خود به خود از بین برود و بین انتفاع بطن موجود با اتلاف آن بدون تبدیل و بین تبدیل آن به مال دیگری که می توان با</w:t>
      </w:r>
    </w:p>
    <w:p>
      <w:pPr>
        <w:pStyle w:val="BookText"/>
        <w:rPr/>
      </w:pPr>
      <w:r>
        <w:rPr>
          <w:rFonts w:ascii="IRNazanin" w:hAnsi="IRNazanin" w:eastAsia="IRNazanin"/>
          <w:color w:val="111111"/>
          <w:sz w:val="28"/>
          <w:sz w:val="28"/>
          <w:szCs w:val="28"/>
          <w:rtl w:val="true"/>
          <w:lang w:bidi="fa-IR"/>
        </w:rPr>
        <w:t>بقای عین، از آن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با انتخاب فرض سوم ، حق خداوند ، حق واقف و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 اذن بطن غیر موجود که با وجود متولّی وقف یا حاکم شرعی این مشکل نیز حل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در این جا بیانی دارد که می توان آن را تعبیر دیگری از دلیل دوم دانست و یا آن را به عنوان دلیلی مستقلّ مطرح کرد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منع از بیع وقف ، این مورد را شامل نمی شوند؛ زیرا وجوب ابقای وقف برای انتفاع از آن است و در این فرض ، انتفاع منتفی است </w:t>
      </w:r>
      <w:r>
        <w:rPr>
          <w:rFonts w:eastAsia="IRNazanin" w:cs="IRNazanin"/>
          <w:color w:val="111111"/>
          <w:sz w:val="28"/>
          <w:szCs w:val="28"/>
          <w:rtl w:val="true"/>
          <w:lang w:bidi="fa-IR"/>
        </w:rPr>
        <w:t>.</w:t>
      </w:r>
      <w:r>
        <w:rPr>
          <w:rStyle w:val="FootnoteAnchor"/>
          <w:rtl w:val="true"/>
        </w:rPr>
        <w:footnoteReference w:id="1328"/>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خمینی در این مورد ضمن بحثی نسبتا طولانی و مفصّل برای حاکم شرعی جایز دانسته است که اگر مصلحت مستحقّین اقتضا کند وقف را بفروشد و آن را تبدیل نماید</w:t>
      </w:r>
      <w:r>
        <w:rPr>
          <w:rFonts w:eastAsia="IRNazanin" w:cs="IRNazanin"/>
          <w:color w:val="111111"/>
          <w:sz w:val="28"/>
          <w:szCs w:val="28"/>
          <w:rtl w:val="true"/>
          <w:lang w:bidi="fa-IR"/>
        </w:rPr>
        <w:t>.</w:t>
      </w:r>
      <w:r>
        <w:rPr>
          <w:rStyle w:val="FootnoteAnchor"/>
          <w:rtl w:val="true"/>
        </w:rPr>
        <w:footnoteReference w:id="1329"/>
      </w:r>
      <w:r>
        <w:rPr>
          <w:rFonts w:ascii="IRNazanin" w:hAnsi="IRNazanin" w:eastAsia="IRNazanin"/>
          <w:color w:val="111111"/>
          <w:sz w:val="28"/>
          <w:sz w:val="28"/>
          <w:szCs w:val="28"/>
          <w:rtl w:val="true"/>
          <w:lang w:bidi="fa-IR"/>
        </w:rPr>
        <w:t>بیان ایشان راجع به این که متولّی این بیع چه کسی است در مبحث متصدی بیع وقف خواهد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خرابی وقف آن‌گونه که استفاده از آن قابل توجّه نباشد</w:t>
      </w:r>
    </w:p>
    <w:p>
      <w:pPr>
        <w:pStyle w:val="BookText"/>
        <w:rPr/>
      </w:pPr>
      <w:r>
        <w:rPr>
          <w:rFonts w:ascii="IRNazanin" w:hAnsi="IRNazanin" w:eastAsia="IRNazanin"/>
          <w:color w:val="111111"/>
          <w:sz w:val="28"/>
          <w:sz w:val="28"/>
          <w:szCs w:val="28"/>
          <w:rtl w:val="true"/>
          <w:lang w:bidi="fa-IR"/>
        </w:rPr>
        <w:t xml:space="preserve">در موردی که وقف به این صورت درآید که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توجه به انتفاع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فاقد منفعت بداند، مانند خانه‌ای که بر اثر ویرانی به عرصه ای تبدیل شده که در صورت</w:t>
      </w:r>
    </w:p>
    <w:p>
      <w:pPr>
        <w:pStyle w:val="BookText"/>
        <w:rPr/>
      </w:pPr>
      <w:r>
        <w:rPr>
          <w:rFonts w:ascii="IRNazanin" w:hAnsi="IRNazanin" w:eastAsia="IRNazanin"/>
          <w:color w:val="111111"/>
          <w:sz w:val="28"/>
          <w:sz w:val="28"/>
          <w:szCs w:val="28"/>
          <w:rtl w:val="true"/>
          <w:lang w:bidi="fa-IR"/>
        </w:rPr>
        <w:t>ایجار آن ، اجرت قابل توجّهی پرداخت نمی‌کنند، شیخ انصاری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ثمن آن دارای منفعتی همانند منفعت عرصه است، در عدم جواز بیع آن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محلّ اختلاف، مواردی است که منفعت ثمن از منفعت عرصه بیشتر باشد</w:t>
      </w:r>
      <w:r>
        <w:rPr>
          <w:rFonts w:eastAsia="IRNazanin" w:cs="IRNazanin"/>
          <w:color w:val="111111"/>
          <w:sz w:val="28"/>
          <w:szCs w:val="28"/>
          <w:rtl w:val="true"/>
          <w:lang w:bidi="fa-IR"/>
        </w:rPr>
        <w:t>.</w:t>
      </w:r>
      <w:r>
        <w:rPr>
          <w:rStyle w:val="FootnoteAnchor"/>
          <w:rtl w:val="true"/>
        </w:rPr>
        <w:footnoteReference w:id="1330"/>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تحریر تصریح کرده‌است که در صورت انهدام خانه ، عرصه آن از وقف خارج نمی‌شود و بیع آن جایز نیست</w:t>
      </w:r>
      <w:r>
        <w:rPr>
          <w:rFonts w:eastAsia="IRNazanin" w:cs="IRNazanin"/>
          <w:color w:val="111111"/>
          <w:sz w:val="28"/>
          <w:szCs w:val="28"/>
          <w:rtl w:val="true"/>
          <w:lang w:bidi="fa-IR"/>
        </w:rPr>
        <w:t>.</w:t>
      </w:r>
      <w:r>
        <w:rPr>
          <w:rStyle w:val="FootnoteAnchor"/>
          <w:rtl w:val="true"/>
        </w:rPr>
        <w:footnoteReference w:id="1331"/>
      </w:r>
      <w:r>
        <w:rPr>
          <w:rFonts w:ascii="IRNazanin" w:hAnsi="IRNazanin" w:eastAsia="IRNazanin"/>
          <w:color w:val="111111"/>
          <w:sz w:val="28"/>
          <w:sz w:val="28"/>
          <w:szCs w:val="28"/>
          <w:rtl w:val="true"/>
          <w:lang w:bidi="fa-IR"/>
        </w:rPr>
        <w:t>شیخ در مبسوط نیز به همین مضمون تصریح کرده است</w:t>
      </w:r>
      <w:r>
        <w:rPr>
          <w:rFonts w:eastAsia="IRNazanin" w:cs="IRNazanin"/>
          <w:color w:val="111111"/>
          <w:sz w:val="28"/>
          <w:szCs w:val="28"/>
          <w:rtl w:val="true"/>
          <w:lang w:bidi="fa-IR"/>
        </w:rPr>
        <w:t>.</w:t>
      </w:r>
      <w:r>
        <w:rPr>
          <w:rStyle w:val="FootnoteAnchor"/>
          <w:rtl w:val="true"/>
        </w:rPr>
        <w:footnoteReference w:id="1332"/>
      </w:r>
      <w:r>
        <w:rPr>
          <w:rFonts w:ascii="IRNazanin" w:hAnsi="IRNazanin" w:eastAsia="IRNazanin"/>
          <w:color w:val="111111"/>
          <w:sz w:val="28"/>
          <w:sz w:val="28"/>
          <w:szCs w:val="28"/>
          <w:rtl w:val="true"/>
          <w:lang w:bidi="fa-IR"/>
        </w:rPr>
        <w:t>شهید در دروس</w:t>
      </w:r>
      <w:r>
        <w:rPr>
          <w:rStyle w:val="FootnoteAnchor"/>
          <w:rtl w:val="true"/>
        </w:rPr>
        <w:footnoteReference w:id="1333"/>
      </w:r>
      <w:r>
        <w:rPr>
          <w:rFonts w:ascii="IRNazanin" w:hAnsi="IRNazanin" w:eastAsia="IRNazanin"/>
          <w:color w:val="111111"/>
          <w:sz w:val="28"/>
          <w:sz w:val="28"/>
          <w:szCs w:val="28"/>
          <w:rtl w:val="true"/>
          <w:lang w:bidi="fa-IR"/>
        </w:rPr>
        <w:t>فیض کاشانی؛</w:t>
      </w:r>
      <w:r>
        <w:rPr>
          <w:rStyle w:val="FootnoteAnchor"/>
          <w:rtl w:val="true"/>
        </w:rPr>
        <w:footnoteReference w:id="1334"/>
      </w:r>
      <w:r>
        <w:rPr>
          <w:rFonts w:ascii="IRNazanin" w:hAnsi="IRNazanin" w:eastAsia="IRNazanin"/>
          <w:color w:val="111111"/>
          <w:sz w:val="28"/>
          <w:sz w:val="28"/>
          <w:szCs w:val="28"/>
          <w:rtl w:val="true"/>
          <w:lang w:bidi="fa-IR"/>
        </w:rPr>
        <w:t>علاّمه در قواعد و محقّق ثانی</w:t>
      </w:r>
      <w:r>
        <w:rPr>
          <w:rStyle w:val="FootnoteAnchor"/>
          <w:rtl w:val="true"/>
        </w:rPr>
        <w:footnoteReference w:id="1335"/>
      </w:r>
      <w:r>
        <w:rPr>
          <w:rFonts w:ascii="IRNazanin" w:hAnsi="IRNazanin" w:eastAsia="IRNazanin"/>
          <w:color w:val="111111"/>
          <w:sz w:val="28"/>
          <w:sz w:val="28"/>
          <w:szCs w:val="28"/>
          <w:rtl w:val="true"/>
          <w:lang w:bidi="fa-IR"/>
        </w:rPr>
        <w:t>و گروهی دیگر</w:t>
      </w:r>
    </w:p>
    <w:p>
      <w:pPr>
        <w:pStyle w:val="BookText"/>
        <w:rPr/>
      </w:pPr>
      <w:r>
        <w:rPr>
          <w:rFonts w:ascii="IRNazanin" w:hAnsi="IRNazanin" w:eastAsia="IRNazanin"/>
          <w:color w:val="111111"/>
          <w:sz w:val="28"/>
          <w:sz w:val="28"/>
          <w:szCs w:val="28"/>
          <w:rtl w:val="true"/>
          <w:lang w:bidi="fa-IR"/>
        </w:rPr>
        <w:t>از اَعلام در این مورد قایل به عدم جواز بیع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قول به عدم جواز را به ظاهر مشهور نسبت داده است، زیرا مشهور فقها جواز بیع وقف را بر عدم امکان انتفاع متوقّف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سیّد به پیروی از شیخ انصاری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 که</w:t>
      </w:r>
    </w:p>
    <w:p>
      <w:pPr>
        <w:pStyle w:val="BookText"/>
        <w:rPr/>
      </w:pPr>
      <w:r>
        <w:rPr>
          <w:rFonts w:ascii="IRNazanin" w:hAnsi="IRNazanin" w:eastAsia="IRNazanin"/>
          <w:color w:val="111111"/>
          <w:sz w:val="28"/>
          <w:sz w:val="28"/>
          <w:szCs w:val="28"/>
          <w:rtl w:val="true"/>
          <w:lang w:bidi="fa-IR"/>
        </w:rPr>
        <w:t>منظور کلام مشهور از عدم انتفاع ، عدم انتفاع معتدّ به و قابل توجّه باشد</w:t>
      </w:r>
      <w:r>
        <w:rPr>
          <w:rFonts w:eastAsia="IRNazanin" w:cs="IRNazanin"/>
          <w:color w:val="111111"/>
          <w:sz w:val="28"/>
          <w:szCs w:val="28"/>
          <w:rtl w:val="true"/>
          <w:lang w:bidi="fa-IR"/>
        </w:rPr>
        <w:t>.»</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منظور شیخ و سیّد این است که مشهور فقها که شرط جواز را عدم انتفاع دانسته‌اند منظورشان نداشتن منفعت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دارای منفعتی اندک و غیرقابل توجّه باشد نیز ممکن است بیع را تجویز کنند، زیرا ادلّه منع از بیع وقف مانند قول امام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شِراءُالْوَقْفِ</w:t>
      </w:r>
      <w:r>
        <w:rPr>
          <w:rFonts w:eastAsia="IRNazanin" w:cs="IRNazanin"/>
          <w:color w:val="111111"/>
          <w:sz w:val="28"/>
          <w:szCs w:val="28"/>
          <w:rtl w:val="true"/>
          <w:lang w:bidi="fa-IR"/>
        </w:rPr>
        <w:t>»</w:t>
      </w:r>
      <w:r>
        <w:rPr>
          <w:rStyle w:val="FootnoteAnchor"/>
          <w:rtl w:val="true"/>
        </w:rPr>
        <w:footnoteReference w:id="1337"/>
      </w:r>
      <w:r>
        <w:rPr>
          <w:rFonts w:ascii="IRNazanin" w:hAnsi="IRNazanin" w:eastAsia="IRNazanin"/>
          <w:color w:val="111111"/>
          <w:sz w:val="28"/>
          <w:sz w:val="28"/>
          <w:szCs w:val="28"/>
          <w:rtl w:val="true"/>
          <w:lang w:bidi="fa-IR"/>
        </w:rPr>
        <w:t>از چنین موردی منصرف است</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ثانی برای عدم جواز بیع به حدیث نبوی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یُباعُ اَصْلُها وَ لا یوُهَبُ وَ لا یوُرَثُ</w:t>
      </w:r>
      <w:r>
        <w:rPr>
          <w:rFonts w:eastAsia="Amiri" w:cs="Amiri" w:ascii="Amiri" w:hAnsi="Amiri"/>
          <w:color w:val="111111"/>
          <w:sz w:val="28"/>
          <w:szCs w:val="28"/>
          <w:rtl w:val="true"/>
          <w:lang w:bidi="ar-SA"/>
        </w:rPr>
        <w:t>»</w:t>
      </w:r>
      <w:r>
        <w:rPr>
          <w:rStyle w:val="FootnoteAnchor"/>
          <w:rtl w:val="true"/>
        </w:rPr>
        <w:footnoteReference w:id="1338"/>
      </w:r>
      <w:r>
        <w:rPr>
          <w:rFonts w:ascii="IRNazanin" w:hAnsi="IRNazanin" w:eastAsia="IRNazanin"/>
          <w:color w:val="111111"/>
          <w:sz w:val="28"/>
          <w:sz w:val="28"/>
          <w:szCs w:val="28"/>
          <w:rtl w:val="true"/>
          <w:lang w:bidi="fa-IR"/>
        </w:rPr>
        <w:t xml:space="preserve">استناد کرده است و تنها احمدبن حنبل را قائل به جواز بیع معرّفی کرده و یادآور </w:t>
      </w:r>
    </w:p>
    <w:p>
      <w:pPr>
        <w:pStyle w:val="BookText"/>
        <w:rPr/>
      </w:pPr>
      <w:r>
        <w:rPr>
          <w:rFonts w:ascii="IRNazanin" w:hAnsi="IRNazanin" w:eastAsia="IRNazanin"/>
          <w:color w:val="111111"/>
          <w:sz w:val="28"/>
          <w:sz w:val="28"/>
          <w:szCs w:val="28"/>
          <w:rtl w:val="true"/>
          <w:lang w:bidi="fa-IR"/>
        </w:rPr>
        <w:t>شده است که به مخالفت احمد اعتنا نمی شود</w:t>
      </w:r>
      <w:r>
        <w:rPr>
          <w:rFonts w:eastAsia="IRNazanin" w:cs="IRNazanin"/>
          <w:color w:val="111111"/>
          <w:sz w:val="28"/>
          <w:szCs w:val="28"/>
          <w:rtl w:val="true"/>
          <w:lang w:bidi="fa-IR"/>
        </w:rPr>
        <w:t>.</w:t>
      </w:r>
      <w:r>
        <w:rPr>
          <w:rStyle w:val="FootnoteAnchor"/>
          <w:rtl w:val="true"/>
        </w:rPr>
        <w:footnoteReference w:id="1339"/>
      </w:r>
    </w:p>
    <w:p>
      <w:pPr>
        <w:pStyle w:val="BookText"/>
        <w:rPr/>
      </w:pPr>
      <w:r>
        <w:rPr>
          <w:rFonts w:ascii="Amiri" w:hAnsi="Amiri" w:eastAsia="Amiri" w:cs="Amiri"/>
          <w:color w:val="111111"/>
          <w:sz w:val="28"/>
          <w:sz w:val="28"/>
          <w:szCs w:val="28"/>
          <w:rtl w:val="true"/>
          <w:lang w:bidi="ar-SA"/>
        </w:rPr>
        <w:t>شیخ انصاری اظهار داشته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ادلّه وجوب عمل به مقتضای وقف که حبس عین است و نیز از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 شِراءُالْوَقْفِ</w:t>
      </w:r>
      <w:r>
        <w:rPr>
          <w:rFonts w:eastAsia="Amiri" w:cs="Amiri" w:ascii="Amiri" w:hAnsi="Amiri"/>
          <w:color w:val="111111"/>
          <w:sz w:val="28"/>
          <w:szCs w:val="28"/>
          <w:rtl w:val="true"/>
          <w:lang w:bidi="ar-SA"/>
        </w:rPr>
        <w:t>»</w:t>
      </w:r>
      <w:r>
        <w:rPr>
          <w:rStyle w:val="FootnoteAnchor"/>
          <w:rtl w:val="true"/>
        </w:rPr>
        <w:footnoteReference w:id="1340"/>
      </w:r>
      <w:r>
        <w:rPr>
          <w:rFonts w:ascii="IRNazanin" w:hAnsi="IRNazanin" w:eastAsia="IRNazanin"/>
          <w:color w:val="111111"/>
          <w:sz w:val="28"/>
          <w:sz w:val="28"/>
          <w:szCs w:val="28"/>
          <w:rtl w:val="true"/>
          <w:lang w:bidi="fa-IR"/>
        </w:rPr>
        <w:t>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حکم فقهای متأخّر از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منع از بیع نخله ریشه کن شده، در صورتی که قابل استفاده باشد، قول به عدم جواز بیع وقف در فرض مورد بحث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بگوییم؛ عموماتِ مانع از بیع وقف، از مواردی که منفعت وقف آن قدر اندک است که معدوم شمرده می شود، منصرف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نکته را نیز یادآور شده است که حکم، شامل موردی که قلّت یا عدم منفعت به دلیل دیگری ، بجز خرابی، می‌باشد، نیز می‌شود</w:t>
      </w:r>
      <w:r>
        <w:rPr>
          <w:rFonts w:eastAsia="IRNazanin" w:cs="IRNazanin"/>
          <w:color w:val="111111"/>
          <w:sz w:val="28"/>
          <w:szCs w:val="28"/>
          <w:rtl w:val="true"/>
          <w:lang w:bidi="fa-IR"/>
        </w:rPr>
        <w:t>.</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 xml:space="preserve">با توجّه به عمومات و ادلّه منع کننده از بیع اوقاف از یک سو و رعایت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بطن موجود و مستحقّین بعدی و نسلهای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رعایت منظور و غرض واقف، که انتفاع و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جهتی است که این مال برای آن وقف شده است، به نظر می رسد نزدیکترین اقوال و احتمالات به قواعد در باب وقف، این باشد که در صورت عدم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شبه عدم انتفاع ویأس از بازگشت وقف به حالت اوّلیّه و سوددهی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 با رعایت حدّاکثر احتیاط و همه جوانب و اِشراف حاکم شرعی به احسن تبدیل شود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شکّی نیست که احتمال خطر نابودی اصل و رقبه وقف به خاطر در معرض بیع قرار گرفتن کمتراز رها کردن و عدم بیع آن نیست و چه بسا اوقافی که در طول تاریخ وقف به بهانه تبدیل به احسن کردن از بین رفته و اثری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ازاین‌رو اگر در مواردی، ضرورت، چنین اقتضایی کرد، نظارت حاکم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 عدم امکان، عدول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جلوگیری وقف از نابودی کمک شایانی خواهد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شدن منفعت وقف بر اثر خرابی</w:t>
      </w:r>
    </w:p>
    <w:p>
      <w:pPr>
        <w:pStyle w:val="BookText"/>
        <w:rPr/>
      </w:pPr>
      <w:r>
        <w:rPr>
          <w:rFonts w:ascii="IRNazanin" w:hAnsi="IRNazanin" w:eastAsia="IRNazanin"/>
          <w:color w:val="111111"/>
          <w:sz w:val="28"/>
          <w:sz w:val="28"/>
          <w:szCs w:val="28"/>
          <w:rtl w:val="true"/>
          <w:lang w:bidi="fa-IR"/>
        </w:rPr>
        <w:t>منظور کم شدن منفعت است نه در حدّی که ملحق به معدوم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این صورت با این عنوان را تنها شیخ انصاری مطرح کرده است، هر چند ممکن است مضمون و محتوای آن را بتوان از عبارات اصحاب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ضمن تقویت منع بیع در این صورت، آن را به ظاهر اکثر نسبت داده است؛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نخله از جا کنده شده، فقهای امامیّه از جمله شیخ؛</w:t>
      </w:r>
      <w:r>
        <w:rPr>
          <w:rStyle w:val="FootnoteAnchor"/>
          <w:rtl w:val="true"/>
        </w:rPr>
        <w:footnoteReference w:id="1342"/>
      </w:r>
      <w:r>
        <w:rPr>
          <w:rFonts w:ascii="IRNazanin" w:hAnsi="IRNazanin" w:eastAsia="IRNazanin"/>
          <w:color w:val="111111"/>
          <w:sz w:val="28"/>
          <w:sz w:val="28"/>
          <w:szCs w:val="28"/>
          <w:rtl w:val="true"/>
          <w:lang w:bidi="fa-IR"/>
        </w:rPr>
        <w:t>برای جواز بیع آن چنین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آن جز از راه فروش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جهتی که مورد نظر واقف بوده است، منتفی شده و امید بازگشت آن هم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شیخ، ابن ادریس حلّی قائل به منع بیع شده است و چنان که گذشت ، مورد یادشده را فاقد انتفاع نمی داند و معتقد است می توان از آن برای مواردی چون تسقیف و امثال آن، استفاده کرد</w:t>
      </w:r>
      <w:r>
        <w:rPr>
          <w:rStyle w:val="FootnoteAnchor"/>
          <w:rtl w:val="true"/>
        </w:rPr>
        <w:footnoteReference w:id="13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قواعد و فخر در ایضاح نیز نظر ابن ادریس را با همین استدلال تقویت کرده‌اند</w:t>
      </w:r>
      <w:r>
        <w:rPr>
          <w:rFonts w:eastAsia="IRNazanin" w:cs="IRNazanin"/>
          <w:color w:val="111111"/>
          <w:sz w:val="28"/>
          <w:szCs w:val="28"/>
          <w:rtl w:val="true"/>
          <w:lang w:bidi="fa-IR"/>
        </w:rPr>
        <w:t>.</w:t>
      </w:r>
      <w:r>
        <w:rPr>
          <w:rStyle w:val="FootnoteAnchor"/>
          <w:rtl w:val="true"/>
        </w:rPr>
        <w:footnoteReference w:id="1344"/>
      </w:r>
    </w:p>
    <w:p>
      <w:pPr>
        <w:pStyle w:val="BookText"/>
        <w:rPr/>
      </w:pPr>
      <w:r>
        <w:rPr>
          <w:rFonts w:ascii="IRNazanin" w:hAnsi="IRNazanin" w:eastAsia="IRNazanin"/>
          <w:color w:val="111111"/>
          <w:sz w:val="28"/>
          <w:sz w:val="28"/>
          <w:szCs w:val="28"/>
          <w:rtl w:val="true"/>
          <w:lang w:bidi="fa-IR"/>
        </w:rPr>
        <w:t>از مجموع عبارات مخالف و مجوّز در بیع نخله مورد بحث، این مطلب به دست می آید که همگی معتقدند در صورت قابلیّت مال برای انتفاع، بیع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آن هم روشن است، زیرا چنان که فخرالمحقّقین</w:t>
      </w:r>
      <w:r>
        <w:rPr>
          <w:rStyle w:val="FootnoteAnchor"/>
          <w:rtl w:val="true"/>
        </w:rPr>
        <w:footnoteReference w:id="1345"/>
      </w:r>
      <w:r>
        <w:rPr>
          <w:rFonts w:ascii="IRNazanin" w:hAnsi="IRNazanin" w:eastAsia="IRNazanin"/>
          <w:color w:val="111111"/>
          <w:sz w:val="28"/>
          <w:sz w:val="28"/>
          <w:szCs w:val="28"/>
          <w:rtl w:val="true"/>
          <w:lang w:bidi="fa-IR"/>
        </w:rPr>
        <w:t>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برای دوام و استمرار است، یعنی دوام همین جسم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حتّی‌الامکان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دوام نوع آن و تا زمانی که این استمرار و دوام امکان داشته باشد همه ادلّه و عمومات دالّ بر عدم</w:t>
      </w:r>
    </w:p>
    <w:p>
      <w:pPr>
        <w:pStyle w:val="BookText"/>
        <w:rPr/>
      </w:pPr>
      <w:r>
        <w:rPr>
          <w:rFonts w:ascii="IRNazanin" w:hAnsi="IRNazanin" w:eastAsia="IRNazanin"/>
          <w:color w:val="111111"/>
          <w:sz w:val="28"/>
          <w:sz w:val="28"/>
          <w:szCs w:val="28"/>
          <w:rtl w:val="true"/>
          <w:lang w:bidi="fa-IR"/>
        </w:rPr>
        <w:t>جواز بیع، آن را دربر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انفع بودن بیع وقف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انصاری ضمن یادآوری این نکته که انفع بودن گاهی برای بطن موجود لحاظ می‌شود و گاه نسبت به همه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قول به وجوب خرید بدل با ثمن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منع از بیع در این صورت را تقویت کرده و آن را به اکثر، بلکه همه فقها نسبت داده است</w:t>
      </w:r>
      <w:r>
        <w:rPr>
          <w:rFonts w:eastAsia="IRNazanin" w:cs="IRNazanin"/>
          <w:color w:val="111111"/>
          <w:sz w:val="28"/>
          <w:szCs w:val="28"/>
          <w:rtl w:val="true"/>
          <w:lang w:bidi="fa-IR"/>
        </w:rPr>
        <w:t>.</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ابن فهد حلّی جواز را به مفید و عدم جواز را به باقی فقها نسبت داده و خود نیز عدم جواز را برگزیده است</w:t>
      </w:r>
      <w:r>
        <w:rPr>
          <w:rFonts w:eastAsia="IRNazanin" w:cs="IRNazanin"/>
          <w:color w:val="111111"/>
          <w:sz w:val="28"/>
          <w:szCs w:val="28"/>
          <w:rtl w:val="true"/>
          <w:lang w:bidi="fa-IR"/>
        </w:rPr>
        <w:t>.</w:t>
      </w:r>
      <w:r>
        <w:rPr>
          <w:rStyle w:val="FootnoteAnchor"/>
          <w:rtl w:val="true"/>
        </w:rPr>
        <w:footnoteReference w:id="1347"/>
      </w:r>
      <w:r>
        <w:rPr>
          <w:rFonts w:ascii="IRNazanin" w:hAnsi="IRNazanin" w:eastAsia="IRNazanin"/>
          <w:color w:val="111111"/>
          <w:sz w:val="28"/>
          <w:sz w:val="28"/>
          <w:szCs w:val="28"/>
          <w:rtl w:val="true"/>
          <w:lang w:bidi="fa-IR"/>
        </w:rPr>
        <w:t>فاضل آبی</w:t>
      </w:r>
      <w:r>
        <w:rPr>
          <w:rStyle w:val="FootnoteAnchor"/>
          <w:rtl w:val="true"/>
        </w:rPr>
        <w:footnoteReference w:id="1348"/>
      </w:r>
      <w:r>
        <w:rPr>
          <w:rFonts w:ascii="IRNazanin" w:hAnsi="IRNazanin" w:eastAsia="IRNazanin"/>
          <w:color w:val="111111"/>
          <w:sz w:val="28"/>
          <w:sz w:val="28"/>
          <w:szCs w:val="28"/>
          <w:rtl w:val="true"/>
          <w:lang w:bidi="fa-IR"/>
        </w:rPr>
        <w:t xml:space="preserve">ضمن نقل قول به عدم جواز از استاد خود، محقّق حلّی ، قول به جواز بیع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انفع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مرتضی، شیخ طوسی و سلّار نیز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 جمهور فقهای امامیّه در این مورد بیع را جایز ندانسته اند و عبارات کسانی که به‌آنهانسبت جواز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شیخ 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جواز صراحت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جواز بیع در این صورت همه ادلّه و عموماتی هستند که بر عدم جواز بیع وقف دلالت دارند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شِراءُالوَقْفِ</w:t>
      </w:r>
      <w:r>
        <w:rPr>
          <w:rFonts w:eastAsia="IRNazanin" w:cs="IRNazanin"/>
          <w:color w:val="111111"/>
          <w:sz w:val="28"/>
          <w:szCs w:val="28"/>
          <w:rtl w:val="true"/>
          <w:lang w:bidi="fa-IR"/>
        </w:rPr>
        <w:t>»</w:t>
      </w:r>
      <w:r>
        <w:rPr>
          <w:rStyle w:val="FootnoteAnchor"/>
          <w:rtl w:val="true"/>
        </w:rPr>
        <w:footnoteReference w:id="1349"/>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دو روایت است که ممکن است برای خروج از این عمومات به آنها استناد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جعفربن‌حَنّان به این مضمون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را برخویشان پدری و مادری‌اش وقف کرده و نیز برای مردی که از خویشان او نیست و فرزندان آن مرد در هر سال، سیصد درهم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که مازاد بر این سیصد درهم بین خویشان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شود؟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خویشان او حق ندارند قبل از دریافت سیصد درهم، توسّط آن مرد، درآمد وقف را بین خود تقسیم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جا که راوی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ورثه از خویشان میّت حق دارند در صورت نیاز و عدم کفایت درآمد وقف، زمین را بفروشند؟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در صورتی که همگی راضی باشند و بیع برای آنان بهتر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35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حِمْیَری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نقل 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زمان علیه‌السلام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خدایم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روایتی به مارسیده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مالی بر افرادی معیّن و اَعقاب آنان وقف باشد و اهل وقف بر بیع آن توافق کنند و این بیع برای آنان اصلح باشد، حق بیع</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همه آنها بر بیع توافق نکردند می توان از بعضی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 او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خریداری کرد یا جز در صورت توافق کلّ آنها، جایز نیست؟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وقفی که بیع آن جایز نیست سؤال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وقف بر امام مسلمین باشد، بیع آن جایز نیست و اگر بر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مسلمین وقف باشد، هر گروه نسبت به مقداری که بر بیع آن توانایی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سهم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مجتمع یا متفرّق، حق بیع دارند</w:t>
      </w:r>
      <w:r>
        <w:rPr>
          <w:rFonts w:eastAsia="IRNazanin" w:cs="IRNazanin"/>
          <w:color w:val="111111"/>
          <w:sz w:val="28"/>
          <w:szCs w:val="28"/>
          <w:rtl w:val="true"/>
          <w:lang w:bidi="fa-IR"/>
        </w:rPr>
        <w:t>».</w:t>
      </w:r>
      <w:r>
        <w:rPr>
          <w:rStyle w:val="FootnoteAnchor"/>
          <w:rtl w:val="true"/>
        </w:rPr>
        <w:footnoteReference w:id="1351"/>
      </w:r>
    </w:p>
    <w:p>
      <w:pPr>
        <w:pStyle w:val="BookText"/>
        <w:rPr/>
      </w:pPr>
      <w:r>
        <w:rPr>
          <w:rFonts w:ascii="IRNazanin" w:hAnsi="IRNazanin" w:eastAsia="IRNazanin"/>
          <w:color w:val="111111"/>
          <w:sz w:val="28"/>
          <w:sz w:val="28"/>
          <w:szCs w:val="28"/>
          <w:rtl w:val="true"/>
          <w:lang w:bidi="fa-IR"/>
        </w:rPr>
        <w:t>شیخ انصاری از روایت اوّل بدین گونه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بر جواز بیع در صورت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نه مجرّد انفع بودن،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جواز بیع،</w:t>
      </w:r>
    </w:p>
    <w:p>
      <w:pPr>
        <w:pStyle w:val="BookText"/>
        <w:rPr/>
      </w:pPr>
      <w:r>
        <w:rPr>
          <w:rFonts w:ascii="IRNazanin" w:hAnsi="IRNazanin" w:eastAsia="IRNazanin"/>
          <w:color w:val="111111"/>
          <w:sz w:val="28"/>
          <w:sz w:val="28"/>
          <w:szCs w:val="28"/>
          <w:rtl w:val="true"/>
          <w:lang w:bidi="fa-IR"/>
        </w:rPr>
        <w:t>مشروط به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انفع بودن بیع و دیگری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w:t>
      </w:r>
    </w:p>
    <w:p>
      <w:pPr>
        <w:pStyle w:val="BookText"/>
        <w:rPr/>
      </w:pPr>
      <w:r>
        <w:rPr>
          <w:rFonts w:ascii="IRNazanin" w:hAnsi="IRNazanin" w:eastAsia="IRNazanin"/>
          <w:color w:val="111111"/>
          <w:sz w:val="28"/>
          <w:sz w:val="28"/>
          <w:szCs w:val="28"/>
          <w:rtl w:val="true"/>
          <w:lang w:bidi="fa-IR"/>
        </w:rPr>
        <w:t>که برای این قول، جز ظاهر عبارت مفید، قائلی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بیان پاسخ روایت حِمْیَری</w:t>
      </w:r>
    </w:p>
    <w:p>
      <w:pPr>
        <w:pStyle w:val="BookText"/>
        <w:rPr/>
      </w:pPr>
      <w:r>
        <w:rPr>
          <w:rFonts w:ascii="IRNazanin" w:hAnsi="IRNazanin" w:eastAsia="IRNazanin"/>
          <w:color w:val="111111"/>
          <w:sz w:val="28"/>
          <w:sz w:val="28"/>
          <w:szCs w:val="28"/>
          <w:rtl w:val="true"/>
          <w:lang w:bidi="fa-IR"/>
        </w:rPr>
        <w:t>نیز روشن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دیگر شیخ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این روایت این است که ثمن مال وقف برای طبقه‌ای باشد که آن را فروخته است و این مطلب با قواعد،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مقتضای مشترک بودن عین وقف این است که بدل آن نیز مشترک باشد</w:t>
      </w:r>
      <w:r>
        <w:rPr>
          <w:rFonts w:eastAsia="IRNazanin" w:cs="IRNazanin"/>
          <w:color w:val="111111"/>
          <w:sz w:val="28"/>
          <w:szCs w:val="28"/>
          <w:rtl w:val="true"/>
          <w:lang w:bidi="fa-IR"/>
        </w:rPr>
        <w:t>.</w:t>
      </w:r>
      <w:r>
        <w:rPr>
          <w:rStyle w:val="FootnoteAnchor"/>
          <w:rtl w:val="true"/>
        </w:rPr>
        <w:footnoteReference w:id="1352"/>
      </w:r>
    </w:p>
    <w:p>
      <w:pPr>
        <w:pStyle w:val="BookText"/>
        <w:rPr/>
      </w:pPr>
      <w:r>
        <w:rPr>
          <w:rFonts w:ascii="IRNazanin" w:hAnsi="IRNazanin" w:eastAsia="IRNazanin"/>
          <w:color w:val="111111"/>
          <w:sz w:val="28"/>
          <w:sz w:val="28"/>
          <w:szCs w:val="28"/>
          <w:rtl w:val="true"/>
          <w:lang w:bidi="fa-IR"/>
        </w:rPr>
        <w:t>از این رو جو ازبیع وقف در این صورت، گذشته از این که با دیدگاه جمهور فقها مخالف است، با مقتضای قواعد معتبر در فقه، بویژه باب وقف،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اقوال و ادلّه بر عدم جواز دلالت دارند و برای خروج از این همه، به دلیل یا دلایل قاطع و خدشه‌ناپذیر نیاز است‌که جایشان دراین مورد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از فقها در این صورت بیع وقف را اجازه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در انتصار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منفردات امامیّه این است که؛ هرگاه ارباب وقف به ثمن آن نیاز</w:t>
      </w:r>
    </w:p>
    <w:p>
      <w:pPr>
        <w:pStyle w:val="BookText"/>
        <w:rPr/>
      </w:pPr>
      <w:r>
        <w:rPr>
          <w:rFonts w:ascii="IRNazanin" w:hAnsi="IRNazanin" w:eastAsia="IRNazanin"/>
          <w:color w:val="111111"/>
          <w:sz w:val="28"/>
          <w:sz w:val="28"/>
          <w:szCs w:val="28"/>
          <w:rtl w:val="true"/>
          <w:lang w:bidi="fa-IR"/>
        </w:rPr>
        <w:t xml:space="preserve">شدید پیدا کنند، برای آنها 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استفاده از ثمن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353"/>
      </w:r>
      <w:r>
        <w:rPr>
          <w:rFonts w:ascii="IRNazanin" w:hAnsi="IRNazanin" w:eastAsia="IRNazanin"/>
          <w:color w:val="111111"/>
          <w:sz w:val="28"/>
          <w:sz w:val="28"/>
          <w:szCs w:val="28"/>
          <w:rtl w:val="true"/>
          <w:lang w:bidi="fa-IR"/>
        </w:rPr>
        <w:t>ابن</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زهره در غنیه نیز برای این مطلب ادّعای اجماع طایفه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354"/>
      </w:r>
      <w:r>
        <w:rPr>
          <w:rFonts w:ascii="IRNazanin" w:hAnsi="IRNazanin" w:eastAsia="IRNazanin"/>
          <w:color w:val="111111"/>
          <w:sz w:val="28"/>
          <w:sz w:val="28"/>
          <w:szCs w:val="28"/>
          <w:rtl w:val="true"/>
          <w:lang w:bidi="fa-IR"/>
        </w:rPr>
        <w:t>شیخ مفید</w:t>
      </w:r>
      <w:r>
        <w:rPr>
          <w:rStyle w:val="FootnoteAnchor"/>
          <w:rtl w:val="true"/>
        </w:rPr>
        <w:footnoteReference w:id="1355"/>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شیخ در نهایه و سلار در مراسم</w:t>
      </w:r>
      <w:r>
        <w:rPr>
          <w:rStyle w:val="FootnoteAnchor"/>
          <w:rtl w:val="true"/>
        </w:rPr>
        <w:footnoteReference w:id="1356"/>
      </w:r>
      <w:r>
        <w:rPr>
          <w:rFonts w:ascii="IRNazanin" w:hAnsi="IRNazanin" w:eastAsia="IRNazanin"/>
          <w:color w:val="111111"/>
          <w:sz w:val="28"/>
          <w:sz w:val="28"/>
          <w:szCs w:val="28"/>
          <w:rtl w:val="true"/>
          <w:lang w:bidi="fa-IR"/>
        </w:rPr>
        <w:t>قطب راوندی</w:t>
      </w:r>
      <w:r>
        <w:rPr>
          <w:rStyle w:val="FootnoteAnchor"/>
          <w:rtl w:val="true"/>
        </w:rPr>
        <w:footnoteReference w:id="1357"/>
      </w:r>
      <w:r>
        <w:rPr>
          <w:rFonts w:ascii="IRNazanin" w:hAnsi="IRNazanin" w:eastAsia="IRNazanin"/>
          <w:color w:val="111111"/>
          <w:sz w:val="28"/>
          <w:sz w:val="28"/>
          <w:szCs w:val="28"/>
          <w:rtl w:val="true"/>
          <w:lang w:bidi="fa-IR"/>
        </w:rPr>
        <w:t>و شیخ در مبسوط</w:t>
      </w:r>
      <w:r>
        <w:rPr>
          <w:rStyle w:val="FootnoteAnchor"/>
          <w:rtl w:val="true"/>
        </w:rPr>
        <w:footnoteReference w:id="1358"/>
      </w:r>
      <w:r>
        <w:rPr>
          <w:rFonts w:ascii="IRNazanin" w:hAnsi="IRNazanin" w:eastAsia="IRNazanin"/>
          <w:color w:val="111111"/>
          <w:sz w:val="28"/>
          <w:sz w:val="28"/>
          <w:szCs w:val="28"/>
          <w:rtl w:val="true"/>
          <w:lang w:bidi="fa-IR"/>
        </w:rPr>
        <w:t>بیع وقف را در این صورت، جایز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نیز در آغاز، آن را تجویز و در پایان در آن تأمّل</w:t>
      </w:r>
    </w:p>
    <w:p>
      <w:pPr>
        <w:pStyle w:val="BookText"/>
        <w:rPr/>
      </w:pP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1359"/>
      </w:r>
    </w:p>
    <w:p>
      <w:pPr>
        <w:pStyle w:val="BookText"/>
        <w:rPr/>
      </w:pPr>
      <w:r>
        <w:rPr>
          <w:rFonts w:ascii="IRNazanin" w:hAnsi="IRNazanin" w:eastAsia="IRNazanin"/>
          <w:color w:val="111111"/>
          <w:sz w:val="28"/>
          <w:sz w:val="28"/>
          <w:szCs w:val="28"/>
          <w:rtl w:val="true"/>
          <w:lang w:bidi="fa-IR"/>
        </w:rPr>
        <w:t>امّا چنان که گذشت شیخ انصاری عدم جواز را به جماعتی از قدما و جمهور متأخّران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نیز بعد از ذکر ادلّه این گروه، آن را خالی از بأس دانسته است</w:t>
      </w:r>
      <w:r>
        <w:rPr>
          <w:rFonts w:eastAsia="IRNazanin" w:cs="IRNazanin"/>
          <w:color w:val="111111"/>
          <w:sz w:val="28"/>
          <w:szCs w:val="28"/>
          <w:rtl w:val="true"/>
          <w:lang w:bidi="fa-IR"/>
        </w:rPr>
        <w:t>.</w:t>
      </w:r>
      <w:r>
        <w:rPr>
          <w:rStyle w:val="FootnoteAnchor"/>
          <w:rtl w:val="true"/>
        </w:rPr>
        <w:footnoteReference w:id="1360"/>
      </w:r>
    </w:p>
    <w:p>
      <w:pPr>
        <w:pStyle w:val="BookText"/>
        <w:rPr/>
      </w:pPr>
      <w:r>
        <w:rPr>
          <w:rFonts w:ascii="IRNazanin" w:hAnsi="IRNazanin" w:eastAsia="IRNazanin"/>
          <w:color w:val="111111"/>
          <w:sz w:val="28"/>
          <w:sz w:val="28"/>
          <w:szCs w:val="28"/>
          <w:rtl w:val="true"/>
          <w:lang w:bidi="fa-IR"/>
        </w:rPr>
        <w:t>استدلال مجوّزین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اجماعی که در انتصار و غنیه ادّعا شد ظاهر عبارت شیخ در مبسوط نیز مؤّد آن است؛ زیرا تعبیر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جعفربن حَنّان</w:t>
      </w:r>
      <w:r>
        <w:rPr>
          <w:rStyle w:val="FootnoteAnchor"/>
          <w:rtl w:val="true"/>
        </w:rPr>
        <w:footnoteReference w:id="1361"/>
      </w:r>
      <w:r>
        <w:rPr>
          <w:rFonts w:ascii="IRNazanin" w:hAnsi="IRNazanin" w:eastAsia="IRNazanin"/>
          <w:color w:val="111111"/>
          <w:sz w:val="28"/>
          <w:sz w:val="28"/>
          <w:szCs w:val="28"/>
          <w:rtl w:val="true"/>
          <w:lang w:bidi="fa-IR"/>
        </w:rPr>
        <w:t>که متن آن در صورت چهارم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مفتاح یادآور شده است که ضعف سند و دلالت این روایت با شهرت و اجماعات ادّعا شده و نیز با موافقت اعتبار، جبران می‌شود</w:t>
      </w:r>
      <w:r>
        <w:rPr>
          <w:rFonts w:eastAsia="IRNazanin" w:cs="IRNazanin"/>
          <w:color w:val="111111"/>
          <w:sz w:val="28"/>
          <w:szCs w:val="28"/>
          <w:rtl w:val="true"/>
          <w:lang w:bidi="fa-IR"/>
        </w:rPr>
        <w:t>.</w:t>
      </w:r>
      <w:r>
        <w:rPr>
          <w:rStyle w:val="FootnoteAnchor"/>
          <w:rtl w:val="true"/>
        </w:rPr>
        <w:footnoteReference w:id="1362"/>
      </w:r>
    </w:p>
    <w:p>
      <w:pPr>
        <w:pStyle w:val="BookText"/>
        <w:rPr/>
      </w:pPr>
      <w:r>
        <w:rPr>
          <w:rFonts w:ascii="IRNazanin" w:hAnsi="IRNazanin" w:eastAsia="IRNazanin"/>
          <w:color w:val="111111"/>
          <w:sz w:val="28"/>
          <w:sz w:val="28"/>
          <w:szCs w:val="28"/>
          <w:rtl w:val="true"/>
          <w:lang w:bidi="fa-IR"/>
        </w:rPr>
        <w:t xml:space="preserve">ظاهرا منظور صاحب مفتاح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محقّق اردبیلی</w:t>
      </w:r>
      <w:r>
        <w:rPr>
          <w:rStyle w:val="FootnoteAnchor"/>
          <w:rtl w:val="true"/>
        </w:rPr>
        <w:footnoteReference w:id="1363"/>
      </w:r>
      <w:r>
        <w:rPr>
          <w:rFonts w:ascii="IRNazanin" w:hAnsi="IRNazanin" w:eastAsia="IRNazanin"/>
          <w:color w:val="111111"/>
          <w:sz w:val="28"/>
          <w:sz w:val="28"/>
          <w:szCs w:val="28"/>
          <w:rtl w:val="true"/>
          <w:lang w:bidi="fa-IR"/>
        </w:rPr>
        <w:t xml:space="preserve">نیز از آن یادکرده است، این است؛ غرض واقف از وقف،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موردی پیش آید که نیاز آنها جز با بیع وقف برطرف نشود، بیع آن برای رفع نیازشان با غرض واقف نیز مخالف نخواهد بود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انصاری از استدلال به روایت اِبن حَنّان چنین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روایت این است که برای بیع، عدم کفایت درآمد وقف برای هزینه یک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است و این اقلّ مراتب فقر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مضمون عبارات مجوّزین، اعتبار و اشتراط ضرورت و حاجت شدید مستحقین است و بین این دو، عموم و خصوص من وجه است، زیرا گاهی فقیر هست و نیاز شدید ندارد و گاهی نیاز شدید هست و فقیر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کسی که هزینه سال خود را دارد، امّا به دلایلی نیاز شدید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مضمون </w:t>
      </w:r>
    </w:p>
    <w:p>
      <w:pPr>
        <w:pStyle w:val="BookText"/>
        <w:rPr/>
      </w:pPr>
      <w:r>
        <w:rPr>
          <w:rFonts w:ascii="IRNazanin" w:hAnsi="IRNazanin" w:eastAsia="IRNazanin"/>
          <w:color w:val="111111"/>
          <w:sz w:val="28"/>
          <w:sz w:val="28"/>
          <w:szCs w:val="28"/>
          <w:rtl w:val="true"/>
          <w:lang w:bidi="fa-IR"/>
        </w:rPr>
        <w:t>روایت و دیدگاه مجوّزین تلائم و توافق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ظاهر پاسخ در روایت، جواز بیع به مجرّد رضایت کل و انفع بودن بیع است، هر چند نیازی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تنها دلیلی که برای مجوّزین می‌ماند اجماع انتصار و</w:t>
      </w:r>
    </w:p>
    <w:p>
      <w:pPr>
        <w:pStyle w:val="BookText"/>
        <w:rPr/>
      </w:pPr>
      <w:r>
        <w:rPr>
          <w:rFonts w:ascii="IRNazanin" w:hAnsi="IRNazanin" w:eastAsia="IRNazanin"/>
          <w:color w:val="111111"/>
          <w:sz w:val="28"/>
          <w:sz w:val="28"/>
          <w:szCs w:val="28"/>
          <w:rtl w:val="true"/>
          <w:lang w:bidi="fa-IR"/>
        </w:rPr>
        <w:t xml:space="preserve">غنیه است که با فتوای جماعتی تقویت شده است، امّا با این دو اجماع منقول نمی‌توان از دوقاعده مهم فقهی، یعنی قاعده عدم جواز بیع وقف و قاعده وجوب اشتراک ثمن بین همه مستحقّین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موجود دیگر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پوشی کرد و دست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این که این اجماع به دلیل قول متأخّران و جماعتی از متقدّمان به عدم جواز، موهون است</w:t>
      </w:r>
      <w:r>
        <w:rPr>
          <w:rFonts w:eastAsia="IRNazanin" w:cs="IRNazanin"/>
          <w:color w:val="111111"/>
          <w:sz w:val="28"/>
          <w:szCs w:val="28"/>
          <w:rtl w:val="true"/>
          <w:lang w:bidi="fa-IR"/>
        </w:rPr>
        <w:t>.</w:t>
      </w:r>
      <w:r>
        <w:rPr>
          <w:rStyle w:val="FootnoteAnchor"/>
          <w:rtl w:val="true"/>
        </w:rPr>
        <w:footnoteReference w:id="1364"/>
      </w:r>
    </w:p>
    <w:p>
      <w:pPr>
        <w:pStyle w:val="BookText"/>
        <w:rPr/>
      </w:pPr>
      <w:r>
        <w:rPr>
          <w:rFonts w:ascii="Amiri" w:hAnsi="Amiri" w:eastAsia="Amiri" w:cs="Amiri"/>
          <w:color w:val="111111"/>
          <w:sz w:val="28"/>
          <w:sz w:val="28"/>
          <w:szCs w:val="28"/>
          <w:rtl w:val="true"/>
          <w:lang w:bidi="ar-SA"/>
        </w:rPr>
        <w:t>منظور شیخ از قاعده اوّل عموماتی هستند که بر عدم جواز بیع وقف دلالت دارند، مانند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365"/>
      </w:r>
      <w:r>
        <w:rPr>
          <w:rFonts w:ascii="Amiri" w:hAnsi="Amiri" w:eastAsia="Amiri" w:cs="Amiri"/>
          <w:color w:val="111111"/>
          <w:sz w:val="28"/>
          <w:sz w:val="28"/>
          <w:szCs w:val="28"/>
          <w:rtl w:val="true"/>
          <w:lang w:bidi="ar-SA"/>
        </w:rPr>
        <w:t>روایت علی بن راشد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یَجُوزُ شِراءُالْوَقْفِ</w:t>
      </w:r>
      <w:r>
        <w:rPr>
          <w:rFonts w:eastAsia="Amiri" w:cs="Amiri" w:ascii="Amiri" w:hAnsi="Amiri"/>
          <w:color w:val="111111"/>
          <w:sz w:val="28"/>
          <w:szCs w:val="28"/>
          <w:rtl w:val="true"/>
          <w:lang w:bidi="ar-SA"/>
        </w:rPr>
        <w:t>»</w:t>
      </w:r>
      <w:r>
        <w:rPr>
          <w:rStyle w:val="FootnoteAnchor"/>
          <w:rtl w:val="true"/>
        </w:rPr>
        <w:footnoteReference w:id="1366"/>
      </w:r>
      <w:r>
        <w:rPr>
          <w:rFonts w:ascii="Amiri" w:hAnsi="Amiri" w:eastAsia="Amiri" w:cs="Amiri"/>
          <w:color w:val="111111"/>
          <w:sz w:val="28"/>
          <w:sz w:val="28"/>
          <w:szCs w:val="28"/>
          <w:rtl w:val="true"/>
          <w:lang w:bidi="ar-SA"/>
        </w:rPr>
        <w:t>و خبر ربعی و عجلان که در آنها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یُباعُ وَ لا یُوهَبُ وَ لا یوُرَثُ</w:t>
      </w:r>
      <w:r>
        <w:rPr>
          <w:rFonts w:eastAsia="Amiri" w:cs="Amiri" w:ascii="Amiri" w:hAnsi="Amiri"/>
          <w:color w:val="111111"/>
          <w:sz w:val="28"/>
          <w:szCs w:val="28"/>
          <w:rtl w:val="true"/>
          <w:lang w:bidi="ar-SA"/>
        </w:rPr>
        <w:t>»</w:t>
      </w:r>
      <w:r>
        <w:rPr>
          <w:rStyle w:val="FootnoteAnchor"/>
          <w:rtl w:val="true"/>
        </w:rPr>
        <w:footnoteReference w:id="1367"/>
      </w:r>
      <w:r>
        <w:rPr>
          <w:rFonts w:ascii="IRNazanin" w:hAnsi="IRNazanin" w:eastAsia="IRNazanin"/>
          <w:color w:val="111111"/>
          <w:sz w:val="28"/>
          <w:sz w:val="28"/>
          <w:szCs w:val="28"/>
          <w:rtl w:val="true"/>
          <w:lang w:bidi="fa-IR"/>
        </w:rPr>
        <w:t xml:space="preserve">همچنین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1368"/>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برای قول به عدم جواز به اجماع سرائر نیز اشاره کرده است</w:t>
      </w:r>
      <w:r>
        <w:rPr>
          <w:rFonts w:eastAsia="IRNazanin" w:cs="IRNazanin"/>
          <w:color w:val="111111"/>
          <w:sz w:val="28"/>
          <w:szCs w:val="28"/>
          <w:rtl w:val="true"/>
          <w:lang w:bidi="fa-IR"/>
        </w:rPr>
        <w:t>.</w:t>
      </w:r>
      <w:r>
        <w:rPr>
          <w:rStyle w:val="FootnoteAnchor"/>
          <w:rtl w:val="true"/>
        </w:rPr>
        <w:footnoteReference w:id="1369"/>
      </w:r>
    </w:p>
    <w:p>
      <w:pPr>
        <w:pStyle w:val="BookText"/>
        <w:rPr/>
      </w:pPr>
      <w:r>
        <w:rPr>
          <w:rFonts w:ascii="IRNazanin" w:hAnsi="IRNazanin" w:eastAsia="IRNazanin"/>
          <w:color w:val="111111"/>
          <w:sz w:val="28"/>
          <w:sz w:val="28"/>
          <w:szCs w:val="28"/>
          <w:rtl w:val="true"/>
          <w:lang w:bidi="fa-IR"/>
        </w:rPr>
        <w:t>بنابراین در صورت پنجم قول به عدم جواز اشبه و اقرب به قواعد فقهی به نظر می‌رسد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مجوّزین و مانعین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ضعف روایت اِبن حَنّان اعتراف</w:t>
      </w:r>
    </w:p>
    <w:p>
      <w:pPr>
        <w:pStyle w:val="BookText"/>
        <w:rPr/>
      </w:pP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ادّعای اجماع غنیه و انتصار با اجماع مدّعای سرائر معارض است و ثالثااجماعهای یاد شده از طرفین، مدرکی هستند و نمی‌توانند به عنوان دلیل مستقلّ، مورد استناد قرار گیرند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باقی می‌ماند آن همه ادلّه و قواعد و اصول دلالت کننده بر عدم جواز بیع وقف از یک سو و روایت ضعیف ابن حَنّان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غیر صریح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دلالت می‌کند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 چنین دستاویزی از اصول و قواعد مسلّم و معتبر نمی‌توان دست کشید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صورت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 در صورت اشتراط واقف</w:t>
      </w:r>
    </w:p>
    <w:p>
      <w:pPr>
        <w:pStyle w:val="BookText"/>
        <w:rPr/>
      </w:pPr>
      <w:r>
        <w:rPr>
          <w:rFonts w:ascii="IRNazanin" w:hAnsi="IRNazanin" w:eastAsia="IRNazanin"/>
          <w:color w:val="111111"/>
          <w:sz w:val="28"/>
          <w:sz w:val="28"/>
          <w:szCs w:val="28"/>
          <w:rtl w:val="true"/>
          <w:lang w:bidi="fa-IR"/>
        </w:rPr>
        <w:t>منظور این است که واقف برای بطن موجود یا همه بطون، یا نیاز خودش و یا در صورت مصلحتّی خاصّ، بیع را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مقنعه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واقف در وقف خود شرط کند که اگر در زندگی خود به دلیل فقر به فروش آن محتاج شد حق دارد، در صورت نیاز، آن را بفروشد و ثمن آن را صرف مصالح خود کند</w:t>
      </w:r>
      <w:r>
        <w:rPr>
          <w:rFonts w:eastAsia="IRNazanin" w:cs="IRNazanin"/>
          <w:color w:val="111111"/>
          <w:sz w:val="28"/>
          <w:szCs w:val="28"/>
          <w:rtl w:val="true"/>
          <w:lang w:bidi="fa-IR"/>
        </w:rPr>
        <w:t>.</w:t>
      </w:r>
      <w:r>
        <w:rPr>
          <w:rStyle w:val="FootnoteAnchor"/>
          <w:rtl w:val="true"/>
        </w:rPr>
        <w:footnoteReference w:id="1370"/>
      </w:r>
      <w:r>
        <w:rPr>
          <w:rFonts w:ascii="IRNazanin" w:hAnsi="IRNazanin" w:eastAsia="IRNazanin"/>
          <w:color w:val="111111"/>
          <w:sz w:val="28"/>
          <w:sz w:val="28"/>
          <w:szCs w:val="28"/>
          <w:rtl w:val="true"/>
          <w:lang w:bidi="fa-IR"/>
        </w:rPr>
        <w:t>سید مرتضی نیز در انتصار چنین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منفردات امامیّه است که اگر کسی مالی را وقف کند حق دارد شرط کند که اگر به</w:t>
      </w:r>
    </w:p>
    <w:p>
      <w:pPr>
        <w:pStyle w:val="BookText"/>
        <w:rPr/>
      </w:pPr>
      <w:r>
        <w:rPr>
          <w:rFonts w:ascii="IRNazanin" w:hAnsi="IRNazanin" w:eastAsia="IRNazanin"/>
          <w:color w:val="111111"/>
          <w:sz w:val="28"/>
          <w:sz w:val="28"/>
          <w:szCs w:val="28"/>
          <w:rtl w:val="true"/>
          <w:lang w:bidi="fa-IR"/>
        </w:rPr>
        <w:t>آن نیازمند شد بتواند آن را بفروشد و از ثمن آن بهره‌مند شود</w:t>
      </w:r>
      <w:r>
        <w:rPr>
          <w:rFonts w:eastAsia="IRNazanin" w:cs="IRNazanin"/>
          <w:color w:val="111111"/>
          <w:sz w:val="28"/>
          <w:szCs w:val="28"/>
          <w:rtl w:val="true"/>
          <w:lang w:bidi="fa-IR"/>
        </w:rPr>
        <w:t>.</w:t>
      </w:r>
      <w:r>
        <w:rPr>
          <w:rStyle w:val="FootnoteAnchor"/>
          <w:rtl w:val="true"/>
        </w:rPr>
        <w:footnoteReference w:id="1371"/>
      </w:r>
    </w:p>
    <w:p>
      <w:pPr>
        <w:pStyle w:val="BookText"/>
        <w:rPr/>
      </w:pPr>
      <w:r>
        <w:rPr>
          <w:rFonts w:ascii="IRNazanin" w:hAnsi="IRNazanin" w:eastAsia="IRNazanin"/>
          <w:color w:val="111111"/>
          <w:sz w:val="28"/>
          <w:sz w:val="28"/>
          <w:szCs w:val="28"/>
          <w:rtl w:val="true"/>
          <w:lang w:bidi="fa-IR"/>
        </w:rPr>
        <w:t>علاّمه در مختلف نیز ضمن نقل قول به جواز اشتراط بیع در صورت نیاز واقف، از شیخ در نهایه و مفید و سلاّر و ابن بَرّاج و نقل قول به بطلان از ابن حمزه، شیخ در مبسوط و ابن جنید، خود، قول به صحّت عقد و شرط را برگزیده است</w:t>
      </w:r>
      <w:r>
        <w:rPr>
          <w:rFonts w:eastAsia="IRNazanin" w:cs="IRNazanin"/>
          <w:color w:val="111111"/>
          <w:sz w:val="28"/>
          <w:szCs w:val="28"/>
          <w:rtl w:val="true"/>
          <w:lang w:bidi="fa-IR"/>
        </w:rPr>
        <w:t>.</w:t>
      </w:r>
      <w:r>
        <w:rPr>
          <w:rStyle w:val="FootnoteAnchor"/>
          <w:rtl w:val="true"/>
        </w:rPr>
        <w:footnoteReference w:id="1372"/>
      </w:r>
      <w:r>
        <w:rPr>
          <w:rFonts w:ascii="Amiri" w:hAnsi="Amiri" w:eastAsia="Amiri" w:cs="Amiri"/>
          <w:color w:val="111111"/>
          <w:sz w:val="28"/>
          <w:sz w:val="28"/>
          <w:szCs w:val="28"/>
          <w:rtl w:val="true"/>
          <w:lang w:bidi="ar-SA"/>
        </w:rPr>
        <w:t>صاحب عروه نیز با استناد به عموم ادلّه شرط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373"/>
      </w:r>
      <w:r>
        <w:rPr>
          <w:rFonts w:ascii="IRNazanin" w:hAnsi="IRNazanin" w:eastAsia="IRNazanin"/>
          <w:color w:val="111111"/>
          <w:sz w:val="28"/>
          <w:sz w:val="28"/>
          <w:szCs w:val="28"/>
          <w:rtl w:val="true"/>
          <w:lang w:bidi="fa-IR"/>
        </w:rPr>
        <w:t>به جواز چنین شرطی، حتّی برای مصرف ثمن بدون جایگزین کردن بدل برای وقف، قایل است</w:t>
      </w:r>
      <w:r>
        <w:rPr>
          <w:rFonts w:eastAsia="IRNazanin" w:cs="IRNazanin"/>
          <w:color w:val="111111"/>
          <w:sz w:val="28"/>
          <w:szCs w:val="28"/>
          <w:rtl w:val="true"/>
          <w:lang w:bidi="fa-IR"/>
        </w:rPr>
        <w:t>.</w:t>
      </w:r>
      <w:r>
        <w:rPr>
          <w:rStyle w:val="FootnoteAnchor"/>
          <w:rtl w:val="true"/>
        </w:rPr>
        <w:footnoteReference w:id="1374"/>
      </w:r>
    </w:p>
    <w:p>
      <w:pPr>
        <w:pStyle w:val="BookText"/>
        <w:rPr/>
      </w:pP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قواعد در صحّت اشتراط بیع در صورت تضرّر، اشکال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فخرالمحقّقین در ذیل عبارت پدر، روایت جعفر بن حَنّان را ذکر کرده و در توجیه قول به</w:t>
      </w:r>
    </w:p>
    <w:p>
      <w:pPr>
        <w:pStyle w:val="BookText"/>
        <w:rPr/>
      </w:pPr>
      <w:r>
        <w:rPr>
          <w:rFonts w:ascii="IRNazanin" w:hAnsi="IRNazanin" w:eastAsia="IRNazanin"/>
          <w:color w:val="111111"/>
          <w:sz w:val="28"/>
          <w:sz w:val="28"/>
          <w:szCs w:val="28"/>
          <w:rtl w:val="true"/>
          <w:lang w:bidi="fa-IR"/>
        </w:rPr>
        <w:t>جواز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بیع وقف بدون اشتراط واقف جایز باشد در صورت شرط او به طریق اولی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پایان با استناد به این که بیع با تأبید ناسازگار است، قول صحیح را عدم صحّت 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شرط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375"/>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مبسوط نیز شرط بیع را باطل دانسته است</w:t>
      </w:r>
      <w:r>
        <w:rPr>
          <w:rFonts w:eastAsia="IRNazanin" w:cs="IRNazanin"/>
          <w:color w:val="111111"/>
          <w:sz w:val="28"/>
          <w:szCs w:val="28"/>
          <w:rtl w:val="true"/>
          <w:lang w:bidi="fa-IR"/>
        </w:rPr>
        <w:t>.</w:t>
      </w:r>
      <w:r>
        <w:rPr>
          <w:rStyle w:val="FootnoteAnchor"/>
          <w:rtl w:val="true"/>
        </w:rPr>
        <w:footnoteReference w:id="1376"/>
      </w:r>
      <w:r>
        <w:rPr>
          <w:rFonts w:ascii="IRNazanin" w:hAnsi="IRNazanin" w:eastAsia="IRNazanin"/>
          <w:color w:val="111111"/>
          <w:sz w:val="28"/>
          <w:sz w:val="28"/>
          <w:szCs w:val="28"/>
          <w:rtl w:val="true"/>
          <w:lang w:bidi="fa-IR"/>
        </w:rPr>
        <w:t>محققّ ثانی در ذیل عبارتِ قواعد ضمن ذکر چند مثال،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اشکال علاّمه در صحّت اشتراط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شرط بیع با تأبید و دوام وقف منافات </w:t>
      </w:r>
    </w:p>
    <w:p>
      <w:pPr>
        <w:pStyle w:val="BookText"/>
        <w:rPr/>
      </w:pPr>
      <w:r>
        <w:rPr>
          <w:rFonts w:ascii="IRNazanin" w:hAnsi="IRNazanin" w:eastAsia="IRNazanin"/>
          <w:color w:val="111111"/>
          <w:sz w:val="28"/>
          <w:sz w:val="28"/>
          <w:szCs w:val="28"/>
          <w:rtl w:val="true"/>
          <w:lang w:bidi="fa-IR"/>
        </w:rPr>
        <w:t xml:space="preserve">دارد، امّا از سوی دیگر بیع مال وقف در حالاتی، چون خرابی، عدم انتفاع، تضررّ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هر چند واقف شرط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اشتراط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جعفربن حَنّان نیز گذشت که امام علیه‌السلام بیع وقف را در صورت نیاز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کرده است</w:t>
      </w:r>
      <w:r>
        <w:rPr>
          <w:rFonts w:eastAsia="IRNazanin" w:cs="IRNazanin"/>
          <w:color w:val="111111"/>
          <w:sz w:val="28"/>
          <w:szCs w:val="28"/>
          <w:rtl w:val="true"/>
          <w:lang w:bidi="fa-IR"/>
        </w:rPr>
        <w:t>.</w:t>
      </w:r>
      <w:r>
        <w:rPr>
          <w:rStyle w:val="FootnoteAnchor"/>
          <w:rtl w:val="true"/>
        </w:rPr>
        <w:footnoteReference w:id="1377"/>
      </w:r>
      <w:r>
        <w:rPr>
          <w:rFonts w:ascii="Amiri" w:hAnsi="Amiri" w:eastAsia="Amiri" w:cs="Amiri"/>
          <w:color w:val="111111"/>
          <w:sz w:val="28"/>
          <w:sz w:val="28"/>
          <w:szCs w:val="28"/>
          <w:rtl w:val="true"/>
          <w:lang w:bidi="ar-SA"/>
        </w:rPr>
        <w:t>قول امام عسکری علیه‌السلام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378"/>
      </w:r>
      <w:r>
        <w:rPr>
          <w:rFonts w:ascii="IRNazanin" w:hAnsi="IRNazanin" w:eastAsia="IRNazanin"/>
          <w:color w:val="111111"/>
          <w:sz w:val="28"/>
          <w:sz w:val="28"/>
          <w:szCs w:val="28"/>
          <w:rtl w:val="true"/>
          <w:lang w:bidi="fa-IR"/>
        </w:rPr>
        <w:t>نیز بر جواز بیع در صورت اشتراط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محقّق ثانی در پایان به این نتیجه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بیع وقف جایز باشد اشتراط آن در عقد وقف نیز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صورت شرط کردن مؤکّد خواهد بود و بامقتضای وقف منافی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 عدم 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منافات با مقتضای وقف، بیع آن جایز نیست</w:t>
      </w:r>
      <w:r>
        <w:rPr>
          <w:rFonts w:eastAsia="IRNazanin" w:cs="IRNazanin"/>
          <w:color w:val="111111"/>
          <w:sz w:val="28"/>
          <w:szCs w:val="28"/>
          <w:rtl w:val="true"/>
          <w:lang w:bidi="fa-IR"/>
        </w:rPr>
        <w:t>.</w:t>
      </w:r>
      <w:r>
        <w:rPr>
          <w:rStyle w:val="FootnoteAnchor"/>
          <w:rtl w:val="true"/>
        </w:rPr>
        <w:footnoteReference w:id="1379"/>
      </w:r>
    </w:p>
    <w:p>
      <w:pPr>
        <w:pStyle w:val="BookText"/>
        <w:rPr/>
      </w:pPr>
      <w:r>
        <w:rPr>
          <w:rFonts w:ascii="IRNazanin" w:hAnsi="IRNazanin" w:eastAsia="IRNazanin"/>
          <w:color w:val="111111"/>
          <w:sz w:val="28"/>
          <w:sz w:val="28"/>
          <w:szCs w:val="28"/>
          <w:rtl w:val="true"/>
          <w:lang w:bidi="fa-IR"/>
        </w:rPr>
        <w:t>خلاصه آن که در این مورد سه دیدگاه اصلی و کلّی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شرط و در نتیجه عدم جواز 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چنین اشتراطی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در ضمن بحث این که آیا شرط فاسد موجب بطلان وقف هست یا نه، در مبحث شروط واقف به طور مختصر، مطرح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چنین شرطی در وقف، حتّی شرط بیع آن برای استفاده از ثمن آن در صورت نیاز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شرط بیع در صور و حالاتی که 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شرط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مجوّز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ضرر عظیم، خرابی، غیر قابل استفاده شدن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عدم جواز</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ادلّه عدم جواز، مخالف بودن چنین شرطی بامقتضای وقف است، زیرا مقتضای وقف دوام و تأبید است و شرط بیع با این مقتضا ناسازگار است</w:t>
      </w:r>
      <w:r>
        <w:rPr>
          <w:rFonts w:eastAsia="IRNazanin" w:cs="IRNazanin"/>
          <w:color w:val="111111"/>
          <w:sz w:val="28"/>
          <w:szCs w:val="28"/>
          <w:rtl w:val="true"/>
          <w:lang w:bidi="fa-IR"/>
        </w:rPr>
        <w:t>.</w:t>
      </w:r>
      <w:r>
        <w:rPr>
          <w:rStyle w:val="FootnoteAnchor"/>
          <w:rtl w:val="true"/>
        </w:rPr>
        <w:footnoteReference w:id="1380"/>
      </w:r>
      <w:r>
        <w:rPr>
          <w:rFonts w:ascii="IRNazanin" w:hAnsi="IRNazanin" w:eastAsia="IRNazanin"/>
          <w:color w:val="111111"/>
          <w:sz w:val="28"/>
          <w:sz w:val="28"/>
          <w:szCs w:val="28"/>
          <w:rtl w:val="true"/>
          <w:lang w:bidi="fa-IR"/>
        </w:rPr>
        <w:t>و نیز می توان برای این قول به همه عمومات و ادلّه و قواعدی که بر عدم جواز بیع وقف دلالت دارند، استناد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دلایل جواز اشتراط</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صحّت عقد و شرط</w:t>
      </w:r>
      <w:r>
        <w:rPr>
          <w:rFonts w:eastAsia="IRNazanin" w:cs="IRNazanin"/>
          <w:color w:val="111111"/>
          <w:sz w:val="28"/>
          <w:szCs w:val="28"/>
          <w:rtl w:val="true"/>
          <w:lang w:bidi="fa-IR"/>
        </w:rPr>
        <w:t>.</w:t>
      </w:r>
      <w:r>
        <w:rPr>
          <w:rStyle w:val="FootnoteAnchor"/>
          <w:rtl w:val="true"/>
        </w:rPr>
        <w:footnoteReference w:id="138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w:t>
      </w:r>
      <w:r>
        <w:rPr>
          <w:rStyle w:val="FootnoteAnchor"/>
          <w:rtl w:val="true"/>
        </w:rPr>
        <w:footnoteReference w:id="138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38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Style w:val="FootnoteAnchor"/>
          <w:rtl w:val="true"/>
        </w:rPr>
        <w:footnoteReference w:id="138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سیّد در انتصار ادّعا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از جمله، صحیحه عبدالرحمان بن حجاج مربوط به وقف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امیرمؤمنان علیه‌السلام که 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حسن بخواهد بخشی از این مال را برای ادای دین بفروشد، گناهی بر او نیست و اگر بخواهد آن را همانند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فروخت به سه قسمت مساوی تقسیم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آن را در راه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ثلث دوم را بین بنی هاشم و بنی عبدالمطّلب توزیع کند و ثلث</w:t>
      </w:r>
    </w:p>
    <w:p>
      <w:pPr>
        <w:pStyle w:val="BookText"/>
        <w:rPr/>
      </w:pPr>
      <w:r>
        <w:rPr>
          <w:rFonts w:ascii="IRNazanin" w:hAnsi="IRNazanin" w:eastAsia="IRNazanin"/>
          <w:color w:val="111111"/>
          <w:sz w:val="28"/>
          <w:sz w:val="28"/>
          <w:szCs w:val="28"/>
          <w:rtl w:val="true"/>
          <w:lang w:bidi="fa-IR"/>
        </w:rPr>
        <w:t xml:space="preserve">آخر را بین آل ابی طالب تقسیم کند </w:t>
      </w:r>
      <w:r>
        <w:rPr>
          <w:rFonts w:eastAsia="IRNazanin" w:cs="IRNazanin"/>
          <w:color w:val="111111"/>
          <w:sz w:val="28"/>
          <w:szCs w:val="28"/>
          <w:rtl w:val="true"/>
          <w:lang w:bidi="fa-IR"/>
        </w:rPr>
        <w:t>...».</w:t>
      </w:r>
      <w:r>
        <w:rPr>
          <w:rStyle w:val="FootnoteAnchor"/>
          <w:rtl w:val="true"/>
        </w:rPr>
        <w:footnoteReference w:id="1385"/>
      </w:r>
    </w:p>
    <w:p>
      <w:pPr>
        <w:pStyle w:val="BookText"/>
        <w:rPr/>
      </w:pPr>
      <w:r>
        <w:rPr>
          <w:rFonts w:ascii="IRNazanin" w:hAnsi="IRNazanin" w:eastAsia="IRNazanin"/>
          <w:color w:val="111111"/>
          <w:sz w:val="28"/>
          <w:sz w:val="28"/>
          <w:szCs w:val="28"/>
          <w:rtl w:val="true"/>
          <w:lang w:bidi="fa-IR"/>
        </w:rPr>
        <w:t>شیخ انصاری بعد از ذکر این حدیث،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جواز اشتراط بیع در وقف حتّی برای بطن موجود است، چه رسد به بیع آن برای همه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روایت نیز صحیح است و تأویل آن هم مشکل</w:t>
      </w:r>
      <w:r>
        <w:rPr>
          <w:rFonts w:eastAsia="IRNazanin" w:cs="IRNazanin"/>
          <w:color w:val="111111"/>
          <w:sz w:val="28"/>
          <w:szCs w:val="28"/>
          <w:rtl w:val="true"/>
          <w:lang w:bidi="fa-IR"/>
        </w:rPr>
        <w:t>.</w:t>
      </w:r>
      <w:r>
        <w:rPr>
          <w:rStyle w:val="FootnoteAnchor"/>
          <w:rtl w:val="true"/>
        </w:rPr>
        <w:footnoteReference w:id="1386"/>
      </w:r>
    </w:p>
    <w:p>
      <w:pPr>
        <w:pStyle w:val="BookText"/>
        <w:rPr/>
      </w:pPr>
      <w:r>
        <w:rPr>
          <w:rFonts w:ascii="IRNazanin" w:hAnsi="IRNazanin" w:eastAsia="IRNazanin"/>
          <w:color w:val="111111"/>
          <w:sz w:val="28"/>
          <w:sz w:val="28"/>
          <w:szCs w:val="28"/>
          <w:rtl w:val="true"/>
          <w:lang w:bidi="fa-IR"/>
        </w:rPr>
        <w:t>امام خمینی نیز ضمن بحثی نسبتا مفصّل در این مورد و بیان این مطلب که؛ در جای خود اثبات کرده‌ایم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مطلقا از ایقاعات است و ممنوعیّت از بیع در ماهیّت آن مأخوذ نیست و به عبارت دیگر ماهیّت وقف، مقیّد به تأبید نمی باشد، از این رو بیع وقف با ماهیت و مقتضای وقف منافات ندارد، هر چند مقتضای اجماع و ارتکازات متشرّعه، عدم جواز بیع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بیان این مطلب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جواز و عدم جواز بیع در وقف تابع شرط واقف و اجازه اوست و در جای خود نیز گفته‌ایم که مقتضای قاعده، جواز بیع در صورت عروض بعضی از عوارض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387"/>
      </w:r>
    </w:p>
    <w:p>
      <w:pPr>
        <w:pStyle w:val="BookText"/>
        <w:rPr/>
      </w:pPr>
      <w:r>
        <w:rPr>
          <w:rFonts w:ascii="IRNazanin" w:hAnsi="IRNazanin" w:eastAsia="IRNazanin"/>
          <w:color w:val="111111"/>
          <w:sz w:val="28"/>
          <w:sz w:val="28"/>
          <w:szCs w:val="28"/>
          <w:rtl w:val="true"/>
          <w:lang w:bidi="fa-IR"/>
        </w:rPr>
        <w:t>در گذشته این دیدگاه امام خمینی به طور مختصر نقد و بررسی و اشاره شد که از ادلّه و روایات وقف استفاده می شود که تأبید و دوام مقتضای ماهیت وقف است و در حقیقت از اموری است که شارع، آن را در وقف جعل کرده است و تابع قرارداد و اعتبار واقف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آن چه با استفاده از مجموع اقوال و انظار به نظر نگارنده می رسد طی چند نکته یادآوری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بیع وقف به دلیل عوارضی، چون غیر قابل استفاده شدن وقف، جایز است، اشتراط آن در هنگام عقد در صورت بروز چنین عوارضی به طور مسلّم خالی از اشکال است؛ زیرا واقف بر مطلبی که شرعا بلا اشکال است، تأکید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چون امام خمینی</w:t>
      </w:r>
      <w:r>
        <w:rPr>
          <w:rStyle w:val="FootnoteAnchor"/>
          <w:rtl w:val="true"/>
        </w:rPr>
        <w:footnoteReference w:id="1388"/>
      </w:r>
      <w:r>
        <w:rPr>
          <w:rFonts w:ascii="IRNazanin" w:hAnsi="IRNazanin" w:eastAsia="IRNazanin"/>
          <w:color w:val="111111"/>
          <w:sz w:val="28"/>
          <w:sz w:val="28"/>
          <w:szCs w:val="28"/>
          <w:rtl w:val="true"/>
          <w:lang w:bidi="fa-IR"/>
        </w:rPr>
        <w:t xml:space="preserve">که تأبید و دوام را مقتضای ماهیت وقف نمی دانند و جواز و عدم جواز بیع را تابع شرط و اجازه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شرط و اجازه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 قول به جواز و صحّت چنین شرطی در وقف، به هر شکلی که باشد، مشکلی ایجاد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مطابق دیدگاه جمهور فقها که تصریحا یا تلویحا در کلمات خود، مقتضای وقف را دوام و استمرار دانسته اند، شرط بیع وقف برای رفع نیاز واقف و یا صرف آن در رفع نیازهای بطن موجود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بامقتضای وقف که حبس عین و تسبیل منفعت، دوام و استمرار و صدقه جاریه بودن مال وقف می‌باشد،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مورد اجماعی که سیّد در انتصار ادّعا کرد،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چنین اجماعی محقّق نیست، زیرا همان طور که اشاره شد، بسیاری از بزرگان چنین شرطی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طور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و یا محلّ اشکال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اجماعی که مُجْمِعین آن به ادلّه ای از جمله روایات استناد کرده باشند، اجماع معتبری که کاشف قول معصوم باشد،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 دیگر اجماع مدرکی است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عموماتی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نیز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عمومات با عمومات و ادلّه و قواعدی که بر منع بیع وقف دلالت دارند معارضند و اگر بنا بر حمل عامّ بر خاصّ هم باشد عمومات باب وقف از این عمومات اخص هستند، زیرا این عمومات غیر باب وقف را نیز در بر می‌گیرند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389"/>
      </w:r>
      <w:r>
        <w:rPr>
          <w:rFonts w:ascii="IRNazanin" w:hAnsi="IRNazanin" w:eastAsia="IRNazanin"/>
          <w:color w:val="111111"/>
          <w:sz w:val="28"/>
          <w:sz w:val="28"/>
          <w:szCs w:val="28"/>
          <w:rtl w:val="true"/>
          <w:lang w:bidi="fa-IR"/>
        </w:rPr>
        <w:t>گذشته از این که با عموماتی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r>
        <w:rPr>
          <w:rStyle w:val="FootnoteAnchor"/>
          <w:rtl w:val="true"/>
        </w:rPr>
        <w:footnoteReference w:id="1390"/>
      </w:r>
      <w:r>
        <w:rPr>
          <w:rFonts w:ascii="IRNazanin" w:hAnsi="IRNazanin" w:eastAsia="IRNazanin"/>
          <w:color w:val="111111"/>
          <w:sz w:val="28"/>
          <w:sz w:val="28"/>
          <w:szCs w:val="28"/>
          <w:rtl w:val="true"/>
          <w:lang w:bidi="fa-IR"/>
        </w:rPr>
        <w:t xml:space="preserve">معارض است، معنایش این است که واقف حق دارد هر شرطی را که شرعا صحیح و جایز است و با مقتضای وقف منافات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شرط تشریک، ترتیب، تفضیل، تساوی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خود شرط کند و اگر چنین شرطهایی کرد باید مطابق آنها عمل شود، حال آن که صحیح و جایز بودن شرط مورد بحث ما اوّل کلام و نزاع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مربوط به وقف چشمه ینبع، توسط علی علیه‌السلام نیز اوّلاً، همان طور که شیخ انصاری بیان داشت، در جواز چنین شرطی صراحت ندارند و تنها ظهور دارند و ثانیاواقف و متولّی هر دو معصوم هستند و احتمال این که مورد خاصّ دارای ویژگی خاصّی بوده است منتفی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 و صرف ثمن آن در رفع نیازهای واقف یا بطن موجود با حقوق بطون بعدی منافات دارد؛ لذا هر تغییر و تبدیلی که در وقف صورت می گیرد باید با توجّه به این جنبه مسأله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وقف از عنوان مورد نظر واقف</w:t>
      </w:r>
    </w:p>
    <w:p>
      <w:pPr>
        <w:pStyle w:val="BookText"/>
        <w:rPr/>
      </w:pPr>
      <w:r>
        <w:rPr>
          <w:rFonts w:ascii="IRNazanin" w:hAnsi="IRNazanin" w:eastAsia="IRNazanin"/>
          <w:color w:val="111111"/>
          <w:sz w:val="28"/>
          <w:sz w:val="28"/>
          <w:szCs w:val="28"/>
          <w:rtl w:val="true"/>
          <w:lang w:bidi="fa-IR"/>
        </w:rPr>
        <w:t>این مورد را صاحب جواهر مطرح و تقویت کرده و منظور این است که مال وقف از عنوان لحاظ شده توسّط واقف،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کسی بستانی را وقف کرده و در وقف خود، عنوان بستان بودن را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اگر این بستان به طوری ویران شود که از عنوان بستان بودن خارج شود، هر چند منفعت آن باطل نشده باشد؛ امّا چون از عنوان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شده است، عرصه آن دیگر وقف نخواهد بود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احتمال که چون عرصه هم جزءِ موقوف بوده و این جزء باقی است، پس </w:t>
      </w:r>
    </w:p>
    <w:p>
      <w:pPr>
        <w:pStyle w:val="BookText"/>
        <w:rPr/>
      </w:pPr>
      <w:r>
        <w:rPr>
          <w:rFonts w:ascii="IRNazanin" w:hAnsi="IRNazanin" w:eastAsia="IRNazanin"/>
          <w:color w:val="111111"/>
          <w:sz w:val="28"/>
          <w:sz w:val="28"/>
          <w:szCs w:val="28"/>
          <w:rtl w:val="true"/>
          <w:lang w:bidi="fa-IR"/>
        </w:rPr>
        <w:t xml:space="preserve">عرصه هم بر وقفیت باقی است و خرابی عنوان هر چند مقتضی بطلان وقف نسبت به بستان است، امّا نسبت به عرصه، موجب بطلان نخواهد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عرصه، تنها از آن حیث که بستان است جزءِ موقوف است، نه به‌طور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عرصه جزو عنوان وقفی است که مفروض، ویرانی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فرض این باشد که واقف اراده وقف آن را به طور مطلق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 بستان یا غیر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بقای آن بر وقفیّت عرصه اشکالی نیست و وقف با تغیّر احوال، باطل نخواهد شد، چرا که در این فرض عنوان وقف زایل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بیان مطلبی است که در باب وصیّت گفته اند که اگر کسی به خانه ای وصیّت کند و قبل از مرگ موُصی خانه ویران شود، وصیّت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موضوع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جواهر سپس با بیان چند احتمال برای مالکیت این مال بعد از زوال عنوان، ملکیّت آن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بیع 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بلااشکال خواهد بود</w:t>
      </w:r>
      <w:r>
        <w:rPr>
          <w:rFonts w:eastAsia="IRNazanin" w:cs="IRNazanin"/>
          <w:color w:val="111111"/>
          <w:sz w:val="28"/>
          <w:szCs w:val="28"/>
          <w:rtl w:val="true"/>
          <w:lang w:bidi="fa-IR"/>
        </w:rPr>
        <w:t>.</w:t>
      </w:r>
      <w:r>
        <w:rPr>
          <w:rStyle w:val="FootnoteAnchor"/>
          <w:rtl w:val="true"/>
        </w:rPr>
        <w:footnoteReference w:id="1391"/>
      </w:r>
      <w:r>
        <w:rPr>
          <w:rFonts w:ascii="IRNazanin" w:hAnsi="IRNazanin" w:eastAsia="IRNazanin"/>
          <w:color w:val="111111"/>
          <w:sz w:val="28"/>
          <w:sz w:val="28"/>
          <w:szCs w:val="28"/>
          <w:rtl w:val="true"/>
          <w:lang w:bidi="fa-IR"/>
        </w:rPr>
        <w:t>شیخ در مکاسب در مقام ردّ این بیان صاحب جواهر اظهار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فقها اجماع و اتّفاق نظر دارند بر این که انعدام عنوان، موجب بطلان وقف و حتّی موجب جواز بیع آن نمی‌شود، هر چند در جواز بیع آن در صورت خرابی اختلاف کرده‌اند؛ امّا خرابی، غیر از تغیّر عنوان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دلیلی برای انعدام عنوان وجود ندارد، زیرا اگر منظور از عنوان چیزی است که 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وَقَفتُ هذَا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مفعول به قرار می گیرد، شکّی نیست که این امر همانند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هذَا الْبُسْتانَ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است که این تملیک به هیچ وجه مقتضی زوال ملکیّت</w:t>
      </w:r>
    </w:p>
    <w:p>
      <w:pPr>
        <w:pStyle w:val="BookText"/>
        <w:rPr/>
      </w:pPr>
      <w:r>
        <w:rPr>
          <w:rFonts w:ascii="IRNazanin" w:hAnsi="IRNazanin" w:eastAsia="IRNazanin"/>
          <w:color w:val="111111"/>
          <w:sz w:val="28"/>
          <w:sz w:val="28"/>
          <w:szCs w:val="28"/>
          <w:rtl w:val="true"/>
          <w:lang w:bidi="fa-IR"/>
        </w:rPr>
        <w:t>مشتری با زوال عنوان بستان،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منظور از عنوان امری دیگر است، از مصطلح اهل عرف و علم خارج است و باید توضیح داده شود که مثلاً بستان بودن آن لحاظ شده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قیاس به بطلان وصیّت در مثال فوق، قیاس مع الفارق است، زیرا قبل از مرگ موصی هنوز وصیّت تمام 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 مقایسه کند، </w:t>
      </w:r>
    </w:p>
    <w:p>
      <w:pPr>
        <w:pStyle w:val="BookText"/>
        <w:rPr/>
      </w:pPr>
      <w:r>
        <w:rPr>
          <w:rFonts w:ascii="IRNazanin" w:hAnsi="IRNazanin" w:eastAsia="IRNazanin"/>
          <w:color w:val="111111"/>
          <w:sz w:val="28"/>
          <w:sz w:val="28"/>
          <w:szCs w:val="28"/>
          <w:rtl w:val="true"/>
          <w:lang w:bidi="fa-IR"/>
        </w:rPr>
        <w:t xml:space="preserve">باید مورد بحث را به‌وصیّت بعد از مرگ موصی مقایسه کند و روشن است که در آن صورت کسی ملتزم به بطلان آن با ویرانی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Style w:val="FootnoteAnchor"/>
          <w:rtl w:val="true"/>
        </w:rPr>
        <w:footnoteReference w:id="1392"/>
      </w:r>
    </w:p>
    <w:p>
      <w:pPr>
        <w:pStyle w:val="BookText"/>
        <w:rPr/>
      </w:pPr>
      <w:r>
        <w:rPr>
          <w:rFonts w:ascii="IRNazanin" w:hAnsi="IRNazanin" w:eastAsia="IRNazanin"/>
          <w:color w:val="111111"/>
          <w:sz w:val="28"/>
          <w:sz w:val="28"/>
          <w:szCs w:val="28"/>
          <w:rtl w:val="true"/>
          <w:lang w:bidi="fa-IR"/>
        </w:rPr>
        <w:t>صاحب عروه ضمن نقل بیانِ این دو بزرگوار به تضعیف ایراد شیخ پرداخته و یادآور شده است که بین وقف بستان به طور مطلق و وقف آن با عنوان بستان بودن فرق است</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ascii="IRNazanin" w:hAnsi="IRNazanin" w:eastAsia="IRNazanin"/>
          <w:color w:val="111111"/>
          <w:sz w:val="28"/>
          <w:sz w:val="28"/>
          <w:szCs w:val="28"/>
          <w:rtl w:val="true"/>
          <w:lang w:bidi="fa-IR"/>
        </w:rPr>
        <w:t>به نظر می‌رسد که نزاع بین صاحب جواهر و شیخ بیش از آن که معنوی باشد، لفظی است؛ زیرا در صورتی که واقف بستانی را بدون هیچ قید و لحاظی، به طور مطلق، وقف کند، صاحب جواهر نیز قبول دارد که با ویرانی بستان، عرصه از وقف بودن خارج نمی‌شود و در صورتی که واقف، عنوان بستان بودن را لحاظ کند و لحاظ کردن این عنوان محرز شود، مثل این که لفظا تأکید و تصریح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این مال را با عنوان بستان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کردم، ظاهرا شیخ انصاری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از عبارت وی نیز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مخالفتی با بطلان وقف عرصه بعد از زوال عنوان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صورت آنچه وقف شده اشجار است نه عرصه و گر نه ممکن است در صحّت وقف تأمّل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وقف منقطع شباهت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هست این است که فرض مورد بحث و نظر صاحب جواهر که کسی مالی را این گونه و با این لحاظ وقف کند، فرض نادری است و به تعبیر شیخ از مصطلح اهل عرف و علم،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یاظن به خرابی وقف در صورت بقای آن</w:t>
      </w:r>
    </w:p>
    <w:p>
      <w:pPr>
        <w:pStyle w:val="BookText"/>
        <w:rPr/>
      </w:pPr>
      <w:r>
        <w:rPr>
          <w:rFonts w:ascii="IRNazanin" w:hAnsi="IRNazanin" w:eastAsia="IRNazanin"/>
          <w:color w:val="111111"/>
          <w:sz w:val="28"/>
          <w:sz w:val="28"/>
          <w:szCs w:val="28"/>
          <w:rtl w:val="true"/>
          <w:lang w:bidi="fa-IR"/>
        </w:rPr>
        <w:t xml:space="preserve">این مورد در عبارت بسیاری از اصحاب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خرابی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سبزواری در کفایه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اصحاب در این جا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جواز بیع، وجود اختلاف و خوف خرابی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 اند و برخی به یکی از این دو اکتفا کرده‌اند</w:t>
      </w:r>
      <w:r>
        <w:rPr>
          <w:rFonts w:eastAsia="IRNazanin" w:cs="IRNazanin"/>
          <w:color w:val="111111"/>
          <w:sz w:val="28"/>
          <w:szCs w:val="28"/>
          <w:rtl w:val="true"/>
          <w:lang w:bidi="fa-IR"/>
        </w:rPr>
        <w:t>.</w:t>
      </w:r>
      <w:r>
        <w:rPr>
          <w:rStyle w:val="FootnoteAnchor"/>
          <w:rtl w:val="true"/>
        </w:rPr>
        <w:footnoteReference w:id="1394"/>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w:t>
      </w:r>
      <w:r>
        <w:rPr>
          <w:rStyle w:val="FootnoteAnchor"/>
          <w:rtl w:val="true"/>
        </w:rPr>
        <w:footnoteReference w:id="1395"/>
      </w:r>
      <w:r>
        <w:rPr>
          <w:rFonts w:ascii="IRNazanin" w:hAnsi="IRNazanin" w:eastAsia="IRNazanin"/>
          <w:color w:val="111111"/>
          <w:sz w:val="28"/>
          <w:sz w:val="28"/>
          <w:szCs w:val="28"/>
          <w:rtl w:val="true"/>
          <w:lang w:bidi="fa-IR"/>
        </w:rPr>
        <w:t>و شهید</w:t>
      </w:r>
      <w:r>
        <w:rPr>
          <w:rStyle w:val="FootnoteAnchor"/>
          <w:rtl w:val="true"/>
        </w:rPr>
        <w:footnoteReference w:id="1396"/>
      </w:r>
      <w:r>
        <w:rPr>
          <w:rFonts w:ascii="IRNazanin" w:hAnsi="IRNazanin" w:eastAsia="IRNazanin"/>
          <w:color w:val="111111"/>
          <w:sz w:val="28"/>
          <w:sz w:val="28"/>
          <w:szCs w:val="28"/>
          <w:rtl w:val="true"/>
          <w:lang w:bidi="fa-IR"/>
        </w:rPr>
        <w:t>تصریح کرده اند که با خوف خرابی وقف، بیع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p>
    <w:p>
      <w:pPr>
        <w:pStyle w:val="BookText"/>
        <w:rPr/>
      </w:pPr>
      <w:r>
        <w:rPr>
          <w:rFonts w:ascii="IRNazanin" w:hAnsi="IRNazanin" w:eastAsia="IRNazanin"/>
          <w:color w:val="111111"/>
          <w:sz w:val="28"/>
          <w:sz w:val="28"/>
          <w:szCs w:val="28"/>
          <w:rtl w:val="true"/>
          <w:lang w:bidi="fa-IR"/>
        </w:rPr>
        <w:t>در قواعد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َختلافی واقع شود که موجب خوف خرابی وقف باشد، بیع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هیچ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و خوف خرابی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بیع جایز نخواهد بود</w:t>
      </w:r>
      <w:r>
        <w:rPr>
          <w:rFonts w:eastAsia="IRNazanin" w:cs="IRNazanin"/>
          <w:color w:val="111111"/>
          <w:sz w:val="28"/>
          <w:szCs w:val="28"/>
          <w:rtl w:val="true"/>
          <w:lang w:bidi="fa-IR"/>
        </w:rPr>
        <w:t>.</w:t>
      </w:r>
      <w:r>
        <w:rPr>
          <w:rStyle w:val="FootnoteAnchor"/>
          <w:rtl w:val="true"/>
        </w:rPr>
        <w:footnoteReference w:id="1397"/>
      </w:r>
    </w:p>
    <w:p>
      <w:pPr>
        <w:pStyle w:val="BookText"/>
        <w:rPr/>
      </w:pPr>
      <w:r>
        <w:rPr>
          <w:rFonts w:ascii="IRNazanin" w:hAnsi="IRNazanin" w:eastAsia="IRNazanin"/>
          <w:color w:val="111111"/>
          <w:sz w:val="28"/>
          <w:sz w:val="28"/>
          <w:szCs w:val="28"/>
          <w:rtl w:val="true"/>
          <w:lang w:bidi="fa-IR"/>
        </w:rPr>
        <w:t xml:space="preserve">هر چند در این عبارت،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 مطرح شده امّا کاملاً آشکار است که مجوّز اصلی بیع در این بیان، خوف خرابی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محقّق در شرایع نیز مشابه عبارتِ علاّمه در قواعد است</w:t>
      </w:r>
      <w:r>
        <w:rPr>
          <w:rFonts w:eastAsia="IRNazanin" w:cs="IRNazanin"/>
          <w:color w:val="111111"/>
          <w:sz w:val="28"/>
          <w:szCs w:val="28"/>
          <w:rtl w:val="true"/>
          <w:lang w:bidi="fa-IR"/>
        </w:rPr>
        <w:t>.</w:t>
      </w:r>
      <w:r>
        <w:rPr>
          <w:rStyle w:val="FootnoteAnchor"/>
          <w:rtl w:val="true"/>
        </w:rPr>
        <w:footnoteReference w:id="1398"/>
      </w:r>
      <w:r>
        <w:rPr>
          <w:rFonts w:ascii="IRNazanin" w:hAnsi="IRNazanin" w:eastAsia="IRNazanin"/>
          <w:color w:val="111111"/>
          <w:sz w:val="28"/>
          <w:sz w:val="28"/>
          <w:szCs w:val="28"/>
          <w:rtl w:val="true"/>
          <w:lang w:bidi="fa-IR"/>
        </w:rPr>
        <w:t xml:space="preserve">وی در مختصر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وقف، جز در صورتی که اختلافِ موجب خرابی</w:t>
      </w:r>
    </w:p>
    <w:p>
      <w:pPr>
        <w:pStyle w:val="BookText"/>
        <w:rPr/>
      </w:pPr>
      <w:r>
        <w:rPr>
          <w:rFonts w:ascii="IRNazanin" w:hAnsi="IRNazanin" w:eastAsia="IRNazanin"/>
          <w:color w:val="111111"/>
          <w:sz w:val="28"/>
          <w:sz w:val="28"/>
          <w:szCs w:val="28"/>
          <w:rtl w:val="true"/>
          <w:lang w:bidi="fa-IR"/>
        </w:rPr>
        <w:t>پیش آید، جایز نیست،</w:t>
      </w:r>
      <w:r>
        <w:rPr>
          <w:rStyle w:val="FootnoteAnchor"/>
          <w:rtl w:val="true"/>
        </w:rPr>
        <w:footnoteReference w:id="1399"/>
      </w:r>
      <w:r>
        <w:rPr>
          <w:rFonts w:ascii="IRNazanin" w:hAnsi="IRNazanin" w:eastAsia="IRNazanin"/>
          <w:color w:val="111111"/>
          <w:sz w:val="28"/>
          <w:sz w:val="28"/>
          <w:szCs w:val="28"/>
          <w:rtl w:val="true"/>
          <w:lang w:bidi="fa-IR"/>
        </w:rPr>
        <w:t>فاضل آبی در ذیل این عبارت، آن را نیکو و قریب شمرده است</w:t>
      </w:r>
      <w:r>
        <w:rPr>
          <w:rFonts w:eastAsia="IRNazanin" w:cs="IRNazanin"/>
          <w:color w:val="111111"/>
          <w:sz w:val="28"/>
          <w:szCs w:val="28"/>
          <w:rtl w:val="true"/>
          <w:lang w:bidi="fa-IR"/>
        </w:rPr>
        <w:t>.</w:t>
      </w:r>
      <w:r>
        <w:rPr>
          <w:rStyle w:val="FootnoteAnchor"/>
          <w:rtl w:val="true"/>
        </w:rPr>
        <w:footnoteReference w:id="1400"/>
      </w:r>
    </w:p>
    <w:p>
      <w:pPr>
        <w:pStyle w:val="BookText"/>
        <w:rPr/>
      </w:pPr>
      <w:r>
        <w:rPr>
          <w:rFonts w:ascii="IRNazanin" w:hAnsi="IRNazanin" w:eastAsia="IRNazanin"/>
          <w:color w:val="111111"/>
          <w:sz w:val="28"/>
          <w:sz w:val="28"/>
          <w:szCs w:val="28"/>
          <w:rtl w:val="true"/>
          <w:lang w:bidi="fa-IR"/>
        </w:rPr>
        <w:t>در مفتاح الکرامه عبارات اصحاب به چهار دسته تقسیم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خوف خرابی را مطرح کرده اند، برخی خوف ناشی از اختلاف بین ارباب وقف را، گروه سوم</w:t>
      </w:r>
    </w:p>
    <w:p>
      <w:pPr>
        <w:pStyle w:val="BookText"/>
        <w:rPr/>
      </w:pPr>
      <w:r>
        <w:rPr>
          <w:rFonts w:ascii="IRNazanin" w:hAnsi="IRNazanin" w:eastAsia="IRNazanin"/>
          <w:color w:val="111111"/>
          <w:sz w:val="28"/>
          <w:sz w:val="28"/>
          <w:szCs w:val="28"/>
          <w:rtl w:val="true"/>
          <w:lang w:bidi="fa-IR"/>
        </w:rPr>
        <w:t xml:space="preserve">صورت خرابی و دسته چهارم صورتی را که بقای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خرابی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بیع را در صورت خوف خرابی مسبّب اختلاف بین ارباب وقف، تجویز کرده است، علاّمه در ارشاد است</w:t>
      </w:r>
      <w:r>
        <w:rPr>
          <w:rFonts w:eastAsia="IRNazanin" w:cs="IRNazanin"/>
          <w:color w:val="111111"/>
          <w:sz w:val="28"/>
          <w:szCs w:val="28"/>
          <w:rtl w:val="true"/>
          <w:lang w:bidi="fa-IR"/>
        </w:rPr>
        <w:t>.</w:t>
      </w:r>
      <w:r>
        <w:rPr>
          <w:rStyle w:val="FootnoteAnchor"/>
          <w:rtl w:val="true"/>
        </w:rPr>
        <w:footnoteReference w:id="1401"/>
      </w:r>
      <w:r>
        <w:rPr>
          <w:rFonts w:ascii="Amiri" w:hAnsi="Amiri" w:eastAsia="Amiri" w:cs="Amiri"/>
          <w:color w:val="111111"/>
          <w:sz w:val="28"/>
          <w:sz w:val="28"/>
          <w:szCs w:val="28"/>
          <w:rtl w:val="true"/>
          <w:lang w:bidi="ar-SA"/>
        </w:rPr>
        <w:t>علاّمه</w:t>
      </w:r>
    </w:p>
    <w:p>
      <w:pPr>
        <w:pStyle w:val="BookText"/>
        <w:rPr/>
      </w:pPr>
      <w:r>
        <w:rPr>
          <w:rFonts w:ascii="IRNazanin" w:hAnsi="IRNazanin" w:eastAsia="IRNazanin"/>
          <w:color w:val="111111"/>
          <w:sz w:val="28"/>
          <w:sz w:val="28"/>
          <w:szCs w:val="28"/>
          <w:rtl w:val="true"/>
          <w:lang w:bidi="fa-IR"/>
        </w:rPr>
        <w:t>در تحریر نیز ضمن بیان این مطلب،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نیز آن را روایت کرده اند، هر چند ابن ادریس به‌هیچ وجه بیع را جایز نمی داند</w:t>
      </w:r>
      <w:r>
        <w:rPr>
          <w:rFonts w:eastAsia="IRNazanin" w:cs="IRNazanin"/>
          <w:color w:val="111111"/>
          <w:sz w:val="28"/>
          <w:szCs w:val="28"/>
          <w:rtl w:val="true"/>
          <w:lang w:bidi="fa-IR"/>
        </w:rPr>
        <w:t>.</w:t>
      </w:r>
      <w:r>
        <w:rPr>
          <w:rStyle w:val="FootnoteAnchor"/>
          <w:rtl w:val="true"/>
        </w:rPr>
        <w:footnoteReference w:id="1402"/>
      </w:r>
    </w:p>
    <w:p>
      <w:pPr>
        <w:pStyle w:val="BookText"/>
        <w:rPr/>
      </w:pPr>
      <w:r>
        <w:rPr>
          <w:rFonts w:ascii="IRNazanin" w:hAnsi="IRNazanin" w:eastAsia="IRNazanin"/>
          <w:color w:val="111111"/>
          <w:sz w:val="28"/>
          <w:sz w:val="28"/>
          <w:szCs w:val="28"/>
          <w:rtl w:val="true"/>
          <w:lang w:bidi="fa-IR"/>
        </w:rPr>
        <w:t>به هر حال بسیاری از اصحاب، خوف خرابی یا خوف ناشی از اختلاف را مجوّز بیع آن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طور که شیخ انصاری اظهار داشته است؛ اگر مال وقف بعد از</w:t>
      </w:r>
    </w:p>
    <w:p>
      <w:pPr>
        <w:pStyle w:val="BookText"/>
        <w:rPr/>
      </w:pPr>
      <w:r>
        <w:rPr>
          <w:rFonts w:ascii="IRNazanin" w:hAnsi="IRNazanin" w:eastAsia="IRNazanin"/>
          <w:color w:val="111111"/>
          <w:sz w:val="28"/>
          <w:sz w:val="28"/>
          <w:szCs w:val="28"/>
          <w:rtl w:val="true"/>
          <w:lang w:bidi="fa-IR"/>
        </w:rPr>
        <w:t>خرابی همانند سابق یا پیش از آن قابل انتفاع باشد، بیع جایز نخواهد بود، امّا اگر خوف</w:t>
      </w:r>
    </w:p>
    <w:p>
      <w:pPr>
        <w:pStyle w:val="BookText"/>
        <w:rPr/>
      </w:pPr>
      <w:r>
        <w:rPr>
          <w:rFonts w:ascii="IRNazanin" w:hAnsi="IRNazanin" w:eastAsia="IRNazanin"/>
          <w:color w:val="111111"/>
          <w:sz w:val="28"/>
          <w:sz w:val="28"/>
          <w:szCs w:val="28"/>
          <w:rtl w:val="true"/>
          <w:lang w:bidi="fa-IR"/>
        </w:rPr>
        <w:t>خرابی و سقوط آن از انتفاع به طور کلّی یا شبه آن باشد، بیع جایز است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جواز بیع در این صورت این است که غرض از عدم بیع وقف، عدم انقطاع شخص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هر گاه علم یا ظنّ به انقطاع شخص آن حاصل شود امر دایر </w:t>
      </w:r>
    </w:p>
    <w:p>
      <w:pPr>
        <w:pStyle w:val="BookText"/>
        <w:rPr/>
      </w:pPr>
      <w:r>
        <w:rPr>
          <w:rFonts w:ascii="IRNazanin" w:hAnsi="IRNazanin" w:eastAsia="IRNazanin"/>
          <w:color w:val="111111"/>
          <w:sz w:val="28"/>
          <w:sz w:val="28"/>
          <w:szCs w:val="28"/>
          <w:rtl w:val="true"/>
          <w:lang w:bidi="fa-IR"/>
        </w:rPr>
        <w:t>می شود بین انقطاع شخص و نوع و بین انقطاع شخص فقط و بقای نوع، و روشن است که فرض دوم دارای اولویّت است و با غرض واقف هم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شرعیّه مانع از</w:t>
      </w:r>
    </w:p>
    <w:p>
      <w:pPr>
        <w:pStyle w:val="BookText"/>
        <w:rPr/>
      </w:pPr>
      <w:r>
        <w:rPr>
          <w:rFonts w:ascii="IRNazanin" w:hAnsi="IRNazanin" w:eastAsia="IRNazanin"/>
          <w:color w:val="111111"/>
          <w:sz w:val="28"/>
          <w:sz w:val="28"/>
          <w:szCs w:val="28"/>
          <w:rtl w:val="true"/>
          <w:lang w:bidi="fa-IR"/>
        </w:rPr>
        <w:t>بیع نیز از این صورت منصرفند و این مورد را شامل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می‌ماند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فرض این است که بطن موجود اذن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غیر موجود نیز ناظر خاصّ یا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می گیرد و اذن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موجب خوفِ تلف مال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اختلافی که با آن از تلف مال یا نفس و یا بروز ضرر عظیم ایمن نباشیم، هر چند علم و یا ظن به چنین چیزی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در این صوت نیز بیع وقف را جایز ندانسته است</w:t>
      </w:r>
      <w:r>
        <w:rPr>
          <w:rFonts w:eastAsia="IRNazanin" w:cs="IRNazanin"/>
          <w:color w:val="111111"/>
          <w:sz w:val="28"/>
          <w:szCs w:val="28"/>
          <w:rtl w:val="true"/>
          <w:lang w:bidi="fa-IR"/>
        </w:rPr>
        <w:t>.</w:t>
      </w:r>
      <w:r>
        <w:rPr>
          <w:rStyle w:val="FootnoteAnchor"/>
          <w:rtl w:val="true"/>
        </w:rPr>
        <w:footnoteReference w:id="1403"/>
      </w:r>
      <w:r>
        <w:rPr>
          <w:rFonts w:ascii="IRNazanin" w:hAnsi="IRNazanin" w:eastAsia="IRNazanin"/>
          <w:color w:val="111111"/>
          <w:sz w:val="28"/>
          <w:sz w:val="28"/>
          <w:szCs w:val="28"/>
          <w:rtl w:val="true"/>
          <w:lang w:bidi="fa-IR"/>
        </w:rPr>
        <w:t>شیخ در نهایه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موارد بیع وقف صورتی است که خوف وقوع اختلافی باشد که به‌ایجاد فساد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می شود</w:t>
      </w:r>
      <w:r>
        <w:rPr>
          <w:rFonts w:eastAsia="IRNazanin" w:cs="IRNazanin"/>
          <w:color w:val="111111"/>
          <w:sz w:val="28"/>
          <w:szCs w:val="28"/>
          <w:rtl w:val="true"/>
          <w:lang w:bidi="fa-IR"/>
        </w:rPr>
        <w:t>.</w:t>
      </w:r>
      <w:r>
        <w:rPr>
          <w:rStyle w:val="FootnoteAnchor"/>
          <w:rtl w:val="true"/>
        </w:rPr>
        <w:footnoteReference w:id="1404"/>
      </w:r>
      <w:r>
        <w:rPr>
          <w:rFonts w:ascii="IRNazanin" w:hAnsi="IRNazanin" w:eastAsia="IRNazanin"/>
          <w:color w:val="111111"/>
          <w:sz w:val="28"/>
          <w:sz w:val="28"/>
          <w:szCs w:val="28"/>
          <w:rtl w:val="true"/>
          <w:lang w:bidi="fa-IR"/>
        </w:rPr>
        <w:t>علاّمه در تذکره نیز یکی از موارد جواز را خوف فتنه‌ای دانسته که موجب فساد جبران</w:t>
      </w:r>
    </w:p>
    <w:p>
      <w:pPr>
        <w:pStyle w:val="BookText"/>
        <w:rPr/>
      </w:pPr>
      <w:r>
        <w:rPr>
          <w:rFonts w:ascii="IRNazanin" w:hAnsi="IRNazanin" w:eastAsia="IRNazanin"/>
          <w:color w:val="111111"/>
          <w:sz w:val="28"/>
          <w:sz w:val="28"/>
          <w:szCs w:val="28"/>
          <w:rtl w:val="true"/>
          <w:lang w:bidi="fa-IR"/>
        </w:rPr>
        <w:t>ناپذیر می شود</w:t>
      </w:r>
      <w:r>
        <w:rPr>
          <w:rFonts w:eastAsia="IRNazanin" w:cs="IRNazanin"/>
          <w:color w:val="111111"/>
          <w:sz w:val="28"/>
          <w:szCs w:val="28"/>
          <w:rtl w:val="true"/>
          <w:lang w:bidi="fa-IR"/>
        </w:rPr>
        <w:t>.</w:t>
      </w:r>
      <w:r>
        <w:rPr>
          <w:rStyle w:val="FootnoteAnchor"/>
          <w:rtl w:val="true"/>
        </w:rPr>
        <w:footnoteReference w:id="1405"/>
      </w:r>
      <w:r>
        <w:rPr>
          <w:rFonts w:ascii="IRNazanin" w:hAnsi="IRNazanin" w:eastAsia="IRNazanin"/>
          <w:color w:val="111111"/>
          <w:sz w:val="28"/>
          <w:sz w:val="28"/>
          <w:szCs w:val="28"/>
          <w:rtl w:val="true"/>
          <w:lang w:bidi="fa-IR"/>
        </w:rPr>
        <w:t>ابن سعید حلّی خوف فتنه موجب تلف انفس را مجوّز بیع دانسته است</w:t>
      </w:r>
      <w:r>
        <w:rPr>
          <w:rFonts w:eastAsia="IRNazanin" w:cs="IRNazanin"/>
          <w:color w:val="111111"/>
          <w:sz w:val="28"/>
          <w:szCs w:val="28"/>
          <w:rtl w:val="true"/>
          <w:lang w:bidi="fa-IR"/>
        </w:rPr>
        <w:t>.</w:t>
      </w:r>
      <w:r>
        <w:rPr>
          <w:rStyle w:val="FootnoteAnchor"/>
          <w:rtl w:val="true"/>
        </w:rPr>
        <w:footnoteReference w:id="1406"/>
      </w:r>
      <w:r>
        <w:rPr>
          <w:rFonts w:ascii="IRNazanin" w:hAnsi="IRNazanin" w:eastAsia="IRNazanin"/>
          <w:color w:val="111111"/>
          <w:sz w:val="28"/>
          <w:sz w:val="28"/>
          <w:szCs w:val="28"/>
          <w:rtl w:val="true"/>
          <w:lang w:bidi="fa-IR"/>
        </w:rPr>
        <w:t>علاّمه در مختلف</w:t>
      </w:r>
      <w:r>
        <w:rPr>
          <w:rStyle w:val="FootnoteAnchor"/>
          <w:rtl w:val="true"/>
        </w:rPr>
        <w:footnoteReference w:id="1407"/>
      </w:r>
      <w:r>
        <w:rPr>
          <w:rFonts w:ascii="IRNazanin" w:hAnsi="IRNazanin" w:eastAsia="IRNazanin"/>
          <w:color w:val="111111"/>
          <w:sz w:val="28"/>
          <w:sz w:val="28"/>
          <w:szCs w:val="28"/>
          <w:rtl w:val="true"/>
          <w:lang w:bidi="fa-IR"/>
        </w:rPr>
        <w:t>، محقّق در مختصر؛</w:t>
      </w:r>
      <w:r>
        <w:rPr>
          <w:rStyle w:val="FootnoteAnchor"/>
          <w:rtl w:val="true"/>
        </w:rPr>
        <w:footnoteReference w:id="1408"/>
      </w:r>
      <w:r>
        <w:rPr>
          <w:rFonts w:ascii="IRNazanin" w:hAnsi="IRNazanin" w:eastAsia="IRNazanin"/>
          <w:color w:val="111111"/>
          <w:sz w:val="28"/>
          <w:sz w:val="28"/>
          <w:szCs w:val="28"/>
          <w:rtl w:val="true"/>
          <w:lang w:bidi="fa-IR"/>
        </w:rPr>
        <w:t>شهید در دروس</w:t>
      </w:r>
      <w:r>
        <w:rPr>
          <w:rStyle w:val="FootnoteAnchor"/>
          <w:rtl w:val="true"/>
        </w:rPr>
        <w:footnoteReference w:id="1409"/>
      </w:r>
      <w:r>
        <w:rPr>
          <w:rFonts w:ascii="Amiri" w:hAnsi="Amiri" w:eastAsia="Amiri" w:cs="Amiri"/>
          <w:color w:val="111111"/>
          <w:sz w:val="28"/>
          <w:sz w:val="28"/>
          <w:szCs w:val="28"/>
          <w:rtl w:val="true"/>
          <w:lang w:bidi="ar-SA"/>
        </w:rPr>
        <w:t>محقّق ثانی</w:t>
      </w:r>
      <w:r>
        <w:rPr>
          <w:rStyle w:val="FootnoteAnchor"/>
          <w:rtl w:val="true"/>
        </w:rPr>
        <w:footnoteReference w:id="1410"/>
      </w:r>
      <w:r>
        <w:rPr>
          <w:rFonts w:ascii="IRNazanin" w:hAnsi="IRNazanin" w:eastAsia="IRNazanin"/>
          <w:color w:val="111111"/>
          <w:sz w:val="28"/>
          <w:sz w:val="28"/>
          <w:szCs w:val="28"/>
          <w:rtl w:val="true"/>
          <w:lang w:bidi="fa-IR"/>
        </w:rPr>
        <w:t>و صاحب وسیله</w:t>
      </w:r>
      <w:r>
        <w:rPr>
          <w:rStyle w:val="FootnoteAnchor"/>
          <w:rtl w:val="true"/>
        </w:rPr>
        <w:footnoteReference w:id="1411"/>
      </w:r>
      <w:r>
        <w:rPr>
          <w:rFonts w:ascii="IRNazanin" w:hAnsi="IRNazanin" w:eastAsia="IRNazanin"/>
          <w:color w:val="111111"/>
          <w:sz w:val="28"/>
          <w:sz w:val="28"/>
          <w:szCs w:val="28"/>
          <w:rtl w:val="true"/>
          <w:lang w:bidi="fa-IR"/>
        </w:rPr>
        <w:t>با عباراتی مشابه همین بیان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جواز را در صورت اختلافی که در آن خوف فتنه و خرابی باشد و سدّ فتنه جز با بیع ممکن نباشد، اَشهر دانسته است</w:t>
      </w:r>
      <w:r>
        <w:rPr>
          <w:rStyle w:val="FootnoteAnchor"/>
          <w:rtl w:val="true"/>
        </w:rPr>
        <w:footnoteReference w:id="1412"/>
      </w:r>
      <w:r>
        <w:rPr>
          <w:rFonts w:ascii="IRNazanin" w:hAnsi="IRNazanin" w:eastAsia="IRNazanin"/>
          <w:color w:val="111111"/>
          <w:sz w:val="28"/>
          <w:sz w:val="28"/>
          <w:szCs w:val="28"/>
          <w:rtl w:val="true"/>
          <w:lang w:bidi="fa-IR"/>
        </w:rPr>
        <w:t>مفهوم این عبارت این است که قول به عدم جواز نیز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این مسأله دو قول مطرح است؛ جواز و عدم جواز بیع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مجوّزین</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وقف، استیفای منافع آن است و در صورتی که این امر ممکن نباشد باید </w:t>
      </w:r>
    </w:p>
    <w:p>
      <w:pPr>
        <w:pStyle w:val="BookText"/>
        <w:rPr/>
      </w:pPr>
      <w:r>
        <w:rPr>
          <w:rFonts w:ascii="IRNazanin" w:hAnsi="IRNazanin" w:eastAsia="IRNazanin"/>
          <w:color w:val="111111"/>
          <w:sz w:val="28"/>
          <w:sz w:val="28"/>
          <w:szCs w:val="28"/>
          <w:rtl w:val="true"/>
          <w:lang w:bidi="fa-IR"/>
        </w:rPr>
        <w:t>آن را از این حد خارج ساخت؛ زیرا بقای عین با تعطیل منافع موجب تضییع غرض واقف از وقف است</w:t>
      </w:r>
      <w:r>
        <w:rPr>
          <w:rFonts w:eastAsia="IRNazanin" w:cs="IRNazanin"/>
          <w:color w:val="111111"/>
          <w:sz w:val="28"/>
          <w:szCs w:val="28"/>
          <w:rtl w:val="true"/>
          <w:lang w:bidi="fa-IR"/>
        </w:rPr>
        <w:t>.</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دلیل مجوّزین، صحیحه علی بن مهزیار از امام جواد علیه‌السلاماست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w:t>
      </w:r>
    </w:p>
    <w:p>
      <w:pPr>
        <w:pStyle w:val="BookText"/>
        <w:rPr/>
      </w:pPr>
      <w:r>
        <w:rPr>
          <w:rFonts w:ascii="IRNazanin" w:hAnsi="IRNazanin" w:eastAsia="IRNazanin"/>
          <w:color w:val="111111"/>
          <w:sz w:val="28"/>
          <w:sz w:val="28"/>
          <w:szCs w:val="28"/>
          <w:rtl w:val="true"/>
          <w:lang w:bidi="fa-IR"/>
        </w:rPr>
        <w:t>مهزیار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واقف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در این مکاتبه به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اظهار داشته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اختلافی شدید رخ داده و او از این که این اختلاف تشدید شود، ایمن نیست؛ اگر شما اجازه می دهید این وقف را بفروشد و سهم و حصه هر یک را به خودشان تحویل دهد؟ حضرت در پاسخ به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اعلان کن که نظر من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اختلافی بین صاحبان وقف رخ داده باشد، بیع آن سزاوارتر است، زیرا چه بسا این اختلاف موجب تلف اموال و نفوس شود</w:t>
      </w:r>
      <w:r>
        <w:rPr>
          <w:rFonts w:eastAsia="IRNazanin" w:cs="IRNazanin"/>
          <w:color w:val="111111"/>
          <w:sz w:val="28"/>
          <w:szCs w:val="28"/>
          <w:rtl w:val="true"/>
          <w:lang w:bidi="fa-IR"/>
        </w:rPr>
        <w:t>».</w:t>
      </w:r>
      <w:r>
        <w:rPr>
          <w:rStyle w:val="FootnoteAnchor"/>
          <w:rtl w:val="true"/>
        </w:rPr>
        <w:footnoteReference w:id="1414"/>
      </w:r>
    </w:p>
    <w:p>
      <w:pPr>
        <w:pStyle w:val="BookText"/>
        <w:rPr/>
      </w:pPr>
      <w:r>
        <w:rPr>
          <w:rFonts w:ascii="IRNazanin" w:hAnsi="IRNazanin" w:eastAsia="IRNazanin"/>
          <w:color w:val="111111"/>
          <w:sz w:val="28"/>
          <w:sz w:val="28"/>
          <w:szCs w:val="28"/>
          <w:rtl w:val="true"/>
          <w:lang w:bidi="fa-IR"/>
        </w:rPr>
        <w:t>شهیدثانی در مسالک ضمن استدلال به این صحیحه یادآور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خوف منجر شدن به تلف اموال و نفوس شرط نیست، بلکه همان قدر که در معرض چنین خوفی باشد کافی است</w:t>
      </w:r>
      <w:r>
        <w:rPr>
          <w:rFonts w:eastAsia="IRNazanin" w:cs="IRNazanin"/>
          <w:color w:val="111111"/>
          <w:sz w:val="28"/>
          <w:szCs w:val="28"/>
          <w:rtl w:val="true"/>
          <w:lang w:bidi="fa-IR"/>
        </w:rPr>
        <w:t>.</w:t>
      </w:r>
      <w:r>
        <w:rPr>
          <w:rStyle w:val="FootnoteAnchor"/>
          <w:rtl w:val="true"/>
        </w:rPr>
        <w:footnoteReference w:id="1415"/>
      </w:r>
    </w:p>
    <w:p>
      <w:pPr>
        <w:pStyle w:val="BookText"/>
        <w:rPr/>
      </w:pPr>
      <w:r>
        <w:rPr>
          <w:rFonts w:ascii="IRNazanin" w:hAnsi="IRNazanin" w:eastAsia="IRNazanin"/>
          <w:color w:val="111111"/>
          <w:sz w:val="28"/>
          <w:sz w:val="28"/>
          <w:szCs w:val="28"/>
          <w:rtl w:val="true"/>
          <w:lang w:bidi="fa-IR"/>
        </w:rPr>
        <w:t>علاّمه در تذکره</w:t>
      </w:r>
      <w:r>
        <w:rPr>
          <w:rStyle w:val="FootnoteAnchor"/>
          <w:rtl w:val="true"/>
        </w:rPr>
        <w:footnoteReference w:id="1416"/>
      </w:r>
      <w:r>
        <w:rPr>
          <w:rFonts w:ascii="Amiri" w:hAnsi="Amiri" w:eastAsia="Amiri" w:cs="Amiri"/>
          <w:color w:val="111111"/>
          <w:sz w:val="28"/>
          <w:sz w:val="28"/>
          <w:szCs w:val="28"/>
          <w:rtl w:val="true"/>
          <w:lang w:bidi="ar-SA"/>
        </w:rPr>
        <w:t>محقّق ثانی</w:t>
      </w:r>
      <w:r>
        <w:rPr>
          <w:rStyle w:val="FootnoteAnchor"/>
          <w:rtl w:val="true"/>
        </w:rPr>
        <w:footnoteReference w:id="1417"/>
      </w:r>
      <w:r>
        <w:rPr>
          <w:rFonts w:ascii="IRNazanin" w:hAnsi="IRNazanin" w:eastAsia="IRNazanin"/>
          <w:color w:val="111111"/>
          <w:sz w:val="28"/>
          <w:sz w:val="28"/>
          <w:szCs w:val="28"/>
          <w:rtl w:val="true"/>
          <w:lang w:bidi="fa-IR"/>
        </w:rPr>
        <w:t>و صاحب مفتاح</w:t>
      </w:r>
      <w:r>
        <w:rPr>
          <w:rStyle w:val="FootnoteAnchor"/>
          <w:rtl w:val="true"/>
        </w:rPr>
        <w:footnoteReference w:id="1418"/>
      </w:r>
      <w:r>
        <w:rPr>
          <w:rFonts w:ascii="IRNazanin" w:hAnsi="IRNazanin" w:eastAsia="IRNazanin"/>
          <w:color w:val="111111"/>
          <w:sz w:val="28"/>
          <w:sz w:val="28"/>
          <w:szCs w:val="28"/>
          <w:rtl w:val="true"/>
          <w:lang w:bidi="fa-IR"/>
        </w:rPr>
        <w:t>نیز به این صحیحه استدلال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دلالت این صحیحه را ظاهر دانسته و اظهار داشته است که مشهور از آن</w:t>
      </w:r>
    </w:p>
    <w:p>
      <w:pPr>
        <w:pStyle w:val="BookText"/>
        <w:rPr/>
      </w:pPr>
      <w:r>
        <w:rPr>
          <w:rFonts w:ascii="IRNazanin" w:hAnsi="IRNazanin" w:eastAsia="IRNazanin"/>
          <w:color w:val="111111"/>
          <w:sz w:val="28"/>
          <w:sz w:val="28"/>
          <w:szCs w:val="28"/>
          <w:rtl w:val="true"/>
          <w:lang w:bidi="fa-IR"/>
        </w:rPr>
        <w:t>جواز را فهمیده‌اند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روایت هر چند مکاتبه است اما گواهی شخصیّتی چون علی بن مهزیار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با خط خود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 مانعین</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شِراءُالْوَقْفِ وَ لا تَدْخَلُ‌الْغَلَّةُ فی مِلْکِکَ</w:t>
      </w:r>
      <w:r>
        <w:rPr>
          <w:rFonts w:eastAsia="Amiri" w:cs="Amiri" w:ascii="Amiri" w:hAnsi="Amiri"/>
          <w:color w:val="111111"/>
          <w:sz w:val="28"/>
          <w:szCs w:val="28"/>
          <w:rtl w:val="true"/>
          <w:lang w:bidi="ar-SA"/>
        </w:rPr>
        <w:t>»</w:t>
      </w:r>
      <w:r>
        <w:rPr>
          <w:rStyle w:val="FootnoteAnchor"/>
          <w:rtl w:val="true"/>
        </w:rPr>
        <w:footnoteReference w:id="14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خریداری کردن وقف جایز نیست و درآمد آن در ملک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420"/>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که دلالت دارند بر این که وقف را باید رها ساخت تا آن گاه که وارث آسمانها و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ارث برد</w:t>
      </w:r>
      <w:r>
        <w:rPr>
          <w:rFonts w:eastAsia="IRNazanin" w:cs="IRNazanin"/>
          <w:color w:val="111111"/>
          <w:sz w:val="28"/>
          <w:szCs w:val="28"/>
          <w:rtl w:val="true"/>
          <w:lang w:bidi="fa-IR"/>
        </w:rPr>
        <w:t>.</w:t>
      </w:r>
      <w:r>
        <w:rPr>
          <w:rStyle w:val="FootnoteAnchor"/>
          <w:rtl w:val="true"/>
        </w:rPr>
        <w:footnoteReference w:id="14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بقای وقفیّت و عدم ملکیّت کسی که وقف را خریداری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انصاری در مورد روایت علی بن مهزیار، ابتدا به تقریب استدلال به آن برای قول به جواز پرداخته و پس از آن، پاسخ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مقیّد به ایمن نبودن از تلف اموال و نفوس اگر مجوّز بیع باشد، لازمه‌اش جواز بیع در همه مواردی است که از تلف اموال و نفوس ایمن نباشیم، هر چند این امر از ناحیه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در نتیجه باید بیع وقف برای اصلاح هر فتنه ای اگر چه ربطی به وقف نداشته باشد،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دیگر این که مضمون روایت این است که واقف حق دارد ثمن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توزیع کند و این امر بامقتضای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لزوم مشترک بودن بدل وقف بین همه 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روایت را یا بر حبس حمل کرد یا بر وقفی که</w:t>
      </w:r>
    </w:p>
    <w:p>
      <w:pPr>
        <w:pStyle w:val="BookText"/>
        <w:rPr/>
      </w:pPr>
      <w:r>
        <w:rPr>
          <w:rFonts w:ascii="IRNazanin" w:hAnsi="IRNazanin" w:eastAsia="IRNazanin"/>
          <w:color w:val="111111"/>
          <w:sz w:val="28"/>
          <w:sz w:val="28"/>
          <w:szCs w:val="28"/>
          <w:rtl w:val="true"/>
          <w:lang w:bidi="fa-IR"/>
        </w:rPr>
        <w:t>به دلیل عدم حصول قبض ناتمام بوده است؛ چنان که فخر در ایضاح تصریح کرده است</w:t>
      </w:r>
      <w:r>
        <w:rPr>
          <w:rFonts w:eastAsia="IRNazanin" w:cs="IRNazanin"/>
          <w:color w:val="111111"/>
          <w:sz w:val="28"/>
          <w:szCs w:val="28"/>
          <w:rtl w:val="true"/>
          <w:lang w:bidi="fa-IR"/>
        </w:rPr>
        <w:t>.</w:t>
      </w:r>
      <w:r>
        <w:rPr>
          <w:rStyle w:val="FootnoteAnchor"/>
          <w:rtl w:val="true"/>
        </w:rPr>
        <w:footnoteReference w:id="1422"/>
      </w:r>
      <w:r>
        <w:rPr>
          <w:rFonts w:ascii="IRNazanin" w:hAnsi="IRNazanin" w:eastAsia="IRNazanin"/>
          <w:color w:val="111111"/>
          <w:sz w:val="28"/>
          <w:sz w:val="28"/>
          <w:szCs w:val="28"/>
          <w:rtl w:val="true"/>
          <w:lang w:bidi="fa-IR"/>
        </w:rPr>
        <w:t>مؤیّد این مطلب هم این است که طبق روایت، متصدّی بیع وقف خود واقف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نمی‌توان با این روایت باضعف دلالتش، از آن همه عمومات و قواعدی که بر عدم جواز بیع دلالت دارند، دست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در پایان به نکته‌ای اشاره کرده است که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این است که از بین محتملات به قدر مُتیقَّن بین آنها اکتفا کنیم و آن ، موردی</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که اختلاف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علما یا ظنّا به تلف خصوص مال وقف و نفوس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هر مال یا هرکسی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شود وفرق این مورد با آنچه در صورت هشتم گذشت، این است که مناط در صورت هشتم علم یاظنّ به تلف وقف به طور کلّی است، چنان که از همه انتفاعات ساقط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مناط در این صورت علم یا ظنّ به خرابی </w:t>
      </w:r>
    </w:p>
    <w:p>
      <w:pPr>
        <w:pStyle w:val="BookText"/>
        <w:rPr/>
      </w:pPr>
      <w:r>
        <w:rPr>
          <w:rFonts w:ascii="IRNazanin" w:hAnsi="IRNazanin" w:eastAsia="IRNazanin"/>
          <w:color w:val="111111"/>
          <w:sz w:val="28"/>
          <w:sz w:val="28"/>
          <w:szCs w:val="28"/>
          <w:rtl w:val="true"/>
          <w:lang w:bidi="fa-IR"/>
        </w:rPr>
        <w:t>وقف است که با آن مال وقف تلف می شود، هر چند وقف به طور کلی از انتفاع ساقط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موارد نیز تلف ضَیْعه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سقوط آن از منفعت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سقوط از منفعت به طور کلّی</w:t>
      </w:r>
      <w:r>
        <w:rPr>
          <w:rFonts w:eastAsia="IRNazanin" w:cs="IRNazanin"/>
          <w:color w:val="111111"/>
          <w:sz w:val="28"/>
          <w:szCs w:val="28"/>
          <w:rtl w:val="true"/>
          <w:lang w:bidi="fa-IR"/>
        </w:rPr>
        <w:t>)</w:t>
      </w:r>
      <w:r>
        <w:rPr>
          <w:rStyle w:val="FootnoteAnchor"/>
          <w:rtl w:val="true"/>
        </w:rPr>
        <w:footnoteReference w:id="1423"/>
      </w:r>
    </w:p>
    <w:p>
      <w:pPr>
        <w:pStyle w:val="BookText"/>
        <w:rPr/>
      </w:pPr>
      <w:r>
        <w:rPr>
          <w:rFonts w:ascii="IRNazanin" w:hAnsi="IRNazanin" w:eastAsia="IRNazanin"/>
          <w:color w:val="111111"/>
          <w:sz w:val="28"/>
          <w:sz w:val="28"/>
          <w:szCs w:val="28"/>
          <w:rtl w:val="true"/>
          <w:lang w:bidi="fa-IR"/>
        </w:rPr>
        <w:t>ظاهرا شیخ با این نکته پایانی بین روایت علی بن مهزیار به دلیل اعتضاد آن به شهرت فتوایی اصحاب و بین ادلّه و قواعد دلالت کننده بر منع بیع وقف،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می‌توان بر شیخ انصاری ایراد گرفت که حمل روایت بر حبس صحیح نیست، زیرا مضمون روایت، توزیع ثمن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 که در حبس باید ثمن به‌حابس باز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منقطع</w:t>
      </w:r>
    </w:p>
    <w:p>
      <w:pPr>
        <w:pStyle w:val="BookText"/>
        <w:rPr/>
      </w:pPr>
      <w:r>
        <w:rPr>
          <w:rFonts w:ascii="IRNazanin" w:hAnsi="IRNazanin" w:eastAsia="IRNazanin"/>
          <w:color w:val="111111"/>
          <w:sz w:val="28"/>
          <w:sz w:val="28"/>
          <w:szCs w:val="28"/>
          <w:rtl w:val="true"/>
          <w:lang w:bidi="fa-IR"/>
        </w:rPr>
        <w:t xml:space="preserve">این صورت در مبحث شرایط وقف ضمن توضیح شرط تأبید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بحث که آیا وقف منقطع جایز و صحیح است یا نه؟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کسانی که آن را جایز نمی دانند نیز موضوع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بحث جواز و عدم جواز بیع وقف منقطع بعد از قبول جواز و صحّت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ادریس، همان طور که گذشت، در مورد عدم جواز بیع وقف مؤبّد ادّعای عدم خلاف کرده و اختلاف اصحاب را مربوط به وقف منقطع دانسته است</w:t>
      </w:r>
      <w:r>
        <w:rPr>
          <w:rFonts w:eastAsia="IRNazanin" w:cs="IRNazanin"/>
          <w:color w:val="111111"/>
          <w:sz w:val="28"/>
          <w:szCs w:val="28"/>
          <w:rtl w:val="true"/>
          <w:lang w:bidi="fa-IR"/>
        </w:rPr>
        <w:t>.</w:t>
      </w:r>
      <w:r>
        <w:rPr>
          <w:rStyle w:val="FootnoteAnchor"/>
          <w:rtl w:val="true"/>
        </w:rPr>
        <w:footnoteReference w:id="1424"/>
      </w:r>
    </w:p>
    <w:p>
      <w:pPr>
        <w:pStyle w:val="BookText"/>
        <w:rPr/>
      </w:pPr>
      <w:r>
        <w:rPr>
          <w:rFonts w:ascii="IRNazanin" w:hAnsi="IRNazanin" w:eastAsia="IRNazanin"/>
          <w:color w:val="111111"/>
          <w:sz w:val="28"/>
          <w:sz w:val="28"/>
          <w:szCs w:val="28"/>
          <w:rtl w:val="true"/>
          <w:lang w:bidi="fa-IR"/>
        </w:rPr>
        <w:t>صاحب جواهر از صدوق، ابوالصّلاح حَلبی وقاضی ابن بَرّاج نقل کرده است که بین وقف مؤبّد و منقطع تفصیل داده اند و بیع وقف مؤبّد را مطلقا رد کرده اند؛ امّا بیع وقف</w:t>
      </w:r>
    </w:p>
    <w:p>
      <w:pPr>
        <w:pStyle w:val="BookText"/>
        <w:rPr/>
      </w:pPr>
      <w:r>
        <w:rPr>
          <w:rFonts w:ascii="IRNazanin" w:hAnsi="IRNazanin" w:eastAsia="IRNazanin"/>
          <w:color w:val="111111"/>
          <w:sz w:val="28"/>
          <w:sz w:val="28"/>
          <w:szCs w:val="28"/>
          <w:rtl w:val="true"/>
          <w:lang w:bidi="fa-IR"/>
        </w:rPr>
        <w:t>منقطع را در بعضی صور مانند اختلاف ارباب به طوری که موجب نابودی وقف می‌شود یا انفع بودن بیع برای آنها و یا نیاز شدیدشان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دانسته اند</w:t>
      </w:r>
      <w:r>
        <w:rPr>
          <w:rFonts w:eastAsia="IRNazanin" w:cs="IRNazanin"/>
          <w:color w:val="111111"/>
          <w:sz w:val="28"/>
          <w:szCs w:val="28"/>
          <w:rtl w:val="true"/>
          <w:lang w:bidi="fa-IR"/>
        </w:rPr>
        <w:t>.</w:t>
      </w:r>
      <w:r>
        <w:rPr>
          <w:rStyle w:val="FootnoteAnchor"/>
          <w:rtl w:val="true"/>
        </w:rPr>
        <w:footnoteReference w:id="1425"/>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مکاسب ضمن نسبت دادن صحّت وقف منقطع به معروف</w:t>
      </w:r>
      <w:r>
        <w:rPr>
          <w:rStyle w:val="FootnoteAnchor"/>
          <w:rtl w:val="true"/>
        </w:rPr>
        <w:footnoteReference w:id="1426"/>
      </w:r>
      <w:r>
        <w:rPr>
          <w:rFonts w:ascii="IRNazanin" w:hAnsi="IRNazanin" w:eastAsia="IRNazanin"/>
          <w:color w:val="111111"/>
          <w:sz w:val="28"/>
          <w:sz w:val="28"/>
          <w:szCs w:val="28"/>
          <w:rtl w:val="true"/>
          <w:lang w:bidi="fa-IR"/>
        </w:rPr>
        <w:t>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یا عین موقوفه را ملک واقف می دانیم یا ملک موقوفٌ عَلَیْه، اگر آن </w:t>
      </w:r>
      <w:bookmarkStart w:id="827" w:name="pg4267_22123"/>
    </w:p>
    <w:p>
      <w:pPr>
        <w:pStyle w:val="BookText"/>
        <w:rPr/>
      </w:pPr>
      <w:bookmarkEnd w:id="827"/>
      <w:r>
        <w:rPr>
          <w:rFonts w:ascii="IRNazanin" w:hAnsi="IRNazanin" w:eastAsia="IRNazanin"/>
          <w:color w:val="111111"/>
          <w:sz w:val="28"/>
          <w:sz w:val="28"/>
          <w:szCs w:val="28"/>
          <w:rtl w:val="true"/>
          <w:lang w:bidi="fa-IR"/>
        </w:rPr>
        <w:t xml:space="preserve">را ملک واقف بدانیم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مالک نیستند، حق بیع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واقف نیز اشکال است، زیرا زمان تحویل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زمان انقراض موقوف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نیست و موجب لزوم غرر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آن که مال در اختیار او قرار گرفت</w:t>
      </w:r>
    </w:p>
    <w:p>
      <w:pPr>
        <w:pStyle w:val="BookText"/>
        <w:rPr/>
      </w:pPr>
      <w:r>
        <w:rPr>
          <w:rFonts w:ascii="IRNazanin" w:hAnsi="IRNazanin" w:eastAsia="IRNazanin"/>
          <w:color w:val="111111"/>
          <w:sz w:val="28"/>
          <w:sz w:val="28"/>
          <w:szCs w:val="28"/>
          <w:rtl w:val="true"/>
          <w:lang w:bidi="fa-IR"/>
        </w:rPr>
        <w:t>به‌طور مسلّم بیع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در وقف منقطع 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فروش آن برای واقف مسلّما جایز نیست، چون مالک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نیست، چون واقف بقای آن را بر وقفیت تا زمان انقراض آنان در نظر داشته است</w:t>
      </w:r>
      <w:r>
        <w:rPr>
          <w:rFonts w:eastAsia="IRNazanin" w:cs="IRNazanin"/>
          <w:color w:val="111111"/>
          <w:sz w:val="28"/>
          <w:szCs w:val="28"/>
          <w:rtl w:val="true"/>
          <w:lang w:bidi="fa-IR"/>
        </w:rPr>
        <w:t>.</w:t>
      </w:r>
      <w:r>
        <w:rPr>
          <w:rStyle w:val="FootnoteAnchor"/>
          <w:rtl w:val="true"/>
        </w:rPr>
        <w:footnoteReference w:id="1427"/>
      </w:r>
    </w:p>
    <w:p>
      <w:pPr>
        <w:pStyle w:val="BookText"/>
        <w:rPr/>
      </w:pPr>
      <w:r>
        <w:rPr>
          <w:rFonts w:ascii="IRNazanin" w:hAnsi="IRNazanin" w:eastAsia="IRNazanin"/>
          <w:color w:val="111111"/>
          <w:sz w:val="28"/>
          <w:sz w:val="28"/>
          <w:szCs w:val="28"/>
          <w:rtl w:val="true"/>
          <w:lang w:bidi="fa-IR"/>
        </w:rPr>
        <w:t>امام خمینی ضمن استفاده صحّت وقف منقطع از ادلّه ، بیع آن را در بعضی از صور، مانند صورت مالکیت واقف، جایز دانسته است و برای آن چنین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مقتضی، که مالکیت واقف است، موجود و مانع هم مفقود است، زیرا بیع عین با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مال وقف فروخته شده در این صورت</w:t>
      </w:r>
    </w:p>
    <w:p>
      <w:pPr>
        <w:pStyle w:val="BookText"/>
        <w:rPr/>
      </w:pPr>
      <w:r>
        <w:rPr>
          <w:rFonts w:ascii="IRNazanin" w:hAnsi="IRNazanin" w:eastAsia="IRNazanin"/>
          <w:color w:val="111111"/>
          <w:sz w:val="28"/>
          <w:sz w:val="28"/>
          <w:szCs w:val="28"/>
          <w:rtl w:val="true"/>
          <w:lang w:bidi="fa-IR"/>
        </w:rPr>
        <w:t>مانند عین مستأجره فروخته شده است که علی رغم فروش آن ، مستأجر حق دارد تا پایان مدّت اجاره از منافع آن استفاده کند</w:t>
      </w:r>
      <w:r>
        <w:rPr>
          <w:rFonts w:eastAsia="IRNazanin" w:cs="IRNazanin"/>
          <w:color w:val="111111"/>
          <w:sz w:val="28"/>
          <w:szCs w:val="28"/>
          <w:rtl w:val="true"/>
          <w:lang w:bidi="fa-IR"/>
        </w:rPr>
        <w:t>.</w:t>
      </w:r>
      <w:r>
        <w:rPr>
          <w:rStyle w:val="FootnoteAnchor"/>
          <w:rtl w:val="true"/>
        </w:rPr>
        <w:footnoteReference w:id="1428"/>
      </w:r>
    </w:p>
    <w:p>
      <w:pPr>
        <w:pStyle w:val="BookText"/>
        <w:rPr/>
      </w:pPr>
      <w:r>
        <w:rPr>
          <w:rFonts w:ascii="IRNazanin" w:hAnsi="IRNazanin" w:eastAsia="IRNazanin"/>
          <w:color w:val="111111"/>
          <w:sz w:val="28"/>
          <w:sz w:val="28"/>
          <w:szCs w:val="28"/>
          <w:rtl w:val="true"/>
          <w:lang w:bidi="fa-IR"/>
        </w:rPr>
        <w:t>در این جا امام خمینی بحثی نسبتا مفصّلی دارد، امّا چون در گذشته در صحّت وقف منقطع اشکال شد، از سویی در مبحث حبس نیز به بعضی از مباحث آن اشاره خواهد شد، از ادامه و اطاله بیشتر کلام خودداری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 جا می توان گفت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وقف منقطع را جایز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بدانیم، تا زمانی که وقف است مشمول ادلّه و عمومات دلالت کننده بر عدم جواز بیع وقف، جز در صورتهای یاد شده، خواهد بود و بیع آن جایز نخواهد بود و در صورت قول به بقای آن بر ملک واقف در حقیقت همان حبس یا شبیه به آن است که در جای خود به حکم آن اشاره خواهد شد</w:t>
      </w:r>
      <w:r>
        <w:rPr>
          <w:rFonts w:eastAsia="IRNazanin" w:cs="IRNazanin"/>
          <w:color w:val="111111"/>
          <w:sz w:val="28"/>
          <w:szCs w:val="28"/>
          <w:rtl w:val="true"/>
          <w:lang w:bidi="fa-IR"/>
        </w:rPr>
        <w:t>.</w:t>
      </w:r>
    </w:p>
    <w:p>
      <w:pPr>
        <w:pStyle w:val="Heading6"/>
        <w:numPr>
          <w:ilvl w:val="5"/>
          <w:numId w:val="1"/>
        </w:numPr>
        <w:rPr/>
      </w:pPr>
      <w:bookmarkStart w:id="828" w:name="__RefHeading___Toc474507_1479056682"/>
      <w:bookmarkStart w:id="829" w:name="_Toc316"/>
      <w:bookmarkEnd w:id="828"/>
      <w:r>
        <w:rPr>
          <w:rtl w:val="true"/>
        </w:rPr>
        <w:t>نکته‌ای از صاحب عروه</w:t>
      </w:r>
      <w:bookmarkEnd w:id="82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دیدگاه امامیّه در این مبحث را با بیانی از صاحب عروه به پایان می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یادآور شده است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اغراض واقف در وقف حکم قیود و عناوین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گاه از حال واقف معلوم است که غرض وی جماعتی خاص، یا مکان و مورد خاصّی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در موردی که کسی بستان یا مزرعه ای را وقف کرده است اگر از فحوا یا صریح کلامش فهمیده شود که غرض وی به منافع و مالیّت آن تعلّق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شخص و عین این 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بهره‌مند شوند؛ در این فرض اگر تبدیل آن به</w:t>
      </w:r>
    </w:p>
    <w:p>
      <w:pPr>
        <w:pStyle w:val="BookText"/>
        <w:rPr/>
      </w:pPr>
      <w:r>
        <w:rPr>
          <w:rFonts w:ascii="IRNazanin" w:hAnsi="IRNazanin" w:eastAsia="IRNazanin"/>
          <w:color w:val="111111"/>
          <w:sz w:val="28"/>
          <w:sz w:val="28"/>
          <w:szCs w:val="28"/>
          <w:rtl w:val="true"/>
          <w:lang w:bidi="fa-IR"/>
        </w:rPr>
        <w:t>ملک دیگر برای مستحقّین اصلح و انفع باشد، جایز است، زیرا فرض این است که غرض او به خصوصیّت این بستان تعلق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است که گفته باشد این بستان را وقف و نیز شرط کردم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تبدیل آن را به احسن داشته باشند</w:t>
      </w:r>
      <w:r>
        <w:rPr>
          <w:rFonts w:eastAsia="IRNazanin" w:cs="IRNazanin"/>
          <w:color w:val="111111"/>
          <w:sz w:val="28"/>
          <w:szCs w:val="28"/>
          <w:rtl w:val="true"/>
          <w:lang w:bidi="fa-IR"/>
        </w:rPr>
        <w:t xml:space="preserve">. </w:t>
      </w:r>
      <w:r>
        <w:rPr>
          <w:rStyle w:val="FootnoteAnchor"/>
          <w:rtl w:val="true"/>
        </w:rPr>
        <w:footnoteReference w:id="1429"/>
      </w:r>
    </w:p>
    <w:p>
      <w:pPr>
        <w:pStyle w:val="BookText"/>
        <w:rPr/>
      </w:pPr>
      <w:r>
        <w:rPr>
          <w:rFonts w:ascii="IRNazanin" w:hAnsi="IRNazanin" w:eastAsia="IRNazanin"/>
          <w:color w:val="111111"/>
          <w:sz w:val="28"/>
          <w:sz w:val="28"/>
          <w:szCs w:val="28"/>
          <w:rtl w:val="true"/>
          <w:lang w:bidi="fa-IR"/>
        </w:rPr>
        <w:t>سیّد در ادامه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بگوییم؛ غرض و نظر واقفان در وقف غالبا این چنین است، یعنی هدفشان تنها ایصال نفع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مسجد نیز ممکن است بگوییم نظر بانی آن تهیه جایگاهی برای نماز است و به یک مکان خاصّ جمود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جای دیگری که از حیث وسعت و غیر آن برای نمازگزاران اصلح است، پیدا شود، بعید نیست تبدیل، جایز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فقها در تضییق مسأله بیع وقف و تبدیل آن مبالغه کردند و سخت گرفتند؛ حال آن که از اخبار تا این اندازه استفاده نمی</w:t>
      </w:r>
    </w:p>
    <w:p>
      <w:pPr>
        <w:pStyle w:val="BookText"/>
        <w:rPr/>
      </w:pP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مانعی دارد که با ملاحظه و رعایت حقوق همه مستحقّان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موجود و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صلاحدید کارشناسان امین و تصدیق و اذن حاکم شرعی و تدوین در اوراق و سِجِلاّت محکم و غیر قابل خدشه،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گردند؟</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 xml:space="preserve">در این جا یادآور می‌شویم اگر منظور سیّد غیر از مواردی باشد که فقها بیع و استبدال وقف را در آن موارد تجویز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ظاهرا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کلامش محلّ تأمّل و نظر است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مسأله لزوم استمرار وقف و تأبید که مقتضای وقف است و آن همه ادلّه و عمومات </w:t>
      </w:r>
      <w:bookmarkStart w:id="830" w:name="pg4267_22127"/>
    </w:p>
    <w:p>
      <w:pPr>
        <w:pStyle w:val="BookText"/>
        <w:rPr/>
      </w:pPr>
      <w:bookmarkEnd w:id="830"/>
      <w:r>
        <w:rPr>
          <w:rFonts w:ascii="IRNazanin" w:hAnsi="IRNazanin" w:eastAsia="IRNazanin"/>
          <w:color w:val="111111"/>
          <w:sz w:val="28"/>
          <w:sz w:val="28"/>
          <w:szCs w:val="28"/>
          <w:rtl w:val="true"/>
          <w:lang w:bidi="fa-IR"/>
        </w:rPr>
        <w:t>منع‌کننده به‌همراه سیره متشرّعه، بویژه در مورد مساجد، این بیان سید را به‌طور جدّی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این فقیه عظیم‌المنزلة تا چه اندازه آگاهی داشته که عَلی‌رغم همه این سخت‌گیریهای فقها، در طول تاریخ وقف چه مقدار از رقبات موقوفه به عناوین و بهانه های گوناگون از بین رفته اند و آثارشان بکلّی محو شده است؟</w:t>
      </w:r>
    </w:p>
    <w:p>
      <w:pPr>
        <w:pStyle w:val="BookText"/>
        <w:rPr/>
      </w:pPr>
      <w:r>
        <w:rPr>
          <w:rFonts w:ascii="IRNazanin" w:hAnsi="IRNazanin" w:eastAsia="IRNazanin"/>
          <w:color w:val="111111"/>
          <w:sz w:val="28"/>
          <w:sz w:val="28"/>
          <w:szCs w:val="28"/>
          <w:rtl w:val="true"/>
          <w:lang w:bidi="fa-IR"/>
        </w:rPr>
        <w:t>البتّه مسأله ولایت امر و قلمرو و قدرت و اختیارات او و اعمال ولایت به عنوان احکام ثانویّه، بحثی است جداگانه که در جای خود قابل بررسی است</w:t>
      </w:r>
      <w:r>
        <w:rPr>
          <w:rFonts w:eastAsia="IRNazanin" w:cs="IRNazanin"/>
          <w:color w:val="111111"/>
          <w:sz w:val="28"/>
          <w:szCs w:val="28"/>
          <w:rtl w:val="true"/>
          <w:lang w:bidi="fa-IR"/>
        </w:rPr>
        <w:t>.</w:t>
      </w:r>
    </w:p>
    <w:p>
      <w:pPr>
        <w:pStyle w:val="Heading6"/>
        <w:numPr>
          <w:ilvl w:val="5"/>
          <w:numId w:val="1"/>
        </w:numPr>
        <w:rPr/>
      </w:pPr>
      <w:bookmarkStart w:id="831" w:name="__RefHeading___Toc474509_1479056682"/>
      <w:bookmarkStart w:id="832" w:name="_Toc317"/>
      <w:bookmarkEnd w:id="831"/>
      <w:r>
        <w:rPr>
          <w:rtl w:val="true"/>
        </w:rPr>
        <w:t>حکم ثمن مال وقف در صورت بیع</w:t>
      </w:r>
      <w:bookmarkEnd w:id="832"/>
    </w:p>
    <w:p>
      <w:pPr>
        <w:pStyle w:val="BookText"/>
        <w:rPr/>
      </w:pPr>
      <w:r>
        <w:rPr>
          <w:rFonts w:ascii="IRNazanin" w:hAnsi="IRNazanin" w:eastAsia="IRNazanin"/>
          <w:color w:val="111111"/>
          <w:sz w:val="28"/>
          <w:sz w:val="28"/>
          <w:szCs w:val="28"/>
          <w:rtl w:val="true"/>
          <w:lang w:bidi="fa-IR"/>
        </w:rPr>
        <w:t xml:space="preserve">منظور این است که بعد از فروش مال موقوف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بیع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ثمن آن چه حکمی دارد؟</w:t>
      </w:r>
    </w:p>
    <w:p>
      <w:pPr>
        <w:pStyle w:val="BookText"/>
        <w:rPr/>
      </w:pPr>
      <w:r>
        <w:rPr>
          <w:rFonts w:ascii="IRNazanin" w:hAnsi="IRNazanin" w:eastAsia="IRNazanin"/>
          <w:color w:val="111111"/>
          <w:sz w:val="28"/>
          <w:sz w:val="28"/>
          <w:szCs w:val="28"/>
          <w:rtl w:val="true"/>
          <w:lang w:bidi="fa-IR"/>
        </w:rPr>
        <w:t>آیا ثمن نیز همانند مال وقفی وقف است یا خیر، و اگر چنین است آیا همه احکام آن را دارد یا خیر؟ و اگر ثمن آن وقف نیست با آن چه باید کرد؟ آیا لازم است با آن بدلی</w:t>
      </w:r>
    </w:p>
    <w:p>
      <w:pPr>
        <w:pStyle w:val="BookText"/>
        <w:rPr/>
      </w:pPr>
      <w:r>
        <w:rPr>
          <w:rFonts w:ascii="IRNazanin" w:hAnsi="IRNazanin" w:eastAsia="IRNazanin"/>
          <w:color w:val="111111"/>
          <w:sz w:val="28"/>
          <w:sz w:val="28"/>
          <w:szCs w:val="28"/>
          <w:rtl w:val="true"/>
          <w:lang w:bidi="fa-IR"/>
        </w:rPr>
        <w:t xml:space="preserve">خریداری شود تا به جای مال وقفی فروخته شده، وقف باشد یا خیر؟ اگر واجب نیست آیا می توان ثمن را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توزیع کرد یا خیر؟ و اگر خرید بدل واجب است</w:t>
      </w:r>
    </w:p>
    <w:p>
      <w:pPr>
        <w:pStyle w:val="BookText"/>
        <w:rPr/>
      </w:pPr>
      <w:r>
        <w:rPr>
          <w:rFonts w:ascii="IRNazanin" w:hAnsi="IRNazanin" w:eastAsia="IRNazanin"/>
          <w:color w:val="111111"/>
          <w:sz w:val="28"/>
          <w:sz w:val="28"/>
          <w:szCs w:val="28"/>
          <w:rtl w:val="true"/>
          <w:lang w:bidi="fa-IR"/>
        </w:rPr>
        <w:t xml:space="preserve">آیا این بدل باید مماثل مبدل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فروخته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غیر مماثل هم اشکالی ندارد؟</w:t>
      </w:r>
    </w:p>
    <w:p>
      <w:pPr>
        <w:pStyle w:val="BookText"/>
        <w:rPr/>
      </w:pPr>
      <w:r>
        <w:rPr>
          <w:rFonts w:ascii="IRNazanin" w:hAnsi="IRNazanin" w:eastAsia="IRNazanin"/>
          <w:color w:val="111111"/>
          <w:sz w:val="28"/>
          <w:sz w:val="28"/>
          <w:szCs w:val="28"/>
          <w:rtl w:val="true"/>
          <w:lang w:bidi="fa-IR"/>
        </w:rPr>
        <w:t>پاسخ این پرسشها ضمن بیان چند نکته بررسی و روشن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صور، مانند صورت نیاز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صورتی که واقف شرط کرده تا در صورت نیاز خودش مال وقف به فروش رود، غرض از بیع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واقف برای رفع نیاز خود از ثمن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ثمن در</w:t>
      </w:r>
    </w:p>
    <w:p>
      <w:pPr>
        <w:pStyle w:val="BookText"/>
        <w:rPr/>
      </w:pPr>
      <w:r>
        <w:rPr>
          <w:rFonts w:ascii="IRNazanin" w:hAnsi="IRNazanin" w:eastAsia="IRNazanin"/>
          <w:color w:val="111111"/>
          <w:sz w:val="28"/>
          <w:sz w:val="28"/>
          <w:szCs w:val="28"/>
          <w:rtl w:val="true"/>
          <w:lang w:bidi="fa-IR"/>
        </w:rPr>
        <w:t xml:space="preserve">این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بنابر قول کسانی که بیع وقف را در این موارد جایز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ثمن در اختیار کسانی قرار می گیرد که مال وقف برای آنان فروخته شده است، تا با آن نیاز خویش را برطرف 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موارد یادشده فقهایی چون مفید</w:t>
      </w:r>
      <w:r>
        <w:rPr>
          <w:rStyle w:val="FootnoteAnchor"/>
          <w:rtl w:val="true"/>
        </w:rPr>
        <w:footnoteReference w:id="1431"/>
      </w:r>
      <w:r>
        <w:rPr>
          <w:rFonts w:ascii="IRNazanin" w:hAnsi="IRNazanin" w:eastAsia="IRNazanin"/>
          <w:color w:val="111111"/>
          <w:sz w:val="28"/>
          <w:sz w:val="28"/>
          <w:szCs w:val="28"/>
          <w:rtl w:val="true"/>
          <w:lang w:bidi="fa-IR"/>
        </w:rPr>
        <w:t>، شیخ طوسی در نهایه،</w:t>
      </w:r>
      <w:r>
        <w:rPr>
          <w:rStyle w:val="FootnoteAnchor"/>
          <w:rtl w:val="true"/>
        </w:rPr>
        <w:footnoteReference w:id="1432"/>
      </w:r>
      <w:r>
        <w:rPr>
          <w:rFonts w:ascii="Amiri" w:hAnsi="Amiri" w:eastAsia="Amiri" w:cs="Amiri"/>
          <w:color w:val="111111"/>
          <w:sz w:val="28"/>
          <w:sz w:val="28"/>
          <w:szCs w:val="28"/>
          <w:rtl w:val="true"/>
          <w:lang w:bidi="ar-SA"/>
        </w:rPr>
        <w:t>سیّد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مرتضی در انتصار</w:t>
      </w:r>
      <w:r>
        <w:rPr>
          <w:rStyle w:val="FootnoteAnchor"/>
          <w:rtl w:val="true"/>
        </w:rPr>
        <w:footnoteReference w:id="1433"/>
      </w:r>
      <w:r>
        <w:rPr>
          <w:rFonts w:ascii="IRNazanin" w:hAnsi="IRNazanin" w:eastAsia="IRNazanin"/>
          <w:color w:val="111111"/>
          <w:sz w:val="28"/>
          <w:sz w:val="28"/>
          <w:szCs w:val="28"/>
          <w:rtl w:val="true"/>
          <w:lang w:bidi="fa-IR"/>
        </w:rPr>
        <w:t xml:space="preserve">تصریح کرده اند که ثمن وقف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لابد در </w:t>
      </w:r>
    </w:p>
    <w:p>
      <w:pPr>
        <w:pStyle w:val="BookText"/>
        <w:rPr/>
      </w:pPr>
      <w:r>
        <w:rPr>
          <w:rFonts w:ascii="IRNazanin" w:hAnsi="IRNazanin" w:eastAsia="IRNazanin"/>
          <w:color w:val="111111"/>
          <w:sz w:val="28"/>
          <w:sz w:val="28"/>
          <w:szCs w:val="28"/>
          <w:rtl w:val="true"/>
          <w:lang w:bidi="fa-IR"/>
        </w:rPr>
        <w:t>بعض موارد در اختیار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تا آنها آن را در مصالح خویش به مصرف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مقنعه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مواردی که وقف خراب شود و کسی که آن را تعمیر کند، نباشد و نیز در موردی که وقف از انتفاع ساقط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آن را بفروشند و از ثمن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بر این مطلب ادّعای اجماع کرده و آن را از منفردات امامیّه به شمار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عبارتِ ابن زهره در غنیه نیز انتخاب همین دیدگاه است</w:t>
      </w:r>
      <w:r>
        <w:rPr>
          <w:rFonts w:eastAsia="IRNazanin" w:cs="IRNazanin"/>
          <w:color w:val="111111"/>
          <w:sz w:val="28"/>
          <w:szCs w:val="28"/>
          <w:rtl w:val="true"/>
          <w:lang w:bidi="fa-IR"/>
        </w:rPr>
        <w:t>.</w:t>
      </w:r>
      <w:r>
        <w:rPr>
          <w:rStyle w:val="FootnoteAnchor"/>
          <w:rtl w:val="true"/>
        </w:rPr>
        <w:footnoteReference w:id="1434"/>
      </w:r>
    </w:p>
    <w:p>
      <w:pPr>
        <w:pStyle w:val="BookText"/>
        <w:rPr/>
      </w:pPr>
      <w:r>
        <w:rPr>
          <w:rFonts w:ascii="IRNazanin" w:hAnsi="IRNazanin" w:eastAsia="IRNazanin"/>
          <w:color w:val="111111"/>
          <w:sz w:val="28"/>
          <w:sz w:val="28"/>
          <w:szCs w:val="28"/>
          <w:rtl w:val="true"/>
          <w:lang w:bidi="fa-IR"/>
        </w:rPr>
        <w:t>ادلّه این گروه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اجماعی که سیّد مرتضی در انتصار ادّعا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هدف و غرض واقف؛ ابن زهره در غنیه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واقف از وقف، انتفاع و بهره 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صورتی که جز از</w:t>
      </w:r>
    </w:p>
    <w:p>
      <w:pPr>
        <w:pStyle w:val="BookText"/>
        <w:rPr/>
      </w:pPr>
      <w:r>
        <w:rPr>
          <w:rFonts w:ascii="IRNazanin" w:hAnsi="IRNazanin" w:eastAsia="IRNazanin"/>
          <w:color w:val="111111"/>
          <w:sz w:val="28"/>
          <w:sz w:val="28"/>
          <w:szCs w:val="28"/>
          <w:rtl w:val="true"/>
          <w:lang w:bidi="fa-IR"/>
        </w:rPr>
        <w:t xml:space="preserve">راه بیعِ آن منفعتی برای این مال باقی نماند، برای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ثمن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r>
        <w:rPr>
          <w:rStyle w:val="FootnoteAnchor"/>
          <w:rtl w:val="true"/>
        </w:rPr>
        <w:footnoteReference w:id="14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کسانی چون سید مرتضی، مفیدو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قایل به جواز استهلاک ثمن توسّط بطن موجود هستند معترفند که بطون بعدی نیز نسبت به این وقف، استحقاق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قول به استحقاق بطون بعدی لازمه قول همه کسانی است که وقف بر معدوم را به تبع بطن موجود جایز و نافذ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اشتراط و اعتبار دوام و استمرار در وقف نیز همین مطلب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سویی واقف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مواردی که خودش شرط بیع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کرده است تا این مال به عنوان وقف صدقه جاریه‌ای باشد که همچنان دوام و استمرار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مصرف و استهلاک ثمن وقف توسّط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با استحقاق مسلّمِ نسلهای بعدی کاملاً ناسازگار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اجماع مدّعای سیّد مرتضی نیز گذشته از این که در برابر اقوال بسیاری از فقها قرار </w:t>
      </w:r>
    </w:p>
    <w:p>
      <w:pPr>
        <w:pStyle w:val="BookText"/>
        <w:rPr/>
      </w:pPr>
      <w:r>
        <w:rPr>
          <w:rFonts w:ascii="IRNazanin" w:hAnsi="IRNazanin" w:eastAsia="IRNazanin"/>
          <w:color w:val="111111"/>
          <w:sz w:val="28"/>
          <w:sz w:val="28"/>
          <w:szCs w:val="28"/>
          <w:rtl w:val="true"/>
          <w:lang w:bidi="fa-IR"/>
        </w:rPr>
        <w:t>گرفته است، اجماع اصطلاحی معتبر که کاشف از قول معصوم علیه‌السلام باشد، نیست، بلکه اجماع مدرکی است و نمی‌تواند دلیلی مستقلّ برای این مسأله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ابن زهره نیز ناتمام است، زیرا غرض واقف، انتفاع همه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 مستحقّین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تعبیر فقهای عظام، آن گاه که رعایت غرض واقف نسبت به عین وقف و شخص آن میّسر نباشد امّا به حسب نوع ممکن باشد، اجرای دوام و استمرار به حسب نوع، واجب خواهد بود</w:t>
      </w:r>
      <w:r>
        <w:rPr>
          <w:rFonts w:eastAsia="IRNazanin" w:cs="IRNazanin"/>
          <w:color w:val="111111"/>
          <w:sz w:val="28"/>
          <w:szCs w:val="28"/>
          <w:rtl w:val="true"/>
          <w:lang w:bidi="fa-IR"/>
        </w:rPr>
        <w:t>.</w:t>
      </w:r>
      <w:r>
        <w:rPr>
          <w:rStyle w:val="FootnoteAnchor"/>
          <w:rtl w:val="true"/>
        </w:rPr>
        <w:footnoteReference w:id="1436"/>
      </w:r>
      <w:r>
        <w:rPr>
          <w:rFonts w:ascii="Amiri" w:hAnsi="Amiri" w:eastAsia="Amiri" w:cs="Amiri"/>
          <w:color w:val="111111"/>
          <w:sz w:val="28"/>
          <w:sz w:val="28"/>
          <w:szCs w:val="28"/>
          <w:rtl w:val="true"/>
          <w:lang w:bidi="ar-SA"/>
        </w:rPr>
        <w:t xml:space="preserve">زیرا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اَلْمَیْسُورُ لا یُتْرَکُ بِالْمَعْسُورِ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یُدْرَکُ کُلُّهُ لا یُتْرَکُ کُلُّهُ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شایان یادآوری است که دیدگاه همه کسانی که در مبحث بعدی مسأله لزوم و عدم لزوم تهیّه مماثل و مشابه عین فروخته شده را مطرح کرده‌اند، این است که نمی‌توان ثمن</w:t>
      </w:r>
    </w:p>
    <w:p>
      <w:pPr>
        <w:pStyle w:val="BookText"/>
        <w:rPr/>
      </w:pPr>
      <w:r>
        <w:rPr>
          <w:rFonts w:ascii="IRNazanin" w:hAnsi="IRNazanin" w:eastAsia="IRNazanin"/>
          <w:color w:val="111111"/>
          <w:sz w:val="28"/>
          <w:sz w:val="28"/>
          <w:szCs w:val="28"/>
          <w:rtl w:val="true"/>
          <w:lang w:bidi="fa-IR"/>
        </w:rPr>
        <w:t xml:space="preserve">وقف را برای استهلاک در اختیار گروهی خاصّ،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واقف قرار داد و لازم است طوری عمل شود که حقوق بطون بعدی نیز محفوظ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بدل موقوفه به مجرّد تبدیل وقف خواهد بود یا خیر؟</w:t>
      </w:r>
    </w:p>
    <w:p>
      <w:pPr>
        <w:pStyle w:val="BookText"/>
        <w:rPr/>
      </w:pPr>
      <w:r>
        <w:rPr>
          <w:rFonts w:ascii="IRNazanin" w:hAnsi="IRNazanin" w:eastAsia="IRNazanin"/>
          <w:color w:val="111111"/>
          <w:sz w:val="28"/>
          <w:sz w:val="28"/>
          <w:szCs w:val="28"/>
          <w:rtl w:val="true"/>
          <w:lang w:bidi="fa-IR"/>
        </w:rPr>
        <w:t>امام خمینی یادآور شده است؛ مقتضای قول صاحب جواهر که به مجرّد عروض جواز بیع وقف، آن را باطل می‌داند و نیز مقتضای قول کسانی چون شیخ انصاری، که وقف را با بیع آن، باطل دانسته‌اند، این است که بدلیّت، اقتضای وقف بودن را نداشته باشد، زیرا مبادله بین عین غیر موقوفه و ثمن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حقیقت مبدل در این مبادله، وقف نیست، چگونه بدل آن وقف خواهد بود؟</w:t>
      </w:r>
      <w:r>
        <w:rPr>
          <w:rStyle w:val="FootnoteAnchor"/>
          <w:rtl w:val="true"/>
        </w:rPr>
        <w:footnoteReference w:id="1437"/>
      </w:r>
    </w:p>
    <w:p>
      <w:pPr>
        <w:pStyle w:val="BookText"/>
        <w:rPr/>
      </w:pPr>
      <w:r>
        <w:rPr>
          <w:rFonts w:ascii="IRNazanin" w:hAnsi="IRNazanin" w:eastAsia="IRNazanin"/>
          <w:color w:val="111111"/>
          <w:sz w:val="28"/>
          <w:sz w:val="28"/>
          <w:szCs w:val="28"/>
          <w:rtl w:val="true"/>
          <w:lang w:bidi="fa-IR"/>
        </w:rPr>
        <w:t>ایشان در این بیان تعریضی هم به شیخ انصاری دارد که چگونه وی با این که وقف را با بیع آن باطل می‌داند تصریح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بدل نیازی به صیغه مجددّ وقف نیست، زیرا نفس بدلیّت اقتضا دارد که مانند مبدل باشد</w:t>
      </w:r>
      <w:r>
        <w:rPr>
          <w:rFonts w:eastAsia="IRNazanin" w:cs="IRNazanin"/>
          <w:color w:val="111111"/>
          <w:sz w:val="28"/>
          <w:szCs w:val="28"/>
          <w:rtl w:val="true"/>
          <w:lang w:bidi="fa-IR"/>
        </w:rPr>
        <w:t>»</w:t>
      </w:r>
      <w:r>
        <w:rPr>
          <w:rStyle w:val="FootnoteAnchor"/>
          <w:rtl w:val="true"/>
        </w:rPr>
        <w:footnoteReference w:id="1438"/>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دفاع از بیان شیخ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شیخ این است که وقف با بیع باطل می‌شود تا عین و مال دیگری جای آن را بگیرد و بدل آن شود و لازمه تبدیل، سقوط وقف از وقفیّت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که تبدیل صورت گیرد، امّا مبدل همچنان به حالت </w:t>
      </w:r>
    </w:p>
    <w:p>
      <w:pPr>
        <w:pStyle w:val="BookText"/>
        <w:rPr/>
      </w:pPr>
      <w:r>
        <w:rPr>
          <w:rFonts w:ascii="IRNazanin" w:hAnsi="IRNazanin" w:eastAsia="IRNazanin"/>
          <w:color w:val="111111"/>
          <w:sz w:val="28"/>
          <w:sz w:val="28"/>
          <w:szCs w:val="28"/>
          <w:rtl w:val="true"/>
          <w:lang w:bidi="fa-IR"/>
        </w:rPr>
        <w:t>وقفیّت خود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بطلان وقف با بیع با این مطلب که ثمن آن بدل وقف 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بدل به این معناکه همانند مبدل متعلّق حق همه بطون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نمی‌توان آن را در اختیار یک نسل یا برخی از مستحقّان قرار داد تا عین آن را مستهلک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اظهار داشته است که حکم ثمن در این که ملک همه بطون است، حکم وقف است</w:t>
      </w:r>
      <w:r>
        <w:rPr>
          <w:rFonts w:eastAsia="IRNazanin" w:cs="IRNazanin"/>
          <w:color w:val="111111"/>
          <w:sz w:val="28"/>
          <w:szCs w:val="28"/>
          <w:rtl w:val="true"/>
          <w:lang w:bidi="fa-IR"/>
        </w:rPr>
        <w:t>.</w:t>
      </w:r>
      <w:r>
        <w:rPr>
          <w:rStyle w:val="FootnoteAnchor"/>
          <w:rtl w:val="true"/>
        </w:rPr>
        <w:footnoteReference w:id="143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لازم است با این ثمن، مال و عینی خریداری شود که مماثل عین موقوفه باشد؟ شیخ انصاری در این باره یادآور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ثمن از اموالی است که می‌توان</w:t>
      </w:r>
    </w:p>
    <w:p>
      <w:pPr>
        <w:pStyle w:val="BookText"/>
        <w:rPr/>
      </w:pPr>
      <w:r>
        <w:rPr>
          <w:rFonts w:ascii="IRNazanin" w:hAnsi="IRNazanin" w:eastAsia="IRNazanin"/>
          <w:color w:val="111111"/>
          <w:sz w:val="28"/>
          <w:sz w:val="28"/>
          <w:szCs w:val="28"/>
          <w:rtl w:val="true"/>
          <w:lang w:bidi="fa-IR"/>
        </w:rPr>
        <w:t>همانند مبدل با بقای آن از آن انتفاع برد و مصلحت همه بطون و مستحقان نیز در بقای همین ثمن باشد، همان را به عنوان وقف نگهداری می‌کنند و اگر به مصلحت بطون و مستحقّین نیست به یک عین اصلح تبدیل می‌شود و خلاصه خریداری کردن عین مماثل با ثمن عین فروخته شده، واجب نیست</w:t>
      </w:r>
      <w:r>
        <w:rPr>
          <w:rFonts w:eastAsia="IRNazanin" w:cs="IRNazanin"/>
          <w:color w:val="111111"/>
          <w:sz w:val="28"/>
          <w:szCs w:val="28"/>
          <w:rtl w:val="true"/>
          <w:lang w:bidi="fa-IR"/>
        </w:rPr>
        <w:t>.</w:t>
      </w:r>
      <w:r>
        <w:rPr>
          <w:rStyle w:val="FootnoteAnchor"/>
          <w:rtl w:val="true"/>
        </w:rPr>
        <w:footnoteReference w:id="1440"/>
      </w:r>
      <w:r>
        <w:rPr>
          <w:rFonts w:ascii="IRNazanin" w:hAnsi="IRNazanin" w:eastAsia="IRNazanin"/>
          <w:color w:val="111111"/>
          <w:sz w:val="28"/>
          <w:sz w:val="28"/>
          <w:szCs w:val="28"/>
          <w:rtl w:val="true"/>
          <w:lang w:bidi="fa-IR"/>
        </w:rPr>
        <w:t>شیخ عدم وجوب شراء را در حقیقت مقتضای بدلیّت ثمن نسبت به مبدل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بعد از بیان چند وجه، وجیه‌ترین آنها را تفصیل می‌داند، با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وقف از قبیل وقف منفعت به طور مطلق باشد، یعنی وقف شده باشد تا منفعت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تعیین یک منفعت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مماثلث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 چه توسّط واقف لحاظ شده است، وُصول منفعت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توجّه به منفعتی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وقف از قبیل وقف انتفاع باشد، مانند مدارس برای طلاّب، کاروانسراها، بیمارستانهاو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کردن عین مماثل با ثمن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غرض واقف، انتفاع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خاصّ از این موقوفات بوده است، نه این که منافع مطلق</w:t>
      </w:r>
    </w:p>
    <w:p>
      <w:pPr>
        <w:pStyle w:val="BookText"/>
        <w:rPr/>
      </w:pPr>
      <w:r>
        <w:rPr>
          <w:rFonts w:ascii="IRNazanin" w:hAnsi="IRNazanin" w:eastAsia="IRNazanin"/>
          <w:color w:val="111111"/>
          <w:sz w:val="28"/>
          <w:sz w:val="28"/>
          <w:szCs w:val="28"/>
          <w:rtl w:val="true"/>
          <w:lang w:bidi="fa-IR"/>
        </w:rPr>
        <w:t>را برای آنان در نظر گرفته باشد</w:t>
      </w:r>
      <w:r>
        <w:rPr>
          <w:rFonts w:eastAsia="IRNazanin" w:cs="IRNazanin"/>
          <w:color w:val="111111"/>
          <w:sz w:val="28"/>
          <w:szCs w:val="28"/>
          <w:rtl w:val="true"/>
          <w:lang w:bidi="fa-IR"/>
        </w:rPr>
        <w:t>.</w:t>
      </w:r>
      <w:r>
        <w:rPr>
          <w:rStyle w:val="FootnoteAnchor"/>
          <w:rtl w:val="true"/>
        </w:rPr>
        <w:footnoteReference w:id="1441"/>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محقّق ثانی</w:t>
      </w:r>
      <w:r>
        <w:rPr>
          <w:rStyle w:val="FootnoteAnchor"/>
          <w:rtl w:val="true"/>
        </w:rPr>
        <w:footnoteReference w:id="1442"/>
      </w:r>
      <w:r>
        <w:rPr>
          <w:rFonts w:ascii="IRNazanin" w:hAnsi="IRNazanin" w:eastAsia="IRNazanin"/>
          <w:color w:val="111111"/>
          <w:sz w:val="28"/>
          <w:sz w:val="28"/>
          <w:szCs w:val="28"/>
          <w:rtl w:val="true"/>
          <w:lang w:bidi="fa-IR"/>
        </w:rPr>
        <w:t>و شهیدثانی</w:t>
      </w:r>
      <w:r>
        <w:rPr>
          <w:rStyle w:val="FootnoteAnchor"/>
          <w:rtl w:val="true"/>
        </w:rPr>
        <w:footnoteReference w:id="1443"/>
      </w:r>
      <w:r>
        <w:rPr>
          <w:rFonts w:ascii="IRNazanin" w:hAnsi="IRNazanin" w:eastAsia="IRNazanin"/>
          <w:color w:val="111111"/>
          <w:sz w:val="28"/>
          <w:sz w:val="28"/>
          <w:szCs w:val="28"/>
          <w:rtl w:val="true"/>
          <w:lang w:bidi="fa-IR"/>
        </w:rPr>
        <w:t>تصریح کرده‌اند که در صورت امکان باید بدل، مشابه مال موقوف و به غرض واقف، نزدیکتر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شیخ بهایی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ثمن آن </w:t>
      </w:r>
      <w:bookmarkStart w:id="833" w:name="pg4267_22135"/>
    </w:p>
    <w:p>
      <w:pPr>
        <w:pStyle w:val="BookText"/>
        <w:rPr/>
      </w:pPr>
      <w:bookmarkEnd w:id="833"/>
      <w:r>
        <w:rPr>
          <w:rFonts w:ascii="IRNazanin" w:hAnsi="IRNazanin" w:eastAsia="IRNazanin"/>
          <w:color w:val="111111"/>
          <w:sz w:val="28"/>
          <w:sz w:val="28"/>
          <w:szCs w:val="28"/>
          <w:rtl w:val="true"/>
          <w:lang w:bidi="fa-IR"/>
        </w:rPr>
        <w:t>مثل آن چیز بخرند</w:t>
      </w:r>
      <w:r>
        <w:rPr>
          <w:rFonts w:eastAsia="IRNazanin" w:cs="IRNazanin"/>
          <w:color w:val="111111"/>
          <w:sz w:val="28"/>
          <w:szCs w:val="28"/>
          <w:rtl w:val="true"/>
          <w:lang w:bidi="fa-IR"/>
        </w:rPr>
        <w:t>»</w:t>
      </w:r>
      <w:r>
        <w:rPr>
          <w:rStyle w:val="FootnoteAnchor"/>
          <w:rtl w:val="true"/>
        </w:rPr>
        <w:footnoteReference w:id="1444"/>
      </w:r>
      <w:r>
        <w:rPr>
          <w:rFonts w:ascii="IRNazanin" w:hAnsi="IRNazanin" w:eastAsia="IRNazanin"/>
          <w:color w:val="111111"/>
          <w:sz w:val="28"/>
          <w:sz w:val="28"/>
          <w:szCs w:val="28"/>
          <w:rtl w:val="true"/>
          <w:lang w:bidi="fa-IR"/>
        </w:rPr>
        <w:t>سبزواری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برای این دیدگاه دلیلی سراغ ندارم و نصّ هم بر آن دلالت ندارد</w:t>
      </w:r>
      <w:r>
        <w:rPr>
          <w:rFonts w:eastAsia="IRNazanin" w:cs="IRNazanin"/>
          <w:color w:val="111111"/>
          <w:sz w:val="28"/>
          <w:szCs w:val="28"/>
          <w:rtl w:val="true"/>
          <w:lang w:bidi="fa-IR"/>
        </w:rPr>
        <w:t>.»</w:t>
      </w:r>
      <w:r>
        <w:rPr>
          <w:rStyle w:val="FootnoteAnchor"/>
          <w:rtl w:val="true"/>
        </w:rPr>
        <w:footnoteReference w:id="1445"/>
      </w:r>
      <w:r>
        <w:rPr>
          <w:rFonts w:ascii="IRNazanin" w:hAnsi="IRNazanin" w:eastAsia="IRNazanin"/>
          <w:color w:val="111111"/>
          <w:sz w:val="28"/>
          <w:sz w:val="28"/>
          <w:szCs w:val="28"/>
          <w:rtl w:val="true"/>
          <w:lang w:bidi="fa-IR"/>
        </w:rPr>
        <w:t>علاّمه در دو موضع</w:t>
      </w:r>
      <w:r>
        <w:rPr>
          <w:rStyle w:val="FootnoteAnchor"/>
          <w:rtl w:val="true"/>
        </w:rPr>
        <w:footnoteReference w:id="1446"/>
      </w:r>
      <w:r>
        <w:rPr>
          <w:rFonts w:ascii="IRNazanin" w:hAnsi="IRNazanin" w:eastAsia="IRNazanin"/>
          <w:color w:val="111111"/>
          <w:sz w:val="28"/>
          <w:sz w:val="28"/>
          <w:szCs w:val="28"/>
          <w:rtl w:val="true"/>
          <w:lang w:bidi="fa-IR"/>
        </w:rPr>
        <w:t>، با ابن فهد حلّی</w:t>
      </w:r>
      <w:r>
        <w:rPr>
          <w:rStyle w:val="FootnoteAnchor"/>
          <w:rtl w:val="true"/>
        </w:rPr>
        <w:footnoteReference w:id="1447"/>
      </w:r>
      <w:r>
        <w:rPr>
          <w:rFonts w:ascii="IRNazanin" w:hAnsi="IRNazanin" w:eastAsia="IRNazanin"/>
          <w:color w:val="111111"/>
          <w:sz w:val="28"/>
          <w:sz w:val="28"/>
          <w:szCs w:val="28"/>
          <w:rtl w:val="true"/>
          <w:lang w:bidi="fa-IR"/>
        </w:rPr>
        <w:t>، فاضل مقداد</w:t>
      </w:r>
      <w:r>
        <w:rPr>
          <w:rStyle w:val="FootnoteAnchor"/>
          <w:rtl w:val="true"/>
        </w:rPr>
        <w:footnoteReference w:id="1448"/>
      </w:r>
      <w:r>
        <w:rPr>
          <w:rFonts w:ascii="IRNazanin" w:hAnsi="IRNazanin" w:eastAsia="IRNazanin"/>
          <w:color w:val="111111"/>
          <w:sz w:val="28"/>
          <w:sz w:val="28"/>
          <w:szCs w:val="28"/>
          <w:rtl w:val="true"/>
          <w:lang w:bidi="fa-IR"/>
        </w:rPr>
        <w:t>، فیض کاشانی</w:t>
      </w:r>
      <w:r>
        <w:rPr>
          <w:rStyle w:val="FootnoteAnchor"/>
          <w:rtl w:val="true"/>
        </w:rPr>
        <w:footnoteReference w:id="1449"/>
      </w:r>
      <w:r>
        <w:rPr>
          <w:rFonts w:ascii="IRNazanin" w:hAnsi="IRNazanin" w:eastAsia="IRNazanin"/>
          <w:color w:val="111111"/>
          <w:sz w:val="28"/>
          <w:sz w:val="28"/>
          <w:szCs w:val="28"/>
          <w:rtl w:val="true"/>
          <w:lang w:bidi="fa-IR"/>
        </w:rPr>
        <w:t>، محقّق اردبیلی و صاحب مفتاح</w:t>
      </w:r>
      <w:r>
        <w:rPr>
          <w:rStyle w:val="FootnoteAnchor"/>
          <w:rtl w:val="true"/>
        </w:rPr>
        <w:footnoteReference w:id="1450"/>
      </w:r>
      <w:r>
        <w:rPr>
          <w:rFonts w:ascii="IRNazanin" w:hAnsi="IRNazanin" w:eastAsia="IRNazanin"/>
          <w:color w:val="111111"/>
          <w:sz w:val="28"/>
          <w:sz w:val="28"/>
          <w:szCs w:val="28"/>
          <w:rtl w:val="true"/>
          <w:lang w:bidi="fa-IR"/>
        </w:rPr>
        <w:t>با عباراتی مشابه چنین اظهار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خریداری و تهیّه مماثل عین موقوفه فروخته شده ممکن است، این کار اَوْلی است وگرنه باید عینی تهیه شود که وقف آن صحیح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عینی باشد که با بقای آن قابل انتفاع</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نظر می‌رسد در این مورد با توجّه به ادلّه و عموماتی که بر لزوم رعایت نظر و غرض واقف دلالت دارند همانند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عَلی حَسَبِ ما یَقِفُها اَهْلُها</w:t>
      </w:r>
      <w:r>
        <w:rPr>
          <w:rFonts w:eastAsia="Amiri" w:cs="Amiri" w:ascii="Amiri" w:hAnsi="Amiri"/>
          <w:color w:val="111111"/>
          <w:sz w:val="28"/>
          <w:szCs w:val="28"/>
          <w:rtl w:val="true"/>
          <w:lang w:bidi="ar-SA"/>
        </w:rPr>
        <w:t>»</w:t>
      </w:r>
      <w:r>
        <w:rPr>
          <w:rStyle w:val="FootnoteAnchor"/>
          <w:rtl w:val="true"/>
        </w:rPr>
        <w:footnoteReference w:id="145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w:t>
      </w:r>
    </w:p>
    <w:p>
      <w:pPr>
        <w:pStyle w:val="BookText"/>
        <w:rPr/>
      </w:pPr>
      <w:r>
        <w:rPr>
          <w:rFonts w:ascii="IRNazanin" w:hAnsi="IRNazanin" w:eastAsia="IRNazanin"/>
          <w:color w:val="111111"/>
          <w:sz w:val="28"/>
          <w:sz w:val="28"/>
          <w:szCs w:val="28"/>
          <w:rtl w:val="true"/>
          <w:lang w:bidi="fa-IR"/>
        </w:rPr>
        <w:t>کسانی که حتّی الامکان لزوم مماثلث و مشابهت بدل با عین فروخته شده را لازم دانسته‌اند، به قواعد و اصول نزدیکتر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که این لزوم مماثلث در صورتی است که در کنار آن، مصلحت وقف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کاملاً رعایت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اگر تهیه مماثل با مصالح وقف یا مستحقّان ناسازگار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عدّه‌ای از اعلام بیان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w:t>
      </w:r>
    </w:p>
    <w:p>
      <w:pPr>
        <w:pStyle w:val="BookText"/>
        <w:rPr/>
      </w:pPr>
      <w:r>
        <w:rPr>
          <w:rFonts w:ascii="IRNazanin" w:hAnsi="IRNazanin" w:eastAsia="IRNazanin"/>
          <w:color w:val="111111"/>
          <w:sz w:val="28"/>
          <w:sz w:val="28"/>
          <w:szCs w:val="28"/>
          <w:rtl w:val="true"/>
          <w:lang w:bidi="fa-IR"/>
        </w:rPr>
        <w:t>آنچه تهیّه می‌شود در جهت تأمین مصالح یاد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نیز اعتبار مماثل را احوط دانسته است</w:t>
      </w:r>
      <w:r>
        <w:rPr>
          <w:rFonts w:eastAsia="IRNazanin" w:cs="IRNazanin"/>
          <w:color w:val="111111"/>
          <w:sz w:val="28"/>
          <w:szCs w:val="28"/>
          <w:rtl w:val="true"/>
          <w:lang w:bidi="fa-IR"/>
        </w:rPr>
        <w:t>.</w:t>
      </w:r>
      <w:r>
        <w:rPr>
          <w:rStyle w:val="FootnoteAnchor"/>
          <w:rtl w:val="true"/>
        </w:rPr>
        <w:footnoteReference w:id="1452"/>
      </w:r>
    </w:p>
    <w:p>
      <w:pPr>
        <w:pStyle w:val="Heading6"/>
        <w:numPr>
          <w:ilvl w:val="5"/>
          <w:numId w:val="1"/>
        </w:numPr>
        <w:rPr/>
      </w:pPr>
      <w:bookmarkStart w:id="834" w:name="__RefHeading___Toc474511_1479056682"/>
      <w:bookmarkStart w:id="835" w:name="_Toc318"/>
      <w:bookmarkEnd w:id="834"/>
      <w:r>
        <w:rPr>
          <w:rtl w:val="true"/>
        </w:rPr>
        <w:t>یادآوری چند نکته</w:t>
      </w:r>
      <w:bookmarkEnd w:id="83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مکاسب تصریح کرده است بدل وقف در عدم جواز بیع همانند اصل وقف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حکم از احکام وقف ابتدایی است و این بدل تنها در ملک همه بطون بودن، بدل وقف اصلی است، نه در همه احکام</w:t>
      </w:r>
      <w:r>
        <w:rPr>
          <w:rFonts w:eastAsia="IRNazanin" w:cs="IRNazanin"/>
          <w:color w:val="111111"/>
          <w:sz w:val="28"/>
          <w:szCs w:val="28"/>
          <w:rtl w:val="true"/>
          <w:lang w:bidi="fa-IR"/>
        </w:rPr>
        <w:t>.</w:t>
      </w:r>
      <w:r>
        <w:rPr>
          <w:rStyle w:val="FootnoteAnchor"/>
          <w:rtl w:val="true"/>
        </w:rPr>
        <w:footnoteReference w:id="1453"/>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بر این بیان خرده گرفت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بدل هم مانند بدل وقف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فرض </w:t>
      </w:r>
      <w:bookmarkStart w:id="836" w:name="pg4267_22137"/>
    </w:p>
    <w:p>
      <w:pPr>
        <w:pStyle w:val="BookText"/>
        <w:rPr/>
      </w:pPr>
      <w:bookmarkEnd w:id="836"/>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همه احکام وقف بر آن مترتّب می‌شود و مشمول ادلّه و عموماتی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شِراءُ الْوَقْفِ</w:t>
      </w:r>
      <w:r>
        <w:rPr>
          <w:rFonts w:eastAsia="IRNazanin" w:cs="IRNazanin"/>
          <w:color w:val="111111"/>
          <w:sz w:val="28"/>
          <w:szCs w:val="28"/>
          <w:rtl w:val="true"/>
          <w:lang w:bidi="fa-IR"/>
        </w:rPr>
        <w:t>»</w:t>
      </w:r>
      <w:r>
        <w:rPr>
          <w:rStyle w:val="FootnoteAnchor"/>
          <w:rtl w:val="true"/>
        </w:rPr>
        <w:footnoteReference w:id="14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واقف اصلی این بدل در حقیقت همان واقف مبدَل است و بنابراین بدل نیز مشمول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Style w:val="FootnoteAnchor"/>
          <w:rtl w:val="true"/>
        </w:rPr>
        <w:footnoteReference w:id="1455"/>
      </w:r>
      <w:r>
        <w:rPr>
          <w:rFonts w:ascii="IRNazanin" w:hAnsi="IRNazanin" w:eastAsia="IRNazanin"/>
          <w:color w:val="111111"/>
          <w:sz w:val="28"/>
          <w:sz w:val="28"/>
          <w:szCs w:val="28"/>
          <w:rtl w:val="true"/>
          <w:lang w:bidi="fa-IR"/>
        </w:rPr>
        <w:t xml:space="preserve">نیز می‌شود،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محلّی به الف و لام و مفید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حکمت این همه سختگیری در بیع وقف، حفظ و صیانت از وقف است تا در طول زمان دچار نابودی و اضمحلال نشود و این حکمت در مورد بدل آن نیز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مطالب می‌توان گفت ناظر منصوب از جانب واقف، حق نظارت و تولیت بر بدل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تهیّه بدل میسّر نشد و خود ثمن نیز نمی‌تواند وقف باشد، همان طور که شیخ در مکاسب یادآور شده است، لازم است برای حفظ و رعایت حقوق همه بطون و مستحّقان و حق نظر واقف، ثمن را در نزد امینی به امانت گذارند تا زمانی که تهیّه بدل</w:t>
      </w:r>
    </w:p>
    <w:p>
      <w:pPr>
        <w:pStyle w:val="BookText"/>
        <w:rPr/>
      </w:pPr>
      <w:r>
        <w:rPr>
          <w:rFonts w:ascii="IRNazanin" w:hAnsi="IRNazanin" w:eastAsia="IRNazanin"/>
          <w:color w:val="111111"/>
          <w:sz w:val="28"/>
          <w:sz w:val="28"/>
          <w:szCs w:val="28"/>
          <w:rtl w:val="true"/>
          <w:lang w:bidi="fa-IR"/>
        </w:rPr>
        <w:t>میسّر شود و به هیچ وجه نمی‌توان آن را برای مصرف در اختیار بطن موجود قرار داد</w:t>
      </w:r>
      <w:r>
        <w:rPr>
          <w:rFonts w:eastAsia="IRNazanin" w:cs="IRNazanin"/>
          <w:color w:val="111111"/>
          <w:sz w:val="28"/>
          <w:szCs w:val="28"/>
          <w:rtl w:val="true"/>
          <w:lang w:bidi="fa-IR"/>
        </w:rPr>
        <w:t>.</w:t>
      </w:r>
      <w:r>
        <w:rPr>
          <w:rStyle w:val="FootnoteAnchor"/>
          <w:rtl w:val="true"/>
        </w:rPr>
        <w:footnoteReference w:id="1456"/>
      </w:r>
    </w:p>
    <w:p>
      <w:pPr>
        <w:pStyle w:val="BookText"/>
        <w:rPr/>
      </w:pPr>
      <w:r>
        <w:rPr>
          <w:rFonts w:ascii="IRNazanin" w:hAnsi="IRNazanin" w:eastAsia="IRNazanin"/>
          <w:color w:val="111111"/>
          <w:sz w:val="28"/>
          <w:sz w:val="28"/>
          <w:szCs w:val="28"/>
          <w:rtl w:val="true"/>
          <w:lang w:bidi="fa-IR"/>
        </w:rPr>
        <w:t xml:space="preserve">بنابراین آنچه در تذکره و مختلف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تهیه بدل ممکن نشد، ثمن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تا هر طور خواستند با آن رفتار کنند</w:t>
      </w:r>
      <w:r>
        <w:rPr>
          <w:rFonts w:eastAsia="IRNazanin" w:cs="IRNazanin"/>
          <w:color w:val="111111"/>
          <w:sz w:val="28"/>
          <w:szCs w:val="28"/>
          <w:rtl w:val="true"/>
          <w:lang w:bidi="fa-IR"/>
        </w:rPr>
        <w:t>»</w:t>
      </w:r>
      <w:r>
        <w:rPr>
          <w:rStyle w:val="FootnoteAnchor"/>
          <w:rtl w:val="true"/>
        </w:rPr>
        <w:footnoteReference w:id="1457"/>
      </w:r>
      <w:r>
        <w:rPr>
          <w:rFonts w:ascii="IRNazanin" w:hAnsi="IRNazanin" w:eastAsia="IRNazanin"/>
          <w:color w:val="111111"/>
          <w:sz w:val="28"/>
          <w:sz w:val="28"/>
          <w:szCs w:val="28"/>
          <w:rtl w:val="true"/>
          <w:lang w:bidi="fa-IR"/>
        </w:rPr>
        <w:t>با اصول و قواعد سازگار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قانون مدنی، بیع وقف در صورتی که خراب شود یا خوف آن باشد که به خرابی منجر گردد به طوری که انتفاع از آن ممکن نباشد، در صورتی جایز است که عمران آن متعذّر باشد یا کسی برای عمران آن حاضر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موقوفه در موارد جواز بیع به اَقرب به غرض واقف تبدیل می‌شود</w:t>
      </w:r>
      <w:r>
        <w:rPr>
          <w:rFonts w:eastAsia="IRNazanin" w:cs="IRNazanin"/>
          <w:color w:val="111111"/>
          <w:sz w:val="28"/>
          <w:szCs w:val="28"/>
          <w:rtl w:val="true"/>
          <w:lang w:bidi="fa-IR"/>
        </w:rPr>
        <w:t>.</w:t>
      </w:r>
      <w:r>
        <w:rPr>
          <w:rStyle w:val="FootnoteAnchor"/>
          <w:rtl w:val="true"/>
        </w:rPr>
        <w:footnoteReference w:id="1458"/>
      </w:r>
    </w:p>
    <w:p>
      <w:pPr>
        <w:pStyle w:val="Heading6"/>
        <w:numPr>
          <w:ilvl w:val="5"/>
          <w:numId w:val="1"/>
        </w:numPr>
        <w:rPr/>
      </w:pPr>
      <w:bookmarkStart w:id="837" w:name="__RefHeading___Toc474513_1479056682"/>
      <w:bookmarkStart w:id="838" w:name="_Toc319"/>
      <w:bookmarkEnd w:id="837"/>
      <w:r>
        <w:rPr>
          <w:rtl w:val="true"/>
        </w:rPr>
        <w:t>متصدی بیع وقف کیست ؟</w:t>
      </w:r>
      <w:bookmarkEnd w:id="838"/>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مباحث مطرح شده در باب وقف این است که در موارد جواز بیع وقف، این کار </w:t>
      </w:r>
    </w:p>
    <w:p>
      <w:pPr>
        <w:pStyle w:val="BookText"/>
        <w:rPr/>
      </w:pPr>
      <w:r>
        <w:rPr>
          <w:rFonts w:ascii="IRNazanin" w:hAnsi="IRNazanin" w:eastAsia="IRNazanin"/>
          <w:color w:val="111111"/>
          <w:sz w:val="28"/>
          <w:sz w:val="28"/>
          <w:szCs w:val="28"/>
          <w:rtl w:val="true"/>
          <w:lang w:bidi="fa-IR"/>
        </w:rPr>
        <w:t>توسط چه کسی انجام می‌شود؟</w:t>
      </w:r>
    </w:p>
    <w:p>
      <w:pPr>
        <w:pStyle w:val="BookText"/>
        <w:rPr/>
      </w:pPr>
      <w:r>
        <w:rPr>
          <w:rFonts w:ascii="IRNazanin" w:hAnsi="IRNazanin" w:eastAsia="IRNazanin"/>
          <w:color w:val="111111"/>
          <w:sz w:val="28"/>
          <w:sz w:val="28"/>
          <w:szCs w:val="28"/>
          <w:rtl w:val="true"/>
          <w:lang w:bidi="fa-IR"/>
        </w:rPr>
        <w:t>البتّه در بعضی از صُور، مثل صورتی که بایع شرط کرده است در صورت نیاز، مال وقف را بفروشد واضح است که متصدّی بیع، خود واقف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همین مورد نیز احتمال این که متصدّی بیع، خود واقف نباشد، چندان بی مورد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در این مسأله، دیدگاهها یکسان نیستند و اقوال گوناگونی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w:t>
      </w:r>
      <w:r>
        <w:rPr>
          <w:rStyle w:val="FootnoteAnchor"/>
          <w:rtl w:val="true"/>
        </w:rPr>
        <w:footnoteReference w:id="1459"/>
      </w:r>
      <w:r>
        <w:rPr>
          <w:rFonts w:ascii="Amiri" w:hAnsi="Amiri" w:eastAsia="Amiri" w:cs="Amiri"/>
          <w:color w:val="111111"/>
          <w:sz w:val="28"/>
          <w:sz w:val="28"/>
          <w:szCs w:val="28"/>
          <w:rtl w:val="true"/>
          <w:lang w:bidi="ar-SA"/>
        </w:rPr>
        <w:t>و علاّمه</w:t>
      </w:r>
    </w:p>
    <w:p>
      <w:pPr>
        <w:pStyle w:val="BookText"/>
        <w:rPr/>
      </w:pPr>
      <w:r>
        <w:rPr>
          <w:rFonts w:ascii="IRNazanin" w:hAnsi="IRNazanin" w:eastAsia="IRNazanin"/>
          <w:color w:val="111111"/>
          <w:sz w:val="28"/>
          <w:sz w:val="28"/>
          <w:szCs w:val="28"/>
          <w:rtl w:val="true"/>
          <w:lang w:bidi="fa-IR"/>
        </w:rPr>
        <w:t>در مختلف</w:t>
      </w:r>
      <w:r>
        <w:rPr>
          <w:rStyle w:val="FootnoteAnchor"/>
          <w:rtl w:val="true"/>
        </w:rPr>
        <w:footnoteReference w:id="1460"/>
      </w:r>
      <w:r>
        <w:rPr>
          <w:rFonts w:ascii="IRNazanin" w:hAnsi="IRNazanin" w:eastAsia="IRNazanin"/>
          <w:color w:val="111111"/>
          <w:sz w:val="28"/>
          <w:sz w:val="28"/>
          <w:szCs w:val="28"/>
          <w:rtl w:val="true"/>
          <w:lang w:bidi="fa-IR"/>
        </w:rPr>
        <w:t>متولّی بیع وقف را در مرحله اوّل، ناظر خاصّ دانسته‌اند و اگر وقفی ناظر خاصّ نداشت نوبت به موقوفٌ عَلَیْه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غیر محصور نباشند و در غیر این صورت، متصدّی بیع، ناظر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اشتراط انحصار روشن است، چرا که در صورت عدم انحصار آنان به دلیل کثرت آنها، نمی توان تصدّی بیع را به آنان واگذار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 این است که اگر وقف دارای ناظر شرعی باشد، متولّی بیع آن، ناظر وقف خواهد بود؛ در غیر این صورت، نوبت به حاکم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مقداد و محقّق اردبیلی این نظر را برگزیده‌اند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اردبیلی اضافه کرده است که در صورت فقدان متولّی و حاکم، آحاد مؤمنین این وظیفه را بر عهده خواهند گرفت زیرا این کار احسان و</w:t>
      </w:r>
    </w:p>
    <w:p>
      <w:pPr>
        <w:pStyle w:val="BookText"/>
        <w:rPr/>
      </w:pPr>
      <w:r>
        <w:rPr>
          <w:rFonts w:ascii="IRNazanin" w:hAnsi="IRNazanin" w:eastAsia="IRNazanin"/>
          <w:color w:val="111111"/>
          <w:sz w:val="28"/>
          <w:sz w:val="28"/>
          <w:szCs w:val="28"/>
          <w:rtl w:val="true"/>
          <w:lang w:bidi="fa-IR"/>
        </w:rPr>
        <w:t>تحصیل غرض واقف است</w:t>
      </w:r>
      <w:r>
        <w:rPr>
          <w:rFonts w:eastAsia="IRNazanin" w:cs="IRNazanin"/>
          <w:color w:val="111111"/>
          <w:sz w:val="28"/>
          <w:szCs w:val="28"/>
          <w:rtl w:val="true"/>
          <w:lang w:bidi="fa-IR"/>
        </w:rPr>
        <w:t>.</w:t>
      </w:r>
      <w:r>
        <w:rPr>
          <w:rStyle w:val="FootnoteAnchor"/>
          <w:rtl w:val="true"/>
        </w:rPr>
        <w:footnoteReference w:id="14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قول سوم، موقوفٌ عَلَیْه متصدّی بیع وقف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نراقی در مستندالشّیعة</w:t>
      </w:r>
      <w:r>
        <w:rPr>
          <w:rStyle w:val="FootnoteAnchor"/>
          <w:rtl w:val="true"/>
        </w:rPr>
        <w:footnoteReference w:id="1462"/>
      </w:r>
      <w:r>
        <w:rPr>
          <w:rFonts w:ascii="IRNazanin" w:hAnsi="IRNazanin" w:eastAsia="IRNazanin"/>
          <w:color w:val="111111"/>
          <w:sz w:val="28"/>
          <w:sz w:val="28"/>
          <w:szCs w:val="28"/>
          <w:rtl w:val="true"/>
          <w:lang w:bidi="fa-IR"/>
        </w:rPr>
        <w:t>این قول را برگزیده است و برای آن به دوروایت جعفر بن حَنّان</w:t>
      </w:r>
      <w:r>
        <w:rPr>
          <w:rStyle w:val="FootnoteAnchor"/>
          <w:rtl w:val="true"/>
        </w:rPr>
        <w:footnoteReference w:id="1463"/>
      </w:r>
      <w:r>
        <w:rPr>
          <w:rFonts w:ascii="IRNazanin" w:hAnsi="IRNazanin" w:eastAsia="IRNazanin"/>
          <w:color w:val="111111"/>
          <w:sz w:val="28"/>
          <w:sz w:val="28"/>
          <w:szCs w:val="28"/>
          <w:rtl w:val="true"/>
          <w:lang w:bidi="fa-IR"/>
        </w:rPr>
        <w:t>و علی بن مهزیار</w:t>
      </w:r>
      <w:r>
        <w:rPr>
          <w:rStyle w:val="FootnoteAnchor"/>
          <w:rtl w:val="true"/>
        </w:rPr>
        <w:footnoteReference w:id="1464"/>
      </w:r>
      <w:r>
        <w:rPr>
          <w:rFonts w:ascii="IRNazanin" w:hAnsi="IRNazanin" w:eastAsia="IRNazanin"/>
          <w:color w:val="111111"/>
          <w:sz w:val="28"/>
          <w:sz w:val="28"/>
          <w:szCs w:val="28"/>
          <w:rtl w:val="true"/>
          <w:lang w:bidi="fa-IR"/>
        </w:rPr>
        <w:t>استدلال کرده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اوّل، امام علیه‌السلام در پاسخ مردی که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ورثه میت حق دارند در صورت نیاز و عدم کفاف درآمد وقف، زمین را بفروشند؟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همگی آنان راضی باشند و بیع نیز برای آنها انفع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می‌توانند بفروشند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استدلال بر جواز بیع در بعضی از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که گروهی از اَعلام، این روایت را بر موردی که وقف، به دلیل عدم تحقّق قبض، ناتمام است، حمل کرده‌اند و دلالت آن را بر جواز بیع ظاهر ندانسته‌اند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روایت علی بن مهزیار نیز شایان ذکر است که متصدّی بیع وقف، در این روایت، واقف است نه موقوفٌ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 از شیخ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بیع وقف، بطن موجود به‌همراه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بطن موجود از جانب خود و حاکم از جانب بطون و مستحقّان بعدی که موجود نیستند، به همراه یکدیگر متصدّی بیع وقف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در ادامه، این احتمال را که متولّی وقف، متصدّی بیع آن باشد، نیز منتفی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متولّی از طرف واقف برای معظم امور مربوط به وقف منصوب شده است که ممکن است بیع وقف نیز از جمله آن امور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احتمال وجود دارد که وظیفه متولّی تنها تصرّف در خود عین باشد و نسبت به تبدیل وقف وظیفه و اختیاری نداشته باشد</w:t>
      </w:r>
      <w:r>
        <w:rPr>
          <w:rFonts w:eastAsia="IRNazanin" w:cs="IRNazanin"/>
          <w:color w:val="111111"/>
          <w:sz w:val="28"/>
          <w:szCs w:val="28"/>
          <w:rtl w:val="true"/>
          <w:lang w:bidi="fa-IR"/>
        </w:rPr>
        <w:t>.</w:t>
      </w:r>
      <w:r>
        <w:rPr>
          <w:rStyle w:val="FootnoteAnchor"/>
          <w:rtl w:val="true"/>
        </w:rPr>
        <w:footnoteReference w:id="146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پنجم این است که متصدّی بیع در همه اقسام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و است موقوفٌ‌عَلَیه و متولّی هیچ یک حق تصدّی این امر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کتاب</w:t>
      </w:r>
    </w:p>
    <w:p>
      <w:pPr>
        <w:pStyle w:val="BookText"/>
        <w:rPr/>
      </w:pPr>
      <w:r>
        <w:rPr>
          <w:rFonts w:ascii="IRNazanin" w:hAnsi="IRNazanin" w:eastAsia="IRNazanin"/>
          <w:color w:val="111111"/>
          <w:sz w:val="28"/>
          <w:sz w:val="28"/>
          <w:szCs w:val="28"/>
          <w:rtl w:val="true"/>
          <w:lang w:bidi="fa-IR"/>
        </w:rPr>
        <w:t>بیع این نظر را برگزیده و آن را این گونه توجیه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ولایت متولّی حفظ اوقاف و صرف آن در مصارف معیّن است و بیع و استبدال وقف از حدود تولیت وی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واقف، این امور را نیز برای او شرط کرده باشد و شرط وی را نافذ</w:t>
      </w:r>
    </w:p>
    <w:p>
      <w:pPr>
        <w:pStyle w:val="BookText"/>
        <w:rPr/>
      </w:pPr>
      <w:r>
        <w:rPr>
          <w:rFonts w:ascii="IRNazanin" w:hAnsi="IRNazanin" w:eastAsia="IRNazanin"/>
          <w:color w:val="111111"/>
          <w:sz w:val="28"/>
          <w:sz w:val="28"/>
          <w:szCs w:val="28"/>
          <w:rtl w:val="true"/>
          <w:lang w:bidi="fa-IR"/>
        </w:rPr>
        <w:t>بدانیم، بیع و استبدال نیز برای متولّی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مورد از فرض مورد بحث، خارج است</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جا که مبنای امام خمینی این است که وقف در همه اقسام آن فکّ ملک و تحریر آن است و موقوفٌ عَلَیه مالک رقبه وقف نمی‌شود، تصدّی بیع وقف توسّط موقوفٌ‌عَلَیه نیز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حاکم و والی مسلمین که وظیفه‌اش حفظ مصالح عمومی است، در موارد جواز بیع وقف، متصدّی این امر خواهد بود، و اصلاً حفظ مصالح عامّه توسّط حاکم از تأسیسات اسلام هم نیست؛ در همه حکومتها، در مواردی که حافظی خاصّ </w:t>
      </w:r>
      <w:bookmarkStart w:id="839" w:name="pg4267_22143"/>
    </w:p>
    <w:p>
      <w:pPr>
        <w:pStyle w:val="BookText"/>
        <w:rPr/>
      </w:pPr>
      <w:bookmarkEnd w:id="839"/>
      <w:r>
        <w:rPr>
          <w:rFonts w:ascii="IRNazanin" w:hAnsi="IRNazanin" w:eastAsia="IRNazanin"/>
          <w:color w:val="111111"/>
          <w:sz w:val="28"/>
          <w:sz w:val="28"/>
          <w:szCs w:val="28"/>
          <w:rtl w:val="true"/>
          <w:lang w:bidi="fa-IR"/>
        </w:rPr>
        <w:t>برای</w:t>
      </w:r>
    </w:p>
    <w:p>
      <w:pPr>
        <w:pStyle w:val="BookText"/>
        <w:rPr/>
      </w:pPr>
      <w:r>
        <w:rPr>
          <w:rFonts w:ascii="IRNazanin" w:hAnsi="IRNazanin" w:eastAsia="IRNazanin"/>
          <w:color w:val="111111"/>
          <w:sz w:val="28"/>
          <w:sz w:val="28"/>
          <w:szCs w:val="28"/>
          <w:rtl w:val="true"/>
          <w:lang w:bidi="fa-IR"/>
        </w:rPr>
        <w:t>مصالح عمومی نباشد، حفظ آن مصالح بر عهده حاکم است</w:t>
      </w:r>
      <w:r>
        <w:rPr>
          <w:rFonts w:eastAsia="IRNazanin" w:cs="IRNazanin"/>
          <w:color w:val="111111"/>
          <w:sz w:val="28"/>
          <w:szCs w:val="28"/>
          <w:rtl w:val="true"/>
          <w:lang w:bidi="fa-IR"/>
        </w:rPr>
        <w:t>.</w:t>
      </w:r>
      <w:r>
        <w:rPr>
          <w:rStyle w:val="FootnoteAnchor"/>
          <w:rtl w:val="true"/>
        </w:rPr>
        <w:footnoteReference w:id="1466"/>
      </w:r>
    </w:p>
    <w:p>
      <w:pPr>
        <w:pStyle w:val="BookText"/>
        <w:rPr/>
      </w:pPr>
      <w:r>
        <w:rPr>
          <w:rFonts w:ascii="IRNazanin" w:hAnsi="IRNazanin" w:eastAsia="IRNazanin"/>
          <w:color w:val="111111"/>
          <w:sz w:val="28"/>
          <w:sz w:val="28"/>
          <w:szCs w:val="28"/>
          <w:rtl w:val="true"/>
          <w:lang w:bidi="fa-IR"/>
        </w:rPr>
        <w:t>به نظر می‌رسد در میان این اقوال، نزدیکترین قول به اصول و قواعد در باب وقف، قول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مختار فاضل مقداد و محقّق اردبیلی که؛ متصدّی بیع وقف در مرحله اوّل، ناظر شرعی است، و اگر وقف ناظر شرعی نداشت نوبت به حاکم می‌رسد، زیرا موقوفٌ عَلَیْه که نمی‌تواند چنین اختیاری داشته باشد، چون اوّلاً، حق او تنها انتفاع و در بعضی از موارد تملّک منافع وقف است و نسبت به عین و رقبه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صورت قول به ملکیّت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سلطه ندارد؛ ثانیا او نسبت به حقوق بطون و مستحقّان بعدی دارای هیچ گونه ولایتی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متولّی بدون تردید مسؤول حفظ و صیانت از وقف نیز هست و فروش و استبدال وقف کاملاً به این وظیفه و مسؤولیت متولّی مربوط است بلکه می‌توان گفت مصداق روشن صیانت از اموال موقوفه، دخالت متولّی در امور مربوط به بیع و استبدال وقف است تا مبادا وقف در این نقل و انتقال در معرض نابودی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می‌توان نتیجه گرفت که متصدّی بیع و استبدال وقف در مرحله اوّل متولّی منصوب از جانب واقف است و پس از وی نوبت به حاکم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اَلْوُقُوفُ عَلی حَسَبِ ما یَقِفُها اَهْلُها</w:t>
      </w:r>
      <w:r>
        <w:rPr>
          <w:rFonts w:eastAsia="IRNazanin" w:cs="IRNazanin"/>
          <w:color w:val="111111"/>
          <w:sz w:val="28"/>
          <w:szCs w:val="28"/>
          <w:rtl w:val="true"/>
          <w:lang w:bidi="fa-IR"/>
        </w:rPr>
        <w:t>»</w:t>
      </w:r>
      <w:r>
        <w:rPr>
          <w:rStyle w:val="FootnoteAnchor"/>
          <w:rtl w:val="true"/>
        </w:rPr>
        <w:footnoteReference w:id="1467"/>
      </w:r>
      <w:r>
        <w:rPr>
          <w:rFonts w:ascii="IRNazanin" w:hAnsi="IRNazanin" w:eastAsia="IRNazanin"/>
          <w:color w:val="111111"/>
          <w:sz w:val="28"/>
          <w:sz w:val="28"/>
          <w:szCs w:val="28"/>
          <w:rtl w:val="true"/>
          <w:lang w:bidi="fa-IR"/>
        </w:rPr>
        <w:t>نیز مؤید این نظرند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حاکم به عنوان حافظ مصالح عمومی می‌تواند و بسیار هم خوب است و در مواردی ممکن است لازم باشد که به طور مستقیم و یا با نصب ناظر، بر کارهای متولّی</w:t>
      </w:r>
    </w:p>
    <w:p>
      <w:pPr>
        <w:pStyle w:val="BookText"/>
        <w:rPr/>
      </w:pP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بر بیع و استبدال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و نظارت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شایان یادآوری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اختیارات حاکم مسلمین تحت عنوان احکام ثانویّه مسأله</w:t>
      </w:r>
    </w:p>
    <w:p>
      <w:pPr>
        <w:pStyle w:val="BookText"/>
        <w:rPr/>
      </w:pPr>
      <w:r>
        <w:rPr>
          <w:rFonts w:ascii="IRNazanin" w:hAnsi="IRNazanin" w:eastAsia="IRNazanin"/>
          <w:color w:val="111111"/>
          <w:sz w:val="28"/>
          <w:sz w:val="28"/>
          <w:szCs w:val="28"/>
          <w:rtl w:val="true"/>
          <w:lang w:bidi="fa-IR"/>
        </w:rPr>
        <w:t>دیگری است که در بحث قلمرو اختیارات ولیّ امر مسلمین قابل بررسی است</w:t>
      </w:r>
      <w:r>
        <w:rPr>
          <w:rFonts w:eastAsia="IRNazanin" w:cs="IRNazanin"/>
          <w:color w:val="111111"/>
          <w:sz w:val="28"/>
          <w:szCs w:val="28"/>
          <w:rtl w:val="true"/>
          <w:lang w:bidi="fa-IR"/>
        </w:rPr>
        <w:t>.</w:t>
      </w:r>
    </w:p>
    <w:p>
      <w:pPr>
        <w:pStyle w:val="Heading6"/>
        <w:numPr>
          <w:ilvl w:val="5"/>
          <w:numId w:val="1"/>
        </w:numPr>
        <w:rPr/>
      </w:pPr>
      <w:bookmarkStart w:id="840" w:name="__RefHeading___Toc474515_1479056682"/>
      <w:bookmarkStart w:id="841" w:name="_Toc320"/>
      <w:bookmarkEnd w:id="840"/>
      <w:r>
        <w:rPr>
          <w:rtl w:val="true"/>
        </w:rPr>
        <w:t>نکته</w:t>
      </w:r>
      <w:bookmarkEnd w:id="841"/>
    </w:p>
    <w:p>
      <w:pPr>
        <w:pStyle w:val="BookText"/>
        <w:rPr/>
      </w:pPr>
      <w:r>
        <w:rPr>
          <w:rFonts w:ascii="IRNazanin" w:hAnsi="IRNazanin" w:eastAsia="IRNazanin"/>
          <w:color w:val="111111"/>
          <w:sz w:val="28"/>
          <w:sz w:val="28"/>
          <w:szCs w:val="28"/>
          <w:rtl w:val="true"/>
          <w:lang w:bidi="fa-IR"/>
        </w:rPr>
        <w:t>اگر ملکی بین وقف و طِلق به طور اشاعه مشترک باشد و یکی از آن فروخته شود آیا حق شفعه برای طرف دیگر ثابت است یا خیر؟</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مسأله اگر ملک طِلق فروخته شود، مشهور، عدم ثبوت شفعه برای موقوفٌ </w:t>
      </w:r>
    </w:p>
    <w:p>
      <w:pPr>
        <w:pStyle w:val="BookText"/>
        <w:rPr/>
      </w:pPr>
      <w:r>
        <w:rPr>
          <w:rFonts w:ascii="IRNazanin" w:hAnsi="IRNazanin" w:eastAsia="IRNazanin"/>
          <w:color w:val="111111"/>
          <w:sz w:val="28"/>
          <w:sz w:val="28"/>
          <w:szCs w:val="28"/>
          <w:rtl w:val="true"/>
          <w:lang w:bidi="fa-IR"/>
        </w:rPr>
        <w:t>عَلَیْه است متّحد باشد یا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از خلاف شیخ برای این مطلب نفی</w:t>
      </w:r>
    </w:p>
    <w:p>
      <w:pPr>
        <w:pStyle w:val="BookText"/>
        <w:rPr/>
      </w:pPr>
      <w:r>
        <w:rPr>
          <w:rFonts w:ascii="IRNazanin" w:hAnsi="IRNazanin" w:eastAsia="IRNazanin"/>
          <w:color w:val="111111"/>
          <w:sz w:val="28"/>
          <w:sz w:val="28"/>
          <w:szCs w:val="28"/>
          <w:rtl w:val="true"/>
          <w:lang w:bidi="fa-IR"/>
        </w:rPr>
        <w:t>خلاف نقل کرده و از ظاهر انتصار ادّعای اجماع بر ثبوت شفعه حکایت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همچنین از گروهی از متأخّران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شهید در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در صورت اتّحاد موقوفٌ عَلَیْه حق شفعه برایش ثابت است، امّا خود سیّد و پیش از وی علاّمه در قواعد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شفعه را برای موقوفٌ عَلَیْه ثابت نمی‌دانند، زیرا بنابر عدم مالکیّت موقوفٌ عَلَیْه، شرط شفعه منتفی است و بنابر ملکیّت او شرط اتّحاد نیز منتفی است، چرا که در هر صورت بطون لاحقه شریکند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شفعه نیز از این مورد منصرف هستند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 xml:space="preserve">امّا در صورتی که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مجوّز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شود مشهور، ثبوت شفعه برای مالک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صورتی که یک 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مسالک و غیر آن برای این مطلب نفی اشکال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صاحب عروه این است که اَوْلی عدم ثبوت است، زیرا در هر صورت اشتراک مال بین دو مالک صادق نیست و حدّاقلّ مشکوک است</w:t>
      </w:r>
      <w:r>
        <w:rPr>
          <w:rFonts w:eastAsia="IRNazanin" w:cs="IRNazanin"/>
          <w:color w:val="111111"/>
          <w:sz w:val="28"/>
          <w:szCs w:val="28"/>
          <w:rtl w:val="true"/>
          <w:lang w:bidi="fa-IR"/>
        </w:rPr>
        <w:t>.</w:t>
      </w:r>
      <w:r>
        <w:rPr>
          <w:rStyle w:val="FootnoteAnchor"/>
          <w:rtl w:val="true"/>
        </w:rPr>
        <w:footnoteReference w:id="1469"/>
      </w:r>
      <w:r>
        <w:rPr>
          <w:rFonts w:ascii="IRNazanin" w:hAnsi="IRNazanin" w:eastAsia="IRNazanin"/>
          <w:color w:val="111111"/>
          <w:sz w:val="28"/>
          <w:sz w:val="28"/>
          <w:szCs w:val="28"/>
          <w:rtl w:val="true"/>
          <w:lang w:bidi="fa-IR"/>
        </w:rPr>
        <w:t>مختار ابن ادریس و ظاهر و فخر در ایضاح ثبوت شفعه در این فرض است، اما شیخ در مبسوط عدم ثبوت شفعه را برگزیده است</w:t>
      </w:r>
      <w:r>
        <w:rPr>
          <w:rFonts w:eastAsia="IRNazanin" w:cs="IRNazanin"/>
          <w:color w:val="111111"/>
          <w:sz w:val="28"/>
          <w:szCs w:val="28"/>
          <w:rtl w:val="true"/>
          <w:lang w:bidi="fa-IR"/>
        </w:rPr>
        <w:t>.</w:t>
      </w:r>
      <w:r>
        <w:rPr>
          <w:rStyle w:val="FootnoteAnchor"/>
          <w:rtl w:val="true"/>
        </w:rPr>
        <w:footnoteReference w:id="1470"/>
      </w:r>
      <w:r>
        <w:rPr>
          <w:rFonts w:ascii="IRNazanin" w:hAnsi="IRNazanin" w:eastAsia="IRNazanin"/>
          <w:color w:val="111111"/>
          <w:sz w:val="28"/>
          <w:sz w:val="28"/>
          <w:szCs w:val="28"/>
          <w:rtl w:val="true"/>
          <w:lang w:bidi="fa-IR"/>
        </w:rPr>
        <w:t>از فقهای معاصر آیه‌الله خویی</w:t>
      </w:r>
      <w:r>
        <w:rPr>
          <w:rStyle w:val="FootnoteAnchor"/>
          <w:rtl w:val="true"/>
        </w:rPr>
        <w:footnoteReference w:id="1471"/>
      </w:r>
      <w:r>
        <w:rPr>
          <w:rFonts w:ascii="IRNazanin" w:hAnsi="IRNazanin" w:eastAsia="IRNazanin"/>
          <w:color w:val="111111"/>
          <w:sz w:val="28"/>
          <w:sz w:val="28"/>
          <w:szCs w:val="28"/>
          <w:rtl w:val="true"/>
          <w:lang w:bidi="fa-IR"/>
        </w:rPr>
        <w:t>، آیه‌الله حکیم</w:t>
      </w:r>
      <w:r>
        <w:rPr>
          <w:rStyle w:val="FootnoteAnchor"/>
          <w:rtl w:val="true"/>
        </w:rPr>
        <w:footnoteReference w:id="147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شفعه را تقریب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ثبوت حق شفعه خلاف اصل است و از سویی مالکیت در یک طرف مُحرز نیست، به‌نظر می‌رسد مختار صاحب عروة یعنی عدم ثبوت شفعه، موجّه‌ترین دیدگاه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بیع و استبدال وقف از دیدگاه دیگر مذاهب</w:t>
      </w:r>
    </w:p>
    <w:p>
      <w:pPr>
        <w:pStyle w:val="BookText"/>
        <w:rPr/>
      </w:pPr>
      <w:r>
        <w:rPr>
          <w:rFonts w:ascii="IRNazanin" w:hAnsi="IRNazanin" w:eastAsia="IRNazanin"/>
          <w:color w:val="111111"/>
          <w:sz w:val="28"/>
          <w:sz w:val="28"/>
          <w:szCs w:val="28"/>
          <w:rtl w:val="true"/>
          <w:lang w:bidi="fa-IR"/>
        </w:rPr>
        <w:t xml:space="preserve">از واژه هایی که در متون اهل سنّت به چشم می 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فقها غالبا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فروش عین موقوفه برای خریداری بدل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گرفتن عین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عین اوّل، تفسیر کرده </w:t>
      </w:r>
    </w:p>
    <w:p>
      <w:pPr>
        <w:pStyle w:val="BookText"/>
        <w:rPr/>
      </w:pP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یک از ابدال و استبدال در حقیقت، مستلزم معنای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 عین موقوفه لحاظ شود، ابدال و اگر به شراء بدل آن توجّه شود استبدال خواهد بود</w:t>
      </w:r>
      <w:r>
        <w:rPr>
          <w:rFonts w:eastAsia="IRNazanin" w:cs="IRNazanin"/>
          <w:color w:val="111111"/>
          <w:sz w:val="28"/>
          <w:szCs w:val="28"/>
          <w:rtl w:val="true"/>
          <w:lang w:bidi="fa-IR"/>
        </w:rPr>
        <w:t>.</w:t>
      </w:r>
      <w:r>
        <w:rPr>
          <w:rStyle w:val="FootnoteAnchor"/>
          <w:rtl w:val="true"/>
        </w:rPr>
        <w:footnoteReference w:id="1473"/>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معنایی نزدیک به استبدال دارد، به طوری که هر گاه یکی از آن دو، اطلاق شود دیگری نیز در معنای آن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هر دو واژه در یک کلام آمده باشند، منظور از مناقله مقایضه است یعنی فروش وقف در برابر ملک طِلق با این هدف که ملکِ طِلق به جای آن وقف شود و منظور از استبدال، بیع وقف است در برابر نقود تا با آن ملکی خریداری و به جای وقف فروخته شده، وقف شود</w:t>
      </w:r>
      <w:r>
        <w:rPr>
          <w:rFonts w:eastAsia="IRNazanin" w:cs="IRNazanin"/>
          <w:color w:val="111111"/>
          <w:sz w:val="28"/>
          <w:szCs w:val="28"/>
          <w:rtl w:val="true"/>
          <w:lang w:bidi="fa-IR"/>
        </w:rPr>
        <w:t>.</w:t>
      </w:r>
      <w:r>
        <w:rPr>
          <w:rStyle w:val="FootnoteAnchor"/>
          <w:rtl w:val="true"/>
        </w:rPr>
        <w:footnoteReference w:id="1474"/>
      </w:r>
    </w:p>
    <w:p>
      <w:pPr>
        <w:pStyle w:val="BookText"/>
        <w:rPr/>
      </w:pPr>
      <w:r>
        <w:rPr>
          <w:rFonts w:ascii="IRNazanin" w:hAnsi="IRNazanin" w:eastAsia="IRNazanin"/>
          <w:color w:val="111111"/>
          <w:sz w:val="28"/>
          <w:sz w:val="28"/>
          <w:szCs w:val="28"/>
          <w:rtl w:val="true"/>
          <w:lang w:bidi="fa-IR"/>
        </w:rPr>
        <w:t>حکم بیع و استبدال</w:t>
      </w:r>
    </w:p>
    <w:p>
      <w:pPr>
        <w:pStyle w:val="BookText"/>
        <w:rPr/>
      </w:pPr>
      <w:r>
        <w:rPr>
          <w:rFonts w:ascii="Amiri" w:hAnsi="Amiri" w:eastAsia="Amiri" w:cs="Amiri"/>
          <w:color w:val="111111"/>
          <w:sz w:val="28"/>
          <w:sz w:val="28"/>
          <w:szCs w:val="28"/>
          <w:rtl w:val="true"/>
          <w:lang w:bidi="ar-SA"/>
        </w:rPr>
        <w:t>مذهب زیدیّه</w:t>
      </w:r>
    </w:p>
    <w:p>
      <w:pPr>
        <w:pStyle w:val="BookText"/>
        <w:rPr/>
      </w:pPr>
      <w:r>
        <w:rPr>
          <w:rFonts w:ascii="IRNazanin" w:hAnsi="IRNazanin" w:eastAsia="IRNazanin"/>
          <w:color w:val="111111"/>
          <w:sz w:val="28"/>
          <w:sz w:val="28"/>
          <w:szCs w:val="28"/>
          <w:rtl w:val="true"/>
          <w:lang w:bidi="fa-IR"/>
        </w:rPr>
        <w:t>در البحر الزَّخّار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وقفی که از استفاده افتاده است، مانند مسجدی که</w:t>
      </w:r>
    </w:p>
    <w:p>
      <w:pPr>
        <w:pStyle w:val="BookText"/>
        <w:rPr/>
      </w:pPr>
      <w:r>
        <w:rPr>
          <w:rFonts w:ascii="IRNazanin" w:hAnsi="IRNazanin" w:eastAsia="IRNazanin"/>
          <w:color w:val="111111"/>
          <w:sz w:val="28"/>
          <w:sz w:val="28"/>
          <w:szCs w:val="28"/>
          <w:rtl w:val="true"/>
          <w:lang w:bidi="fa-IR"/>
        </w:rPr>
        <w:t>ویران شده است از وقفیّت نمی افتد، زیرا غرض اصلی از وقف همان عرصه آن است</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 xml:space="preserve">امّا در موسوعه جمال عبدالناصر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التاج المذهب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طبق مذهب زیدی تنها در چهار صورت بیع وقف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فساد و تلف وقف در صورت ابقای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ایجاد فتنه و اختلاف در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ابقای وقف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اصلاح وقف جز با فروش بعضی از آن ممکن نباشد، که در این صورت، آن بعض برای اصلاح باقی به فروش می رسد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غرض مورد نظر واقف منتفی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مال وقف فروخته می شود تا با ثمن آن عینی خریداری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مال خریداری شده به مجرّد خریداری، وقف خواهد بود و نیازی به تجدید وقف نیست</w:t>
      </w:r>
      <w:r>
        <w:rPr>
          <w:rFonts w:eastAsia="IRNazanin" w:cs="IRNazanin"/>
          <w:color w:val="111111"/>
          <w:sz w:val="28"/>
          <w:szCs w:val="28"/>
          <w:rtl w:val="true"/>
          <w:lang w:bidi="fa-IR"/>
        </w:rPr>
        <w:t>.</w:t>
      </w:r>
      <w:r>
        <w:rPr>
          <w:rStyle w:val="FootnoteAnchor"/>
          <w:rtl w:val="true"/>
        </w:rPr>
        <w:footnoteReference w:id="1476"/>
      </w:r>
      <w:r>
        <w:rPr>
          <w:rFonts w:ascii="IRNazanin" w:hAnsi="IRNazanin" w:eastAsia="IRNazanin"/>
          <w:color w:val="111111"/>
          <w:sz w:val="28"/>
          <w:sz w:val="28"/>
          <w:szCs w:val="28"/>
          <w:rtl w:val="true"/>
          <w:lang w:bidi="fa-IR"/>
        </w:rPr>
        <w:t>ضمنا در مبحث شروط واقف نیز به مطالبی درباره ابدال و استبدال، اشاره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مذهب حنفیّه</w:t>
      </w:r>
    </w:p>
    <w:p>
      <w:pPr>
        <w:pStyle w:val="BookText"/>
        <w:rPr/>
      </w:pPr>
      <w:r>
        <w:rPr>
          <w:rFonts w:ascii="IRNazanin" w:hAnsi="IRNazanin" w:eastAsia="IRNazanin"/>
          <w:color w:val="111111"/>
          <w:sz w:val="28"/>
          <w:sz w:val="28"/>
          <w:szCs w:val="28"/>
          <w:rtl w:val="true"/>
          <w:lang w:bidi="fa-IR"/>
        </w:rPr>
        <w:t>استبدال در فقه حنفی دارای سه حالت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در هنگام انشای وقف برای خودش یا متولّی حق استبدال را شرط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مثلاً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را با این شرط که خودم حق استبدال آن به مالی</w:t>
      </w:r>
    </w:p>
    <w:p>
      <w:pPr>
        <w:pStyle w:val="BookText"/>
        <w:rPr/>
      </w:pPr>
      <w:r>
        <w:rPr>
          <w:rFonts w:ascii="IRNazanin" w:hAnsi="IRNazanin" w:eastAsia="IRNazanin"/>
          <w:color w:val="111111"/>
          <w:sz w:val="28"/>
          <w:sz w:val="28"/>
          <w:szCs w:val="28"/>
          <w:rtl w:val="true"/>
          <w:lang w:bidi="fa-IR"/>
        </w:rPr>
        <w:t>دیگر یا بیع آن و جایگزین کردن بدل آن را داشته باشم، وقف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وقف و شرط، هر دو، صحیح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بعضی از روایات از محمّدبن حسن نقل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صحیح و شرط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حنفیّه این است که چنین شرطی با لزوم و تأبید منافات ندارد، زیرا لزوم و تأبید منوط به عین معیّن نیست تا با زوال آن، وقف زایل شود، بلکه وقف متقوّم به عینی است که مستمّرا دارای درآمد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 که در صورت شرط واقف، اذن قاضی هم شرط نیست، زیرا ناظر خاصّ دارای ولایت خاصّ است که بر ولایت عامّ قاضی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برای خود یا دیگری استبدال را شرط نکرده است، امّا مال وقف به صورتی درآمده که غیر قابل استفاده است، مثل این که خراب شده و هزینه ای برای عمارت آن نیست، یا نمکزار شده یا غاصبی آن را غصب کرده و متولّی از استرداد آن عاجز است، امّا غاصب به پرداخت قیمت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نیز فروش و استبدال آن جایز، بلکه گاه واجب است؛ امّا باید با اذن قاضی باشد، زیرا در این صورت</w:t>
      </w:r>
    </w:p>
    <w:p>
      <w:pPr>
        <w:pStyle w:val="BookText"/>
        <w:rPr/>
      </w:pPr>
      <w:r>
        <w:rPr>
          <w:rFonts w:ascii="IRNazanin" w:hAnsi="IRNazanin" w:eastAsia="IRNazanin"/>
          <w:color w:val="111111"/>
          <w:sz w:val="28"/>
          <w:sz w:val="28"/>
          <w:szCs w:val="28"/>
          <w:rtl w:val="true"/>
          <w:lang w:bidi="fa-IR"/>
        </w:rPr>
        <w:t>تنها قاضی است که چنین قدرتی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سوم آن است که، هر چند وقف دارای درآمدی است که از هزینه اش زیادتر است، امّا می توان آن را به موردی که دارای نفع بیشتری است،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فقهای حنفیّه دارای اختلاف شدید هستند، ابویوسف از کسانی است که بیع و استبدال را در این صورت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استبدال</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 فقهای حنفیّه برای استبدال شروطی را ذکر کرده‌اند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وقف با غبن فاحش نباشد، چرا که چنین بیعی ظلم است و تبرّع به جزئی از مال وقف برای هیچ کس ، حتّی قاضی ،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آن را به کسی که شهادتش نزد وی مقبول نیست و یا کسی که از متولّی بیع طلبکار است، نفروشد؛ زیرا در این صورت، مستبدل در معرض اتّهام قرار می گیرد که وقف را با غبن 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هزینه ای برای تعمیر وقف موجود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کننده اگر قاضی است، دارای علم و عمل و تقوا باشد تا کار او به اِبطال اوقاف مسلمین نینجامد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وقف را به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کنند تا ناظران آن به مرور زمان، اصل و رقبه آن را با تصرّف از بین نبرند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شود که بدل خریداری شده پر سودتر و کم زیان تر از عینی است که به فروش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صورتی است که استبدال به شرط واقف نباشد، زیرا در این صورت استبدال برای کثرت نفع در بدل است، لذا باید غبطه وقف مراعات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کسی که استبدال برای او شرط شده است، جز در صورتی که واقف شرط کرده باشد، حق تکرار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قاضی در صورت تکرار مسوّغ، حق تکرار دارد</w:t>
      </w:r>
      <w:r>
        <w:rPr>
          <w:rFonts w:eastAsia="IRNazanin" w:cs="IRNazanin"/>
          <w:color w:val="111111"/>
          <w:sz w:val="28"/>
          <w:szCs w:val="28"/>
          <w:rtl w:val="true"/>
          <w:lang w:bidi="fa-IR"/>
        </w:rPr>
        <w:t>.</w:t>
      </w:r>
      <w:r>
        <w:rPr>
          <w:rStyle w:val="FootnoteAnchor"/>
          <w:rtl w:val="true"/>
        </w:rPr>
        <w:footnoteReference w:id="1477"/>
      </w:r>
    </w:p>
    <w:p>
      <w:pPr>
        <w:pStyle w:val="BookText"/>
        <w:rPr/>
      </w:pPr>
      <w:r>
        <w:rPr>
          <w:rFonts w:ascii="Amiri" w:hAnsi="Amiri" w:eastAsia="Amiri" w:cs="Amiri"/>
          <w:color w:val="111111"/>
          <w:sz w:val="28"/>
          <w:sz w:val="28"/>
          <w:szCs w:val="28"/>
          <w:rtl w:val="true"/>
          <w:lang w:bidi="ar-SA"/>
        </w:rPr>
        <w:t>فقه مالکیّه</w:t>
      </w:r>
    </w:p>
    <w:p>
      <w:pPr>
        <w:pStyle w:val="BookText"/>
        <w:rPr/>
      </w:pPr>
      <w:r>
        <w:rPr>
          <w:rFonts w:ascii="IRNazanin" w:hAnsi="IRNazanin" w:eastAsia="IRNazanin"/>
          <w:color w:val="111111"/>
          <w:sz w:val="28"/>
          <w:sz w:val="28"/>
          <w:szCs w:val="28"/>
          <w:rtl w:val="true"/>
          <w:lang w:bidi="fa-IR"/>
        </w:rPr>
        <w:t>در مذهب مالک بیع و استبدال وقف در دو صورت با قاطعیّت ممنوع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مسجد باشد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مال وقف، عقار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املاک غیر منقول مثل خانه و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نیز بجز در موارد ضرورت، برای توسعه مسجد، مقبره، راه عمومی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بیع وقف جایز نیست؛ امّا در موارد استثنا شده چون از مصالح عمومی هستند و عدم بیع وقف موجب آزار و اذیت مردم در عبادت و مسیر و دفن امواتشان می شود، بیع و </w:t>
      </w:r>
    </w:p>
    <w:p>
      <w:pPr>
        <w:pStyle w:val="BookText"/>
        <w:rPr/>
      </w:pPr>
      <w:r>
        <w:rPr>
          <w:rFonts w:ascii="IRNazanin" w:hAnsi="IRNazanin" w:eastAsia="IRNazanin"/>
          <w:color w:val="111111"/>
          <w:sz w:val="28"/>
          <w:sz w:val="28"/>
          <w:szCs w:val="28"/>
          <w:rtl w:val="true"/>
          <w:lang w:bidi="fa-IR"/>
        </w:rPr>
        <w:t>استبدال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دو مورد در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موقوفه، البسه، حیوانات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قابل انتفاع نباشند، به فروش می رسند و با ثمن آنها بدل مماثل تهیّه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الْمُدَوَّنَهُ‌الْکُبْری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چارپایانی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شده‌اند، اگر غیر قابل انتفاع شدند به فروش می رسند و با بهایشان اسبان دیگری برای همین منظور خریداری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موردی که عقار به خاطر ضرورتهای یاد شده تبدیل شده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اولاد یا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باید ثمن به آنها پرداخت</w:t>
      </w:r>
    </w:p>
    <w:p>
      <w:pPr>
        <w:pStyle w:val="BookText"/>
        <w:rPr/>
      </w:pPr>
      <w:r>
        <w:rPr>
          <w:rFonts w:ascii="IRNazanin" w:hAnsi="IRNazanin" w:eastAsia="IRNazanin"/>
          <w:color w:val="111111"/>
          <w:sz w:val="28"/>
          <w:sz w:val="28"/>
          <w:szCs w:val="28"/>
          <w:rtl w:val="true"/>
          <w:lang w:bidi="fa-IR"/>
        </w:rPr>
        <w:t>شود تا با آن املاکی را بخرند که به جای املاک به فروش رفته، وقف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املاک پرداخت ثمن لازم</w:t>
      </w:r>
    </w:p>
    <w:p>
      <w:pPr>
        <w:pStyle w:val="BookText"/>
        <w:rPr/>
      </w:pPr>
      <w:r>
        <w:rPr>
          <w:rFonts w:ascii="IRNazanin" w:hAnsi="IRNazanin" w:eastAsia="IRNazanin"/>
          <w:color w:val="111111"/>
          <w:sz w:val="28"/>
          <w:sz w:val="28"/>
          <w:szCs w:val="28"/>
          <w:rtl w:val="true"/>
          <w:lang w:bidi="fa-IR"/>
        </w:rPr>
        <w:t xml:space="preserve">نیست؛ زیرا در این صورت حق فرد یا افراد معیّنی به آن تعلّق نگرفته است و برای مصالحی چون توسعه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 قبرستان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استفاده شده است و برای واقف آن بیش از آنچه منظور و مقصود وی بوده است، اجر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شایان یادآوری است که بعضی از مالکیّه، استبدال عقار را نیز در صورتی که از حیّز انتفاع افتاده باشد، جایز دانسته اند</w:t>
      </w:r>
      <w:r>
        <w:rPr>
          <w:rFonts w:eastAsia="IRNazanin" w:cs="IRNazanin"/>
          <w:color w:val="111111"/>
          <w:sz w:val="28"/>
          <w:szCs w:val="28"/>
          <w:rtl w:val="true"/>
          <w:lang w:bidi="fa-IR"/>
        </w:rPr>
        <w:t>.</w:t>
      </w:r>
      <w:r>
        <w:rPr>
          <w:rStyle w:val="FootnoteAnchor"/>
          <w:rtl w:val="true"/>
        </w:rPr>
        <w:footnoteReference w:id="1478"/>
      </w:r>
    </w:p>
    <w:p>
      <w:pPr>
        <w:pStyle w:val="BookText"/>
        <w:rPr/>
      </w:pPr>
      <w:r>
        <w:rPr>
          <w:rFonts w:ascii="IRNazanin" w:hAnsi="IRNazanin" w:eastAsia="IRNazanin"/>
          <w:color w:val="111111"/>
          <w:sz w:val="28"/>
          <w:sz w:val="28"/>
          <w:szCs w:val="28"/>
          <w:rtl w:val="true"/>
          <w:lang w:bidi="fa-IR"/>
        </w:rPr>
        <w:t>مذهب شافعیّه</w:t>
      </w:r>
    </w:p>
    <w:p>
      <w:pPr>
        <w:pStyle w:val="BookText"/>
        <w:rPr/>
      </w:pPr>
      <w:r>
        <w:rPr>
          <w:rFonts w:ascii="IRNazanin" w:hAnsi="IRNazanin" w:eastAsia="IRNazanin"/>
          <w:color w:val="111111"/>
          <w:sz w:val="28"/>
          <w:sz w:val="28"/>
          <w:szCs w:val="28"/>
          <w:rtl w:val="true"/>
          <w:lang w:bidi="fa-IR"/>
        </w:rPr>
        <w:t xml:space="preserve">در مذهب شافعی نسبت به بیع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منقول و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سختگیری ، جلوگیری از نابودی و ضایع شدن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شافعیّه در مورد اموال و املاک غیر منقولی که به طور کلّی غیر قابل استفاده شده‌اند،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استبدال را جایز دانسته اند و برخی آن را منع کرده اند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سختگیری شافعیّه در بیع و استبدال وقف به حدّی است که حتّی در صورتی که مال وقف جز با استهلاک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سوزاندن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استفاده نیست، استبدال را جایز ندانسته </w:t>
      </w:r>
    </w:p>
    <w:p>
      <w:pPr>
        <w:pStyle w:val="BookText"/>
        <w:rPr/>
      </w:pPr>
      <w:r>
        <w:rPr>
          <w:rFonts w:ascii="IRNazanin" w:hAnsi="IRNazanin" w:eastAsia="IRNazanin"/>
          <w:color w:val="111111"/>
          <w:sz w:val="28"/>
          <w:sz w:val="28"/>
          <w:szCs w:val="28"/>
          <w:rtl w:val="true"/>
          <w:lang w:bidi="fa-IR"/>
        </w:rPr>
        <w:t xml:space="preserve">اند و تنها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اند برای سوزاندن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شَربینی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درختی بخشکد یا بر اثر باد و سیل از جای کنده شود و اعاده آن به جای خود میسّر نباشد به هیچ وجه فروش وهبه آن جایز نیست و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توانند به همین صورت که هست از آن استفاده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گوشه و کنار عبارات فقهای شافعیّه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شَربینی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پیدا می‌شود که به موجب آنها در بعضی از مواردی که مال وقف به طور کلّی از انتفاع ساقط شده است؛ بیع و استبدال آن جایز است</w:t>
      </w:r>
      <w:r>
        <w:rPr>
          <w:rFonts w:eastAsia="IRNazanin" w:cs="IRNazanin"/>
          <w:color w:val="111111"/>
          <w:sz w:val="28"/>
          <w:szCs w:val="28"/>
          <w:rtl w:val="true"/>
          <w:lang w:bidi="fa-IR"/>
        </w:rPr>
        <w:t>.</w:t>
      </w:r>
      <w:r>
        <w:rPr>
          <w:rStyle w:val="FootnoteAnchor"/>
          <w:rtl w:val="true"/>
        </w:rPr>
        <w:footnoteReference w:id="1479"/>
      </w:r>
    </w:p>
    <w:p>
      <w:pPr>
        <w:pStyle w:val="BookText"/>
        <w:rPr/>
      </w:pPr>
      <w:r>
        <w:rPr>
          <w:rFonts w:ascii="IRNazanin" w:hAnsi="IRNazanin" w:eastAsia="IRNazanin"/>
          <w:color w:val="111111"/>
          <w:sz w:val="28"/>
          <w:sz w:val="28"/>
          <w:szCs w:val="28"/>
          <w:rtl w:val="true"/>
          <w:lang w:bidi="fa-IR"/>
        </w:rPr>
        <w:t>ابوزهره یادآور شده است که این سختگیری و افراط شدید شافعیّه در بعضی از موارد، به عدم استفاده از وقف و تعطیل و موات شدن اراضی آن و در نهایت، اضرار به مستحقّان ، جهات بِرّ و فقرا خواهد انجامید</w:t>
      </w:r>
      <w:r>
        <w:rPr>
          <w:rFonts w:eastAsia="IRNazanin" w:cs="IRNazanin"/>
          <w:color w:val="111111"/>
          <w:sz w:val="28"/>
          <w:szCs w:val="28"/>
          <w:rtl w:val="true"/>
          <w:lang w:bidi="fa-IR"/>
        </w:rPr>
        <w:t>.</w:t>
      </w:r>
      <w:r>
        <w:rPr>
          <w:rStyle w:val="FootnoteAnchor"/>
          <w:rtl w:val="true"/>
        </w:rPr>
        <w:footnoteReference w:id="1480"/>
      </w:r>
    </w:p>
    <w:p>
      <w:pPr>
        <w:pStyle w:val="BookText"/>
        <w:rPr/>
      </w:pPr>
      <w:r>
        <w:rPr>
          <w:rFonts w:ascii="Amiri" w:hAnsi="Amiri" w:eastAsia="Amiri" w:cs="Amiri"/>
          <w:color w:val="111111"/>
          <w:sz w:val="28"/>
          <w:sz w:val="28"/>
          <w:szCs w:val="28"/>
          <w:rtl w:val="true"/>
          <w:lang w:bidi="ar-SA"/>
        </w:rPr>
        <w:t>حنبلیّه</w:t>
      </w:r>
    </w:p>
    <w:p>
      <w:pPr>
        <w:pStyle w:val="BookText"/>
        <w:rPr/>
      </w:pPr>
      <w:r>
        <w:rPr>
          <w:rFonts w:ascii="IRNazanin" w:hAnsi="IRNazanin" w:eastAsia="IRNazanin"/>
          <w:color w:val="111111"/>
          <w:sz w:val="28"/>
          <w:sz w:val="28"/>
          <w:szCs w:val="28"/>
          <w:rtl w:val="true"/>
          <w:lang w:bidi="fa-IR"/>
        </w:rPr>
        <w:t>در مبحث مساجد گذشت که احمدبن حنبل و اصحاب وی، بیع و استبدال مسجد را در صورت ضیق و مانند آن ، جایز می دانند و معتقدند، مسجد اوّل، دیگر وقف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قاضی الجبل الحنبلی در رساله خود</w:t>
      </w:r>
      <w:r>
        <w:rPr>
          <w:rStyle w:val="FootnoteAnchor"/>
          <w:rtl w:val="true"/>
        </w:rPr>
        <w:footnoteReference w:id="1481"/>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که بیع و استبدال مساجد را در مواردی خاصّ جایز می‌داند، بیع و نقل غیر مساجد را، در صورت تعطّل منافع به طریق اَوْلی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باشد نقل مساجد که محلّ طاعت، نماز و قربات است، جایز باشد بدون شک بَیْع سایر اوقاف، در موارد تعذّر انتفاع از آنها، بلامانع خواهد بود</w:t>
      </w:r>
      <w:r>
        <w:rPr>
          <w:rFonts w:eastAsia="IRNazanin" w:cs="IRNazanin"/>
          <w:color w:val="111111"/>
          <w:sz w:val="28"/>
          <w:szCs w:val="28"/>
          <w:rtl w:val="true"/>
          <w:lang w:bidi="fa-IR"/>
        </w:rPr>
        <w:t>.</w:t>
      </w:r>
      <w:r>
        <w:rPr>
          <w:rStyle w:val="FootnoteAnchor"/>
          <w:rtl w:val="true"/>
        </w:rPr>
        <w:footnoteReference w:id="1482"/>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احمد به جواز بیع وقف در صورتی که جز با ابدال عین آن ، قابل انتفاع نباشد، تصریح کرده‌است</w:t>
      </w:r>
      <w:r>
        <w:rPr>
          <w:rFonts w:eastAsia="IRNazanin" w:cs="IRNazanin"/>
          <w:color w:val="111111"/>
          <w:sz w:val="28"/>
          <w:szCs w:val="28"/>
          <w:rtl w:val="true"/>
          <w:lang w:bidi="fa-IR"/>
        </w:rPr>
        <w:t>.</w:t>
      </w:r>
      <w:r>
        <w:rPr>
          <w:rStyle w:val="FootnoteAnchor"/>
          <w:rtl w:val="true"/>
        </w:rPr>
        <w:footnoteReference w:id="1483"/>
      </w:r>
      <w:r>
        <w:rPr>
          <w:rFonts w:ascii="IRNazanin" w:hAnsi="IRNazanin" w:eastAsia="IRNazanin"/>
          <w:color w:val="111111"/>
          <w:sz w:val="28"/>
          <w:sz w:val="28"/>
          <w:szCs w:val="28"/>
          <w:rtl w:val="true"/>
          <w:lang w:bidi="fa-IR"/>
        </w:rPr>
        <w:t xml:space="preserve">ابن قُدامه نیز ضمن بیان همین مطلب تصریح </w:t>
      </w:r>
      <w:bookmarkStart w:id="842" w:name="pg4267_22157"/>
    </w:p>
    <w:p>
      <w:pPr>
        <w:pStyle w:val="BookText"/>
        <w:rPr/>
      </w:pPr>
      <w:bookmarkEnd w:id="842"/>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ثمن آن مال دیگری خریداری و به جای ملک فروخته شده وقف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منفعت و درآمد وقف کم شود و به طور کلّی</w:t>
      </w:r>
    </w:p>
    <w:p>
      <w:pPr>
        <w:pStyle w:val="BookText"/>
        <w:rPr/>
      </w:pPr>
      <w:r>
        <w:rPr>
          <w:rFonts w:ascii="IRNazanin" w:hAnsi="IRNazanin" w:eastAsia="IRNazanin"/>
          <w:color w:val="111111"/>
          <w:sz w:val="28"/>
          <w:sz w:val="28"/>
          <w:szCs w:val="28"/>
          <w:rtl w:val="true"/>
          <w:lang w:bidi="fa-IR"/>
        </w:rPr>
        <w:t>تعطیل و منتفی نشود، هر چند تبدیل وقف انفع نیز باشد، بیع آن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w:t>
      </w:r>
    </w:p>
    <w:p>
      <w:pPr>
        <w:pStyle w:val="BookText"/>
        <w:rPr/>
      </w:pPr>
      <w:r>
        <w:rPr>
          <w:rFonts w:ascii="IRNazanin" w:hAnsi="IRNazanin" w:eastAsia="IRNazanin"/>
          <w:color w:val="111111"/>
          <w:sz w:val="28"/>
          <w:sz w:val="28"/>
          <w:szCs w:val="28"/>
          <w:rtl w:val="true"/>
          <w:lang w:bidi="fa-IR"/>
        </w:rPr>
        <w:t>تحریم بیع است و تنها در صورتی تجویز می شود که برای جلوگیری از ضایع شدن آن، ضرورت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کم شدنی که قابل توجّه نیست در حکم تعطیل منافع است</w:t>
      </w:r>
      <w:r>
        <w:rPr>
          <w:rFonts w:eastAsia="IRNazanin" w:cs="IRNazanin"/>
          <w:color w:val="111111"/>
          <w:sz w:val="28"/>
          <w:szCs w:val="28"/>
          <w:rtl w:val="true"/>
          <w:lang w:bidi="fa-IR"/>
        </w:rPr>
        <w:t>.</w:t>
      </w:r>
      <w:r>
        <w:rPr>
          <w:rStyle w:val="FootnoteAnchor"/>
          <w:rtl w:val="true"/>
        </w:rPr>
        <w:footnoteReference w:id="1484"/>
      </w:r>
    </w:p>
    <w:p>
      <w:pPr>
        <w:pStyle w:val="BookText"/>
        <w:rPr/>
      </w:pPr>
      <w:r>
        <w:rPr>
          <w:rFonts w:ascii="IRNazanin" w:hAnsi="IRNazanin" w:eastAsia="IRNazanin"/>
          <w:color w:val="111111"/>
          <w:sz w:val="28"/>
          <w:sz w:val="28"/>
          <w:szCs w:val="28"/>
          <w:rtl w:val="true"/>
          <w:lang w:bidi="fa-IR"/>
        </w:rPr>
        <w:t xml:space="preserve">حنابله دلیل جواز تبدیل را بقا و استمرار هدف واقف، هر چند در صورت مالی دیگر، و نیز روایاتی از جمله روایت عمر و دستور وی به نقل جایگاه مسجدی در کوفه ذکر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حدیث و نقد آن در بحث بیع مسجد اشاره شد</w:t>
      </w:r>
      <w:r>
        <w:rPr>
          <w:rFonts w:eastAsia="IRNazanin" w:cs="IRNazanin"/>
          <w:color w:val="111111"/>
          <w:sz w:val="28"/>
          <w:szCs w:val="28"/>
          <w:rtl w:val="true"/>
          <w:lang w:bidi="fa-IR"/>
        </w:rPr>
        <w:t>).</w:t>
      </w:r>
      <w:r>
        <w:rPr>
          <w:rStyle w:val="FootnoteAnchor"/>
          <w:rtl w:val="true"/>
        </w:rPr>
        <w:footnoteReference w:id="1485"/>
      </w:r>
    </w:p>
    <w:p>
      <w:pPr>
        <w:pStyle w:val="BookText"/>
        <w:rPr/>
      </w:pPr>
      <w:r>
        <w:rPr>
          <w:rFonts w:ascii="Amiri" w:hAnsi="Amiri" w:eastAsia="Amiri" w:cs="Amiri"/>
          <w:color w:val="111111"/>
          <w:sz w:val="28"/>
          <w:sz w:val="28"/>
          <w:szCs w:val="28"/>
          <w:rtl w:val="true"/>
          <w:lang w:bidi="ar-SA"/>
        </w:rPr>
        <w:t>متصدّی بیع</w:t>
      </w:r>
    </w:p>
    <w:p>
      <w:pPr>
        <w:pStyle w:val="BookText"/>
        <w:rPr/>
      </w:pPr>
      <w:r>
        <w:rPr>
          <w:rFonts w:ascii="IRNazanin" w:hAnsi="IRNazanin" w:eastAsia="IRNazanin"/>
          <w:color w:val="111111"/>
          <w:sz w:val="28"/>
          <w:sz w:val="28"/>
          <w:szCs w:val="28"/>
          <w:rtl w:val="true"/>
          <w:lang w:bidi="fa-IR"/>
        </w:rPr>
        <w:t>در فقه حنبلی در موارد جواز بیع و استبدال وقف، اگر وقف بر مصالح عامّه ، چون مساجد، قناطر، مساکن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متصدّی بیع و استبدال آن حاکم خواهد بود، زیرا استبدال، یعنی فسخ عقد لازم، آن هم در موردی که سخت مورد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بر اذن حاکم توقّف دارد؛ امّا اگر وقف بر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اولاد یا فرد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متولّی بیع، ناظر خاصّ آن وقف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احتیاط در این است که ناظر خاصّ بدون اذن حاکم اقدام نکند، زیرا کار وی متضمّن تصرّف در حق بطون و مستحقّان بعدی نیز هست و از این رو به بیع مال غایب شبیه است</w:t>
      </w:r>
      <w:r>
        <w:rPr>
          <w:rFonts w:eastAsia="IRNazanin" w:cs="IRNazanin"/>
          <w:color w:val="111111"/>
          <w:sz w:val="28"/>
          <w:szCs w:val="28"/>
          <w:rtl w:val="true"/>
          <w:lang w:bidi="fa-IR"/>
        </w:rPr>
        <w:t>.</w:t>
      </w:r>
      <w:r>
        <w:rPr>
          <w:rStyle w:val="FootnoteAnchor"/>
          <w:rtl w:val="true"/>
        </w:rPr>
        <w:footnoteReference w:id="1486"/>
      </w:r>
    </w:p>
    <w:p>
      <w:pPr>
        <w:pStyle w:val="Heading6"/>
        <w:numPr>
          <w:ilvl w:val="5"/>
          <w:numId w:val="1"/>
        </w:numPr>
        <w:rPr/>
      </w:pPr>
      <w:bookmarkStart w:id="843" w:name="__RefHeading___Toc474517_1479056682"/>
      <w:bookmarkStart w:id="844" w:name="_Toc321"/>
      <w:bookmarkEnd w:id="843"/>
      <w:r>
        <w:rPr>
          <w:rtl w:val="true"/>
        </w:rPr>
        <w:t>نکته پایانی این مبحث</w:t>
      </w:r>
      <w:bookmarkEnd w:id="844"/>
    </w:p>
    <w:p>
      <w:pPr>
        <w:pStyle w:val="BookText"/>
        <w:rPr/>
      </w:pPr>
      <w:r>
        <w:rPr>
          <w:rFonts w:ascii="IRNazanin" w:hAnsi="IRNazanin" w:eastAsia="IRNazanin"/>
          <w:color w:val="111111"/>
          <w:sz w:val="28"/>
          <w:sz w:val="28"/>
          <w:szCs w:val="28"/>
          <w:rtl w:val="true"/>
          <w:lang w:bidi="fa-IR"/>
        </w:rPr>
        <w:t xml:space="preserve">مبحث بیع و استبدال وقف را برای حسن ختام با ماجرای جالبی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جواهرالاخبار</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پاورقی البحر الزّخّار چاپ شده است، درباره فروش زیورهای کعبه شریف به پایان می‌بریم</w:t>
      </w:r>
      <w:r>
        <w:rPr>
          <w:rFonts w:eastAsia="IRNazanin" w:cs="IRNazanin"/>
          <w:color w:val="111111"/>
          <w:sz w:val="28"/>
          <w:szCs w:val="28"/>
          <w:rtl w:val="true"/>
          <w:lang w:bidi="fa-IR"/>
        </w:rPr>
        <w:t xml:space="preserve">: </w:t>
      </w:r>
      <w:bookmarkStart w:id="845" w:name="pg4267_22159"/>
    </w:p>
    <w:p>
      <w:pPr>
        <w:pStyle w:val="BookText"/>
        <w:rPr/>
      </w:pPr>
      <w:bookmarkEnd w:id="845"/>
      <w:r>
        <w:rPr>
          <w:rFonts w:ascii="IRNazanin" w:hAnsi="IRNazanin" w:eastAsia="IRNazanin"/>
          <w:color w:val="111111"/>
          <w:sz w:val="28"/>
          <w:sz w:val="28"/>
          <w:szCs w:val="28"/>
          <w:rtl w:val="true"/>
          <w:lang w:bidi="fa-IR"/>
        </w:rPr>
        <w:t xml:space="preserve">گروهی به عمربن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خلافتش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پیشنهاد کردند که حُلِّی و زیورهای کعبه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اموال قابل توجّهی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بهای آنها را به مصرف سپاه مسلمین برساند و</w:t>
      </w:r>
    </w:p>
    <w:p>
      <w:pPr>
        <w:pStyle w:val="BookText"/>
        <w:rPr/>
      </w:pPr>
      <w:r>
        <w:rPr>
          <w:rFonts w:ascii="IRNazanin" w:hAnsi="IRNazanin" w:eastAsia="IRNazanin"/>
          <w:color w:val="111111"/>
          <w:sz w:val="28"/>
          <w:sz w:val="28"/>
          <w:szCs w:val="28"/>
          <w:rtl w:val="true"/>
          <w:lang w:bidi="fa-IR"/>
        </w:rPr>
        <w:t xml:space="preserve">اظهار داشتند که اجر و پاداش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این اموال را برای کعبه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مراتب بیشتر است از این که در کنار کعبه باشد، اصلاً کعبه چه نیازی به زیور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این باره با علی علیه‌السلام مشورت کرد،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که نازل شد</w:t>
      </w:r>
    </w:p>
    <w:p>
      <w:pPr>
        <w:pStyle w:val="BookText"/>
        <w:rPr/>
      </w:pPr>
      <w:r>
        <w:rPr>
          <w:rFonts w:ascii="IRNazanin" w:hAnsi="IRNazanin" w:eastAsia="IRNazanin"/>
          <w:color w:val="111111"/>
          <w:sz w:val="28"/>
          <w:sz w:val="28"/>
          <w:szCs w:val="28"/>
          <w:rtl w:val="true"/>
          <w:lang w:bidi="fa-IR"/>
        </w:rPr>
        <w:t>اموال بر چهار دسته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مسلمین که رسول خدا صلی‌الله‌علیه‌و‌آله آنها را طبق فرایض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ورثه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فی‌ء که رسول خدا صلی‌الله‌علیه‌و‌آله آن را بین مستحقّان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که حضرت، آن را نیز در جای خود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صدقات که خداوند آنها را برای صرف در مواردی معیّن شده واجب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زمان ، زیورهای کعبه هم موجود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آنها را رها کرد و این رها کردن از روی فراموشی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مانند خدا و رسولش آنها را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لَافْتَضَحْنا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نبودی ما رسوا می شدیم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زیورهای کعبه را به حال خود گذاشت</w:t>
      </w:r>
      <w:r>
        <w:rPr>
          <w:rFonts w:eastAsia="IRNazanin" w:cs="IRNazanin"/>
          <w:color w:val="111111"/>
          <w:sz w:val="28"/>
          <w:szCs w:val="28"/>
          <w:rtl w:val="true"/>
          <w:lang w:bidi="fa-IR"/>
        </w:rPr>
        <w:t>.</w:t>
      </w:r>
      <w:r>
        <w:rPr>
          <w:rStyle w:val="FootnoteAnchor"/>
          <w:rtl w:val="true"/>
        </w:rPr>
        <w:footnoteReference w:id="1487"/>
      </w:r>
    </w:p>
    <w:p>
      <w:pPr>
        <w:pStyle w:val="Heading4"/>
        <w:numPr>
          <w:ilvl w:val="3"/>
          <w:numId w:val="1"/>
        </w:numPr>
        <w:rPr/>
      </w:pPr>
      <w:bookmarkStart w:id="846" w:name="__RefHeading___Toc474519_1479056682"/>
      <w:bookmarkStart w:id="847" w:name="_Toc322"/>
      <w:bookmarkEnd w:id="846"/>
      <w:r>
        <w:rPr>
          <w:rtl w:val="true"/>
        </w:rPr>
        <w:t>مبحث ششم</w:t>
      </w:r>
      <w:r>
        <w:rPr>
          <w:rtl w:val="true"/>
        </w:rPr>
        <w:t xml:space="preserve">: </w:t>
      </w:r>
      <w:r>
        <w:rPr>
          <w:rtl w:val="true"/>
        </w:rPr>
        <w:t>راههای اثبات وقف</w:t>
      </w:r>
      <w:bookmarkEnd w:id="847"/>
    </w:p>
    <w:p>
      <w:pPr>
        <w:pStyle w:val="Heading5"/>
        <w:numPr>
          <w:ilvl w:val="4"/>
          <w:numId w:val="1"/>
        </w:numPr>
        <w:rPr/>
      </w:pPr>
      <w:bookmarkStart w:id="848" w:name="__RefHeading___Toc474521_1479056682"/>
      <w:bookmarkStart w:id="849" w:name="_Toc323"/>
      <w:bookmarkEnd w:id="848"/>
      <w:r>
        <w:rPr>
          <w:rtl w:val="true"/>
        </w:rPr>
        <w:t xml:space="preserve">گفتار </w:t>
      </w:r>
      <w:r>
        <w:rPr/>
        <w:t>1</w:t>
      </w:r>
      <w:r>
        <w:rPr>
          <w:rtl w:val="true"/>
        </w:rPr>
        <w:t xml:space="preserve">- </w:t>
      </w:r>
      <w:r>
        <w:rPr>
          <w:rtl w:val="true"/>
        </w:rPr>
        <w:t>بیان راههای اثبات در فقه فریقین</w:t>
      </w:r>
      <w:bookmarkEnd w:id="849"/>
    </w:p>
    <w:p>
      <w:pPr>
        <w:pStyle w:val="Heading6"/>
        <w:numPr>
          <w:ilvl w:val="5"/>
          <w:numId w:val="1"/>
        </w:numPr>
        <w:rPr/>
      </w:pPr>
      <w:bookmarkStart w:id="850" w:name="__RefHeading___Toc474523_1479056682"/>
      <w:bookmarkStart w:id="851" w:name="_Toc324"/>
      <w:bookmarkEnd w:id="850"/>
      <w:r>
        <w:rPr>
          <w:rtl w:val="true"/>
        </w:rPr>
        <w:t>دیدگاه امامیّه</w:t>
      </w:r>
      <w:bookmarkEnd w:id="851"/>
    </w:p>
    <w:p>
      <w:pPr>
        <w:pStyle w:val="Heading6"/>
        <w:numPr>
          <w:ilvl w:val="5"/>
          <w:numId w:val="1"/>
        </w:numPr>
        <w:rPr/>
      </w:pPr>
      <w:bookmarkStart w:id="852" w:name="__RefHeading___Toc474525_1479056682"/>
      <w:bookmarkStart w:id="853" w:name="_Toc325"/>
      <w:bookmarkEnd w:id="852"/>
      <w:r>
        <w:rPr>
          <w:rtl w:val="true"/>
        </w:rPr>
        <w:t>اشاره</w:t>
      </w:r>
      <w:bookmarkEnd w:id="85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برای اثبات وقفیّت راههای متعدّدی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آن جا که نگارنده با تتبّع نسبی خود دریافته است، کسی که منسجم‌تر از بقیّه به این امر پرداخته است، علاّمه کاشف الغطاء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راههای مطرح شده توسّط ایشان را به اختصار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با </w:t>
      </w:r>
      <w:bookmarkStart w:id="854" w:name="pg4267_22161"/>
    </w:p>
    <w:p>
      <w:pPr>
        <w:pStyle w:val="BookText"/>
        <w:rPr/>
      </w:pPr>
      <w:bookmarkEnd w:id="854"/>
      <w:r>
        <w:rPr>
          <w:rFonts w:ascii="IRNazanin" w:hAnsi="IRNazanin" w:eastAsia="IRNazanin"/>
          <w:color w:val="111111"/>
          <w:sz w:val="28"/>
          <w:sz w:val="28"/>
          <w:szCs w:val="28"/>
          <w:rtl w:val="true"/>
          <w:lang w:bidi="fa-IR"/>
        </w:rPr>
        <w:t xml:space="preserve">اشاره به ادلّه آنها و دیدگاه برخی از فقهای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می‌آوریم</w:t>
      </w:r>
      <w:r>
        <w:rPr>
          <w:rFonts w:eastAsia="IRNazanin" w:cs="IRNazanin"/>
          <w:color w:val="111111"/>
          <w:sz w:val="28"/>
          <w:szCs w:val="28"/>
          <w:rtl w:val="true"/>
          <w:lang w:bidi="fa-IR"/>
        </w:rPr>
        <w:t>.</w:t>
      </w:r>
    </w:p>
    <w:p>
      <w:pPr>
        <w:pStyle w:val="Heading6"/>
        <w:numPr>
          <w:ilvl w:val="5"/>
          <w:numId w:val="1"/>
        </w:numPr>
        <w:rPr/>
      </w:pPr>
      <w:bookmarkStart w:id="855" w:name="__RefHeading___Toc474527_1479056682"/>
      <w:bookmarkStart w:id="856" w:name="_Toc326"/>
      <w:bookmarkEnd w:id="855"/>
      <w:r>
        <w:rPr/>
        <w:t>1</w:t>
      </w:r>
      <w:r>
        <w:rPr>
          <w:rtl w:val="true"/>
        </w:rPr>
        <w:t xml:space="preserve">- </w:t>
      </w:r>
      <w:r>
        <w:rPr>
          <w:rtl w:val="true"/>
        </w:rPr>
        <w:t>حصول علم</w:t>
      </w:r>
      <w:bookmarkEnd w:id="856"/>
    </w:p>
    <w:p>
      <w:pPr>
        <w:pStyle w:val="BookText"/>
        <w:rPr/>
      </w:pPr>
      <w:r>
        <w:rPr>
          <w:rFonts w:ascii="IRNazanin" w:hAnsi="IRNazanin" w:eastAsia="IRNazanin"/>
          <w:color w:val="111111"/>
          <w:sz w:val="28"/>
          <w:sz w:val="28"/>
          <w:szCs w:val="28"/>
          <w:rtl w:val="true"/>
          <w:lang w:bidi="fa-IR"/>
        </w:rPr>
        <w:t xml:space="preserve">بدون شک حصول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قاضی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راهها، بلکه بهترین راه برای اثبات هر موضوعی است و از آن جا که حجّت علم ذاتی است نیازی به اقامه دلیل برای اثبات حجّت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فرقی نمی‌کند که این علم از چه راهی حاصل شده باشد</w:t>
      </w:r>
      <w:r>
        <w:rPr>
          <w:rFonts w:eastAsia="IRNazanin" w:cs="IRNazanin"/>
          <w:color w:val="111111"/>
          <w:sz w:val="28"/>
          <w:szCs w:val="28"/>
          <w:rtl w:val="true"/>
          <w:lang w:bidi="fa-IR"/>
        </w:rPr>
        <w:t>.</w:t>
      </w:r>
    </w:p>
    <w:p>
      <w:pPr>
        <w:pStyle w:val="Heading6"/>
        <w:numPr>
          <w:ilvl w:val="5"/>
          <w:numId w:val="1"/>
        </w:numPr>
        <w:rPr/>
      </w:pPr>
      <w:bookmarkStart w:id="857" w:name="__RefHeading___Toc474529_1479056682"/>
      <w:bookmarkStart w:id="858" w:name="_Toc327"/>
      <w:bookmarkEnd w:id="857"/>
      <w:r>
        <w:rPr/>
        <w:t>2</w:t>
      </w:r>
      <w:r>
        <w:rPr>
          <w:rtl w:val="true"/>
        </w:rPr>
        <w:t xml:space="preserve">- </w:t>
      </w:r>
      <w:r>
        <w:rPr>
          <w:rtl w:val="true"/>
        </w:rPr>
        <w:t>بیّنه شرعیّه</w:t>
      </w:r>
      <w:bookmarkEnd w:id="858"/>
    </w:p>
    <w:p>
      <w:pPr>
        <w:pStyle w:val="BookText"/>
        <w:rPr/>
      </w:pPr>
      <w:r>
        <w:rPr>
          <w:rFonts w:ascii="IRNazanin" w:hAnsi="IRNazanin" w:eastAsia="IRNazanin"/>
          <w:color w:val="111111"/>
          <w:sz w:val="28"/>
          <w:sz w:val="28"/>
          <w:szCs w:val="28"/>
          <w:rtl w:val="true"/>
          <w:lang w:bidi="fa-IR"/>
        </w:rPr>
        <w:t>بیّنه شرعیّه از ادلّه‌ای است که، در صورت نداشتن معارضِ مساوی یا اقوی، برای اثبات موضوعاتی از جمله اثبات وقف، در محاکم مورد توجه قرار می‌گیرد، بلکه از اصلی‌ترین راههای اثبات موضوعات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در مبحث قواعد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بیّنه از امارات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اصول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جنبه کاشفیّت از واقع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اصول عملیّه توان معارضه و مقابله با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آیا وقف با یک شاهد به همراه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اثبات می‌شود یا نه؟ محلّ اختلاف است، عدّه‌ای شاهد و یمین را مثبت وقفیّت نمی‌دانند و گروهی آن را مثبت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مسأله مبتنی بر این است که آیا وقف از امور مالی است یا غیر مالی، اگر از امور مالی باشد با شاهد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امور مالی مربوط است و آنها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اظهار داشته است که حتّی در صورت عدم انتقال مال وقفی</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موقوفٌ عَلَیْه، وقف از امور مالی است، زیرا موقوفٌ عَلَیْه برای تحصیل درآمد و منفعت خویش سوگند 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مقصود از وقف، منفعت است و منفعت، مال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از امور 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شاهد و یمین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اثبات </w:t>
      </w:r>
      <w:bookmarkStart w:id="859" w:name="pg4267_22162"/>
    </w:p>
    <w:p>
      <w:pPr>
        <w:pStyle w:val="BookText"/>
        <w:rPr/>
      </w:pPr>
      <w:bookmarkEnd w:id="859"/>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r>
        <w:rPr>
          <w:rStyle w:val="FootnoteAnchor"/>
          <w:rtl w:val="true"/>
        </w:rPr>
        <w:footnoteReference w:id="1488"/>
      </w:r>
    </w:p>
    <w:p>
      <w:pPr>
        <w:pStyle w:val="BookText"/>
        <w:rPr/>
      </w:pPr>
      <w:r>
        <w:rPr>
          <w:rFonts w:ascii="IRNazanin" w:hAnsi="IRNazanin" w:eastAsia="IRNazanin"/>
          <w:color w:val="111111"/>
          <w:sz w:val="28"/>
          <w:sz w:val="28"/>
          <w:szCs w:val="28"/>
          <w:rtl w:val="true"/>
          <w:lang w:bidi="fa-IR"/>
        </w:rPr>
        <w:t>صاحب عروه بعد از ذکر بیانی مشابه بیان علاّمه ،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بودند، برای اثبات وقفیّت باید همه آنها سوگند یاد کنند وگرنه وقفیت تنها به مقدار حصّه حالف،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سوگند طبقه موجود، وقف را برای طبقات بعدی ثابت نمی‌کند، لذا آنها نیز برای اثبات حقّشان باید سوگند یاد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p>
    <w:p>
      <w:pPr>
        <w:pStyle w:val="BookText"/>
        <w:rPr/>
      </w:pPr>
      <w:r>
        <w:rPr>
          <w:rFonts w:ascii="IRNazanin" w:hAnsi="IRNazanin" w:eastAsia="IRNazanin"/>
          <w:color w:val="111111"/>
          <w:sz w:val="28"/>
          <w:sz w:val="28"/>
          <w:szCs w:val="28"/>
          <w:rtl w:val="true"/>
          <w:lang w:bidi="fa-IR"/>
        </w:rPr>
        <w:t>حق یک شخص با سوگند دیگری ثابت نمی‌شود</w:t>
      </w:r>
      <w:r>
        <w:rPr>
          <w:rFonts w:eastAsia="IRNazanin" w:cs="IRNazanin"/>
          <w:color w:val="111111"/>
          <w:sz w:val="28"/>
          <w:szCs w:val="28"/>
          <w:rtl w:val="true"/>
          <w:lang w:bidi="fa-IR"/>
        </w:rPr>
        <w:t>.</w:t>
      </w:r>
      <w:r>
        <w:rPr>
          <w:rStyle w:val="FootnoteAnchor"/>
          <w:rtl w:val="true"/>
        </w:rPr>
        <w:footnoteReference w:id="1489"/>
      </w:r>
    </w:p>
    <w:p>
      <w:pPr>
        <w:pStyle w:val="BookText"/>
        <w:rPr/>
      </w:pPr>
      <w:r>
        <w:rPr>
          <w:rFonts w:ascii="IRNazanin" w:hAnsi="IRNazanin" w:eastAsia="IRNazanin"/>
          <w:color w:val="111111"/>
          <w:sz w:val="28"/>
          <w:sz w:val="28"/>
          <w:szCs w:val="28"/>
          <w:rtl w:val="true"/>
          <w:lang w:bidi="fa-IR"/>
        </w:rPr>
        <w:t>این استدلال سیّد محلّ تأمّل و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بعد از اثبات وقفیّت، ممکن است بگوییم، برای اثبات مجدّد آن نیازی به اثبات و اقامه دلیل نیست، بویژه اگر شاهد و یمین را هم همانند دو شاهد، از امارات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 الغطاء در اوقاف عامّ، مانند مساجد، مدارس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عادل واحد را نیز، درصورتی که معارض نداشته باشد، کافی می‌داند</w:t>
      </w:r>
      <w:r>
        <w:rPr>
          <w:rFonts w:eastAsia="IRNazanin" w:cs="IRNazanin"/>
          <w:color w:val="111111"/>
          <w:sz w:val="28"/>
          <w:szCs w:val="28"/>
          <w:rtl w:val="true"/>
          <w:lang w:bidi="fa-IR"/>
        </w:rPr>
        <w:t>.</w:t>
      </w:r>
      <w:r>
        <w:rPr>
          <w:rStyle w:val="FootnoteAnchor"/>
          <w:rtl w:val="true"/>
        </w:rPr>
        <w:footnoteReference w:id="1490"/>
      </w:r>
    </w:p>
    <w:p>
      <w:pPr>
        <w:pStyle w:val="Heading6"/>
        <w:numPr>
          <w:ilvl w:val="5"/>
          <w:numId w:val="1"/>
        </w:numPr>
        <w:rPr/>
      </w:pPr>
      <w:bookmarkStart w:id="860" w:name="__RefHeading___Toc474531_1479056682"/>
      <w:bookmarkStart w:id="861" w:name="_Toc328"/>
      <w:bookmarkEnd w:id="860"/>
      <w:r>
        <w:rPr/>
        <w:t>3</w:t>
      </w:r>
      <w:r>
        <w:rPr>
          <w:rtl w:val="true"/>
        </w:rPr>
        <w:t xml:space="preserve">- </w:t>
      </w:r>
      <w:r>
        <w:rPr>
          <w:rtl w:val="true"/>
        </w:rPr>
        <w:t>اِقرار ذی‌الید</w:t>
      </w:r>
      <w:bookmarkEnd w:id="861"/>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شرایط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باب اقرار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اقرارش وقف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اقرار مالک، هر چند صاحب ید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مسأله،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إقْرارُ الْعُقلاءِ عَلی انْفُسِهِم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بحث قواعد فقهی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عروه یادآور شده است که اگر کسی به وقفیّت اقرار کرد و بعد ادّعا کرد که اقرارش صادق نبوده و برای مصلحتی بوده است، اگر نتواند ادّعای بعدی را اثبات کند به</w:t>
      </w:r>
    </w:p>
    <w:p>
      <w:pPr>
        <w:pStyle w:val="BookText"/>
        <w:rPr/>
      </w:pPr>
      <w:r>
        <w:rPr>
          <w:rFonts w:ascii="IRNazanin" w:hAnsi="IRNazanin" w:eastAsia="IRNazanin"/>
          <w:color w:val="111111"/>
          <w:sz w:val="28"/>
          <w:sz w:val="28"/>
          <w:szCs w:val="28"/>
          <w:rtl w:val="true"/>
          <w:lang w:bidi="fa-IR"/>
        </w:rPr>
        <w:t>همان اقرار خود مأخوذ خواهد شد</w:t>
      </w:r>
      <w:r>
        <w:rPr>
          <w:rFonts w:eastAsia="IRNazanin" w:cs="IRNazanin"/>
          <w:color w:val="111111"/>
          <w:sz w:val="28"/>
          <w:szCs w:val="28"/>
          <w:rtl w:val="true"/>
          <w:lang w:bidi="fa-IR"/>
        </w:rPr>
        <w:t>.</w:t>
      </w:r>
      <w:r>
        <w:rPr>
          <w:rStyle w:val="FootnoteAnchor"/>
          <w:rtl w:val="true"/>
        </w:rPr>
        <w:footnoteReference w:id="1491"/>
      </w:r>
    </w:p>
    <w:p>
      <w:pPr>
        <w:pStyle w:val="BookText"/>
        <w:rPr/>
      </w:pPr>
      <w:r>
        <w:rPr>
          <w:rFonts w:ascii="IRNazanin" w:hAnsi="IRNazanin" w:eastAsia="IRNazanin"/>
          <w:color w:val="111111"/>
          <w:sz w:val="28"/>
          <w:sz w:val="28"/>
          <w:szCs w:val="28"/>
          <w:rtl w:val="true"/>
          <w:lang w:bidi="fa-IR"/>
        </w:rPr>
        <w:t>آیه‌اللّه حکیم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ذی‌الید، حتّی‌در صورتی که ید، مشترک باشد نیز وقف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بقیّه شرکا اعتراف نکنند، اگر آنها ادّعای ملکیّت کنند لازمه‌اش</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تعارض و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حاشیه این بیان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w:t>
      </w:r>
      <w:bookmarkStart w:id="862" w:name="pg4267_22164"/>
    </w:p>
    <w:p>
      <w:pPr>
        <w:pStyle w:val="BookText"/>
        <w:rPr/>
      </w:pPr>
      <w:bookmarkEnd w:id="862"/>
      <w:r>
        <w:rPr>
          <w:rFonts w:ascii="IRNazanin" w:hAnsi="IRNazanin" w:eastAsia="IRNazanin"/>
          <w:color w:val="111111"/>
          <w:sz w:val="28"/>
          <w:sz w:val="28"/>
          <w:szCs w:val="28"/>
          <w:rtl w:val="true"/>
          <w:lang w:bidi="fa-IR"/>
        </w:rPr>
        <w:t>وقفیّت به همان مقدار از سهم اقرارکننده ثابت می‌شود و نفی وقفیّت توسّط دیگر شرکا موجب بطلان وقفیّت حصّه اقرارکننده نمی‌شود</w:t>
      </w:r>
      <w:r>
        <w:rPr>
          <w:rFonts w:eastAsia="IRNazanin" w:cs="IRNazanin"/>
          <w:color w:val="111111"/>
          <w:sz w:val="28"/>
          <w:szCs w:val="28"/>
          <w:rtl w:val="true"/>
          <w:lang w:bidi="fa-IR"/>
        </w:rPr>
        <w:t>.</w:t>
      </w:r>
      <w:r>
        <w:rPr>
          <w:rStyle w:val="FootnoteAnchor"/>
          <w:rtl w:val="true"/>
        </w:rPr>
        <w:footnoteReference w:id="1492"/>
      </w:r>
    </w:p>
    <w:p>
      <w:pPr>
        <w:pStyle w:val="Heading6"/>
        <w:numPr>
          <w:ilvl w:val="5"/>
          <w:numId w:val="1"/>
        </w:numPr>
        <w:rPr/>
      </w:pPr>
      <w:bookmarkStart w:id="863" w:name="__RefHeading___Toc474533_1479056682"/>
      <w:bookmarkStart w:id="864" w:name="_Toc329"/>
      <w:bookmarkEnd w:id="863"/>
      <w:r>
        <w:rPr/>
        <w:t>4</w:t>
      </w:r>
      <w:r>
        <w:rPr>
          <w:rtl w:val="true"/>
        </w:rPr>
        <w:t xml:space="preserve">- </w:t>
      </w:r>
      <w:r>
        <w:rPr>
          <w:rtl w:val="true"/>
        </w:rPr>
        <w:t>شیاع</w:t>
      </w:r>
      <w:bookmarkEnd w:id="864"/>
    </w:p>
    <w:p>
      <w:pPr>
        <w:pStyle w:val="BookText"/>
        <w:rPr/>
      </w:pPr>
      <w:r>
        <w:rPr>
          <w:rFonts w:ascii="IRNazanin" w:hAnsi="IRNazanin" w:eastAsia="IRNazanin"/>
          <w:color w:val="111111"/>
          <w:sz w:val="28"/>
          <w:sz w:val="28"/>
          <w:szCs w:val="28"/>
          <w:rtl w:val="true"/>
          <w:lang w:bidi="fa-IR"/>
        </w:rPr>
        <w:t>کاشف الغطاء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مواردی است که از دیدگاه فقها با شیاع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شیاعی که موجب ظنّ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متآخم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شود</w:t>
      </w:r>
      <w:r>
        <w:rPr>
          <w:rFonts w:eastAsia="IRNazanin" w:cs="IRNazanin"/>
          <w:color w:val="111111"/>
          <w:sz w:val="28"/>
          <w:szCs w:val="28"/>
          <w:rtl w:val="true"/>
          <w:lang w:bidi="fa-IR"/>
        </w:rPr>
        <w:t>.</w:t>
      </w:r>
      <w:r>
        <w:rPr>
          <w:rStyle w:val="FootnoteAnchor"/>
          <w:rtl w:val="true"/>
        </w:rPr>
        <w:footnoteReference w:id="1493"/>
      </w:r>
      <w:r>
        <w:rPr>
          <w:rFonts w:ascii="IRNazanin" w:hAnsi="IRNazanin" w:eastAsia="IRNazanin"/>
          <w:color w:val="111111"/>
          <w:sz w:val="28"/>
          <w:sz w:val="28"/>
          <w:szCs w:val="28"/>
          <w:rtl w:val="true"/>
          <w:lang w:bidi="fa-IR"/>
        </w:rPr>
        <w:t>صاحب عروه اعتبار</w:t>
      </w:r>
    </w:p>
    <w:p>
      <w:pPr>
        <w:pStyle w:val="BookText"/>
        <w:rPr/>
      </w:pPr>
      <w:r>
        <w:rPr>
          <w:rFonts w:ascii="IRNazanin" w:hAnsi="IRNazanin" w:eastAsia="IRNazanin"/>
          <w:color w:val="111111"/>
          <w:sz w:val="28"/>
          <w:sz w:val="28"/>
          <w:szCs w:val="28"/>
          <w:rtl w:val="true"/>
          <w:lang w:bidi="fa-IR"/>
        </w:rPr>
        <w:t>حصول علم به وسیله شیاع را تقویت کرده است که در این صورت، شیاع یک راه و دلیل مستقلّ نخواهد بود، زیرا علم، خود قویترین راه اثبات است و به عنوان اوّلین راه ذکر</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Heading6"/>
        <w:numPr>
          <w:ilvl w:val="5"/>
          <w:numId w:val="1"/>
        </w:numPr>
        <w:rPr/>
      </w:pPr>
      <w:bookmarkStart w:id="865" w:name="__RefHeading___Toc474535_1479056682"/>
      <w:bookmarkStart w:id="866" w:name="_Toc330"/>
      <w:bookmarkEnd w:id="865"/>
      <w:r>
        <w:rPr/>
        <w:t>5</w:t>
      </w:r>
      <w:r>
        <w:rPr>
          <w:rtl w:val="true"/>
        </w:rPr>
        <w:t xml:space="preserve">- </w:t>
      </w:r>
      <w:r>
        <w:rPr>
          <w:rtl w:val="true"/>
        </w:rPr>
        <w:t>استقلال ید موقوفٌ عَلَیْه</w:t>
      </w:r>
      <w:bookmarkEnd w:id="866"/>
    </w:p>
    <w:p>
      <w:pPr>
        <w:pStyle w:val="BookText"/>
        <w:rPr/>
      </w:pPr>
      <w:r>
        <w:rPr>
          <w:rFonts w:ascii="IRNazanin" w:hAnsi="IRNazanin" w:eastAsia="IRNazanin"/>
          <w:color w:val="111111"/>
          <w:sz w:val="28"/>
          <w:sz w:val="28"/>
          <w:szCs w:val="28"/>
          <w:rtl w:val="true"/>
          <w:lang w:bidi="fa-IR"/>
        </w:rPr>
        <w:t>یعنی موقوفٌ عَلَیْه آن را در تصرّف و سلطه خود داشته باشد که در این صورت وقفیّت آن مال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زمانی که خلافش ثابت نشود</w:t>
      </w:r>
      <w:r>
        <w:rPr>
          <w:rFonts w:eastAsia="IRNazanin" w:cs="IRNazanin"/>
          <w:color w:val="111111"/>
          <w:sz w:val="28"/>
          <w:szCs w:val="28"/>
          <w:rtl w:val="true"/>
          <w:lang w:bidi="fa-IR"/>
        </w:rPr>
        <w:t>.</w:t>
      </w:r>
      <w:r>
        <w:rPr>
          <w:rStyle w:val="FootnoteAnchor"/>
          <w:rtl w:val="true"/>
        </w:rPr>
        <w:footnoteReference w:id="1494"/>
      </w:r>
      <w:r>
        <w:rPr>
          <w:rFonts w:ascii="IRNazanin" w:hAnsi="IRNazanin" w:eastAsia="IRNazanin"/>
          <w:color w:val="111111"/>
          <w:sz w:val="28"/>
          <w:sz w:val="28"/>
          <w:szCs w:val="28"/>
          <w:rtl w:val="true"/>
          <w:lang w:bidi="fa-IR"/>
        </w:rPr>
        <w:t>سیّد در عروه یادآور</w:t>
      </w:r>
    </w:p>
    <w:p>
      <w:pPr>
        <w:pStyle w:val="BookText"/>
        <w:rPr/>
      </w:pPr>
      <w:r>
        <w:rPr>
          <w:rFonts w:ascii="IRNazanin" w:hAnsi="IRNazanin" w:eastAsia="IRNazanin"/>
          <w:color w:val="111111"/>
          <w:sz w:val="28"/>
          <w:sz w:val="28"/>
          <w:szCs w:val="28"/>
          <w:rtl w:val="true"/>
          <w:lang w:bidi="fa-IR"/>
        </w:rPr>
        <w:t>شده است که باید این مال مدّت مدیدی بدون معارض در تصرّف وقف باشد</w:t>
      </w:r>
      <w:r>
        <w:rPr>
          <w:rFonts w:eastAsia="IRNazanin" w:cs="IRNazanin"/>
          <w:color w:val="111111"/>
          <w:sz w:val="28"/>
          <w:szCs w:val="28"/>
          <w:rtl w:val="true"/>
          <w:lang w:bidi="fa-IR"/>
        </w:rPr>
        <w:t>.</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 xml:space="preserve">در صورتی که دلیل سیّد، قاعده معروف 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 ملکیّت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کم و زیاد بودن مدّت آن نباید تأثیری داشته باشد</w:t>
      </w:r>
      <w:r>
        <w:rPr>
          <w:rFonts w:eastAsia="IRNazanin" w:cs="IRNazanin"/>
          <w:color w:val="111111"/>
          <w:sz w:val="28"/>
          <w:szCs w:val="28"/>
          <w:rtl w:val="true"/>
          <w:lang w:bidi="fa-IR"/>
        </w:rPr>
        <w:t>.</w:t>
      </w:r>
    </w:p>
    <w:p>
      <w:pPr>
        <w:pStyle w:val="Heading6"/>
        <w:numPr>
          <w:ilvl w:val="5"/>
          <w:numId w:val="1"/>
        </w:numPr>
        <w:rPr/>
      </w:pPr>
      <w:bookmarkStart w:id="867" w:name="__RefHeading___Toc474537_1479056682"/>
      <w:bookmarkStart w:id="868" w:name="_Toc331"/>
      <w:bookmarkEnd w:id="867"/>
      <w:r>
        <w:rPr/>
        <w:t>6</w:t>
      </w:r>
      <w:r>
        <w:rPr>
          <w:rtl w:val="true"/>
        </w:rPr>
        <w:t xml:space="preserve">- </w:t>
      </w:r>
      <w:r>
        <w:rPr>
          <w:rtl w:val="true"/>
        </w:rPr>
        <w:t>معامله وقفیّت، توسّط مسلمین</w:t>
      </w:r>
      <w:bookmarkEnd w:id="868"/>
    </w:p>
    <w:p>
      <w:pPr>
        <w:pStyle w:val="BookText"/>
        <w:rPr/>
      </w:pPr>
      <w:r>
        <w:rPr>
          <w:rFonts w:ascii="IRNazanin" w:hAnsi="IRNazanin" w:eastAsia="IRNazanin"/>
          <w:color w:val="111111"/>
          <w:sz w:val="28"/>
          <w:sz w:val="28"/>
          <w:szCs w:val="28"/>
          <w:rtl w:val="true"/>
          <w:lang w:bidi="fa-IR"/>
        </w:rPr>
        <w:t>اگر برخورد مسلمین با موردی همانند برخورد و رفتار با اوقاف باشد، این خود نیز از نشانه‌ها و علایمی است که وقف را اثبات می‌کند، مثل این که در آن جا نماز می‌خوانند یا اموات خود را به خاک می‌سپارند و یا احترامی برای آن قایلند که این گونه احترامها جز</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مساجد و مشاهد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نمی‌شوند</w:t>
      </w:r>
      <w:r>
        <w:rPr>
          <w:rFonts w:eastAsia="IRNazanin" w:cs="IRNazanin"/>
          <w:color w:val="111111"/>
          <w:sz w:val="28"/>
          <w:szCs w:val="28"/>
          <w:rtl w:val="true"/>
          <w:lang w:bidi="fa-IR"/>
        </w:rPr>
        <w:t xml:space="preserve">. </w:t>
      </w:r>
      <w:bookmarkStart w:id="869" w:name="pg4267_22166"/>
    </w:p>
    <w:p>
      <w:pPr>
        <w:pStyle w:val="Heading6"/>
        <w:numPr>
          <w:ilvl w:val="5"/>
          <w:numId w:val="1"/>
        </w:numPr>
        <w:rPr/>
      </w:pPr>
      <w:bookmarkStart w:id="870" w:name="__RefHeading___Toc474539_1479056682"/>
      <w:bookmarkStart w:id="871" w:name="_Toc332"/>
      <w:bookmarkEnd w:id="869"/>
      <w:bookmarkEnd w:id="870"/>
      <w:r>
        <w:rPr/>
        <w:t>7</w:t>
      </w:r>
      <w:r>
        <w:rPr>
          <w:rtl w:val="true"/>
        </w:rPr>
        <w:t xml:space="preserve">- </w:t>
      </w:r>
      <w:r>
        <w:rPr>
          <w:rtl w:val="true"/>
        </w:rPr>
        <w:t>وجود علایم</w:t>
      </w:r>
      <w:bookmarkEnd w:id="871"/>
    </w:p>
    <w:p>
      <w:pPr>
        <w:pStyle w:val="BookText"/>
        <w:rPr/>
      </w:pPr>
      <w:r>
        <w:rPr>
          <w:rFonts w:ascii="IRNazanin" w:hAnsi="IRNazanin" w:eastAsia="IRNazanin"/>
          <w:color w:val="111111"/>
          <w:sz w:val="28"/>
          <w:sz w:val="28"/>
          <w:szCs w:val="28"/>
          <w:rtl w:val="true"/>
          <w:lang w:bidi="fa-IR"/>
        </w:rPr>
        <w:t xml:space="preserve">اگر در مواردی علایم و نشانه‌هایی باشد و یا نحوه خود ساختمان و بنا طوری باشد که موجب اطمینان انسان نسبت به وقفیّت آن مورد شود، وقف ثابت می‌شود، مثل این که ساختمان دارای محراب باشد یا نشانه‌های خاصّی دارد که از مدرسه بودن آن حکایت می‌کند و یا گنبد و مناره‌ای دارد که اموال غیر وقفی ندارند و </w:t>
      </w:r>
      <w:r>
        <w:rPr>
          <w:rFonts w:eastAsia="IRNazanin" w:cs="IRNazanin"/>
          <w:color w:val="111111"/>
          <w:sz w:val="28"/>
          <w:szCs w:val="28"/>
          <w:rtl w:val="true"/>
          <w:lang w:bidi="fa-IR"/>
        </w:rPr>
        <w:t>...</w:t>
      </w:r>
    </w:p>
    <w:p>
      <w:pPr>
        <w:pStyle w:val="Heading6"/>
        <w:numPr>
          <w:ilvl w:val="5"/>
          <w:numId w:val="1"/>
        </w:numPr>
        <w:rPr/>
      </w:pPr>
      <w:bookmarkStart w:id="872" w:name="__RefHeading___Toc474541_1479056682"/>
      <w:bookmarkStart w:id="873" w:name="_Toc333"/>
      <w:bookmarkEnd w:id="872"/>
      <w:r>
        <w:rPr/>
        <w:t>8</w:t>
      </w:r>
      <w:r>
        <w:rPr>
          <w:rtl w:val="true"/>
        </w:rPr>
        <w:t xml:space="preserve">- </w:t>
      </w:r>
      <w:r>
        <w:rPr>
          <w:rtl w:val="true"/>
        </w:rPr>
        <w:t>کتابت</w:t>
      </w:r>
      <w:bookmarkEnd w:id="873"/>
    </w:p>
    <w:p>
      <w:pPr>
        <w:pStyle w:val="BookText"/>
        <w:rPr/>
      </w:pPr>
      <w:r>
        <w:rPr>
          <w:rFonts w:ascii="IRNazanin" w:hAnsi="IRNazanin" w:eastAsia="IRNazanin"/>
          <w:color w:val="111111"/>
          <w:sz w:val="28"/>
          <w:sz w:val="28"/>
          <w:szCs w:val="28"/>
          <w:rtl w:val="true"/>
          <w:lang w:bidi="fa-IR"/>
        </w:rPr>
        <w:t>اگر وقف بودن موردی بر روی ورق یا اوراقی ثبت شده باشد و آن کتابت مضبوط و مرسوم باشد، به طوری که صحّت آن روشن باشد، این نوشته نیز می‌تواند مثبت وقفیّت آن مورد باشد</w:t>
      </w:r>
      <w:r>
        <w:rPr>
          <w:rFonts w:eastAsia="IRNazanin" w:cs="IRNazanin"/>
          <w:color w:val="111111"/>
          <w:sz w:val="28"/>
          <w:szCs w:val="28"/>
          <w:rtl w:val="true"/>
          <w:lang w:bidi="fa-IR"/>
        </w:rPr>
        <w:t>.</w:t>
      </w:r>
      <w:r>
        <w:rPr>
          <w:rStyle w:val="FootnoteAnchor"/>
          <w:rtl w:val="true"/>
        </w:rPr>
        <w:footnoteReference w:id="1496"/>
      </w:r>
      <w:r>
        <w:rPr>
          <w:rFonts w:ascii="IRNazanin" w:hAnsi="IRNazanin" w:eastAsia="IRNazanin"/>
          <w:color w:val="111111"/>
          <w:sz w:val="28"/>
          <w:sz w:val="28"/>
          <w:szCs w:val="28"/>
          <w:rtl w:val="true"/>
          <w:lang w:bidi="fa-IR"/>
        </w:rPr>
        <w:t>امام خمینی یادآور شده است که اگر کتاب یا قرآنی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کسی باشد که ادّعای ملکیّت آن را دارد، امّا بر روی آن نوشته شده که این مال وقف است، به</w:t>
      </w:r>
    </w:p>
    <w:p>
      <w:pPr>
        <w:pStyle w:val="BookText"/>
        <w:rPr/>
      </w:pPr>
      <w:r>
        <w:rPr>
          <w:rFonts w:ascii="IRNazanin" w:hAnsi="IRNazanin" w:eastAsia="IRNazanin"/>
          <w:color w:val="111111"/>
          <w:sz w:val="28"/>
          <w:sz w:val="28"/>
          <w:szCs w:val="28"/>
          <w:rtl w:val="true"/>
          <w:lang w:bidi="fa-IR"/>
        </w:rPr>
        <w:t>مجرّد این نوشته حکم به وقفیت آن نمی‌شود و می‌توان آن را از او خریداری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 xml:space="preserve">این نوشته ظاهرا نقصی است که برای خریدار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 بی‌اطّلاع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ثبوت خیار عیب می‌شود</w:t>
      </w:r>
      <w:r>
        <w:rPr>
          <w:rFonts w:eastAsia="IRNazanin" w:cs="IRNazanin"/>
          <w:color w:val="111111"/>
          <w:sz w:val="28"/>
          <w:szCs w:val="28"/>
          <w:rtl w:val="true"/>
          <w:lang w:bidi="fa-IR"/>
        </w:rPr>
        <w:t>.</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آیه‌اللّه حکیم و آیه‌اللّه خویی نیز در فرض یاد شده ادّعای ملکیّت صاحب ید را مقدّم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شرط که او برای این کتابت عذر مقبولی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این نوشته معارِض نداشته باشد ظاهرا حکم به وقفیت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صدر در حاشیه منهاج حکیم شرط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وثوق و اطمینان باشد و این نوشته از جانب</w:t>
      </w:r>
    </w:p>
    <w:p>
      <w:pPr>
        <w:pStyle w:val="BookText"/>
        <w:rPr/>
      </w:pPr>
      <w:r>
        <w:rPr>
          <w:rFonts w:ascii="IRNazanin" w:hAnsi="IRNazanin" w:eastAsia="IRNazanin"/>
          <w:color w:val="111111"/>
          <w:sz w:val="28"/>
          <w:sz w:val="28"/>
          <w:szCs w:val="28"/>
          <w:rtl w:val="true"/>
          <w:lang w:bidi="fa-IR"/>
        </w:rPr>
        <w:t>صاحب ید بوده که البتّه غالبا این گونه است</w:t>
      </w:r>
      <w:r>
        <w:rPr>
          <w:rFonts w:eastAsia="IRNazanin" w:cs="IRNazanin"/>
          <w:color w:val="111111"/>
          <w:sz w:val="28"/>
          <w:szCs w:val="28"/>
          <w:rtl w:val="true"/>
          <w:lang w:bidi="fa-IR"/>
        </w:rPr>
        <w:t>.</w:t>
      </w:r>
      <w:r>
        <w:rPr>
          <w:rStyle w:val="FootnoteAnchor"/>
          <w:rtl w:val="true"/>
        </w:rPr>
        <w:footnoteReference w:id="1498"/>
      </w:r>
    </w:p>
    <w:p>
      <w:pPr>
        <w:pStyle w:val="Heading6"/>
        <w:numPr>
          <w:ilvl w:val="5"/>
          <w:numId w:val="1"/>
        </w:numPr>
        <w:rPr/>
      </w:pPr>
      <w:bookmarkStart w:id="874" w:name="__RefHeading___Toc474543_1479056682"/>
      <w:bookmarkStart w:id="875" w:name="_Toc334"/>
      <w:bookmarkEnd w:id="874"/>
      <w:r>
        <w:rPr>
          <w:rtl w:val="true"/>
        </w:rPr>
        <w:t>اشاره به دو نکته</w:t>
      </w:r>
      <w:bookmarkEnd w:id="875"/>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متعدّدی از راههایی که برای اثبات وقف ذکر گردیدند، ممکن است </w:t>
      </w:r>
      <w:bookmarkStart w:id="876" w:name="pg4267_22168"/>
    </w:p>
    <w:p>
      <w:pPr>
        <w:pStyle w:val="BookText"/>
        <w:rPr/>
      </w:pPr>
      <w:bookmarkEnd w:id="876"/>
      <w:r>
        <w:rPr>
          <w:rFonts w:ascii="IRNazanin" w:hAnsi="IRNazanin" w:eastAsia="IRNazanin"/>
          <w:color w:val="111111"/>
          <w:sz w:val="28"/>
          <w:sz w:val="28"/>
          <w:szCs w:val="28"/>
          <w:rtl w:val="true"/>
          <w:lang w:bidi="fa-IR"/>
        </w:rPr>
        <w:t xml:space="preserve">متداخل باشند، یعنی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 علم یا اطمنیان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دلیل اصلی تقدّم ادّعای مالکیّت صاحب ید بر نوشته روی کتاب و امثال آن، قاعده 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اماره مالکیّت است و در بسیاری از موارد بر امارات دیگر نیز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توضیح بیشتر به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عروه تصریح کرده است که اگر در میان تَرَکَه میّت ورقه‌ای پیدا شد که روی آن نوشته بود؛ فلان ملک، وقف است و قبض و اقباض هم صورت گرفته است، حکم به وقفیّت آن نمی‌شود، هرچند به خطّ میّت و مهر او باشد، زیرا احتمال می‌رود که</w:t>
      </w:r>
    </w:p>
    <w:p>
      <w:pPr>
        <w:pStyle w:val="BookText"/>
        <w:rPr/>
      </w:pPr>
      <w:r>
        <w:rPr>
          <w:rFonts w:ascii="IRNazanin" w:hAnsi="IRNazanin" w:eastAsia="IRNazanin"/>
          <w:color w:val="111111"/>
          <w:sz w:val="28"/>
          <w:sz w:val="28"/>
          <w:szCs w:val="28"/>
          <w:rtl w:val="true"/>
          <w:lang w:bidi="fa-IR"/>
        </w:rPr>
        <w:t xml:space="preserve">وی آن را نوشته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قرار دهد، امّا فراموش کرده و یا منحرف شده است</w:t>
      </w:r>
      <w:r>
        <w:rPr>
          <w:rFonts w:eastAsia="IRNazanin" w:cs="IRNazanin"/>
          <w:color w:val="111111"/>
          <w:sz w:val="28"/>
          <w:szCs w:val="28"/>
          <w:rtl w:val="true"/>
          <w:lang w:bidi="fa-IR"/>
        </w:rPr>
        <w:t>.</w:t>
      </w:r>
      <w:r>
        <w:rPr>
          <w:rStyle w:val="FootnoteAnchor"/>
          <w:rtl w:val="true"/>
        </w:rPr>
        <w:footnoteReference w:id="1499"/>
      </w:r>
    </w:p>
    <w:p>
      <w:pPr>
        <w:pStyle w:val="BookText"/>
        <w:rPr/>
      </w:pPr>
      <w:r>
        <w:rPr>
          <w:rFonts w:ascii="IRNazanin" w:hAnsi="IRNazanin" w:eastAsia="IRNazanin"/>
          <w:color w:val="111111"/>
          <w:sz w:val="28"/>
          <w:sz w:val="28"/>
          <w:szCs w:val="28"/>
          <w:rtl w:val="true"/>
          <w:lang w:bidi="fa-IR"/>
        </w:rPr>
        <w:t>منظور سیّد این است که محتمل است این نوشته در واقع پیش نویس بوده باشد نه سند اصلی 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می‌رسد اگر بخواهیم تا این اندازه به احتمالات بعید ترتیب</w:t>
      </w:r>
    </w:p>
    <w:p>
      <w:pPr>
        <w:pStyle w:val="BookText"/>
        <w:rPr/>
      </w:pPr>
      <w:r>
        <w:rPr>
          <w:rFonts w:ascii="IRNazanin" w:hAnsi="IRNazanin" w:eastAsia="IRNazanin"/>
          <w:color w:val="111111"/>
          <w:sz w:val="28"/>
          <w:sz w:val="28"/>
          <w:szCs w:val="28"/>
          <w:rtl w:val="true"/>
          <w:lang w:bidi="fa-IR"/>
        </w:rPr>
        <w:t>اثر بدهیم، ممکن است سندهای بسیاری از اوقاف که مستندشان تنها دستخط واقف است، زیر سؤال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یک نوشته این چنینی غالبا برای انسان موجب اطمینان به وقفیّت می‌شود</w:t>
      </w:r>
      <w:r>
        <w:rPr>
          <w:rFonts w:eastAsia="IRNazanin" w:cs="IRNazanin"/>
          <w:color w:val="111111"/>
          <w:sz w:val="28"/>
          <w:szCs w:val="28"/>
          <w:rtl w:val="true"/>
          <w:lang w:bidi="fa-IR"/>
        </w:rPr>
        <w:t>.</w:t>
      </w:r>
    </w:p>
    <w:p>
      <w:pPr>
        <w:pStyle w:val="Heading6"/>
        <w:numPr>
          <w:ilvl w:val="5"/>
          <w:numId w:val="1"/>
        </w:numPr>
        <w:rPr/>
      </w:pPr>
      <w:bookmarkStart w:id="877" w:name="__RefHeading___Toc474545_1479056682"/>
      <w:bookmarkStart w:id="878" w:name="_Toc335"/>
      <w:bookmarkEnd w:id="877"/>
      <w:r>
        <w:rPr>
          <w:rtl w:val="true"/>
        </w:rPr>
        <w:t>دیدگاه دیگر مذاهب</w:t>
      </w:r>
      <w:bookmarkEnd w:id="878"/>
    </w:p>
    <w:p>
      <w:pPr>
        <w:pStyle w:val="BookText"/>
        <w:rPr/>
      </w:pPr>
      <w:r>
        <w:rPr>
          <w:rFonts w:ascii="Amiri" w:hAnsi="Amiri" w:eastAsia="Amiri" w:cs="Amiri"/>
          <w:color w:val="111111"/>
          <w:sz w:val="28"/>
          <w:sz w:val="28"/>
          <w:szCs w:val="28"/>
          <w:rtl w:val="true"/>
          <w:lang w:bidi="ar-SA"/>
        </w:rPr>
        <w:t>زیدیّه</w:t>
      </w:r>
    </w:p>
    <w:p>
      <w:pPr>
        <w:pStyle w:val="BookText"/>
        <w:rPr/>
      </w:pPr>
      <w:r>
        <w:rPr>
          <w:rFonts w:ascii="IRNazanin" w:hAnsi="IRNazanin" w:eastAsia="IRNazanin"/>
          <w:color w:val="111111"/>
          <w:sz w:val="28"/>
          <w:sz w:val="28"/>
          <w:szCs w:val="28"/>
          <w:rtl w:val="true"/>
          <w:lang w:bidi="fa-IR"/>
        </w:rPr>
        <w:t>در البحر الزّخّار،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عادل گواهی دهند که فلان شخص، فلان زمین را</w:t>
      </w:r>
    </w:p>
    <w:p>
      <w:pPr>
        <w:pStyle w:val="BookText"/>
        <w:rPr/>
      </w:pPr>
      <w:r>
        <w:rPr>
          <w:rFonts w:ascii="IRNazanin" w:hAnsi="IRNazanin" w:eastAsia="IRNazanin"/>
          <w:color w:val="111111"/>
          <w:sz w:val="28"/>
          <w:sz w:val="28"/>
          <w:szCs w:val="28"/>
          <w:rtl w:val="true"/>
          <w:lang w:bidi="fa-IR"/>
        </w:rPr>
        <w:t>وقف کرده است، امّا ورثه او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وقفی فلان زمین است نه زمینی که دو شاهد</w:t>
      </w:r>
    </w:p>
    <w:p>
      <w:pPr>
        <w:pStyle w:val="BookText"/>
        <w:rPr/>
      </w:pPr>
      <w:r>
        <w:rPr>
          <w:rFonts w:ascii="IRNazanin" w:hAnsi="IRNazanin" w:eastAsia="IRNazanin"/>
          <w:color w:val="111111"/>
          <w:sz w:val="28"/>
          <w:sz w:val="28"/>
          <w:szCs w:val="28"/>
          <w:rtl w:val="true"/>
          <w:lang w:bidi="fa-IR"/>
        </w:rPr>
        <w:t xml:space="preserve">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هر دو زمین ثابت می‌شود، اوّلی با شهادت و دومی با اقرار</w:t>
      </w:r>
      <w:r>
        <w:rPr>
          <w:rFonts w:eastAsia="IRNazanin" w:cs="IRNazanin"/>
          <w:color w:val="111111"/>
          <w:sz w:val="28"/>
          <w:szCs w:val="28"/>
          <w:rtl w:val="true"/>
          <w:lang w:bidi="fa-IR"/>
        </w:rPr>
        <w:t>.</w:t>
      </w:r>
      <w:r>
        <w:rPr>
          <w:rStyle w:val="FootnoteAnchor"/>
          <w:rtl w:val="true"/>
        </w:rPr>
        <w:footnoteReference w:id="1500"/>
      </w:r>
      <w:r>
        <w:rPr>
          <w:rFonts w:ascii="IRNazanin" w:hAnsi="IRNazanin" w:eastAsia="IRNazanin"/>
          <w:color w:val="111111"/>
          <w:sz w:val="28"/>
          <w:sz w:val="28"/>
          <w:szCs w:val="28"/>
          <w:rtl w:val="true"/>
          <w:lang w:bidi="fa-IR"/>
        </w:rPr>
        <w:t>برای توضیح بیشتر این مباحث به ابواب اِقرار و قضا و شهادات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فقهای اهل سنّت نیز برای اثبات وقفیّت راههایی را ذکر کرده‌اند،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المصطلحات الوقفیّة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در نزد اکثر فقها در وقف قربت شرط و از</w:t>
      </w:r>
    </w:p>
    <w:p>
      <w:pPr>
        <w:pStyle w:val="BookText"/>
        <w:rPr/>
      </w:pPr>
      <w:r>
        <w:rPr>
          <w:rFonts w:ascii="IRNazanin" w:hAnsi="IRNazanin" w:eastAsia="IRNazanin"/>
          <w:color w:val="111111"/>
          <w:sz w:val="28"/>
          <w:sz w:val="28"/>
          <w:szCs w:val="28"/>
          <w:rtl w:val="true"/>
          <w:lang w:bidi="fa-IR"/>
        </w:rPr>
        <w:t>حقوق اللّه است، به همین دلیل، شهادت درآن بدون دعوا نیز پذیرفته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وقف</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معیّن، مثل وقف بر اولاد یا فرد خاصّ دیگری، راجح در نزد فقها این است که شهادت </w:t>
      </w:r>
    </w:p>
    <w:p>
      <w:pPr>
        <w:pStyle w:val="BookText"/>
        <w:rPr/>
      </w:pPr>
      <w:r>
        <w:rPr>
          <w:rFonts w:ascii="IRNazanin" w:hAnsi="IRNazanin" w:eastAsia="IRNazanin"/>
          <w:color w:val="111111"/>
          <w:sz w:val="28"/>
          <w:sz w:val="28"/>
          <w:szCs w:val="28"/>
          <w:rtl w:val="true"/>
          <w:lang w:bidi="fa-IR"/>
        </w:rPr>
        <w:t>جز با دعوا پذیرفته نیست</w:t>
      </w:r>
      <w:r>
        <w:rPr>
          <w:rFonts w:eastAsia="IRNazanin" w:cs="IRNazanin"/>
          <w:color w:val="111111"/>
          <w:sz w:val="28"/>
          <w:szCs w:val="28"/>
          <w:rtl w:val="true"/>
          <w:lang w:bidi="fa-IR"/>
        </w:rPr>
        <w:t>.</w:t>
      </w:r>
      <w:r>
        <w:rPr>
          <w:rStyle w:val="FootnoteAnchor"/>
          <w:rtl w:val="true"/>
        </w:rPr>
        <w:footnoteReference w:id="1501"/>
      </w:r>
    </w:p>
    <w:p>
      <w:pPr>
        <w:pStyle w:val="BookText"/>
        <w:rPr/>
      </w:pPr>
      <w:r>
        <w:rPr>
          <w:rFonts w:ascii="IRNazanin" w:hAnsi="IRNazanin" w:eastAsia="IRNazanin"/>
          <w:color w:val="111111"/>
          <w:sz w:val="28"/>
          <w:sz w:val="28"/>
          <w:szCs w:val="28"/>
          <w:rtl w:val="true"/>
          <w:lang w:bidi="fa-IR"/>
        </w:rPr>
        <w:t xml:space="preserve">در اثبات وقف، شهادت بر شهادت، شهادت زنان با مردان، شهادت به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وقفیّت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شهادت به تسامع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شنیده‌ام گواهی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تسامع نسبت به‌بیان مصرف، مثل این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فلان مسجد، یا فلان مورد و افراد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وَهْبهُ‌الزُّحَیْلی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خطّ برای حجیّت صلاحیّت ندارد، چون خطها به هم شبیه‌اند</w:t>
      </w:r>
      <w:r>
        <w:rPr>
          <w:rFonts w:eastAsia="IRNazanin" w:cs="IRNazanin"/>
          <w:color w:val="111111"/>
          <w:sz w:val="28"/>
          <w:szCs w:val="28"/>
          <w:rtl w:val="true"/>
          <w:lang w:bidi="fa-IR"/>
        </w:rPr>
        <w:t>.</w:t>
      </w:r>
      <w:r>
        <w:rPr>
          <w:rStyle w:val="FootnoteAnchor"/>
          <w:rtl w:val="true"/>
        </w:rPr>
        <w:footnoteReference w:id="1502"/>
      </w:r>
    </w:p>
    <w:p>
      <w:pPr>
        <w:pStyle w:val="BookText"/>
        <w:rPr/>
      </w:pPr>
      <w:r>
        <w:rPr>
          <w:rFonts w:ascii="IRNazanin" w:hAnsi="IRNazanin" w:eastAsia="IRNazanin"/>
          <w:color w:val="111111"/>
          <w:sz w:val="28"/>
          <w:sz w:val="28"/>
          <w:szCs w:val="28"/>
          <w:rtl w:val="true"/>
          <w:lang w:bidi="fa-IR"/>
        </w:rPr>
        <w:t>امّا این بیان محلّ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بسیاری از موارد، نوشته‌ها اطمینان‌آور و حتّی مطمئن‌تر از بیّنه هستند، بویژه با امکانات امروزی که تشخیص دستخط افراد کار مشکلی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زُحَیْلی از خَصّاف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اوقافی که رسوم و آثارشان در دفاتر دیوان و قضا موجود و در دست اربابان آنهاست، مطابق آنچه در همان دفاتر آمده است، عمل می‌شود</w:t>
      </w:r>
      <w:r>
        <w:rPr>
          <w:rFonts w:eastAsia="IRNazanin" w:cs="IRNazanin"/>
          <w:color w:val="111111"/>
          <w:sz w:val="28"/>
          <w:szCs w:val="28"/>
          <w:rtl w:val="true"/>
          <w:lang w:bidi="fa-IR"/>
        </w:rPr>
        <w:t>.</w:t>
      </w:r>
      <w:r>
        <w:rPr>
          <w:rStyle w:val="FootnoteAnchor"/>
          <w:rtl w:val="true"/>
        </w:rPr>
        <w:footnoteReference w:id="1503"/>
      </w:r>
    </w:p>
    <w:p>
      <w:pPr>
        <w:pStyle w:val="BookText"/>
        <w:rPr/>
      </w:pPr>
      <w:r>
        <w:rPr>
          <w:rFonts w:ascii="IRNazanin" w:hAnsi="IRNazanin" w:eastAsia="IRNazanin"/>
          <w:color w:val="111111"/>
          <w:sz w:val="28"/>
          <w:sz w:val="28"/>
          <w:szCs w:val="28"/>
          <w:rtl w:val="true"/>
          <w:lang w:bidi="fa-IR"/>
        </w:rPr>
        <w:t xml:space="preserve">الصّاوی در بلغه‌السّالک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با اشاعه، و شهادت سماع، که مثلاً چهل سال است که از انسانهای عادل و غیر عادل شنیده است که فلان ملک وقف است، ثابت می‌شود</w:t>
      </w:r>
      <w:r>
        <w:rPr>
          <w:rFonts w:eastAsia="IRNazanin" w:cs="IRNazanin"/>
          <w:color w:val="111111"/>
          <w:sz w:val="28"/>
          <w:szCs w:val="28"/>
          <w:rtl w:val="true"/>
          <w:lang w:bidi="fa-IR"/>
        </w:rPr>
        <w:t>.</w:t>
      </w:r>
      <w:r>
        <w:rPr>
          <w:rStyle w:val="FootnoteAnchor"/>
          <w:rtl w:val="true"/>
        </w:rPr>
        <w:footnoteReference w:id="1504"/>
      </w:r>
      <w:r>
        <w:rPr>
          <w:rFonts w:ascii="IRNazanin" w:hAnsi="IRNazanin" w:eastAsia="IRNazanin"/>
          <w:color w:val="111111"/>
          <w:sz w:val="28"/>
          <w:sz w:val="28"/>
          <w:szCs w:val="28"/>
          <w:rtl w:val="true"/>
          <w:lang w:bidi="fa-IR"/>
        </w:rPr>
        <w:t>وی در جای دیگر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پشت کتابی نوشته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برای خدا بر طلّاب علم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وقفیّت آن ثابت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مطلق نباشد، یعنی مثلاً نوشته شده؛ وقف بر طلّاب فلان مدرسه، در صورتی که آن مدرسه مشهور باشد که دارای کتب است، وقفیّت، ثابت می‌شود وگرنه ثابت نمی‌شود</w:t>
      </w:r>
      <w:r>
        <w:rPr>
          <w:rFonts w:eastAsia="IRNazanin" w:cs="IRNazanin"/>
          <w:color w:val="111111"/>
          <w:sz w:val="28"/>
          <w:szCs w:val="28"/>
          <w:rtl w:val="true"/>
          <w:lang w:bidi="fa-IR"/>
        </w:rPr>
        <w:t>.</w:t>
      </w:r>
      <w:r>
        <w:rPr>
          <w:rStyle w:val="FootnoteAnchor"/>
          <w:rtl w:val="true"/>
        </w:rPr>
        <w:footnoteReference w:id="150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حجر عَسقلانی نیز مواردی را از صحابه نقل کرده است که برای اوقاف و صدقات خویش، مبادرت به اِشهاد و کتابت می‌کرده‌اند</w:t>
      </w:r>
      <w:r>
        <w:rPr>
          <w:rFonts w:eastAsia="IRNazanin" w:cs="IRNazanin"/>
          <w:color w:val="111111"/>
          <w:sz w:val="28"/>
          <w:szCs w:val="28"/>
          <w:rtl w:val="true"/>
          <w:lang w:bidi="fa-IR"/>
        </w:rPr>
        <w:t>.</w:t>
      </w:r>
      <w:r>
        <w:rPr>
          <w:rStyle w:val="FootnoteAnchor"/>
          <w:rtl w:val="true"/>
        </w:rPr>
        <w:footnoteReference w:id="1506"/>
      </w:r>
      <w:bookmarkStart w:id="879" w:name="pg4267_22172"/>
    </w:p>
    <w:p>
      <w:pPr>
        <w:pStyle w:val="Heading5"/>
        <w:numPr>
          <w:ilvl w:val="4"/>
          <w:numId w:val="1"/>
        </w:numPr>
        <w:rPr/>
      </w:pPr>
      <w:bookmarkStart w:id="880" w:name="__RefHeading___Toc474547_1479056682"/>
      <w:bookmarkStart w:id="881" w:name="_Toc336"/>
      <w:bookmarkEnd w:id="879"/>
      <w:bookmarkEnd w:id="880"/>
      <w:r>
        <w:rPr>
          <w:rtl w:val="true"/>
        </w:rPr>
        <w:t xml:space="preserve">گفتار </w:t>
      </w:r>
      <w:r>
        <w:rPr/>
        <w:t>2</w:t>
      </w:r>
      <w:r>
        <w:rPr>
          <w:rtl w:val="true"/>
        </w:rPr>
        <w:t xml:space="preserve">- </w:t>
      </w:r>
      <w:r>
        <w:rPr>
          <w:rtl w:val="true"/>
        </w:rPr>
        <w:t>توضیح نکته‌ای بسیار مهمّ</w:t>
      </w:r>
      <w:bookmarkEnd w:id="881"/>
    </w:p>
    <w:p>
      <w:pPr>
        <w:pStyle w:val="BookText"/>
        <w:rPr/>
      </w:pPr>
      <w:r>
        <w:rPr>
          <w:rFonts w:ascii="IRNazanin" w:hAnsi="IRNazanin" w:eastAsia="IRNazanin"/>
          <w:color w:val="111111"/>
          <w:sz w:val="28"/>
          <w:sz w:val="28"/>
          <w:szCs w:val="28"/>
          <w:rtl w:val="true"/>
          <w:lang w:bidi="fa-IR"/>
        </w:rPr>
        <w:t>گروهی از فقهای معاصر از جمله، صاحب عروه و امام خمینی تصریح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ملکی در دست کسی باشد که در آن تصرّف مالکانه می‌کند، امّا معلوم و روشن است که این ملک سابقا وقف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وقفیّت آن در حال حاضر ثابت نشود، نمی‌توان آن را از دست او گرفت؛ یعنی حکم به مالکیّت ذوالید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ذوالید</w:t>
      </w:r>
    </w:p>
    <w:p>
      <w:pPr>
        <w:pStyle w:val="BookText"/>
        <w:rPr/>
      </w:pPr>
      <w:r>
        <w:rPr>
          <w:rFonts w:ascii="IRNazanin" w:hAnsi="IRNazanin" w:eastAsia="IRNazanin"/>
          <w:color w:val="111111"/>
          <w:sz w:val="28"/>
          <w:sz w:val="28"/>
          <w:szCs w:val="28"/>
          <w:rtl w:val="true"/>
          <w:lang w:bidi="fa-IR"/>
        </w:rPr>
        <w:t>در برابر دعوای خصم، به وقفیّت سابق اقرار و ادّعا کند که بر اثر بروز مسوّغ بیع وقف،</w:t>
      </w:r>
    </w:p>
    <w:p>
      <w:pPr>
        <w:pStyle w:val="BookText"/>
        <w:rPr/>
      </w:pPr>
      <w:r>
        <w:rPr>
          <w:rFonts w:ascii="IRNazanin" w:hAnsi="IRNazanin" w:eastAsia="IRNazanin"/>
          <w:color w:val="111111"/>
          <w:sz w:val="28"/>
          <w:sz w:val="28"/>
          <w:szCs w:val="28"/>
          <w:rtl w:val="true"/>
          <w:lang w:bidi="fa-IR"/>
        </w:rPr>
        <w:t>این ملک به او منتقل شده است، ید او از اعتبار ساقط و این مال از او گرفته می‌شود</w:t>
      </w:r>
      <w:r>
        <w:rPr>
          <w:rFonts w:eastAsia="IRNazanin" w:cs="IRNazanin"/>
          <w:color w:val="111111"/>
          <w:sz w:val="28"/>
          <w:szCs w:val="28"/>
          <w:rtl w:val="true"/>
          <w:lang w:bidi="fa-IR"/>
        </w:rPr>
        <w:t>.</w:t>
      </w:r>
      <w:r>
        <w:rPr>
          <w:rStyle w:val="FootnoteAnchor"/>
          <w:rtl w:val="true"/>
        </w:rPr>
        <w:footnoteReference w:id="1507"/>
      </w:r>
      <w:r>
        <w:rPr>
          <w:rFonts w:ascii="IRNazanin" w:hAnsi="IRNazanin" w:eastAsia="IRNazanin"/>
          <w:color w:val="111111"/>
          <w:sz w:val="28"/>
          <w:sz w:val="28"/>
          <w:szCs w:val="28"/>
          <w:rtl w:val="true"/>
          <w:lang w:bidi="fa-IR"/>
        </w:rPr>
        <w:t>صاحب عروه اضافه کرده است، ممکن است قولش مقدّم باشد، زیرا هرچند ید خودش با اقرار، ساقط شده، امّا اعتبار ید پدر و یا جدّ،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 بر تعارض قاعده ید و اصل استصحاب، مبتنی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ذوالید را مالک می‌دانند، استدلالشان این است که در این مورد ید ذوالید با استصحاب وقفیّت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استصحاب عدم ملکیّت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متعارضند و در جای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شده است که در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استصحاب مقدّم است، دلیل این تقدّم هم روشن است، زیرا ید اَماره است واستصحاب اصل و همیشه اَماره بر اصل مقدّم است</w:t>
      </w:r>
      <w:r>
        <w:rPr>
          <w:rFonts w:eastAsia="IRNazanin" w:cs="IRNazanin"/>
          <w:color w:val="111111"/>
          <w:sz w:val="28"/>
          <w:szCs w:val="28"/>
          <w:rtl w:val="true"/>
          <w:lang w:bidi="fa-IR"/>
        </w:rPr>
        <w:t>.</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در برابر، کسانی چون آیه‌الله نائینی</w:t>
      </w:r>
      <w:r>
        <w:rPr>
          <w:rStyle w:val="FootnoteAnchor"/>
          <w:rtl w:val="true"/>
        </w:rPr>
        <w:footnoteReference w:id="1509"/>
      </w:r>
      <w:r>
        <w:rPr>
          <w:rFonts w:ascii="IRNazanin" w:hAnsi="IRNazanin" w:eastAsia="IRNazanin"/>
          <w:color w:val="111111"/>
          <w:sz w:val="28"/>
          <w:sz w:val="28"/>
          <w:szCs w:val="28"/>
          <w:rtl w:val="true"/>
          <w:lang w:bidi="fa-IR"/>
        </w:rPr>
        <w:t>و آیه‌اللّه بجنوردی</w:t>
      </w:r>
      <w:r>
        <w:rPr>
          <w:rStyle w:val="FootnoteAnchor"/>
          <w:rtl w:val="true"/>
        </w:rPr>
        <w:footnoteReference w:id="1510"/>
      </w:r>
      <w:r>
        <w:rPr>
          <w:rFonts w:ascii="IRNazanin" w:hAnsi="IRNazanin" w:eastAsia="IRNazanin"/>
          <w:color w:val="111111"/>
          <w:sz w:val="28"/>
          <w:sz w:val="28"/>
          <w:szCs w:val="28"/>
          <w:rtl w:val="true"/>
          <w:lang w:bidi="fa-IR"/>
        </w:rPr>
        <w:t>چنین یَدی را اَماره ملکیّت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اوّلاً، اماریّت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فراغت از آن است که قابلیّت نقل و انتقال مال احراز شود و در مورد وقف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عین موقوفه اصولاً قابلیّت نقل و انتقال</w:t>
      </w:r>
    </w:p>
    <w:p>
      <w:pPr>
        <w:pStyle w:val="BookText"/>
        <w:rPr/>
      </w:pPr>
      <w:r>
        <w:rPr>
          <w:rFonts w:ascii="IRNazanin" w:hAnsi="IRNazanin" w:eastAsia="IRNazanin"/>
          <w:color w:val="111111"/>
          <w:sz w:val="28"/>
          <w:sz w:val="28"/>
          <w:szCs w:val="28"/>
          <w:rtl w:val="true"/>
          <w:lang w:bidi="fa-IR"/>
        </w:rPr>
        <w:t xml:space="preserve">ندارد، بلکه می‌بایست نخست، یکی از مجوزّات فروش وقف پدیدار شود، سپس به دیگری انتقال یابد و اماره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متکفّل جهت دوم یعنی انتقال به ذوالید است و نمی‌تواند جهت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اساس و زیربنای جهت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جهت اوّل به دلیل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ثانیا، در این مورد، اصل، ناظر به موضوع اماره است و به عبارت دیگر بر آن حاکم </w:t>
      </w:r>
      <w:bookmarkStart w:id="882" w:name="pg4267_22174"/>
    </w:p>
    <w:p>
      <w:pPr>
        <w:pStyle w:val="BookText"/>
        <w:rPr/>
      </w:pPr>
      <w:bookmarkEnd w:id="882"/>
      <w:r>
        <w:rPr>
          <w:rFonts w:ascii="IRNazanin" w:hAnsi="IRNazanin" w:eastAsia="IRNazanin"/>
          <w:color w:val="111111"/>
          <w:sz w:val="28"/>
          <w:sz w:val="28"/>
          <w:szCs w:val="28"/>
          <w:rtl w:val="true"/>
          <w:lang w:bidi="fa-IR"/>
        </w:rPr>
        <w:t xml:space="preserve">است، زیرا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قابلیّت نقل و انتقال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موضوع برای جهت دوم است و اصل استصحاب این موضوع رابر طرف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مشکوک الحال اماره است، و استصحابِ حالت سابقه در این جا، مورد را، به حکم شارع، از مشکوک الحال بودن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درنتیجه مورد و مجرایی برای جریان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ثالثا، دلیل عمده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اماره، بنای عقلاست، چنان که در جای خود به اثبات رسیده است و واضح است که عقلا در مواردی این چنین که حالت سابقه مورد یَد وقفیّت است، یعنی حالتی که بسختی مجوّز انتقال پیدا می‌کند، بسادگی تسلیم یَد نمی‌شوند، و آن را نشانه ملکیّت نمی‌دانند، بلکه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آن را خریداری</w:t>
      </w:r>
    </w:p>
    <w:p>
      <w:pPr>
        <w:pStyle w:val="BookText"/>
        <w:rPr/>
      </w:pP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فحص و جستجو می‌پردازند و به مجرّد ید اکتفا نمی‌کنند</w:t>
      </w:r>
      <w:r>
        <w:rPr>
          <w:rFonts w:eastAsia="IRNazanin" w:cs="IRNazanin"/>
          <w:color w:val="111111"/>
          <w:sz w:val="28"/>
          <w:szCs w:val="28"/>
          <w:rtl w:val="true"/>
          <w:lang w:bidi="fa-IR"/>
        </w:rPr>
        <w:t>.</w:t>
      </w:r>
      <w:r>
        <w:rPr>
          <w:rStyle w:val="FootnoteAnchor"/>
          <w:rtl w:val="true"/>
        </w:rPr>
        <w:footnoteReference w:id="1511"/>
      </w:r>
    </w:p>
    <w:p>
      <w:pPr>
        <w:pStyle w:val="BookText"/>
        <w:rPr/>
      </w:pPr>
      <w:r>
        <w:rPr>
          <w:rFonts w:ascii="IRNazanin" w:hAnsi="IRNazanin" w:eastAsia="IRNazanin"/>
          <w:color w:val="111111"/>
          <w:sz w:val="28"/>
          <w:sz w:val="28"/>
          <w:szCs w:val="28"/>
          <w:rtl w:val="true"/>
          <w:lang w:bidi="fa-IR"/>
        </w:rPr>
        <w:t xml:space="preserve">البتّه کسانی چون مکارم شیرازی ضمن تضعیف ادلّه نظریّه دوم، در یک صورت آن را می‌پذیرند و آن صورتی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 مسبوق به غصب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 سابقه ید عدوانی داشته باشد</w:t>
      </w:r>
      <w:r>
        <w:rPr>
          <w:rFonts w:eastAsia="IRNazanin" w:cs="IRNazanin"/>
          <w:color w:val="111111"/>
          <w:sz w:val="28"/>
          <w:szCs w:val="28"/>
          <w:rtl w:val="true"/>
          <w:lang w:bidi="fa-IR"/>
        </w:rPr>
        <w:t>.</w:t>
      </w:r>
      <w:r>
        <w:rPr>
          <w:rStyle w:val="FootnoteAnchor"/>
          <w:rtl w:val="true"/>
        </w:rPr>
        <w:footnoteReference w:id="1512"/>
      </w:r>
    </w:p>
    <w:p>
      <w:pPr>
        <w:pStyle w:val="BookText"/>
        <w:rPr/>
      </w:pPr>
      <w:r>
        <w:rPr>
          <w:rFonts w:ascii="IRNazanin" w:hAnsi="IRNazanin" w:eastAsia="IRNazanin"/>
          <w:color w:val="111111"/>
          <w:sz w:val="28"/>
          <w:sz w:val="28"/>
          <w:szCs w:val="28"/>
          <w:rtl w:val="true"/>
          <w:lang w:bidi="fa-IR"/>
        </w:rPr>
        <w:t xml:space="preserve">عَلی‌رَغْم تضعیف دیدگاه دوم توسّط عدّه‌ای از اَعلام، با توجه به ادلّه‌ای که ذکر شد و نیز با توجّه به‌بازار داغ موقوفه خواری که در گذشته کشورهای اسلامی وجود داشته است، به نظر می‌رسد اگر در این شرایط چنین موردی پیش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ید حق تقدّم نخواهد داشت و حاکمیّت با استصحاب وقفیّت است</w:t>
      </w:r>
      <w:r>
        <w:rPr>
          <w:rFonts w:eastAsia="IRNazanin" w:cs="IRNazanin"/>
          <w:color w:val="111111"/>
          <w:sz w:val="28"/>
          <w:szCs w:val="28"/>
          <w:rtl w:val="true"/>
          <w:lang w:bidi="fa-IR"/>
        </w:rPr>
        <w:t>.</w:t>
      </w:r>
    </w:p>
    <w:p>
      <w:pPr>
        <w:pStyle w:val="Heading4"/>
        <w:numPr>
          <w:ilvl w:val="3"/>
          <w:numId w:val="1"/>
        </w:numPr>
        <w:rPr/>
      </w:pPr>
      <w:bookmarkStart w:id="883" w:name="__RefHeading___Toc474549_1479056682"/>
      <w:bookmarkStart w:id="884" w:name="_Toc337"/>
      <w:bookmarkEnd w:id="883"/>
      <w:r>
        <w:rPr>
          <w:rtl w:val="true"/>
        </w:rPr>
        <w:t>مبحث هفتم</w:t>
      </w:r>
      <w:r>
        <w:rPr>
          <w:rtl w:val="true"/>
        </w:rPr>
        <w:t xml:space="preserve">: </w:t>
      </w:r>
      <w:r>
        <w:rPr>
          <w:rtl w:val="true"/>
        </w:rPr>
        <w:t>وقف در مرض موت</w:t>
      </w:r>
      <w:bookmarkEnd w:id="884"/>
    </w:p>
    <w:p>
      <w:pPr>
        <w:pStyle w:val="Heading5"/>
        <w:numPr>
          <w:ilvl w:val="4"/>
          <w:numId w:val="1"/>
        </w:numPr>
        <w:rPr/>
      </w:pPr>
      <w:bookmarkStart w:id="885" w:name="__RefHeading___Toc474551_1479056682"/>
      <w:bookmarkStart w:id="886" w:name="_Toc338"/>
      <w:bookmarkEnd w:id="885"/>
      <w:r>
        <w:rPr>
          <w:rtl w:val="true"/>
        </w:rPr>
        <w:t xml:space="preserve">گفتار </w:t>
      </w:r>
      <w:r>
        <w:rPr/>
        <w:t>1</w:t>
      </w:r>
      <w:r>
        <w:rPr>
          <w:rtl w:val="true"/>
        </w:rPr>
        <w:t xml:space="preserve">- </w:t>
      </w:r>
      <w:r>
        <w:rPr>
          <w:rtl w:val="true"/>
        </w:rPr>
        <w:t>معنای مرض موت</w:t>
      </w:r>
      <w:bookmarkEnd w:id="88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مباحثی که فقها در باب وقف به آن پرداخته‌اند، بحث وقف در بیماری و </w:t>
      </w:r>
      <w:bookmarkStart w:id="887" w:name="pg4267_22176"/>
    </w:p>
    <w:p>
      <w:pPr>
        <w:pStyle w:val="BookText"/>
        <w:rPr/>
      </w:pPr>
      <w:bookmarkEnd w:id="887"/>
      <w:r>
        <w:rPr>
          <w:rFonts w:ascii="IRNazanin" w:hAnsi="IRNazanin" w:eastAsia="IRNazanin"/>
          <w:color w:val="111111"/>
          <w:sz w:val="28"/>
          <w:sz w:val="28"/>
          <w:szCs w:val="28"/>
          <w:rtl w:val="true"/>
          <w:lang w:bidi="fa-IR"/>
        </w:rPr>
        <w:t>مرض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آیا چنین وقفی از ثلث اموال واقف اخذ می‌شود یا از اصل آن؟</w:t>
      </w:r>
    </w:p>
    <w:p>
      <w:pPr>
        <w:pStyle w:val="BookText"/>
        <w:rPr/>
      </w:pPr>
      <w:r>
        <w:rPr>
          <w:rFonts w:ascii="IRNazanin" w:hAnsi="IRNazanin" w:eastAsia="IRNazanin"/>
          <w:color w:val="111111"/>
          <w:sz w:val="28"/>
          <w:sz w:val="28"/>
          <w:szCs w:val="28"/>
          <w:rtl w:val="true"/>
          <w:lang w:bidi="fa-IR"/>
        </w:rPr>
        <w:t>عدهّ‌ای از اعلام، مرض مرگ را آن بیماری می‌دانند که مخوف باشد، به طوری که غالبا بیمار به دلیل آن بیماری از مرگ ایمن نیست، امّا امراضی که غالبا سلامت بیمار را به دنبال دارند، مانند تب و سردردهای معمولی و امثال اینها، مرض مرگ نامیده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شرایع و شیخ در مبسوط و همچنین تابعین وی این نظر را برگزیده‌اند</w:t>
      </w:r>
      <w:r>
        <w:rPr>
          <w:rFonts w:eastAsia="IRNazanin" w:cs="IRNazanin"/>
          <w:color w:val="111111"/>
          <w:sz w:val="28"/>
          <w:szCs w:val="28"/>
          <w:rtl w:val="true"/>
          <w:lang w:bidi="fa-IR"/>
        </w:rPr>
        <w:t>.</w:t>
      </w:r>
      <w:r>
        <w:rPr>
          <w:rStyle w:val="FootnoteAnchor"/>
          <w:rtl w:val="true"/>
        </w:rPr>
        <w:footnoteReference w:id="1513"/>
      </w:r>
    </w:p>
    <w:p>
      <w:pPr>
        <w:pStyle w:val="BookText"/>
        <w:rPr/>
      </w:pPr>
      <w:r>
        <w:rPr>
          <w:rFonts w:ascii="IRNazanin" w:hAnsi="IRNazanin" w:eastAsia="IRNazanin"/>
          <w:color w:val="111111"/>
          <w:sz w:val="28"/>
          <w:sz w:val="28"/>
          <w:szCs w:val="28"/>
          <w:rtl w:val="true"/>
          <w:lang w:bidi="fa-IR"/>
        </w:rPr>
        <w:t>گروهی دیگر، چون علاّمه در قواعد، فخرالمحقّقین در ایضاح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مرگ را آن بیماری می‌دانند که به مرگ بیمار منجر شود، خواه مخوف باشد، خواه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دلیلشان هم این است که عموم اخباری که در آنها حکم عطایای مریض آمده</w:t>
      </w:r>
      <w:r>
        <w:rPr>
          <w:rStyle w:val="FootnoteAnchor"/>
          <w:rtl w:val="true"/>
        </w:rPr>
        <w:footnoteReference w:id="1514"/>
      </w:r>
      <w:r>
        <w:rPr>
          <w:rFonts w:ascii="IRNazanin" w:hAnsi="IRNazanin" w:eastAsia="IRNazanin"/>
          <w:color w:val="111111"/>
          <w:sz w:val="28"/>
          <w:sz w:val="28"/>
          <w:szCs w:val="28"/>
          <w:rtl w:val="true"/>
          <w:lang w:bidi="fa-IR"/>
        </w:rPr>
        <w:t>بیماری غیر مخوف را نیز شامل می‌شود و این اخبار از دلالت بر اعتبار خوف قاصرند</w:t>
      </w:r>
      <w:r>
        <w:rPr>
          <w:rFonts w:eastAsia="IRNazanin" w:cs="IRNazanin"/>
          <w:color w:val="111111"/>
          <w:sz w:val="28"/>
          <w:szCs w:val="28"/>
          <w:rtl w:val="true"/>
          <w:lang w:bidi="fa-IR"/>
        </w:rPr>
        <w:t>.</w:t>
      </w:r>
      <w:r>
        <w:rPr>
          <w:rStyle w:val="FootnoteAnchor"/>
          <w:rtl w:val="true"/>
        </w:rPr>
        <w:footnoteReference w:id="1515"/>
      </w:r>
    </w:p>
    <w:p>
      <w:pPr>
        <w:pStyle w:val="BookText"/>
        <w:rPr/>
      </w:pPr>
      <w:r>
        <w:rPr>
          <w:rFonts w:ascii="IRNazanin" w:hAnsi="IRNazanin" w:eastAsia="IRNazanin"/>
          <w:color w:val="111111"/>
          <w:sz w:val="28"/>
          <w:sz w:val="28"/>
          <w:szCs w:val="28"/>
          <w:rtl w:val="true"/>
          <w:lang w:bidi="fa-IR"/>
        </w:rPr>
        <w:t>در فقه اهل سنّت نیز بیماری موت در آن جا اطلاق می‌شود که غالبا به مرگ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مالکیّه قید مخوف را نیز اضافه کرده‌اند</w:t>
      </w:r>
      <w:r>
        <w:rPr>
          <w:rFonts w:eastAsia="IRNazanin" w:cs="IRNazanin"/>
          <w:color w:val="111111"/>
          <w:sz w:val="28"/>
          <w:szCs w:val="28"/>
          <w:rtl w:val="true"/>
          <w:lang w:bidi="fa-IR"/>
        </w:rPr>
        <w:t>.</w:t>
      </w:r>
      <w:r>
        <w:rPr>
          <w:rStyle w:val="FootnoteAnchor"/>
          <w:rtl w:val="true"/>
        </w:rPr>
        <w:footnoteReference w:id="1516"/>
      </w:r>
    </w:p>
    <w:p>
      <w:pPr>
        <w:pStyle w:val="BookText"/>
        <w:rPr/>
      </w:pPr>
      <w:r>
        <w:rPr>
          <w:rFonts w:ascii="IRNazanin" w:hAnsi="IRNazanin" w:eastAsia="IRNazanin"/>
          <w:color w:val="111111"/>
          <w:sz w:val="28"/>
          <w:sz w:val="28"/>
          <w:szCs w:val="28"/>
          <w:rtl w:val="true"/>
          <w:lang w:bidi="fa-IR"/>
        </w:rPr>
        <w:t>بنابراین به‌نظر می‌رسد موجّه‌ترین معنا برای بیماری موت همان است که شخص با آن بیماری بمیرد</w:t>
      </w:r>
      <w:r>
        <w:rPr>
          <w:rFonts w:eastAsia="IRNazanin" w:cs="IRNazanin"/>
          <w:color w:val="111111"/>
          <w:sz w:val="28"/>
          <w:szCs w:val="28"/>
          <w:rtl w:val="true"/>
          <w:lang w:bidi="fa-IR"/>
        </w:rPr>
        <w:t>.</w:t>
      </w:r>
    </w:p>
    <w:p>
      <w:pPr>
        <w:pStyle w:val="Heading5"/>
        <w:numPr>
          <w:ilvl w:val="4"/>
          <w:numId w:val="1"/>
        </w:numPr>
        <w:rPr/>
      </w:pPr>
      <w:bookmarkStart w:id="888" w:name="__RefHeading___Toc474553_1479056682"/>
      <w:bookmarkStart w:id="889" w:name="_Toc339"/>
      <w:bookmarkEnd w:id="888"/>
      <w:r>
        <w:rPr>
          <w:rtl w:val="true"/>
        </w:rPr>
        <w:t xml:space="preserve">گفتار </w:t>
      </w:r>
      <w:r>
        <w:rPr/>
        <w:t>2</w:t>
      </w:r>
      <w:r>
        <w:rPr>
          <w:rtl w:val="true"/>
        </w:rPr>
        <w:t xml:space="preserve">- </w:t>
      </w:r>
      <w:r>
        <w:rPr>
          <w:rtl w:val="true"/>
        </w:rPr>
        <w:t>معنای تبرّع</w:t>
      </w:r>
      <w:bookmarkEnd w:id="889"/>
    </w:p>
    <w:p>
      <w:pPr>
        <w:pStyle w:val="Heading6"/>
        <w:numPr>
          <w:ilvl w:val="5"/>
          <w:numId w:val="1"/>
        </w:numPr>
        <w:rPr/>
      </w:pPr>
      <w:bookmarkStart w:id="890" w:name="__RefHeading___Toc474555_1479056682"/>
      <w:bookmarkStart w:id="891" w:name="_Toc340"/>
      <w:bookmarkEnd w:id="890"/>
      <w:r>
        <w:rPr>
          <w:rtl w:val="true"/>
        </w:rPr>
        <w:t>اشاره</w:t>
      </w:r>
      <w:bookmarkEnd w:id="891"/>
    </w:p>
    <w:p>
      <w:pPr>
        <w:pStyle w:val="BookText"/>
        <w:rPr/>
      </w:pPr>
      <w:r>
        <w:rPr>
          <w:rFonts w:ascii="IRNazanin" w:hAnsi="IRNazanin" w:eastAsia="IRNazanin"/>
          <w:color w:val="111111"/>
          <w:sz w:val="28"/>
          <w:sz w:val="28"/>
          <w:szCs w:val="28"/>
          <w:rtl w:val="true"/>
          <w:lang w:bidi="fa-IR"/>
        </w:rPr>
        <w:t>تصرّفات انسان گاهی تبرّعی است و گاهی غیر تبرعّی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 چنان که علاّمه در قواعد تعریف کرده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ملک از عین مملوکی که متعلّق ارث قرار</w:t>
      </w:r>
    </w:p>
    <w:p>
      <w:pPr>
        <w:pStyle w:val="BookText"/>
        <w:rPr/>
      </w:pPr>
      <w:r>
        <w:rPr>
          <w:rFonts w:ascii="IRNazanin" w:hAnsi="IRNazanin" w:eastAsia="IRNazanin"/>
          <w:color w:val="111111"/>
          <w:sz w:val="28"/>
          <w:sz w:val="28"/>
          <w:szCs w:val="28"/>
          <w:rtl w:val="true"/>
          <w:lang w:bidi="fa-IR"/>
        </w:rPr>
        <w:t>می‌گیرد، بدون لزوم و وجوب این ازاله و بدون گرفتن عوض مماثل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بیمار مالی را به بهای عادلانه بفروشد و یا کالایی را به نرخ متعارف بخرد، این معامله لازم</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بیمار را از خرید و فروش و مانند آن برای تهیّه لباس و غذا و مانند </w:t>
      </w:r>
      <w:bookmarkStart w:id="892" w:name="pg4267_22178"/>
    </w:p>
    <w:p>
      <w:pPr>
        <w:pStyle w:val="BookText"/>
        <w:rPr/>
      </w:pPr>
      <w:bookmarkEnd w:id="892"/>
      <w:r>
        <w:rPr>
          <w:rFonts w:ascii="IRNazanin" w:hAnsi="IRNazanin" w:eastAsia="IRNazanin"/>
          <w:color w:val="111111"/>
          <w:sz w:val="28"/>
          <w:sz w:val="28"/>
          <w:szCs w:val="28"/>
          <w:rtl w:val="true"/>
          <w:lang w:bidi="fa-IR"/>
        </w:rPr>
        <w:t>اینها منع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فقها در مسأله به تبرّعات مریض، یعنی عطایای مجّانی او، مربوط می‌شود</w:t>
      </w:r>
      <w:r>
        <w:rPr>
          <w:rFonts w:eastAsia="IRNazanin" w:cs="IRNazanin"/>
          <w:color w:val="111111"/>
          <w:sz w:val="28"/>
          <w:szCs w:val="28"/>
          <w:rtl w:val="true"/>
          <w:lang w:bidi="fa-IR"/>
        </w:rPr>
        <w:t>.</w:t>
      </w:r>
      <w:r>
        <w:rPr>
          <w:rStyle w:val="FootnoteAnchor"/>
          <w:rtl w:val="true"/>
        </w:rPr>
        <w:footnoteReference w:id="1517"/>
      </w:r>
    </w:p>
    <w:p>
      <w:pPr>
        <w:pStyle w:val="Heading6"/>
        <w:numPr>
          <w:ilvl w:val="5"/>
          <w:numId w:val="1"/>
        </w:numPr>
        <w:rPr/>
      </w:pPr>
      <w:bookmarkStart w:id="893" w:name="__RefHeading___Toc474557_1479056682"/>
      <w:bookmarkStart w:id="894" w:name="_Toc341"/>
      <w:bookmarkEnd w:id="893"/>
      <w:r>
        <w:rPr>
          <w:rtl w:val="true"/>
        </w:rPr>
        <w:t>تبرّعات منجّزه و مؤَجَّله</w:t>
      </w:r>
      <w:bookmarkEnd w:id="894"/>
    </w:p>
    <w:p>
      <w:pPr>
        <w:pStyle w:val="BookText"/>
        <w:rPr/>
      </w:pPr>
      <w:r>
        <w:rPr>
          <w:rFonts w:ascii="IRNazanin" w:hAnsi="IRNazanin" w:eastAsia="IRNazanin"/>
          <w:color w:val="111111"/>
          <w:sz w:val="28"/>
          <w:sz w:val="28"/>
          <w:szCs w:val="28"/>
          <w:rtl w:val="true"/>
          <w:lang w:bidi="fa-IR"/>
        </w:rPr>
        <w:t>تصرّفات تبرّعی انسان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مؤجّل، یعنی تصرّفات معلّق بر مرگ متبرِّع، مانند وصیّت به انفاق از مال موصی در یک جهت تعیین شده، یعنی مصرف آن در جهت مورد نظر، بعد از مرگ وی، که فقها اجماع دارند بر این که این نوع از عطایا از ثلث مال موصی اخراج می‌شوند نه از اصل مال</w:t>
      </w:r>
      <w:r>
        <w:rPr>
          <w:rFonts w:eastAsia="IRNazanin" w:cs="IRNazanin"/>
          <w:color w:val="111111"/>
          <w:sz w:val="28"/>
          <w:szCs w:val="28"/>
          <w:rtl w:val="true"/>
          <w:lang w:bidi="fa-IR"/>
        </w:rPr>
        <w:t>.</w:t>
      </w:r>
      <w:r>
        <w:rPr>
          <w:rStyle w:val="FootnoteAnchor"/>
          <w:rtl w:val="true"/>
        </w:rPr>
        <w:footnoteReference w:id="151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تبرّعات منجّزه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تبرّعات منجّز یا معجّل تبرّعاتی هستند که معلّق بر مرگ متبرّع نیستند مانند بیع، هبه،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نیز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تصرّفات تبرّعی و منجّزی که در حال صحّت و سلامت انسان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در این مورد نیز به اتفاق، آن را از اصل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علاّمه درباره تصرّفات انسان</w:t>
      </w:r>
    </w:p>
    <w:p>
      <w:pPr>
        <w:pStyle w:val="BookText"/>
        <w:rPr/>
      </w:pPr>
      <w:r>
        <w:rPr>
          <w:rFonts w:ascii="IRNazanin" w:hAnsi="IRNazanin" w:eastAsia="IRNazanin"/>
          <w:color w:val="111111"/>
          <w:sz w:val="28"/>
          <w:sz w:val="28"/>
          <w:szCs w:val="28"/>
          <w:rtl w:val="true"/>
          <w:lang w:bidi="fa-IR"/>
        </w:rPr>
        <w:t>صحیح که مقترن به مرگ باشد، تصریح کرده است که از ثلث است</w:t>
      </w:r>
      <w:r>
        <w:rPr>
          <w:rFonts w:eastAsia="IRNazanin" w:cs="IRNazanin"/>
          <w:color w:val="111111"/>
          <w:sz w:val="28"/>
          <w:szCs w:val="28"/>
          <w:rtl w:val="true"/>
          <w:lang w:bidi="fa-IR"/>
        </w:rPr>
        <w:t>.</w:t>
      </w:r>
      <w:r>
        <w:rPr>
          <w:rStyle w:val="FootnoteAnchor"/>
          <w:rtl w:val="true"/>
        </w:rPr>
        <w:footnoteReference w:id="1519"/>
      </w:r>
      <w:r>
        <w:rPr>
          <w:rFonts w:ascii="IRNazanin" w:hAnsi="IRNazanin" w:eastAsia="IRNazanin"/>
          <w:color w:val="111111"/>
          <w:sz w:val="28"/>
          <w:sz w:val="28"/>
          <w:szCs w:val="28"/>
          <w:rtl w:val="true"/>
          <w:lang w:bidi="fa-IR"/>
        </w:rPr>
        <w:t>امّا این در حقیقت استثنای منقطع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دسته از تصرّفات تبرّعی که انسان در حال بیماری موت انجام می‌دهد، که وقف نیز از جمله آنهاست</w:t>
      </w:r>
      <w:r>
        <w:rPr>
          <w:rFonts w:eastAsia="IRNazanin" w:cs="IRNazanin"/>
          <w:color w:val="111111"/>
          <w:sz w:val="28"/>
          <w:szCs w:val="28"/>
          <w:rtl w:val="true"/>
          <w:lang w:bidi="fa-IR"/>
        </w:rPr>
        <w:t>.</w:t>
      </w:r>
    </w:p>
    <w:p>
      <w:pPr>
        <w:pStyle w:val="Heading5"/>
        <w:numPr>
          <w:ilvl w:val="4"/>
          <w:numId w:val="1"/>
        </w:numPr>
        <w:rPr/>
      </w:pPr>
      <w:bookmarkStart w:id="895" w:name="__RefHeading___Toc474559_1479056682"/>
      <w:bookmarkStart w:id="896" w:name="_Toc342"/>
      <w:bookmarkEnd w:id="895"/>
      <w:r>
        <w:rPr>
          <w:rtl w:val="true"/>
        </w:rPr>
        <w:t xml:space="preserve">گفتار </w:t>
      </w:r>
      <w:r>
        <w:rPr/>
        <w:t>3</w:t>
      </w:r>
      <w:r>
        <w:rPr>
          <w:rtl w:val="true"/>
        </w:rPr>
        <w:t xml:space="preserve">- </w:t>
      </w:r>
      <w:r>
        <w:rPr>
          <w:rtl w:val="true"/>
        </w:rPr>
        <w:t>حکم مسأله</w:t>
      </w:r>
      <w:bookmarkEnd w:id="896"/>
    </w:p>
    <w:p>
      <w:pPr>
        <w:pStyle w:val="Heading6"/>
        <w:numPr>
          <w:ilvl w:val="5"/>
          <w:numId w:val="1"/>
        </w:numPr>
        <w:rPr/>
      </w:pPr>
      <w:bookmarkStart w:id="897" w:name="__RefHeading___Toc474561_1479056682"/>
      <w:bookmarkStart w:id="898" w:name="_Toc343"/>
      <w:bookmarkEnd w:id="897"/>
      <w:r>
        <w:rPr>
          <w:rtl w:val="true"/>
        </w:rPr>
        <w:t>اشاره</w:t>
      </w:r>
      <w:bookmarkEnd w:id="898"/>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منظور از منجّزات مریض، تصرّفات تبرّعی وی هستند که در حال بیماریِ منجر به‌مرگ خود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امامیّه در این مسأله دارای دو قول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و مبسوط</w:t>
      </w:r>
      <w:r>
        <w:rPr>
          <w:rStyle w:val="FootnoteAnchor"/>
          <w:rtl w:val="true"/>
        </w:rPr>
        <w:footnoteReference w:id="1520"/>
      </w:r>
      <w:r>
        <w:rPr>
          <w:rFonts w:ascii="IRNazanin" w:hAnsi="IRNazanin" w:eastAsia="IRNazanin"/>
          <w:color w:val="111111"/>
          <w:sz w:val="28"/>
          <w:sz w:val="28"/>
          <w:szCs w:val="28"/>
          <w:rtl w:val="true"/>
          <w:lang w:bidi="fa-IR"/>
        </w:rPr>
        <w:t>برای اصحاب دو روایت نقل کرده‌اند</w:t>
      </w:r>
      <w:r>
        <w:rPr>
          <w:rFonts w:eastAsia="IRNazanin" w:cs="IRNazanin"/>
          <w:color w:val="111111"/>
          <w:sz w:val="28"/>
          <w:szCs w:val="28"/>
          <w:rtl w:val="true"/>
          <w:lang w:bidi="fa-IR"/>
        </w:rPr>
        <w:t xml:space="preserve">: </w:t>
      </w:r>
      <w:bookmarkStart w:id="899" w:name="pg4267_22180"/>
    </w:p>
    <w:p>
      <w:pPr>
        <w:pStyle w:val="BookText"/>
        <w:rPr/>
      </w:pPr>
      <w:bookmarkEnd w:id="899"/>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اعلام معتقدند منجّزات مریض، همانند منجّزات انسان صحیح، از اصل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کلینی در کافی، صدوق در فقیه، شیخ طوسی در نهایه و مفید در مقنعه، قاضی ابن برّاج، ابن ادریس، فاضل آبی، محقّق اردبیلی، حرّ عاملی و صاحب ریاض این قول را</w:t>
      </w:r>
    </w:p>
    <w:p>
      <w:pPr>
        <w:pStyle w:val="BookText"/>
        <w:rPr/>
      </w:pPr>
      <w:r>
        <w:rPr>
          <w:rFonts w:ascii="IRNazanin" w:hAnsi="IRNazanin" w:eastAsia="IRNazanin"/>
          <w:color w:val="111111"/>
          <w:sz w:val="28"/>
          <w:sz w:val="28"/>
          <w:szCs w:val="28"/>
          <w:rtl w:val="true"/>
          <w:lang w:bidi="fa-IR"/>
        </w:rPr>
        <w:t>برگزیده‌اند و معتقدند، بعد از تحقّق این گونه از منجّزات ورثه در مورد آنها هیچ‌گونه</w:t>
      </w:r>
    </w:p>
    <w:p>
      <w:pPr>
        <w:pStyle w:val="BookText"/>
        <w:rPr/>
      </w:pPr>
      <w:r>
        <w:rPr>
          <w:rFonts w:ascii="IRNazanin" w:hAnsi="IRNazanin" w:eastAsia="IRNazanin"/>
          <w:color w:val="111111"/>
          <w:sz w:val="28"/>
          <w:sz w:val="28"/>
          <w:szCs w:val="28"/>
          <w:rtl w:val="true"/>
          <w:lang w:bidi="fa-IR"/>
        </w:rPr>
        <w:t>خیار و حق فسخی نخواهد داشت</w:t>
      </w:r>
      <w:r>
        <w:rPr>
          <w:rFonts w:eastAsia="IRNazanin" w:cs="IRNazanin"/>
          <w:color w:val="111111"/>
          <w:sz w:val="28"/>
          <w:szCs w:val="28"/>
          <w:rtl w:val="true"/>
          <w:lang w:bidi="fa-IR"/>
        </w:rPr>
        <w:t>.</w:t>
      </w:r>
      <w:r>
        <w:rPr>
          <w:rStyle w:val="FootnoteAnchor"/>
          <w:rtl w:val="true"/>
        </w:rPr>
        <w:footnoteReference w:id="1521"/>
      </w:r>
      <w:r>
        <w:rPr>
          <w:rFonts w:ascii="IRNazanin" w:hAnsi="IRNazanin" w:eastAsia="IRNazanin"/>
          <w:color w:val="111111"/>
          <w:sz w:val="28"/>
          <w:sz w:val="28"/>
          <w:szCs w:val="28"/>
          <w:rtl w:val="true"/>
          <w:lang w:bidi="fa-IR"/>
        </w:rPr>
        <w:t>از متأخّران و معاصران، امام خمینی</w:t>
      </w:r>
      <w:r>
        <w:rPr>
          <w:rStyle w:val="FootnoteAnchor"/>
          <w:rtl w:val="true"/>
        </w:rPr>
        <w:footnoteReference w:id="1522"/>
      </w:r>
      <w:r>
        <w:rPr>
          <w:rFonts w:ascii="Amiri" w:hAnsi="Amiri" w:eastAsia="Amiri" w:cs="Amiri"/>
          <w:color w:val="111111"/>
          <w:sz w:val="28"/>
          <w:sz w:val="28"/>
          <w:szCs w:val="28"/>
          <w:rtl w:val="true"/>
          <w:lang w:bidi="ar-SA"/>
        </w:rPr>
        <w:t>، آیه‌اللّه</w:t>
      </w:r>
    </w:p>
    <w:p>
      <w:pPr>
        <w:pStyle w:val="BookText"/>
        <w:rPr/>
      </w:pPr>
      <w:r>
        <w:rPr>
          <w:rFonts w:ascii="IRNazanin" w:hAnsi="IRNazanin" w:eastAsia="IRNazanin"/>
          <w:color w:val="111111"/>
          <w:sz w:val="28"/>
          <w:sz w:val="28"/>
          <w:szCs w:val="28"/>
          <w:rtl w:val="true"/>
          <w:lang w:bidi="fa-IR"/>
        </w:rPr>
        <w:t>حکیم</w:t>
      </w:r>
      <w:r>
        <w:rPr>
          <w:rStyle w:val="FootnoteAnchor"/>
          <w:rtl w:val="true"/>
        </w:rPr>
        <w:footnoteReference w:id="1523"/>
      </w:r>
      <w:r>
        <w:rPr>
          <w:rFonts w:ascii="IRNazanin" w:hAnsi="IRNazanin" w:eastAsia="IRNazanin"/>
          <w:color w:val="111111"/>
          <w:sz w:val="28"/>
          <w:sz w:val="28"/>
          <w:szCs w:val="28"/>
          <w:rtl w:val="true"/>
          <w:lang w:bidi="fa-IR"/>
        </w:rPr>
        <w:t>و آیه‌اللّه خویی</w:t>
      </w:r>
      <w:r>
        <w:rPr>
          <w:rStyle w:val="FootnoteAnchor"/>
          <w:rtl w:val="true"/>
        </w:rPr>
        <w:footnoteReference w:id="1524"/>
      </w:r>
      <w:r>
        <w:rPr>
          <w:rFonts w:ascii="IRNazanin" w:hAnsi="IRNazanin" w:eastAsia="IRNazanin"/>
          <w:color w:val="111111"/>
          <w:sz w:val="28"/>
          <w:sz w:val="28"/>
          <w:szCs w:val="28"/>
          <w:rtl w:val="true"/>
          <w:lang w:bidi="fa-IR"/>
        </w:rPr>
        <w:t>نیز این قول را تقویت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دیگری از فقهای امامیّه منجّزات تبرّعی مریض را از ثلث می‌دانند و معتقدند؛ خروج آنها از اصل، متوقّف بر اجازه و تنفیذ وارث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تذکره، مختلف و قواعد و فخرالمحقّقین در ایضاح،</w:t>
      </w:r>
      <w:r>
        <w:rPr>
          <w:rStyle w:val="FootnoteAnchor"/>
          <w:rtl w:val="true"/>
        </w:rPr>
        <w:footnoteReference w:id="1525"/>
      </w:r>
      <w:r>
        <w:rPr>
          <w:rFonts w:ascii="Amiri" w:hAnsi="Amiri" w:eastAsia="Amiri" w:cs="Amiri"/>
          <w:color w:val="111111"/>
          <w:sz w:val="28"/>
          <w:sz w:val="28"/>
          <w:szCs w:val="28"/>
          <w:rtl w:val="true"/>
          <w:lang w:bidi="ar-SA"/>
        </w:rPr>
        <w:t>محقّق ثانی،</w:t>
      </w:r>
      <w:r>
        <w:rPr>
          <w:rStyle w:val="FootnoteAnchor"/>
          <w:rtl w:val="true"/>
        </w:rPr>
        <w:footnoteReference w:id="1526"/>
      </w:r>
      <w:r>
        <w:rPr>
          <w:rFonts w:ascii="IRNazanin" w:hAnsi="IRNazanin" w:eastAsia="IRNazanin"/>
          <w:color w:val="111111"/>
          <w:sz w:val="28"/>
          <w:sz w:val="28"/>
          <w:szCs w:val="28"/>
          <w:rtl w:val="true"/>
          <w:lang w:bidi="fa-IR"/>
        </w:rPr>
        <w:t>فاضل مقداد؛</w:t>
      </w:r>
      <w:r>
        <w:rPr>
          <w:rStyle w:val="FootnoteAnchor"/>
          <w:rtl w:val="true"/>
        </w:rPr>
        <w:footnoteReference w:id="1527"/>
      </w:r>
      <w:r>
        <w:rPr>
          <w:rFonts w:ascii="Amiri" w:hAnsi="Amiri" w:eastAsia="Amiri" w:cs="Amiri"/>
          <w:color w:val="111111"/>
          <w:sz w:val="28"/>
          <w:sz w:val="28"/>
          <w:szCs w:val="28"/>
          <w:rtl w:val="true"/>
          <w:lang w:bidi="ar-SA"/>
        </w:rPr>
        <w:t>محقّق اوّل و صاحب جواهر،</w:t>
      </w:r>
      <w:r>
        <w:rPr>
          <w:rStyle w:val="FootnoteAnchor"/>
          <w:rtl w:val="true"/>
        </w:rPr>
        <w:footnoteReference w:id="1528"/>
      </w:r>
      <w:r>
        <w:rPr>
          <w:rFonts w:ascii="IRNazanin" w:hAnsi="IRNazanin" w:eastAsia="IRNazanin"/>
          <w:color w:val="111111"/>
          <w:sz w:val="28"/>
          <w:sz w:val="28"/>
          <w:szCs w:val="28"/>
          <w:rtl w:val="true"/>
          <w:lang w:bidi="fa-IR"/>
        </w:rPr>
        <w:t>شیخ طوسی</w:t>
      </w:r>
      <w:r>
        <w:rPr>
          <w:rStyle w:val="FootnoteAnchor"/>
          <w:rtl w:val="true"/>
        </w:rPr>
        <w:footnoteReference w:id="1529"/>
      </w:r>
      <w:r>
        <w:rPr>
          <w:rFonts w:ascii="IRNazanin" w:hAnsi="IRNazanin" w:eastAsia="IRNazanin"/>
          <w:color w:val="111111"/>
          <w:sz w:val="28"/>
          <w:sz w:val="28"/>
          <w:szCs w:val="28"/>
          <w:rtl w:val="true"/>
          <w:lang w:bidi="fa-IR"/>
        </w:rPr>
        <w:t>شهید ثانی</w:t>
      </w:r>
      <w:r>
        <w:rPr>
          <w:rStyle w:val="FootnoteAnchor"/>
          <w:rtl w:val="true"/>
        </w:rPr>
        <w:footnoteReference w:id="153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بر گزیده‌اند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آن را به اکثر و جواهر به عامّه متأخرین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کاشف الغطاء و آیه‌اللّه سید احمد خوانساری نیز این قول را تقویت کرده‌اند</w:t>
      </w:r>
      <w:r>
        <w:rPr>
          <w:rFonts w:eastAsia="IRNazanin" w:cs="IRNazanin"/>
          <w:color w:val="111111"/>
          <w:sz w:val="28"/>
          <w:szCs w:val="28"/>
          <w:rtl w:val="true"/>
          <w:lang w:bidi="fa-IR"/>
        </w:rPr>
        <w:t>.</w:t>
      </w:r>
      <w:r>
        <w:rPr>
          <w:rStyle w:val="FootnoteAnchor"/>
          <w:rtl w:val="true"/>
        </w:rPr>
        <w:footnoteReference w:id="1531"/>
      </w:r>
    </w:p>
    <w:p>
      <w:pPr>
        <w:pStyle w:val="Heading6"/>
        <w:numPr>
          <w:ilvl w:val="5"/>
          <w:numId w:val="1"/>
        </w:numPr>
        <w:rPr/>
      </w:pPr>
      <w:bookmarkStart w:id="900" w:name="__RefHeading___Toc474563_1479056682"/>
      <w:bookmarkStart w:id="901" w:name="_Toc344"/>
      <w:bookmarkEnd w:id="900"/>
      <w:r>
        <w:rPr>
          <w:rtl w:val="true"/>
        </w:rPr>
        <w:t>ادله قول اوّل</w:t>
      </w:r>
      <w:bookmarkEnd w:id="901"/>
    </w:p>
    <w:p>
      <w:pPr>
        <w:pStyle w:val="BookText"/>
        <w:rPr/>
      </w:pPr>
      <w:r>
        <w:rPr>
          <w:rFonts w:ascii="IRNazanin" w:hAnsi="IRNazanin" w:eastAsia="IRNazanin"/>
          <w:color w:val="111111"/>
          <w:sz w:val="28"/>
          <w:sz w:val="28"/>
          <w:szCs w:val="28"/>
          <w:rtl w:val="true"/>
          <w:lang w:bidi="fa-IR"/>
        </w:rPr>
        <w:t>برای قول اوّل یعنی، خروج از اصل دلایلی ذکر کرده‌اند که به طور مختصر به آنها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الجواز، این اموال ملک متصرّف است و در صورت شک در جواز تصرّف مطلق در ملک خود، اصل، جواز و اباحه تصرّف است</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اختیارات حال صحّت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منجّزات مریض از اصل نباشد، باید در صورت بهبودی نیز این تصرّفات لازم‌الاجرا نباشند و تالی باطل است در نتیجه مقدّم نیز، که عدم خروج از اصل است، باطل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از روایات متعدّدی استفاده کرده‌اند که منجزات مریض از اصل مال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نبوی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اَمْوالِهِمْ</w:t>
      </w:r>
      <w:r>
        <w:rPr>
          <w:rFonts w:eastAsia="Amiri" w:cs="Amiri" w:ascii="Amiri" w:hAnsi="Amiri"/>
          <w:color w:val="111111"/>
          <w:sz w:val="28"/>
          <w:szCs w:val="28"/>
          <w:rtl w:val="true"/>
          <w:lang w:bidi="ar-SA"/>
        </w:rPr>
        <w:t>»</w:t>
      </w:r>
      <w:r>
        <w:rPr>
          <w:rStyle w:val="FootnoteAnchor"/>
          <w:rtl w:val="true"/>
        </w:rPr>
        <w:footnoteReference w:id="15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عمّاربن موسی از امام صادق علیه‌السلام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اَحَقُّ بِمالِهِ مادامَ فیهِ الرُّوُحُ، اِذا اَوْصی بِهِ‌کُلِّهِ فَهُوَ جائِزٌ</w:t>
      </w:r>
      <w:r>
        <w:rPr>
          <w:rFonts w:eastAsia="Amiri" w:cs="Amiri" w:ascii="Amiri" w:hAnsi="Amiri"/>
          <w:color w:val="111111"/>
          <w:sz w:val="28"/>
          <w:szCs w:val="28"/>
          <w:rtl w:val="true"/>
          <w:lang w:bidi="ar-SA"/>
        </w:rPr>
        <w:t>»</w:t>
      </w:r>
      <w:r>
        <w:rPr>
          <w:rStyle w:val="FootnoteAnchor"/>
          <w:rtl w:val="true"/>
        </w:rPr>
        <w:footnoteReference w:id="15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تا آن گاه که حیات دارد نسبت به مال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 است، اگر همه مال خود را وصیّت 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با سندهای متعدّد نقل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سُماعة از ابوبصیر از امام صادق 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مال حق دارد، تا زنده است، نسبت به اموال خویش هر طور دوست دارد تصرّف کند، هبه کند، تصدّق کند و یا آن را رها سازد تا مرگش برسد؛ امّا اگر به آن مال، وصیّت کند، حق بیش از ثلث ندارد</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 xml:space="preserve">کشف الرّموز یکی از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فتوای اکثر اصحاب دانسته است، که ظاهرا منظور وی مؤیّد بوده است نه دلیل</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فاضل مقداد پاسخ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اصل با دلیل عدول می‌شود،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ادلّه قول دیگر تخصیص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دلیل سوم هم این است که ممکن است موت، کاشف از فساد، و بهبودی کاشف از صحّت تصرّفات منجّزه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صحّت و لزوم در صورت بهبودی مستلزم صحّت، به طور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روایت عمّار و سُماعة نیز ضعیف هستند؛ زیرا عمّار، فطحی و سُماعة، واقفی است</w:t>
      </w:r>
      <w:r>
        <w:rPr>
          <w:rFonts w:eastAsia="IRNazanin" w:cs="IRNazanin"/>
          <w:color w:val="111111"/>
          <w:sz w:val="28"/>
          <w:szCs w:val="28"/>
          <w:rtl w:val="true"/>
          <w:lang w:bidi="fa-IR"/>
        </w:rPr>
        <w:t>.</w:t>
      </w:r>
      <w:r>
        <w:rPr>
          <w:rStyle w:val="FootnoteAnchor"/>
          <w:rtl w:val="true"/>
        </w:rPr>
        <w:footnoteReference w:id="1536"/>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مسالک به روایت عمّار ایرادی دیگر نیز وارد کرده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w:t>
      </w:r>
      <w:bookmarkStart w:id="902" w:name="pg4267_22184"/>
    </w:p>
    <w:p>
      <w:pPr>
        <w:pStyle w:val="BookText"/>
        <w:rPr/>
      </w:pPr>
      <w:bookmarkEnd w:id="902"/>
      <w:r>
        <w:rPr>
          <w:rFonts w:ascii="IRNazanin" w:hAnsi="IRNazanin" w:eastAsia="IRNazanin"/>
          <w:color w:val="111111"/>
          <w:sz w:val="28"/>
          <w:sz w:val="28"/>
          <w:szCs w:val="28"/>
          <w:rtl w:val="true"/>
          <w:lang w:bidi="fa-IR"/>
        </w:rPr>
        <w:t>دلالت دارد بر نفوذ وصیّت، به طور مطلق، از اصل و این مطلبی است که مستدلّین نیز به آن ملتزم نیستند</w:t>
      </w:r>
      <w:r>
        <w:rPr>
          <w:rFonts w:eastAsia="IRNazanin" w:cs="IRNazanin"/>
          <w:color w:val="111111"/>
          <w:sz w:val="28"/>
          <w:szCs w:val="28"/>
          <w:rtl w:val="true"/>
          <w:lang w:bidi="fa-IR"/>
        </w:rPr>
        <w:t>.</w:t>
      </w:r>
      <w:r>
        <w:rPr>
          <w:rStyle w:val="FootnoteAnchor"/>
          <w:rtl w:val="true"/>
        </w:rPr>
        <w:footnoteReference w:id="1537"/>
      </w:r>
      <w:r>
        <w:rPr>
          <w:rFonts w:ascii="IRNazanin" w:hAnsi="IRNazanin" w:eastAsia="IRNazanin"/>
          <w:color w:val="111111"/>
          <w:sz w:val="28"/>
          <w:sz w:val="28"/>
          <w:szCs w:val="28"/>
          <w:rtl w:val="true"/>
          <w:lang w:bidi="fa-IR"/>
        </w:rPr>
        <w:t>صاحب جواهر، نصوص دالّ بر خروج از اصل را از حیث عدد قلیل و از حیث سند قاصر دانسته است</w:t>
      </w:r>
      <w:r>
        <w:rPr>
          <w:rFonts w:eastAsia="IRNazanin" w:cs="IRNazanin"/>
          <w:color w:val="111111"/>
          <w:sz w:val="28"/>
          <w:szCs w:val="28"/>
          <w:rtl w:val="true"/>
          <w:lang w:bidi="fa-IR"/>
        </w:rPr>
        <w:t>.</w:t>
      </w:r>
      <w:r>
        <w:rPr>
          <w:rStyle w:val="FootnoteAnchor"/>
          <w:rtl w:val="true"/>
        </w:rPr>
        <w:footnoteReference w:id="1538"/>
      </w:r>
    </w:p>
    <w:p>
      <w:pPr>
        <w:pStyle w:val="Heading6"/>
        <w:numPr>
          <w:ilvl w:val="5"/>
          <w:numId w:val="1"/>
        </w:numPr>
        <w:rPr/>
      </w:pPr>
      <w:bookmarkStart w:id="903" w:name="__RefHeading___Toc474565_1479056682"/>
      <w:bookmarkStart w:id="904" w:name="_Toc345"/>
      <w:bookmarkEnd w:id="903"/>
      <w:r>
        <w:rPr>
          <w:rtl w:val="true"/>
        </w:rPr>
        <w:t>ادّله قول دوم</w:t>
      </w:r>
      <w:bookmarkEnd w:id="904"/>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حصر وصیّت در ثلث که جلوگیری از اِضرار به ورثه است، در این جا نیز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حکم هر دو مورد یکی باشد تا در حکمت، اختلال به وجود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فرض مورد بحث، حکم به اخراج از اصل شود، نقض غرض می‌شود، زیرا غرض از انحصار وصیّت در ثلث عدم اضرار به وارث است و اگر منجّزات، از اصل باشند، همه کسانی که قصد اضرار دارند به جای وصیّت به منجّزات روی می‌آورند</w:t>
      </w:r>
      <w:r>
        <w:rPr>
          <w:rFonts w:eastAsia="IRNazanin" w:cs="IRNazanin"/>
          <w:color w:val="111111"/>
          <w:sz w:val="28"/>
          <w:szCs w:val="28"/>
          <w:rtl w:val="true"/>
          <w:lang w:bidi="fa-IR"/>
        </w:rPr>
        <w:t>.</w:t>
      </w:r>
      <w:r>
        <w:rPr>
          <w:rStyle w:val="FootnoteAnchor"/>
          <w:rtl w:val="true"/>
        </w:rPr>
        <w:footnoteReference w:id="1539"/>
      </w:r>
    </w:p>
    <w:p>
      <w:pPr>
        <w:pStyle w:val="BookText"/>
        <w:rPr/>
      </w:pPr>
      <w:r>
        <w:rPr>
          <w:rFonts w:ascii="IRNazanin" w:hAnsi="IRNazanin" w:eastAsia="IRNazanin"/>
          <w:color w:val="111111"/>
          <w:sz w:val="28"/>
          <w:sz w:val="28"/>
          <w:szCs w:val="28"/>
          <w:rtl w:val="true"/>
          <w:lang w:bidi="fa-IR"/>
        </w:rPr>
        <w:t xml:space="preserve">دلیل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خروج منجّزات از ثلث نیز به روایات متعددّی استناد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از محقّق ثانی در جامع المقاصد ادّعای تواتر این روایات راحکایت کرده و خود اظهار داشته است که اگر منظور وی حصول قطع باشد، صحیح است</w:t>
      </w:r>
      <w:r>
        <w:rPr>
          <w:rFonts w:eastAsia="IRNazanin" w:cs="IRNazanin"/>
          <w:color w:val="111111"/>
          <w:sz w:val="28"/>
          <w:szCs w:val="28"/>
          <w:rtl w:val="true"/>
          <w:lang w:bidi="fa-IR"/>
        </w:rPr>
        <w:t>.</w:t>
      </w:r>
      <w:r>
        <w:rPr>
          <w:rStyle w:val="FootnoteAnchor"/>
          <w:rtl w:val="true"/>
        </w:rPr>
        <w:footnoteReference w:id="1540"/>
      </w:r>
      <w:r>
        <w:rPr>
          <w:rFonts w:ascii="IRNazanin" w:hAnsi="IRNazanin" w:eastAsia="IRNazanin"/>
          <w:color w:val="111111"/>
          <w:sz w:val="28"/>
          <w:sz w:val="28"/>
          <w:szCs w:val="28"/>
          <w:rtl w:val="true"/>
          <w:lang w:bidi="fa-IR"/>
        </w:rPr>
        <w:t>بعضی از روایات در این جا مطرح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صحیح علی‌بن یَقطین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اَبَالْحَسَنِ علیه السلام؛ مالِلرَّجُلِ مِنْ مالِهِ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الثُّلْثُ کَثیرٌ</w:t>
      </w:r>
      <w:r>
        <w:rPr>
          <w:rFonts w:eastAsia="Amiri" w:cs="Amiri" w:ascii="Amiri" w:hAnsi="Amiri"/>
          <w:color w:val="111111"/>
          <w:sz w:val="28"/>
          <w:szCs w:val="28"/>
          <w:rtl w:val="true"/>
          <w:lang w:bidi="ar-SA"/>
        </w:rPr>
        <w:t>»</w:t>
      </w:r>
      <w:r>
        <w:rPr>
          <w:rStyle w:val="FootnoteAnchor"/>
          <w:rtl w:val="true"/>
        </w:rPr>
        <w:footnoteReference w:id="15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هفتم پرسیدم؛ انسان هنگام مرگ از مال خود چقدر حق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 و ثلث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از امام صادق علیه‌السلام و روایت ابن سنان از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انسان هنگام مرگ تنها ثلث مال اوست</w:t>
      </w:r>
      <w:r>
        <w:rPr>
          <w:rFonts w:eastAsia="IRNazanin" w:cs="IRNazanin"/>
          <w:color w:val="111111"/>
          <w:sz w:val="28"/>
          <w:szCs w:val="28"/>
          <w:rtl w:val="true"/>
          <w:lang w:bidi="fa-IR"/>
        </w:rPr>
        <w:t>»</w:t>
      </w:r>
      <w:r>
        <w:rPr>
          <w:rStyle w:val="FootnoteAnchor"/>
          <w:rtl w:val="true"/>
        </w:rPr>
        <w:footnoteReference w:id="154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ابی وَلّاد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امام صادق علیه السلام پرسیدم؛ مردی مقداری به همسرش بدهکار است، آن زن شوهر خود را در مرض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برئالذّمّه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را به‌او می‌بخشد و اگر آن زن ترکه بر جای گذاشته باشد، این دین از ثلث او حساب می‌شود</w:t>
      </w:r>
      <w:r>
        <w:rPr>
          <w:rFonts w:eastAsia="IRNazanin" w:cs="IRNazanin"/>
          <w:color w:val="111111"/>
          <w:sz w:val="28"/>
          <w:szCs w:val="28"/>
          <w:rtl w:val="true"/>
          <w:lang w:bidi="fa-IR"/>
        </w:rPr>
        <w:t>.»</w:t>
      </w:r>
      <w:r>
        <w:rPr>
          <w:rStyle w:val="FootnoteAnchor"/>
          <w:rtl w:val="true"/>
        </w:rPr>
        <w:footnoteReference w:id="1543"/>
      </w:r>
    </w:p>
    <w:p>
      <w:pPr>
        <w:pStyle w:val="BookText"/>
        <w:rPr/>
      </w:pPr>
      <w:r>
        <w:rPr>
          <w:rFonts w:ascii="IRNazanin" w:hAnsi="IRNazanin" w:eastAsia="IRNazanin"/>
          <w:color w:val="111111"/>
          <w:sz w:val="28"/>
          <w:sz w:val="28"/>
          <w:szCs w:val="28"/>
          <w:rtl w:val="true"/>
          <w:lang w:bidi="fa-IR"/>
        </w:rPr>
        <w:t xml:space="preserve">و روایات دیگری که در جواهر، مسالک،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استناد شده است</w:t>
      </w:r>
      <w:r>
        <w:rPr>
          <w:rFonts w:eastAsia="IRNazanin" w:cs="IRNazanin"/>
          <w:color w:val="111111"/>
          <w:sz w:val="28"/>
          <w:szCs w:val="28"/>
          <w:rtl w:val="true"/>
          <w:lang w:bidi="fa-IR"/>
        </w:rPr>
        <w:t>.</w:t>
      </w:r>
      <w:r>
        <w:rPr>
          <w:rStyle w:val="FootnoteAnchor"/>
          <w:rtl w:val="true"/>
        </w:rPr>
        <w:footnoteReference w:id="1544"/>
      </w:r>
    </w:p>
    <w:p>
      <w:pPr>
        <w:pStyle w:val="BookText"/>
        <w:rPr/>
      </w:pPr>
      <w:r>
        <w:rPr>
          <w:rFonts w:ascii="IRNazanin" w:hAnsi="IRNazanin" w:eastAsia="IRNazanin"/>
          <w:color w:val="111111"/>
          <w:sz w:val="28"/>
          <w:sz w:val="28"/>
          <w:szCs w:val="28"/>
          <w:rtl w:val="true"/>
          <w:lang w:bidi="fa-IR"/>
        </w:rPr>
        <w:t>صاحب حدائق اکثر اخبار قول دوم را غیر ظاهرالدّلاله دانسته و در ادامه یادآور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که دلالتشان ظاهر باشد، حمل بر تقیّه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پایان، قول به خروج از اصل را بهترین راه جمع بین این دو دسته از روایات دانسته است</w:t>
      </w:r>
      <w:r>
        <w:rPr>
          <w:rFonts w:eastAsia="IRNazanin" w:cs="IRNazanin"/>
          <w:color w:val="111111"/>
          <w:sz w:val="28"/>
          <w:szCs w:val="28"/>
          <w:rtl w:val="true"/>
          <w:lang w:bidi="fa-IR"/>
        </w:rPr>
        <w:t>.</w:t>
      </w:r>
      <w:r>
        <w:rPr>
          <w:rStyle w:val="FootnoteAnchor"/>
          <w:rtl w:val="true"/>
        </w:rPr>
        <w:footnoteReference w:id="1545"/>
      </w:r>
    </w:p>
    <w:p>
      <w:pPr>
        <w:pStyle w:val="BookText"/>
        <w:rPr/>
      </w:pPr>
      <w:r>
        <w:rPr>
          <w:rFonts w:ascii="IRNazanin" w:hAnsi="IRNazanin" w:eastAsia="IRNazanin"/>
          <w:color w:val="111111"/>
          <w:sz w:val="28"/>
          <w:sz w:val="28"/>
          <w:szCs w:val="28"/>
          <w:rtl w:val="true"/>
          <w:lang w:bidi="fa-IR"/>
        </w:rPr>
        <w:t>در برابر، صاحب جواهر سخت از روایات قول دوم دفاع کرده و حمل روایات را بر تقیه مورد اعتراض قرار داده است و اشاره کرده که روات این احادیث از محارم اسرارند؛</w:t>
      </w:r>
    </w:p>
    <w:p>
      <w:pPr>
        <w:pStyle w:val="BookText"/>
        <w:rPr/>
      </w:pPr>
      <w:r>
        <w:rPr>
          <w:rFonts w:ascii="IRNazanin" w:hAnsi="IRNazanin" w:eastAsia="IRNazanin"/>
          <w:color w:val="111111"/>
          <w:sz w:val="28"/>
          <w:sz w:val="28"/>
          <w:szCs w:val="28"/>
          <w:rtl w:val="true"/>
          <w:lang w:bidi="fa-IR"/>
        </w:rPr>
        <w:t xml:space="preserve">به علاوه، امامان علیهم‌السلام در مقام تقیّه بیشتر از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راهی جز قول به خروج از ثلث باقی نمی‌ماند</w:t>
      </w:r>
      <w:r>
        <w:rPr>
          <w:rFonts w:eastAsia="IRNazanin" w:cs="IRNazanin"/>
          <w:color w:val="111111"/>
          <w:sz w:val="28"/>
          <w:szCs w:val="28"/>
          <w:rtl w:val="true"/>
          <w:lang w:bidi="fa-IR"/>
        </w:rPr>
        <w:t>.</w:t>
      </w:r>
      <w:r>
        <w:rPr>
          <w:rStyle w:val="FootnoteAnchor"/>
          <w:rtl w:val="true"/>
        </w:rPr>
        <w:footnoteReference w:id="1546"/>
      </w:r>
    </w:p>
    <w:p>
      <w:pPr>
        <w:pStyle w:val="BookText"/>
        <w:rPr/>
      </w:pPr>
      <w:r>
        <w:rPr>
          <w:rFonts w:ascii="IRNazanin" w:hAnsi="IRNazanin" w:eastAsia="IRNazanin"/>
          <w:color w:val="111111"/>
          <w:sz w:val="28"/>
          <w:sz w:val="28"/>
          <w:szCs w:val="28"/>
          <w:rtl w:val="true"/>
          <w:lang w:bidi="fa-IR"/>
        </w:rPr>
        <w:t>به نظر می‌رسد، بهترین راه جمع بین این دو دسته از روایات، اختیار قول دوم، یعنی خروج از ثلث باشد، زیرا به عکس ادّعای صاحب حدائق، روایات دسته دوم، اخصّ از دسته اوّل هستند و در موارد تعارض بین عامّ و خاصّ، باید به خاصّ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دسته اوّل به طور عموم بر تسلّط مردم بر اموال خویش و یا حق آنان در اموال خویش تا زنده‌اند، دلالت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این یک مفهوم عامّ و بسیار گسترده است و شامل انواع تصرّفات می‌شود، تصرّفات منجّز و غیر منجّز، تبرّعی و غیر تبرّعی، در حال صحّت و در حال مرض، هنگام مرگ و دیگر اوقات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مفهوم دسته دوم خاصّ است، زیرا به تصرّفات انسان، نسبت به بعد از مرگ و هنگام بیماری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اختصاص دارد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 عمل کردن به این دسته از روایات موجب طرح روایات دسته اول نمی‌شود و نیازی به حمل بر تقیّه و مانند آن نیز نخواهد بود</w:t>
      </w:r>
      <w:r>
        <w:rPr>
          <w:rFonts w:eastAsia="IRNazanin" w:cs="IRNazanin"/>
          <w:color w:val="111111"/>
          <w:sz w:val="28"/>
          <w:szCs w:val="28"/>
          <w:rtl w:val="true"/>
          <w:lang w:bidi="fa-IR"/>
        </w:rPr>
        <w:t xml:space="preserve">. </w:t>
      </w:r>
      <w:bookmarkStart w:id="905" w:name="pg4267_22188"/>
    </w:p>
    <w:p>
      <w:pPr>
        <w:pStyle w:val="Heading6"/>
        <w:numPr>
          <w:ilvl w:val="5"/>
          <w:numId w:val="1"/>
        </w:numPr>
        <w:rPr/>
      </w:pPr>
      <w:bookmarkStart w:id="906" w:name="__RefHeading___Toc474567_1479056682"/>
      <w:bookmarkStart w:id="907" w:name="_Toc346"/>
      <w:bookmarkEnd w:id="905"/>
      <w:bookmarkEnd w:id="906"/>
      <w:r>
        <w:rPr>
          <w:rtl w:val="true"/>
        </w:rPr>
        <w:t>وصیّت به وقف</w:t>
      </w:r>
      <w:bookmarkEnd w:id="907"/>
    </w:p>
    <w:p>
      <w:pPr>
        <w:pStyle w:val="BookText"/>
        <w:rPr/>
      </w:pPr>
      <w:r>
        <w:rPr>
          <w:rFonts w:ascii="IRNazanin" w:hAnsi="IRNazanin" w:eastAsia="IRNazanin"/>
          <w:color w:val="111111"/>
          <w:sz w:val="28"/>
          <w:sz w:val="28"/>
          <w:szCs w:val="28"/>
          <w:rtl w:val="true"/>
          <w:lang w:bidi="fa-IR"/>
        </w:rPr>
        <w:t>در ضمن این مبحث حکم وصیّت به وقف نیز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شکی نیست که تصرّفات مؤجّله و غیر منجّزه، که همان وصیّت است، از ثلث خواهد بود، خواه وصیّت به وقف باشد یا غیر 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مُردم فلان مال من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مال بعد از مرگ من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می‌رود باطل باشد و محتمل است که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بطلان این است که در این فرض، وقف معلّق بر مرگ واقف شده و در بحث شرایط وقف گذشت که یکی از شرایط، تنجیز است و وجه صحّت این است که ممکن است قصد مالک از این عبارت، وصیّت به وقف باشد و وصیّت به وقف صحیح است، هرچند باید از ثلث اخراج شود</w:t>
      </w:r>
      <w:r>
        <w:rPr>
          <w:rFonts w:eastAsia="IRNazanin" w:cs="IRNazanin"/>
          <w:color w:val="111111"/>
          <w:sz w:val="28"/>
          <w:szCs w:val="28"/>
          <w:rtl w:val="true"/>
          <w:lang w:bidi="fa-IR"/>
        </w:rPr>
        <w:t>.</w:t>
      </w:r>
      <w:r>
        <w:rPr>
          <w:rStyle w:val="FootnoteAnchor"/>
          <w:rtl w:val="true"/>
        </w:rPr>
        <w:footnoteReference w:id="1547"/>
      </w:r>
    </w:p>
    <w:p>
      <w:pPr>
        <w:pStyle w:val="Heading6"/>
        <w:numPr>
          <w:ilvl w:val="5"/>
          <w:numId w:val="1"/>
        </w:numPr>
        <w:rPr/>
      </w:pPr>
      <w:bookmarkStart w:id="908" w:name="__RefHeading___Toc474569_1479056682"/>
      <w:bookmarkStart w:id="909" w:name="_Toc347"/>
      <w:bookmarkEnd w:id="908"/>
      <w:r>
        <w:rPr>
          <w:rtl w:val="true"/>
        </w:rPr>
        <w:t>دیدگاه دیگر مذاهب</w:t>
      </w:r>
      <w:bookmarkEnd w:id="909"/>
    </w:p>
    <w:p>
      <w:pPr>
        <w:pStyle w:val="BookText"/>
        <w:rPr/>
      </w:pPr>
      <w:r>
        <w:rPr>
          <w:rFonts w:ascii="IRNazanin" w:hAnsi="IRNazanin" w:eastAsia="IRNazanin"/>
          <w:color w:val="111111"/>
          <w:sz w:val="28"/>
          <w:sz w:val="28"/>
          <w:szCs w:val="28"/>
          <w:rtl w:val="true"/>
          <w:lang w:bidi="fa-IR"/>
        </w:rPr>
        <w:t xml:space="preserve">جمهور فقهای مذاهب اَربعه و زیدیّه اتّفاق نظر دارند بر این که وقف در مرض موت به منزله وصیّت است و تنها نسبت به ثلث تَرَکه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ورثه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ثلث زیادتر باشد، نفوذ آن متوقّف بر اجازه ورثه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شَوْکانی در نَیْلُ‌الاَوْطار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روایاتی معتقد است که تصرّفات مریض، هرچند منجّز باشند، همانند وصیّت، از ثلث خواهند بود</w:t>
      </w:r>
      <w:r>
        <w:rPr>
          <w:rFonts w:eastAsia="IRNazanin" w:cs="IRNazanin"/>
          <w:color w:val="111111"/>
          <w:sz w:val="28"/>
          <w:szCs w:val="28"/>
          <w:rtl w:val="true"/>
          <w:lang w:bidi="fa-IR"/>
        </w:rPr>
        <w:t>.</w:t>
      </w:r>
      <w:r>
        <w:rPr>
          <w:rStyle w:val="FootnoteAnchor"/>
          <w:rtl w:val="true"/>
        </w:rPr>
        <w:footnoteReference w:id="1548"/>
      </w:r>
    </w:p>
    <w:p>
      <w:pPr>
        <w:pStyle w:val="BookText"/>
        <w:rPr/>
      </w:pPr>
      <w:r>
        <w:rPr>
          <w:rFonts w:ascii="IRNazanin" w:hAnsi="IRNazanin" w:eastAsia="IRNazanin"/>
          <w:color w:val="111111"/>
          <w:sz w:val="28"/>
          <w:sz w:val="28"/>
          <w:szCs w:val="28"/>
          <w:rtl w:val="true"/>
          <w:lang w:bidi="fa-IR"/>
        </w:rPr>
        <w:t>ابن قُدامه در مغنی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در مرض موت به منزله وصیّت است و از ثلث خارج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بیش از ثلث باشد، در مقدار ثلث وقف لازم و در مازاد بر ثلث متوقّف بر اجازه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کسانی که وقف را لازم می‌دانند، در این مسأله، مخالفی را سراغ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مسأله این است که در صورت بیماری واقف، حق ورثه به این مال تعلّق گرفته و این حق از تبرّع به زیادتر از ثلث جلوگیری می‌کند</w:t>
      </w:r>
      <w:r>
        <w:rPr>
          <w:rFonts w:eastAsia="IRNazanin" w:cs="IRNazanin"/>
          <w:color w:val="111111"/>
          <w:sz w:val="28"/>
          <w:szCs w:val="28"/>
          <w:rtl w:val="true"/>
          <w:lang w:bidi="fa-IR"/>
        </w:rPr>
        <w:t>.</w:t>
      </w:r>
      <w:r>
        <w:rPr>
          <w:rStyle w:val="FootnoteAnchor"/>
          <w:rtl w:val="true"/>
        </w:rPr>
        <w:footnoteReference w:id="1549"/>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فقهای دیگر مذاهب نیز با عبارات گوناگون این مسأله را در کتابهای خود مطرح </w:t>
      </w:r>
      <w:bookmarkStart w:id="910" w:name="pg4267_22190"/>
    </w:p>
    <w:p>
      <w:pPr>
        <w:pStyle w:val="BookText"/>
        <w:rPr/>
      </w:pPr>
      <w:bookmarkEnd w:id="910"/>
      <w:r>
        <w:rPr>
          <w:rFonts w:ascii="IRNazanin" w:hAnsi="IRNazanin" w:eastAsia="IRNazanin"/>
          <w:color w:val="111111"/>
          <w:sz w:val="28"/>
          <w:sz w:val="28"/>
          <w:szCs w:val="28"/>
          <w:rtl w:val="true"/>
          <w:lang w:bidi="fa-IR"/>
        </w:rPr>
        <w:t>کرده‌اند و برای وقف در مرض موت و دیگر منجّزات تبرّعی مریض، حکم وصیّت را ذکر کرده‌اند</w:t>
      </w:r>
      <w:r>
        <w:rPr>
          <w:rFonts w:eastAsia="IRNazanin" w:cs="IRNazanin"/>
          <w:color w:val="111111"/>
          <w:sz w:val="28"/>
          <w:szCs w:val="28"/>
          <w:rtl w:val="true"/>
          <w:lang w:bidi="fa-IR"/>
        </w:rPr>
        <w:t>.</w:t>
      </w:r>
      <w:r>
        <w:rPr>
          <w:rStyle w:val="FootnoteAnchor"/>
          <w:rtl w:val="true"/>
        </w:rPr>
        <w:footnoteReference w:id="1550"/>
      </w:r>
    </w:p>
    <w:p>
      <w:pPr>
        <w:pStyle w:val="BookText"/>
        <w:rPr/>
      </w:pPr>
      <w:r>
        <w:rPr>
          <w:rFonts w:ascii="IRNazanin" w:hAnsi="IRNazanin" w:eastAsia="IRNazanin"/>
          <w:color w:val="111111"/>
          <w:sz w:val="28"/>
          <w:sz w:val="28"/>
          <w:szCs w:val="28"/>
          <w:rtl w:val="true"/>
          <w:lang w:bidi="fa-IR"/>
        </w:rPr>
        <w:t>بلغه‌السّالک</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المدّونه‌الکبری</w:t>
      </w:r>
      <w:r>
        <w:rPr>
          <w:rFonts w:eastAsia="IRNazanin" w:cs="IRNazanin"/>
          <w:color w:val="111111"/>
          <w:sz w:val="28"/>
          <w:szCs w:val="28"/>
          <w:rtl w:val="true"/>
          <w:lang w:bidi="fa-IR"/>
        </w:rPr>
        <w:t xml:space="preserve">: </w:t>
      </w:r>
      <w:r>
        <w:rPr>
          <w:rFonts w:eastAsia="IRNazanin" w:cs="IRNazanin"/>
          <w:color w:val="111111"/>
          <w:sz w:val="28"/>
          <w:szCs w:val="28"/>
          <w:lang w:bidi="fa-IR"/>
        </w:rPr>
        <w:t>4/344</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فقه‌الامام‌الاوزاعی</w:t>
      </w:r>
      <w:r>
        <w:rPr>
          <w:rFonts w:eastAsia="IRNazanin" w:cs="IRNazanin"/>
          <w:color w:val="111111"/>
          <w:sz w:val="28"/>
          <w:szCs w:val="28"/>
          <w:rtl w:val="true"/>
          <w:lang w:bidi="fa-IR"/>
        </w:rPr>
        <w:t xml:space="preserve">: </w:t>
      </w:r>
      <w:r>
        <w:rPr>
          <w:rFonts w:eastAsia="IRNazanin" w:cs="IRNazanin"/>
          <w:color w:val="111111"/>
          <w:sz w:val="28"/>
          <w:szCs w:val="28"/>
          <w:lang w:bidi="fa-IR"/>
        </w:rPr>
        <w:t>2/161</w:t>
      </w:r>
      <w:r>
        <w:rPr>
          <w:rFonts w:ascii="IRNazanin" w:hAnsi="IRNazanin" w:eastAsia="IRNazanin"/>
          <w:color w:val="111111"/>
          <w:sz w:val="28"/>
          <w:sz w:val="28"/>
          <w:szCs w:val="28"/>
          <w:rtl w:val="true"/>
          <w:lang w:bidi="fa-IR"/>
        </w:rPr>
        <w:t>؛ المصطلحات‌الوقفیّه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مغنی‌المحتاج</w:t>
      </w:r>
      <w:r>
        <w:rPr>
          <w:rFonts w:eastAsia="IRNazanin" w:cs="IRNazanin"/>
          <w:color w:val="111111"/>
          <w:sz w:val="28"/>
          <w:szCs w:val="28"/>
          <w:rtl w:val="true"/>
          <w:lang w:bidi="fa-IR"/>
        </w:rPr>
        <w:t>:</w:t>
      </w:r>
      <w:r>
        <w:rPr>
          <w:rFonts w:eastAsia="IRNazanin" w:cs="IRNazanin"/>
          <w:color w:val="111111"/>
          <w:sz w:val="28"/>
          <w:szCs w:val="28"/>
          <w:lang w:bidi="fa-IR"/>
        </w:rPr>
        <w:t>2/377</w:t>
      </w:r>
      <w:r>
        <w:rPr>
          <w:rFonts w:eastAsia="IRNazanin" w:cs="IRNazanin"/>
          <w:color w:val="111111"/>
          <w:sz w:val="28"/>
          <w:szCs w:val="28"/>
          <w:rtl w:val="true"/>
          <w:lang w:bidi="fa-IR"/>
        </w:rPr>
        <w:t>.</w:t>
      </w:r>
    </w:p>
    <w:p>
      <w:pPr>
        <w:pStyle w:val="Heading6"/>
        <w:numPr>
          <w:ilvl w:val="5"/>
          <w:numId w:val="1"/>
        </w:numPr>
        <w:rPr/>
      </w:pPr>
      <w:bookmarkStart w:id="911" w:name="__RefHeading___Toc474571_1479056682"/>
      <w:bookmarkStart w:id="912" w:name="_Toc348"/>
      <w:bookmarkEnd w:id="911"/>
      <w:r>
        <w:rPr>
          <w:rtl w:val="true"/>
        </w:rPr>
        <w:t>اشاره به چند نکته</w:t>
      </w:r>
      <w:bookmarkEnd w:id="9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کبیسی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منجّزات مریض و وصیّت هر دو در حدّ ثلث نافذند و در مازاد باید ورثه اجازه دهند، امّا بین این دو فرقی هم هست و آن این که در وصیّت موصی می‌تواند از وصیّت خود رجوع کند، امّا مریض، به علت منجّز بودن تصرّفش، حق رجوع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فرقهای دیگری هم هست که از طرح آنها صرف نظرمی‌شود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توجه داشت که لزوم وقف مریض را نمی‌توان به همه فقهای اهل سنّت نسبت داد،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ابوحنیفه وقف انسان صحیح را عقد لازم نمی‌داند چه رسد به وقف 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فقهای مالکیّه وقف مریض را از هر حیث، حتّی از حیث رجوع، محکوم به حکم وصیّت می‌دانند</w:t>
      </w:r>
      <w:r>
        <w:rPr>
          <w:rFonts w:eastAsia="IRNazanin" w:cs="IRNazanin"/>
          <w:color w:val="111111"/>
          <w:sz w:val="28"/>
          <w:szCs w:val="28"/>
          <w:rtl w:val="true"/>
          <w:lang w:bidi="fa-IR"/>
        </w:rPr>
        <w:t>.</w:t>
      </w:r>
      <w:r>
        <w:rPr>
          <w:rStyle w:val="FootnoteAnchor"/>
          <w:rtl w:val="true"/>
        </w:rPr>
        <w:footnoteReference w:id="1551"/>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در مغنی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مال بعد از موت من وقف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کلام خَرَقی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متن مغنی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صحیح است همانند سایر وصایا و از ثلث خارج می‌شود و ظاهر کلام احمد نیز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قاضی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وقف صحیح نیست، زیرا در حقیقت، وقف بر شرطی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شده است و تعلیق وقف بر شرط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کلام احمد را بر موردی حمل کرده است که مالک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قِفوُا بَعْدَ مَوْتی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چون بروشنی وصیّت به وقف است، حکم وصیّت را دارد و صحیح است</w:t>
      </w:r>
      <w:r>
        <w:rPr>
          <w:rFonts w:eastAsia="IRNazanin" w:cs="IRNazanin"/>
          <w:color w:val="111111"/>
          <w:sz w:val="28"/>
          <w:szCs w:val="28"/>
          <w:rtl w:val="true"/>
          <w:lang w:bidi="fa-IR"/>
        </w:rPr>
        <w:t>.</w:t>
      </w:r>
      <w:r>
        <w:rPr>
          <w:rStyle w:val="FootnoteAnchor"/>
          <w:rtl w:val="true"/>
        </w:rPr>
        <w:footnoteReference w:id="1552"/>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در مرض موت، مالی را بر بعضی از ورثه خود وقف کند، این وقف متوقّف بر اذن بقیه ورثه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همه ورثه هم وقف کند باز هم جای اعتراض هست و اصل مسأله این است که وقف مریض در مرض موت حکم وصیّت را دارد و در فقه اهل سنّت وصیّت برای وارث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تا زمانی که مستحق این وقف، وارث </w:t>
      </w:r>
    </w:p>
    <w:p>
      <w:pPr>
        <w:pStyle w:val="BookText"/>
        <w:rPr/>
      </w:pPr>
      <w:r>
        <w:rPr>
          <w:rFonts w:ascii="IRNazanin" w:hAnsi="IRNazanin" w:eastAsia="IRNazanin"/>
          <w:color w:val="111111"/>
          <w:sz w:val="28"/>
          <w:sz w:val="28"/>
          <w:szCs w:val="28"/>
          <w:rtl w:val="true"/>
          <w:lang w:bidi="fa-IR"/>
        </w:rPr>
        <w:t>باشد، درآمد وقف صرف او نمی‌شود و هرگاه این استحقاق به غیر وارث منتقل شد وقف بر غیر وارث می‌شود و اشکال بر طرف می‌گردد</w:t>
      </w:r>
      <w:r>
        <w:rPr>
          <w:rFonts w:eastAsia="IRNazanin" w:cs="IRNazanin"/>
          <w:color w:val="111111"/>
          <w:sz w:val="28"/>
          <w:szCs w:val="28"/>
          <w:rtl w:val="true"/>
          <w:lang w:bidi="fa-IR"/>
        </w:rPr>
        <w:t>.</w:t>
      </w:r>
      <w:r>
        <w:rPr>
          <w:rStyle w:val="FootnoteAnchor"/>
          <w:rtl w:val="true"/>
        </w:rPr>
        <w:footnoteReference w:id="1553"/>
      </w:r>
    </w:p>
    <w:p>
      <w:pPr>
        <w:pStyle w:val="BookText"/>
        <w:rPr/>
      </w:pPr>
      <w:r>
        <w:rPr>
          <w:rFonts w:ascii="IRNazanin" w:hAnsi="IRNazanin" w:eastAsia="IRNazanin"/>
          <w:color w:val="111111"/>
          <w:sz w:val="28"/>
          <w:sz w:val="28"/>
          <w:szCs w:val="28"/>
          <w:rtl w:val="true"/>
          <w:lang w:bidi="fa-IR"/>
        </w:rPr>
        <w:t>البتّه مسأله عدم جواز وصیّت برای ورثه در فقه شیعه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توضیح بیشتر به کتاب وصیّت مراجعه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زهره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 فقها اتّفاق نظر دارند که؛ طلب طلبکاران کسی که در بیماری موت به سر می‌برد به اموال او تعلّق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ذمّه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ثلثی که وی حق تصرّف در آن دارد، ثلث اموال باقی مانده بعد از ادای دیون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مریضِ مدیون مالی را وقف کند و دین، مُستَوْعِب و مُستغرق کلّ مال وی باشد طلبکاران بعد از مرگ وی حق اعتراض به همه تصرّفات او را در حال بیماری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بجز تصرّفات مربوط به امور شخصی و ضروری او مثل تهیّه بهای دارو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w:t>
      </w:r>
    </w:p>
    <w:p>
      <w:pPr>
        <w:pStyle w:val="BookText"/>
        <w:rPr/>
      </w:pPr>
      <w:r>
        <w:rPr>
          <w:rFonts w:ascii="IRNazanin" w:hAnsi="IRNazanin" w:eastAsia="IRNazanin"/>
          <w:color w:val="111111"/>
          <w:sz w:val="28"/>
          <w:sz w:val="28"/>
          <w:szCs w:val="28"/>
          <w:rtl w:val="true"/>
          <w:lang w:bidi="fa-IR"/>
        </w:rPr>
        <w:t>بجز تصرّفاتی که به منافع تعلّق گرفته است، زیرا حق طلبکاران در سرمایه است نه در منافع</w:t>
      </w:r>
      <w:r>
        <w:rPr>
          <w:rFonts w:eastAsia="IRNazanin" w:cs="IRNazanin"/>
          <w:color w:val="111111"/>
          <w:sz w:val="28"/>
          <w:szCs w:val="28"/>
          <w:rtl w:val="true"/>
          <w:lang w:bidi="fa-IR"/>
        </w:rPr>
        <w:t>.</w:t>
      </w:r>
      <w:r>
        <w:rPr>
          <w:rStyle w:val="FootnoteAnchor"/>
          <w:rtl w:val="true"/>
        </w:rPr>
        <w:footnoteReference w:id="1554"/>
      </w:r>
    </w:p>
    <w:p>
      <w:pPr>
        <w:pStyle w:val="BookText"/>
        <w:rPr/>
      </w:pPr>
      <w:r>
        <w:rPr>
          <w:rFonts w:ascii="Amiri" w:hAnsi="Amiri" w:eastAsia="Amiri" w:cs="Amiri"/>
          <w:color w:val="111111"/>
          <w:sz w:val="28"/>
          <w:sz w:val="28"/>
          <w:szCs w:val="28"/>
          <w:rtl w:val="true"/>
          <w:lang w:bidi="ar-SA"/>
        </w:rPr>
        <w:t>فقه ظاهریّه</w:t>
      </w:r>
    </w:p>
    <w:p>
      <w:pPr>
        <w:pStyle w:val="BookText"/>
        <w:rPr/>
      </w:pPr>
      <w:r>
        <w:rPr>
          <w:rFonts w:ascii="IRNazanin" w:hAnsi="IRNazanin" w:eastAsia="IRNazanin"/>
          <w:color w:val="111111"/>
          <w:sz w:val="28"/>
          <w:sz w:val="28"/>
          <w:szCs w:val="28"/>
          <w:rtl w:val="true"/>
          <w:lang w:bidi="fa-IR"/>
        </w:rPr>
        <w:t xml:space="preserve">ابن حَزْم ظاهری معتقد است همه تصرّفات تبرّعی شخصی که در معرض موت است، مانند هبه،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رؤس و اصل اموال اخراج می‌شوند، نه از ثلث</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 به آیه کریمه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وَافْعَلوُا الْخَیْرَ لَعَلَّکُمْ تُفْلِحوُن</w:t>
      </w:r>
      <w:r>
        <w:rPr>
          <w:rFonts w:eastAsia="Amiri" w:cs="Amiri" w:ascii="Amiri" w:hAnsi="Amiri"/>
          <w:color w:val="111111"/>
          <w:sz w:val="28"/>
          <w:szCs w:val="28"/>
          <w:rtl w:val="true"/>
          <w:lang w:bidi="ar-SA"/>
        </w:rPr>
        <w:t>»</w:t>
      </w:r>
      <w:r>
        <w:rPr>
          <w:rStyle w:val="FootnoteAnchor"/>
          <w:rtl w:val="true"/>
        </w:rPr>
        <w:footnoteReference w:id="155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 نیکو کنید باشد که رستگار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 اللّهُ البَیْعَ</w:t>
      </w:r>
      <w:r>
        <w:rPr>
          <w:rFonts w:eastAsia="IRNazanin" w:cs="IRNazanin"/>
          <w:color w:val="111111"/>
          <w:sz w:val="28"/>
          <w:szCs w:val="28"/>
          <w:rtl w:val="true"/>
          <w:lang w:bidi="fa-IR"/>
        </w:rPr>
        <w:t>»</w:t>
      </w:r>
      <w:r>
        <w:rPr>
          <w:rStyle w:val="FootnoteAnchor"/>
          <w:rtl w:val="true"/>
        </w:rPr>
        <w:footnoteReference w:id="15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تجارت را حلال کرده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تَنْسَوُاالْفَضْلَ بَیْنَکُمْ</w:t>
      </w:r>
      <w:r>
        <w:rPr>
          <w:rFonts w:eastAsia="Amiri" w:cs="Amiri" w:ascii="Amiri" w:hAnsi="Amiri"/>
          <w:color w:val="111111"/>
          <w:sz w:val="28"/>
          <w:szCs w:val="28"/>
          <w:rtl w:val="true"/>
          <w:lang w:bidi="ar-SA"/>
        </w:rPr>
        <w:t>»</w:t>
      </w:r>
      <w:r>
        <w:rPr>
          <w:rStyle w:val="FootnoteAnchor"/>
          <w:rtl w:val="true"/>
        </w:rPr>
        <w:footnoteReference w:id="15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و نیکوکاری به یکدیگر را فراموش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عموماتی از این قبیل استدلال کرده و معتقد است که خداوند متعال این عمومات و کلّیات را تخصیص نزده و آنها را به انسانهای صحیح و سالم، اختصاص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تخصیص زده بود مخصّص را به زبان رسولش صلی‌الله‌علیه‌و‌آله برای ما بیان می‌کرد و چون بیان نشده، معلوم می‌شود که مخصّصی نبوده است</w:t>
      </w:r>
      <w:r>
        <w:rPr>
          <w:rFonts w:eastAsia="IRNazanin" w:cs="IRNazanin"/>
          <w:color w:val="111111"/>
          <w:sz w:val="28"/>
          <w:szCs w:val="28"/>
          <w:rtl w:val="true"/>
          <w:lang w:bidi="fa-IR"/>
        </w:rPr>
        <w:t>.</w:t>
      </w:r>
      <w:r>
        <w:rPr>
          <w:rStyle w:val="FootnoteAnchor"/>
          <w:rtl w:val="true"/>
        </w:rPr>
        <w:footnoteReference w:id="1558"/>
      </w:r>
      <w:bookmarkStart w:id="913" w:name="pg4267_22194"/>
    </w:p>
    <w:p>
      <w:pPr>
        <w:pStyle w:val="Heading3"/>
        <w:numPr>
          <w:ilvl w:val="2"/>
          <w:numId w:val="1"/>
        </w:numPr>
        <w:rPr/>
      </w:pPr>
      <w:bookmarkStart w:id="914" w:name="__RefHeading___Toc474573_1479056682"/>
      <w:bookmarkStart w:id="915" w:name="_Toc349"/>
      <w:bookmarkEnd w:id="913"/>
      <w:bookmarkEnd w:id="914"/>
      <w:r>
        <w:rPr>
          <w:rtl w:val="true"/>
        </w:rPr>
        <w:t>فصل ششم</w:t>
      </w:r>
      <w:r>
        <w:rPr>
          <w:rtl w:val="true"/>
        </w:rPr>
        <w:t xml:space="preserve">: </w:t>
      </w:r>
      <w:r>
        <w:rPr>
          <w:rtl w:val="true"/>
        </w:rPr>
        <w:t>سُکنی، عُمری، رُقبی و حبس</w:t>
      </w:r>
      <w:bookmarkEnd w:id="915"/>
    </w:p>
    <w:p>
      <w:pPr>
        <w:pStyle w:val="Heading4"/>
        <w:numPr>
          <w:ilvl w:val="3"/>
          <w:numId w:val="1"/>
        </w:numPr>
        <w:rPr/>
      </w:pPr>
      <w:bookmarkStart w:id="916" w:name="__RefHeading___Toc474575_1479056682"/>
      <w:bookmarkStart w:id="917" w:name="_Toc350"/>
      <w:bookmarkEnd w:id="916"/>
      <w:r>
        <w:rPr>
          <w:rtl w:val="true"/>
        </w:rPr>
        <w:t>مبحث اوّل</w:t>
      </w:r>
      <w:r>
        <w:rPr>
          <w:rtl w:val="true"/>
        </w:rPr>
        <w:t xml:space="preserve">: </w:t>
      </w:r>
      <w:r>
        <w:rPr>
          <w:rtl w:val="true"/>
        </w:rPr>
        <w:t>سُکنی، عُمری و رُقبی از دیدگاه امامیّه</w:t>
      </w:r>
      <w:bookmarkEnd w:id="917"/>
    </w:p>
    <w:p>
      <w:pPr>
        <w:pStyle w:val="Heading5"/>
        <w:numPr>
          <w:ilvl w:val="4"/>
          <w:numId w:val="1"/>
        </w:numPr>
        <w:rPr/>
      </w:pPr>
      <w:bookmarkStart w:id="918" w:name="__RefHeading___Toc474577_1479056682"/>
      <w:bookmarkStart w:id="919" w:name="_Toc351"/>
      <w:bookmarkEnd w:id="918"/>
      <w:r>
        <w:rPr>
          <w:rtl w:val="true"/>
        </w:rPr>
        <w:t xml:space="preserve">گفتار </w:t>
      </w:r>
      <w:r>
        <w:rPr/>
        <w:t>1</w:t>
      </w:r>
      <w:r>
        <w:rPr>
          <w:rtl w:val="true"/>
        </w:rPr>
        <w:t xml:space="preserve">- </w:t>
      </w:r>
      <w:r>
        <w:rPr>
          <w:rtl w:val="true"/>
        </w:rPr>
        <w:t>معانی این عناوین</w:t>
      </w:r>
      <w:bookmarkEnd w:id="919"/>
    </w:p>
    <w:p>
      <w:pPr>
        <w:pStyle w:val="BookText"/>
        <w:rPr/>
      </w:pPr>
      <w:r>
        <w:rPr>
          <w:rFonts w:ascii="IRNazanin" w:hAnsi="IRNazanin" w:eastAsia="IRNazanin"/>
          <w:color w:val="111111"/>
          <w:sz w:val="28"/>
          <w:sz w:val="28"/>
          <w:szCs w:val="28"/>
          <w:rtl w:val="true"/>
          <w:lang w:bidi="fa-IR"/>
        </w:rPr>
        <w:t>قبل از پرداختن به احکام و شرایط این عناوین بیان مختصری از معانی آنها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و اظهارات فقها درباره معانی این واژه‌ها یکسان و هماهنگ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عناوینی حاکی از یک معنا، گروهی نسبت بعضی را با بعضی عموم و خصوص مطلق و دسته‌ای نسبت را عموم و خصوص من وجه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اختلافی که درباره معانی این عناوین وجود دارد درباره احکام اینها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اختلافاتی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ابتدا به طور مختصر به معانی این واژه‌ها اشاره می‌شود و سپس احکامشان مورد بررسی قرار می‌گیرند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این عناوین به اختلاف اضافات است، اگر مقرون به عمر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مقرون به اسکان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صورتی که به مدّت مقرون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کسانی که این معنا را پذیرفته‌اند اشاره کرده‌اند که سُکنی از عُمری و رُقبی اعم مطلق است</w:t>
      </w:r>
      <w:r>
        <w:rPr>
          <w:rFonts w:eastAsia="IRNazanin" w:cs="IRNazanin"/>
          <w:color w:val="111111"/>
          <w:sz w:val="28"/>
          <w:szCs w:val="28"/>
          <w:rtl w:val="true"/>
          <w:lang w:bidi="fa-IR"/>
        </w:rPr>
        <w:t>.</w:t>
      </w:r>
      <w:r>
        <w:rPr>
          <w:rStyle w:val="FootnoteAnchor"/>
          <w:rtl w:val="true"/>
        </w:rPr>
        <w:footnoteReference w:id="1559"/>
      </w:r>
    </w:p>
    <w:p>
      <w:pPr>
        <w:pStyle w:val="BookText"/>
        <w:rPr/>
      </w:pPr>
      <w:r>
        <w:rPr>
          <w:rFonts w:ascii="IRNazanin" w:hAnsi="IRNazanin" w:eastAsia="IRNazanin"/>
          <w:color w:val="111111"/>
          <w:sz w:val="28"/>
          <w:sz w:val="28"/>
          <w:szCs w:val="28"/>
          <w:rtl w:val="true"/>
          <w:lang w:bidi="fa-IR"/>
        </w:rPr>
        <w:t>بنابراین باید هر سه عنوان مربوط به مسکن باشد که اگر مقرون به‌لفظ اسکان شود، سُکنی است، خواه مطلق باشد یا مقیّد به‌عمر و یا به‌مدّت، در غیر این صورت یا عمری است یا رقبی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گروهی نسبت بین سکنی و بین عمری و رقبی را عموم و خصوص من وجه دانسته‌اند؛ زیرا همان‌طور که سکنی از حیث زمان اعمّ است، عمری و رقبی از جهت موردشان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غیر مسکن را نیز دربر می‌گیرد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موردی که اسکان، به عمر و یا مدّت معیّنی مقرون شود، مادّه اجتماع است، در موردی که منفعت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تنها باشد، فقط سکنی و در موردی که منفعت، غیر سکنی و مقرون به عمر باشد فقط عمری و اگر مقرون به مدّت باشد فقط رقبی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سکنی و عمری جمع می‌شوند بدون رقبی و گاهی سکنی و رقبی بدون عمری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بین عمری و رقبی نیز تباین است؛ زیرا هرچند موردشان مشترک است امّا تمیزشان به اقتران به مدّت و عمر است</w:t>
      </w:r>
      <w:r>
        <w:rPr>
          <w:rFonts w:eastAsia="IRNazanin" w:cs="IRNazanin"/>
          <w:color w:val="111111"/>
          <w:sz w:val="28"/>
          <w:szCs w:val="28"/>
          <w:rtl w:val="true"/>
          <w:lang w:bidi="fa-IR"/>
        </w:rPr>
        <w:t>.</w:t>
      </w:r>
      <w:r>
        <w:rPr>
          <w:rStyle w:val="FootnoteAnchor"/>
          <w:rtl w:val="true"/>
        </w:rPr>
        <w:footnoteReference w:id="156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لفظ اسکان را مطلق بگوید یا به عمر خود یا عمر دیگری مقیّد کند و یا به مدّت مقرون کند سکنی است و اگر لفظ اعمار را به کار برد عمری است و با به کار</w:t>
      </w:r>
    </w:p>
    <w:p>
      <w:pPr>
        <w:pStyle w:val="BookText"/>
        <w:rPr/>
      </w:pPr>
      <w:r>
        <w:rPr>
          <w:rFonts w:ascii="IRNazanin" w:hAnsi="IRNazanin" w:eastAsia="IRNazanin"/>
          <w:color w:val="111111"/>
          <w:sz w:val="28"/>
          <w:sz w:val="28"/>
          <w:szCs w:val="28"/>
          <w:rtl w:val="true"/>
          <w:lang w:bidi="fa-IR"/>
        </w:rPr>
        <w:t>بردن لفظ ارقاب می‌شود رقبی</w:t>
      </w:r>
      <w:r>
        <w:rPr>
          <w:rFonts w:eastAsia="IRNazanin" w:cs="IRNazanin"/>
          <w:color w:val="111111"/>
          <w:sz w:val="28"/>
          <w:szCs w:val="28"/>
          <w:rtl w:val="true"/>
          <w:lang w:bidi="fa-IR"/>
        </w:rPr>
        <w:t>.</w:t>
      </w:r>
      <w:r>
        <w:rPr>
          <w:rStyle w:val="FootnoteAnchor"/>
          <w:rtl w:val="true"/>
        </w:rPr>
        <w:footnoteReference w:id="156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عمری منفعتِ دار یا مِلکی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مدّت حیات خودش برای دیگری قرار می‌دهد، در رقبی همان را در مدّتی معیّن برای دیگری قرار می‌دهد، امّا در سکنی دار را</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 عمر یکی از طرفین برای دیگری قرار می‌دهد</w:t>
      </w:r>
      <w:r>
        <w:rPr>
          <w:rFonts w:eastAsia="IRNazanin" w:cs="IRNazanin"/>
          <w:color w:val="111111"/>
          <w:sz w:val="28"/>
          <w:szCs w:val="28"/>
          <w:rtl w:val="true"/>
          <w:lang w:bidi="fa-IR"/>
        </w:rPr>
        <w:t>.</w:t>
      </w:r>
      <w:r>
        <w:rPr>
          <w:rStyle w:val="FootnoteAnchor"/>
          <w:rtl w:val="true"/>
        </w:rPr>
        <w:footnoteReference w:id="1562"/>
      </w:r>
    </w:p>
    <w:p>
      <w:pPr>
        <w:pStyle w:val="BookText"/>
        <w:rPr/>
      </w:pPr>
      <w:r>
        <w:rPr>
          <w:rFonts w:ascii="IRNazanin" w:hAnsi="IRNazanin" w:eastAsia="IRNazanin"/>
          <w:color w:val="111111"/>
          <w:sz w:val="28"/>
          <w:sz w:val="28"/>
          <w:szCs w:val="28"/>
          <w:rtl w:val="true"/>
          <w:lang w:bidi="fa-IR"/>
        </w:rPr>
        <w:t>از عبارات ابن ادریس استفاده می‌شود که اگر منفعت مقیّد به عمر یکی از طرفین شود عمری و رقبی است و در دو صورت سکنی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اسکان دارای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اسکان مطلق باشد که در این صورت هر زمان که مُسکِن بخواهد، او را اخراج کند</w:t>
      </w:r>
      <w:r>
        <w:rPr>
          <w:rFonts w:eastAsia="IRNazanin" w:cs="IRNazanin"/>
          <w:color w:val="111111"/>
          <w:sz w:val="28"/>
          <w:szCs w:val="28"/>
          <w:rtl w:val="true"/>
          <w:lang w:bidi="fa-IR"/>
        </w:rPr>
        <w:t>.</w:t>
      </w:r>
      <w:r>
        <w:rPr>
          <w:rStyle w:val="FootnoteAnchor"/>
          <w:rtl w:val="true"/>
        </w:rPr>
        <w:footnoteReference w:id="1563"/>
      </w:r>
    </w:p>
    <w:p>
      <w:pPr>
        <w:pStyle w:val="BookText"/>
        <w:rPr/>
      </w:pPr>
      <w:r>
        <w:rPr>
          <w:rFonts w:ascii="IRNazanin" w:hAnsi="IRNazanin" w:eastAsia="IRNazanin"/>
          <w:color w:val="111111"/>
          <w:sz w:val="28"/>
          <w:sz w:val="28"/>
          <w:szCs w:val="28"/>
          <w:rtl w:val="true"/>
          <w:lang w:bidi="fa-IR"/>
        </w:rPr>
        <w:t>ابن ادریس توضیح نداده است که آیا به کاربردن لفظ سکنی، عمری، و رقبی در صیغه، در این نامگذاری و عناوین دخالتی دارد یا خیر؟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سکنی، سکنی را برای مدّتی معیّن برای غیر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رقبی، سکنی در مدّت حیات مالک در اختیار دیگری قرار می‌گیرد و عمری این است که سکنی را در طول عمر معمَر به او واگذار کند</w:t>
      </w:r>
      <w:r>
        <w:rPr>
          <w:rFonts w:eastAsia="IRNazanin" w:cs="IRNazanin"/>
          <w:color w:val="111111"/>
          <w:sz w:val="28"/>
          <w:szCs w:val="28"/>
          <w:rtl w:val="true"/>
          <w:lang w:bidi="fa-IR"/>
        </w:rPr>
        <w:t>.</w:t>
      </w:r>
      <w:r>
        <w:rPr>
          <w:rStyle w:val="FootnoteAnchor"/>
          <w:rtl w:val="true"/>
        </w:rPr>
        <w:footnoteReference w:id="156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رقبی و عمری یکی هستند و اختلافشان فقط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مبسوط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فرق بینهما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ظاهر آن اجماع است و از مهذّب ابن بَرّاج</w:t>
      </w:r>
    </w:p>
    <w:p>
      <w:pPr>
        <w:pStyle w:val="BookText"/>
        <w:rPr/>
      </w:pPr>
      <w:r>
        <w:rPr>
          <w:rFonts w:ascii="IRNazanin" w:hAnsi="IRNazanin" w:eastAsia="IRNazanin"/>
          <w:color w:val="111111"/>
          <w:sz w:val="28"/>
          <w:sz w:val="28"/>
          <w:szCs w:val="28"/>
          <w:rtl w:val="true"/>
          <w:lang w:bidi="fa-IR"/>
        </w:rPr>
        <w:t>چنین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که بعضی گذاشته‌اند مذهب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نیز در مختلف بعد از ذکر عبارت مبسوط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اخلاف این دو عنوان،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w:t>
      </w:r>
    </w:p>
    <w:p>
      <w:pPr>
        <w:pStyle w:val="BookText"/>
        <w:rPr/>
      </w:pPr>
      <w:r>
        <w:rPr>
          <w:rFonts w:ascii="IRNazanin" w:hAnsi="IRNazanin" w:eastAsia="IRNazanin"/>
          <w:color w:val="111111"/>
          <w:sz w:val="28"/>
          <w:sz w:val="28"/>
          <w:szCs w:val="28"/>
          <w:rtl w:val="true"/>
          <w:lang w:bidi="fa-IR"/>
        </w:rPr>
        <w:t xml:space="preserve">مرتضی در المسائل الناصریّات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w:t>
      </w:r>
      <w:r>
        <w:rPr>
          <w:rFonts w:eastAsia="IRNazanin" w:cs="IRNazanin"/>
          <w:color w:val="111111"/>
          <w:sz w:val="28"/>
          <w:szCs w:val="28"/>
          <w:rtl w:val="true"/>
          <w:lang w:bidi="fa-IR"/>
        </w:rPr>
        <w:t>.</w:t>
      </w:r>
      <w:r>
        <w:rPr>
          <w:rStyle w:val="FootnoteAnchor"/>
          <w:rtl w:val="true"/>
        </w:rPr>
        <w:footnoteReference w:id="1565"/>
      </w:r>
      <w:r>
        <w:rPr>
          <w:rFonts w:ascii="IRNazanin" w:hAnsi="IRNazanin" w:eastAsia="IRNazanin"/>
          <w:color w:val="111111"/>
          <w:sz w:val="28"/>
          <w:sz w:val="28"/>
          <w:szCs w:val="28"/>
          <w:rtl w:val="true"/>
          <w:lang w:bidi="fa-IR"/>
        </w:rPr>
        <w:t xml:space="preserve">علاّمه در تذکره از علی علیه‌السلام </w:t>
      </w:r>
      <w:r>
        <w:rPr>
          <w:rStyle w:val="FootnoteAnchor"/>
          <w:rtl w:val="true"/>
        </w:rPr>
        <w:footnoteReference w:id="1566"/>
      </w:r>
      <w:r>
        <w:rPr>
          <w:rFonts w:ascii="IRNazanin" w:hAnsi="IRNazanin" w:eastAsia="IRNazanin"/>
          <w:color w:val="111111"/>
          <w:sz w:val="28"/>
          <w:sz w:val="28"/>
          <w:szCs w:val="28"/>
          <w:rtl w:val="true"/>
          <w:lang w:bidi="fa-IR"/>
        </w:rPr>
        <w:t>نقل کرده است که رقبی و عمری مساوی‌اند</w:t>
      </w:r>
      <w:r>
        <w:rPr>
          <w:rFonts w:eastAsia="IRNazanin" w:cs="IRNazanin"/>
          <w:color w:val="111111"/>
          <w:sz w:val="28"/>
          <w:szCs w:val="28"/>
          <w:rtl w:val="true"/>
          <w:lang w:bidi="fa-IR"/>
        </w:rPr>
        <w:t>.</w:t>
      </w:r>
      <w:r>
        <w:rPr>
          <w:rStyle w:val="FootnoteAnchor"/>
          <w:rtl w:val="true"/>
        </w:rPr>
        <w:footnoteReference w:id="1567"/>
      </w:r>
      <w:r>
        <w:rPr>
          <w:rFonts w:ascii="IRNazanin" w:hAnsi="IRNazanin" w:eastAsia="IRNazanin"/>
          <w:color w:val="111111"/>
          <w:sz w:val="28"/>
          <w:sz w:val="28"/>
          <w:szCs w:val="28"/>
          <w:rtl w:val="true"/>
          <w:lang w:bidi="fa-IR"/>
        </w:rPr>
        <w:t>و در روضه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سکنی به عمری و رقبی تعبیر می‌شود</w:t>
      </w:r>
      <w:r>
        <w:rPr>
          <w:rFonts w:eastAsia="IRNazanin" w:cs="IRNazanin"/>
          <w:color w:val="111111"/>
          <w:sz w:val="28"/>
          <w:szCs w:val="28"/>
          <w:rtl w:val="true"/>
          <w:lang w:bidi="fa-IR"/>
        </w:rPr>
        <w:t>.</w:t>
      </w:r>
      <w:r>
        <w:rPr>
          <w:rStyle w:val="FootnoteAnchor"/>
          <w:rtl w:val="true"/>
        </w:rPr>
        <w:footnoteReference w:id="1568"/>
      </w:r>
    </w:p>
    <w:p>
      <w:pPr>
        <w:pStyle w:val="BookText"/>
        <w:rPr/>
      </w:pPr>
      <w:r>
        <w:rPr>
          <w:rFonts w:ascii="IRNazanin" w:hAnsi="IRNazanin" w:eastAsia="IRNazanin"/>
          <w:color w:val="111111"/>
          <w:sz w:val="28"/>
          <w:sz w:val="28"/>
          <w:szCs w:val="28"/>
          <w:rtl w:val="true"/>
          <w:lang w:bidi="fa-IR"/>
        </w:rPr>
        <w:t>صاحب جواهر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این گروه از اشتراک، تساوی آنها در بیشتر احکام باشد، صحیح است و اگر منظورشان این است که همه اینها عقد واحد هستند و تنها اسماء آنها مختلف است، خلاف ظاهر نصّ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اینها عقد مستقلّ و دارای معنای مستقلّ هستند، بلکه اگر از یکی از اینها دیگری اراده شود باطل</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بیان برخی از احکام این عقود، روشنتر خواهد شد</w:t>
      </w:r>
      <w:r>
        <w:rPr>
          <w:rFonts w:eastAsia="IRNazanin" w:cs="IRNazanin"/>
          <w:color w:val="111111"/>
          <w:sz w:val="28"/>
          <w:szCs w:val="28"/>
          <w:rtl w:val="true"/>
          <w:lang w:bidi="fa-IR"/>
        </w:rPr>
        <w:t xml:space="preserve">. </w:t>
      </w:r>
      <w:bookmarkStart w:id="920" w:name="pg4267_22200"/>
    </w:p>
    <w:p>
      <w:pPr>
        <w:pStyle w:val="Heading5"/>
        <w:numPr>
          <w:ilvl w:val="4"/>
          <w:numId w:val="1"/>
        </w:numPr>
        <w:rPr/>
      </w:pPr>
      <w:bookmarkStart w:id="921" w:name="__RefHeading___Toc474579_1479056682"/>
      <w:bookmarkStart w:id="922" w:name="_Toc352"/>
      <w:bookmarkEnd w:id="920"/>
      <w:bookmarkEnd w:id="921"/>
      <w:r>
        <w:rPr>
          <w:rtl w:val="true"/>
        </w:rPr>
        <w:t xml:space="preserve">گفتار </w:t>
      </w:r>
      <w:r>
        <w:rPr/>
        <w:t>2</w:t>
      </w:r>
      <w:r>
        <w:rPr>
          <w:rtl w:val="true"/>
        </w:rPr>
        <w:t xml:space="preserve">- </w:t>
      </w:r>
      <w:r>
        <w:rPr>
          <w:rtl w:val="true"/>
        </w:rPr>
        <w:t>شرایط</w:t>
      </w:r>
      <w:bookmarkEnd w:id="922"/>
    </w:p>
    <w:p>
      <w:pPr>
        <w:pStyle w:val="Heading6"/>
        <w:numPr>
          <w:ilvl w:val="5"/>
          <w:numId w:val="1"/>
        </w:numPr>
        <w:rPr/>
      </w:pPr>
      <w:bookmarkStart w:id="923" w:name="__RefHeading___Toc474581_1479056682"/>
      <w:bookmarkStart w:id="924" w:name="_Toc353"/>
      <w:bookmarkEnd w:id="923"/>
      <w:r>
        <w:rPr>
          <w:rtl w:val="true"/>
        </w:rPr>
        <w:t>شرط اوّل</w:t>
      </w:r>
      <w:r>
        <w:rPr>
          <w:rtl w:val="true"/>
        </w:rPr>
        <w:t xml:space="preserve">: </w:t>
      </w:r>
      <w:r>
        <w:rPr>
          <w:rtl w:val="true"/>
        </w:rPr>
        <w:t>صیغه عقد</w:t>
      </w:r>
      <w:bookmarkEnd w:id="924"/>
    </w:p>
    <w:p>
      <w:pPr>
        <w:pStyle w:val="BookText"/>
        <w:rPr/>
      </w:pPr>
      <w:r>
        <w:rPr>
          <w:rFonts w:ascii="IRNazanin" w:hAnsi="IRNazanin" w:eastAsia="IRNazanin"/>
          <w:color w:val="111111"/>
          <w:sz w:val="28"/>
          <w:sz w:val="28"/>
          <w:szCs w:val="28"/>
          <w:rtl w:val="true"/>
          <w:lang w:bidi="fa-IR"/>
        </w:rPr>
        <w:t>غالب فقهای امامیّه ایجاب و قبول رادر این عقود معتبر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آن عبارت است از الفاظی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اَسْکنتُکَ هذِه الدّارَ مدّة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اَعْمَرْتکَ هذِهِ الضَّیْعَةَ مُدّةَ حیاتِکَ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مُدَّةَ حَیاتی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اَرْقَبْتُکَ هذَا الْمالَ مُدَّةَ کَذا</w:t>
      </w:r>
      <w:r>
        <w:rPr>
          <w:rFonts w:eastAsia="IRNazanin" w:cs="IRNazanin"/>
          <w:color w:val="111111"/>
          <w:sz w:val="28"/>
          <w:szCs w:val="28"/>
          <w:rtl w:val="true"/>
          <w:lang w:bidi="fa-IR"/>
        </w:rPr>
        <w:t>»</w:t>
      </w:r>
      <w:r>
        <w:rPr>
          <w:rStyle w:val="FootnoteAnchor"/>
          <w:rtl w:val="true"/>
        </w:rPr>
        <w:footnoteReference w:id="1569"/>
      </w:r>
    </w:p>
    <w:p>
      <w:pPr>
        <w:pStyle w:val="BookText"/>
        <w:rPr/>
      </w:pPr>
      <w:r>
        <w:rPr>
          <w:rFonts w:ascii="IRNazanin" w:hAnsi="IRNazanin" w:eastAsia="IRNazanin"/>
          <w:color w:val="111111"/>
          <w:sz w:val="28"/>
          <w:sz w:val="28"/>
          <w:szCs w:val="28"/>
          <w:rtl w:val="true"/>
          <w:lang w:bidi="fa-IR"/>
        </w:rPr>
        <w:t>و قبول آن هر لفظی است که بررضایت به این امور دلالت کند</w:t>
      </w:r>
      <w:r>
        <w:rPr>
          <w:rFonts w:eastAsia="IRNazanin" w:cs="IRNazanin"/>
          <w:color w:val="111111"/>
          <w:sz w:val="28"/>
          <w:szCs w:val="28"/>
          <w:rtl w:val="true"/>
          <w:lang w:bidi="fa-IR"/>
        </w:rPr>
        <w:t>.</w:t>
      </w:r>
      <w:r>
        <w:rPr>
          <w:rStyle w:val="FootnoteAnchor"/>
          <w:rtl w:val="true"/>
        </w:rPr>
        <w:footnoteReference w:id="1570"/>
      </w:r>
      <w:r>
        <w:rPr>
          <w:rFonts w:ascii="IRNazanin" w:hAnsi="IRNazanin" w:eastAsia="IRNazanin"/>
          <w:color w:val="111111"/>
          <w:sz w:val="28"/>
          <w:sz w:val="28"/>
          <w:szCs w:val="28"/>
          <w:rtl w:val="true"/>
          <w:lang w:bidi="fa-IR"/>
        </w:rPr>
        <w:t>ظاهر جامع المقاصد</w:t>
      </w:r>
    </w:p>
    <w:p>
      <w:pPr>
        <w:pStyle w:val="BookText"/>
        <w:rPr/>
      </w:pPr>
      <w:r>
        <w:rPr>
          <w:rFonts w:ascii="IRNazanin" w:hAnsi="IRNazanin" w:eastAsia="IRNazanin"/>
          <w:color w:val="111111"/>
          <w:sz w:val="28"/>
          <w:sz w:val="28"/>
          <w:szCs w:val="28"/>
          <w:rtl w:val="true"/>
          <w:lang w:bidi="fa-IR"/>
        </w:rPr>
        <w:t>و جواهر، تحقّق اجماع در این مسأله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صاحب حدائق تصریح کرده است که این امور، از عقودند، امّا مستفاد از اخبار این</w:t>
      </w:r>
    </w:p>
    <w:p>
      <w:pPr>
        <w:pStyle w:val="BookText"/>
        <w:rPr/>
      </w:pPr>
      <w:r>
        <w:rPr>
          <w:rFonts w:ascii="IRNazanin" w:hAnsi="IRNazanin" w:eastAsia="IRNazanin"/>
          <w:color w:val="111111"/>
          <w:sz w:val="28"/>
          <w:sz w:val="28"/>
          <w:szCs w:val="28"/>
          <w:rtl w:val="true"/>
          <w:lang w:bidi="fa-IR"/>
        </w:rPr>
        <w:t>است که رضایت طرفین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دایره عقود از تضییقاتی که فقها در نظر گرفته‌اند، گسترده‌تر است</w:t>
      </w:r>
      <w:r>
        <w:rPr>
          <w:rFonts w:eastAsia="IRNazanin" w:cs="IRNazanin"/>
          <w:color w:val="111111"/>
          <w:sz w:val="28"/>
          <w:szCs w:val="28"/>
          <w:rtl w:val="true"/>
          <w:lang w:bidi="fa-IR"/>
        </w:rPr>
        <w:t>.</w:t>
      </w:r>
      <w:r>
        <w:rPr>
          <w:rStyle w:val="FootnoteAnchor"/>
          <w:rtl w:val="true"/>
        </w:rPr>
        <w:footnoteReference w:id="1571"/>
      </w:r>
    </w:p>
    <w:p>
      <w:pPr>
        <w:pStyle w:val="BookText"/>
        <w:rPr/>
      </w:pPr>
      <w:r>
        <w:rPr>
          <w:rFonts w:ascii="IRNazanin" w:hAnsi="IRNazanin" w:eastAsia="IRNazanin"/>
          <w:color w:val="111111"/>
          <w:sz w:val="28"/>
          <w:sz w:val="28"/>
          <w:szCs w:val="28"/>
          <w:rtl w:val="true"/>
          <w:lang w:bidi="fa-IR"/>
        </w:rPr>
        <w:t xml:space="preserve">اگر در این مورد، اجماع محقّق نباشد به نظر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استناد به بنای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صاحب حدائق بیشتر قابل دفاع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مطابق دیدگاه اعلام، این عناوین از عقود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دیگر در این جا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عقود لازمند یا جایز؟</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مبسوط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عقود بعد از قبض لازم می‌شوند</w:t>
      </w:r>
      <w:r>
        <w:rPr>
          <w:rFonts w:eastAsia="IRNazanin" w:cs="IRNazanin"/>
          <w:color w:val="111111"/>
          <w:sz w:val="28"/>
          <w:szCs w:val="28"/>
          <w:rtl w:val="true"/>
          <w:lang w:bidi="fa-IR"/>
        </w:rPr>
        <w:t>.</w:t>
      </w:r>
      <w:r>
        <w:rPr>
          <w:rStyle w:val="FootnoteAnchor"/>
          <w:rtl w:val="true"/>
        </w:rPr>
        <w:footnoteReference w:id="1572"/>
      </w:r>
      <w:r>
        <w:rPr>
          <w:rFonts w:ascii="IRNazanin" w:hAnsi="IRNazanin" w:eastAsia="IRNazanin"/>
          <w:color w:val="111111"/>
          <w:sz w:val="28"/>
          <w:sz w:val="28"/>
          <w:szCs w:val="28"/>
          <w:rtl w:val="true"/>
          <w:lang w:bidi="fa-IR"/>
        </w:rPr>
        <w:t xml:space="preserve">فیض در مفاتیح این مطلب را به‌مشهور نسبت داده و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1573"/>
      </w:r>
      <w:r>
        <w:rPr>
          <w:rFonts w:ascii="IRNazanin" w:hAnsi="IRNazanin" w:eastAsia="IRNazanin"/>
          <w:color w:val="111111"/>
          <w:sz w:val="28"/>
          <w:sz w:val="28"/>
          <w:szCs w:val="28"/>
          <w:rtl w:val="true"/>
          <w:lang w:bidi="fa-IR"/>
        </w:rPr>
        <w:t>و خصوص روایات</w:t>
      </w:r>
      <w:r>
        <w:rPr>
          <w:rStyle w:val="FootnoteAnchor"/>
          <w:rtl w:val="true"/>
        </w:rPr>
        <w:footnoteReference w:id="1574"/>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سکنایی که مدّت تعیین نشده‌باشد، هرزمان که </w:t>
      </w:r>
      <w:bookmarkStart w:id="925" w:name="pg4267_22202"/>
    </w:p>
    <w:p>
      <w:pPr>
        <w:pStyle w:val="BookText"/>
        <w:rPr/>
      </w:pPr>
      <w:bookmarkEnd w:id="925"/>
      <w:r>
        <w:rPr>
          <w:rFonts w:ascii="IRNazanin" w:hAnsi="IRNazanin" w:eastAsia="IRNazanin"/>
          <w:color w:val="111111"/>
          <w:sz w:val="28"/>
          <w:sz w:val="28"/>
          <w:szCs w:val="28"/>
          <w:rtl w:val="true"/>
          <w:lang w:bidi="fa-IR"/>
        </w:rPr>
        <w:t>مُسکِن بخواهد حق رجوع دارد</w:t>
      </w:r>
      <w:r>
        <w:rPr>
          <w:rFonts w:eastAsia="IRNazanin" w:cs="IRNazanin"/>
          <w:color w:val="111111"/>
          <w:sz w:val="28"/>
          <w:szCs w:val="28"/>
          <w:rtl w:val="true"/>
          <w:lang w:bidi="fa-IR"/>
        </w:rPr>
        <w:t>.</w:t>
      </w:r>
      <w:r>
        <w:rPr>
          <w:rStyle w:val="FootnoteAnchor"/>
          <w:rtl w:val="true"/>
        </w:rPr>
        <w:footnoteReference w:id="1575"/>
      </w:r>
    </w:p>
    <w:p>
      <w:pPr>
        <w:pStyle w:val="BookText"/>
        <w:rPr/>
      </w:pPr>
      <w:r>
        <w:rPr>
          <w:rFonts w:ascii="IRNazanin" w:hAnsi="IRNazanin" w:eastAsia="IRNazanin"/>
          <w:color w:val="111111"/>
          <w:sz w:val="28"/>
          <w:sz w:val="28"/>
          <w:szCs w:val="28"/>
          <w:rtl w:val="true"/>
          <w:lang w:bidi="fa-IR"/>
        </w:rPr>
        <w:t>صاحب حدائق نیز ضمن نسبت لزوم بعد از قبض به مشهور، یادآور شده است که در سکنای مطلق نیز به مقدار مُسمّای سکنی،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مسالک، لزوم بعد از قبض را معروف از مذهب اصحاب دانسته است</w:t>
      </w:r>
      <w:r>
        <w:rPr>
          <w:rFonts w:eastAsia="IRNazanin" w:cs="IRNazanin"/>
          <w:color w:val="111111"/>
          <w:sz w:val="28"/>
          <w:szCs w:val="28"/>
          <w:rtl w:val="true"/>
          <w:lang w:bidi="fa-IR"/>
        </w:rPr>
        <w:t>.</w:t>
      </w:r>
      <w:r>
        <w:rPr>
          <w:rStyle w:val="FootnoteAnchor"/>
          <w:rtl w:val="true"/>
        </w:rPr>
        <w:footnoteReference w:id="1576"/>
      </w:r>
    </w:p>
    <w:p>
      <w:pPr>
        <w:pStyle w:val="BookText"/>
        <w:rPr/>
      </w:pPr>
      <w:r>
        <w:rPr>
          <w:rFonts w:ascii="IRNazanin" w:hAnsi="IRNazanin" w:eastAsia="IRNazanin"/>
          <w:color w:val="111111"/>
          <w:sz w:val="28"/>
          <w:sz w:val="28"/>
          <w:szCs w:val="28"/>
          <w:rtl w:val="true"/>
          <w:lang w:bidi="fa-IR"/>
        </w:rPr>
        <w:t xml:space="preserve">صاحب جواهر برای لزوم این عقود، بجز ادّله ذکر شده به قاعده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اصل لزوم در عقود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مالکیّت قبول کننده بر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ابی‌الصّباح کنانی استدلال کرده است</w:t>
      </w:r>
      <w:r>
        <w:rPr>
          <w:rFonts w:eastAsia="IRNazanin" w:cs="IRNazanin"/>
          <w:color w:val="111111"/>
          <w:sz w:val="28"/>
          <w:szCs w:val="28"/>
          <w:rtl w:val="true"/>
          <w:lang w:bidi="fa-IR"/>
        </w:rPr>
        <w:t>.</w:t>
      </w:r>
      <w:r>
        <w:rPr>
          <w:rStyle w:val="FootnoteAnchor"/>
          <w:rtl w:val="true"/>
        </w:rPr>
        <w:footnoteReference w:id="1577"/>
      </w:r>
    </w:p>
    <w:p>
      <w:pPr>
        <w:pStyle w:val="BookText"/>
        <w:rPr/>
      </w:pPr>
      <w:r>
        <w:rPr>
          <w:rFonts w:ascii="IRNazanin" w:hAnsi="IRNazanin" w:eastAsia="IRNazanin"/>
          <w:color w:val="111111"/>
          <w:sz w:val="28"/>
          <w:sz w:val="28"/>
          <w:szCs w:val="28"/>
          <w:rtl w:val="true"/>
          <w:lang w:bidi="fa-IR"/>
        </w:rPr>
        <w:t>امام صادق علیه‌السلام در این روایت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مسکن را در حیات خود برای دیگری قرار دهد طبق آن عمل می شود و اگر برای او و فرزندانش قرار دهد تا زمانی که فرزندان وی وجود دارند، مالکان حق بیع وارث بردن آن را ندارند</w:t>
      </w:r>
      <w:r>
        <w:rPr>
          <w:rFonts w:eastAsia="IRNazanin" w:cs="IRNazanin"/>
          <w:color w:val="111111"/>
          <w:sz w:val="28"/>
          <w:szCs w:val="28"/>
          <w:rtl w:val="true"/>
          <w:lang w:bidi="fa-IR"/>
        </w:rPr>
        <w:t>....»</w:t>
      </w:r>
      <w:r>
        <w:rPr>
          <w:rStyle w:val="FootnoteAnchor"/>
          <w:rtl w:val="true"/>
        </w:rPr>
        <w:footnoteReference w:id="1578"/>
      </w:r>
      <w:r>
        <w:rPr>
          <w:rFonts w:ascii="IRNazanin" w:hAnsi="IRNazanin" w:eastAsia="IRNazanin"/>
          <w:color w:val="111111"/>
          <w:sz w:val="28"/>
          <w:sz w:val="28"/>
          <w:szCs w:val="28"/>
          <w:rtl w:val="true"/>
          <w:lang w:bidi="fa-IR"/>
        </w:rPr>
        <w:t>مضمره حمران و حسنه حلبی نیز دارای همین مضمون هستند</w:t>
      </w:r>
      <w:r>
        <w:rPr>
          <w:rFonts w:eastAsia="IRNazanin" w:cs="IRNazanin"/>
          <w:color w:val="111111"/>
          <w:sz w:val="28"/>
          <w:szCs w:val="28"/>
          <w:rtl w:val="true"/>
          <w:lang w:bidi="fa-IR"/>
        </w:rPr>
        <w:t>.</w:t>
      </w:r>
      <w:r>
        <w:rPr>
          <w:rStyle w:val="FootnoteAnchor"/>
          <w:rtl w:val="true"/>
        </w:rPr>
        <w:footnoteReference w:id="1579"/>
      </w:r>
      <w:r>
        <w:rPr>
          <w:rFonts w:ascii="IRNazanin" w:hAnsi="IRNazanin" w:eastAsia="IRNazanin"/>
          <w:color w:val="111111"/>
          <w:sz w:val="28"/>
          <w:sz w:val="28"/>
          <w:szCs w:val="28"/>
          <w:rtl w:val="true"/>
          <w:lang w:bidi="fa-IR"/>
        </w:rPr>
        <w:t>البتّه فاضل مقداد در تنقیح به شیخ نسبت داده است که این عقود با ایجاب و قبول و قبض لازم نمی‌شوند</w:t>
      </w:r>
      <w:r>
        <w:rPr>
          <w:rFonts w:eastAsia="IRNazanin" w:cs="IRNazanin"/>
          <w:color w:val="111111"/>
          <w:sz w:val="28"/>
          <w:szCs w:val="28"/>
          <w:rtl w:val="true"/>
          <w:lang w:bidi="fa-IR"/>
        </w:rPr>
        <w:t>.</w:t>
      </w:r>
      <w:r>
        <w:rPr>
          <w:rStyle w:val="FootnoteAnchor"/>
          <w:rtl w:val="true"/>
        </w:rPr>
        <w:footnoteReference w:id="1580"/>
      </w:r>
    </w:p>
    <w:p>
      <w:pPr>
        <w:pStyle w:val="BookText"/>
        <w:rPr/>
      </w:pPr>
      <w:r>
        <w:rPr>
          <w:rFonts w:ascii="IRNazanin" w:hAnsi="IRNazanin" w:eastAsia="IRNazanin"/>
          <w:color w:val="111111"/>
          <w:sz w:val="28"/>
          <w:sz w:val="28"/>
          <w:szCs w:val="28"/>
          <w:rtl w:val="true"/>
          <w:lang w:bidi="fa-IR"/>
        </w:rPr>
        <w:t>امّا ظاهرا در این جا اشتباهی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شیخ در خلاف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عِنْدَنا جائزَةٌ</w:t>
      </w:r>
      <w:r>
        <w:rPr>
          <w:rFonts w:eastAsia="IRNazanin" w:cs="IRNazanin"/>
          <w:color w:val="111111"/>
          <w:sz w:val="28"/>
          <w:szCs w:val="28"/>
          <w:rtl w:val="true"/>
          <w:lang w:bidi="fa-IR"/>
        </w:rPr>
        <w:t>»</w:t>
      </w:r>
      <w:r>
        <w:rPr>
          <w:rStyle w:val="FootnoteAnchor"/>
          <w:rtl w:val="true"/>
        </w:rPr>
        <w:footnoteReference w:id="1581"/>
      </w:r>
      <w:r>
        <w:rPr>
          <w:rFonts w:ascii="IRNazanin" w:hAnsi="IRNazanin" w:eastAsia="IRNazanin"/>
          <w:color w:val="111111"/>
          <w:sz w:val="28"/>
          <w:sz w:val="28"/>
          <w:szCs w:val="28"/>
          <w:rtl w:val="true"/>
          <w:lang w:bidi="fa-IR"/>
        </w:rPr>
        <w:t>و با توجّه به عبارت بعدی شیخ مبنی بر لزوم ، روشن می شود که منظور وی از جواز در این عبارت ، مشروعیّت آن است نه جواز در برابر لزوم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فیض کاشانی نیز قول به عدم لزوم و نیز لزوم با قصد قربت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w:t>
      </w:r>
      <w:r>
        <w:rPr>
          <w:rFonts w:eastAsia="IRNazanin" w:cs="IRNazanin"/>
          <w:color w:val="111111"/>
          <w:sz w:val="28"/>
          <w:szCs w:val="28"/>
          <w:rtl w:val="true"/>
          <w:lang w:bidi="fa-IR"/>
        </w:rPr>
        <w:t>.</w:t>
      </w:r>
      <w:r>
        <w:rPr>
          <w:rStyle w:val="FootnoteAnchor"/>
          <w:rtl w:val="true"/>
        </w:rPr>
        <w:footnoteReference w:id="1582"/>
      </w:r>
    </w:p>
    <w:p>
      <w:pPr>
        <w:pStyle w:val="Heading6"/>
        <w:numPr>
          <w:ilvl w:val="5"/>
          <w:numId w:val="1"/>
        </w:numPr>
        <w:rPr/>
      </w:pPr>
      <w:bookmarkStart w:id="926" w:name="__RefHeading___Toc474583_1479056682"/>
      <w:bookmarkStart w:id="927" w:name="_Toc354"/>
      <w:bookmarkEnd w:id="926"/>
      <w:r>
        <w:rPr>
          <w:rtl w:val="true"/>
        </w:rPr>
        <w:t>شرط دوم</w:t>
      </w:r>
      <w:r>
        <w:rPr>
          <w:rtl w:val="true"/>
        </w:rPr>
        <w:t xml:space="preserve">: </w:t>
      </w:r>
      <w:r>
        <w:rPr>
          <w:rtl w:val="true"/>
        </w:rPr>
        <w:t>قبض</w:t>
      </w:r>
      <w:bookmarkEnd w:id="927"/>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 عموما قبض را در این مطرح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برای اعتبار آن ادّعای عدم خلاف و نیز از ریاض نقل اجماع کرده است</w:t>
      </w:r>
      <w:r>
        <w:rPr>
          <w:rFonts w:eastAsia="IRNazanin" w:cs="IRNazanin"/>
          <w:color w:val="111111"/>
          <w:sz w:val="28"/>
          <w:szCs w:val="28"/>
          <w:rtl w:val="true"/>
          <w:lang w:bidi="fa-IR"/>
        </w:rPr>
        <w:t>.</w:t>
      </w:r>
      <w:r>
        <w:rPr>
          <w:rStyle w:val="FootnoteAnchor"/>
          <w:rtl w:val="true"/>
        </w:rPr>
        <w:footnoteReference w:id="1583"/>
      </w:r>
      <w:r>
        <w:rPr>
          <w:rFonts w:ascii="IRNazanin" w:hAnsi="IRNazanin" w:eastAsia="IRNazanin"/>
          <w:color w:val="111111"/>
          <w:sz w:val="28"/>
          <w:sz w:val="28"/>
          <w:szCs w:val="28"/>
          <w:rtl w:val="true"/>
          <w:lang w:bidi="fa-IR"/>
        </w:rPr>
        <w:t xml:space="preserve">جامع المقاصد، اشتراط قبض را بر قول به </w:t>
      </w:r>
    </w:p>
    <w:p>
      <w:pPr>
        <w:pStyle w:val="BookText"/>
        <w:rPr/>
      </w:pPr>
      <w:r>
        <w:rPr>
          <w:rFonts w:ascii="IRNazanin" w:hAnsi="IRNazanin" w:eastAsia="IRNazanin"/>
          <w:color w:val="111111"/>
          <w:sz w:val="28"/>
          <w:sz w:val="28"/>
          <w:szCs w:val="28"/>
          <w:rtl w:val="true"/>
          <w:lang w:bidi="fa-IR"/>
        </w:rPr>
        <w:t>لزوم عقد مبتنی ساخته است</w:t>
      </w:r>
      <w:r>
        <w:rPr>
          <w:rFonts w:eastAsia="IRNazanin" w:cs="IRNazanin"/>
          <w:color w:val="111111"/>
          <w:sz w:val="28"/>
          <w:szCs w:val="28"/>
          <w:rtl w:val="true"/>
          <w:lang w:bidi="fa-IR"/>
        </w:rPr>
        <w:t xml:space="preserve">. </w:t>
      </w:r>
      <w:r>
        <w:rPr>
          <w:rStyle w:val="FootnoteAnchor"/>
          <w:rtl w:val="true"/>
        </w:rPr>
        <w:footnoteReference w:id="1584"/>
      </w:r>
      <w:r>
        <w:rPr>
          <w:rFonts w:ascii="IRNazanin" w:hAnsi="IRNazanin" w:eastAsia="IRNazanin"/>
          <w:color w:val="111111"/>
          <w:sz w:val="28"/>
          <w:sz w:val="28"/>
          <w:szCs w:val="28"/>
          <w:rtl w:val="true"/>
          <w:lang w:bidi="fa-IR"/>
        </w:rPr>
        <w:t>امّا همان طور که صاحب جواهر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شرطیّت و اعتبار با جواز این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جایز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w:t>
      </w:r>
      <w:r>
        <w:rPr>
          <w:rFonts w:eastAsia="IRNazanin" w:cs="IRNazanin"/>
          <w:color w:val="111111"/>
          <w:sz w:val="28"/>
          <w:szCs w:val="28"/>
          <w:rtl w:val="true"/>
          <w:lang w:bidi="fa-IR"/>
        </w:rPr>
        <w:t xml:space="preserve">. </w:t>
      </w:r>
      <w:r>
        <w:rPr>
          <w:rStyle w:val="FootnoteAnchor"/>
          <w:rtl w:val="true"/>
        </w:rPr>
        <w:footnoteReference w:id="1585"/>
      </w:r>
    </w:p>
    <w:p>
      <w:pPr>
        <w:pStyle w:val="BookText"/>
        <w:rPr/>
      </w:pPr>
      <w:r>
        <w:rPr>
          <w:rFonts w:ascii="IRNazanin" w:hAnsi="IRNazanin" w:eastAsia="IRNazanin"/>
          <w:color w:val="111111"/>
          <w:sz w:val="28"/>
          <w:sz w:val="28"/>
          <w:szCs w:val="28"/>
          <w:rtl w:val="true"/>
          <w:lang w:bidi="fa-IR"/>
        </w:rPr>
        <w:t>از این رو بحث اصلی در قبض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قبض شرط لزوم است یا شرط صحّت</w:t>
      </w:r>
    </w:p>
    <w:p>
      <w:pPr>
        <w:pStyle w:val="BookText"/>
        <w:rPr/>
      </w:pPr>
      <w:r>
        <w:rPr>
          <w:rFonts w:ascii="IRNazanin" w:hAnsi="IRNazanin" w:eastAsia="IRNazanin"/>
          <w:color w:val="111111"/>
          <w:sz w:val="28"/>
          <w:sz w:val="28"/>
          <w:szCs w:val="28"/>
          <w:rtl w:val="true"/>
          <w:lang w:bidi="fa-IR"/>
        </w:rPr>
        <w:t xml:space="preserve">در این که این عقود قبل از قبض لازم نیستند، خلافی نیست، بحث این است که آیا قبل از قبض، صحیح هم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 اگر مالک بمیرد باطل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صحیح هستند امّا لازم نیستند؟</w:t>
      </w:r>
    </w:p>
    <w:p>
      <w:pPr>
        <w:pStyle w:val="BookText"/>
        <w:rPr/>
      </w:pPr>
      <w:r>
        <w:rPr>
          <w:rFonts w:ascii="IRNazanin" w:hAnsi="IRNazanin" w:eastAsia="IRNazanin"/>
          <w:color w:val="111111"/>
          <w:sz w:val="28"/>
          <w:sz w:val="28"/>
          <w:szCs w:val="28"/>
          <w:rtl w:val="true"/>
          <w:lang w:bidi="fa-IR"/>
        </w:rPr>
        <w:t>ظاهر شیخ در مبسوط و خلاف این است که قبض شرط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اینها، همانند سایر هبات، به قبض نیاز دارد</w:t>
      </w:r>
      <w:r>
        <w:rPr>
          <w:rFonts w:eastAsia="IRNazanin" w:cs="IRNazanin"/>
          <w:color w:val="111111"/>
          <w:sz w:val="28"/>
          <w:szCs w:val="28"/>
          <w:rtl w:val="true"/>
          <w:lang w:bidi="fa-IR"/>
        </w:rPr>
        <w:t>».</w:t>
      </w:r>
      <w:r>
        <w:rPr>
          <w:rStyle w:val="FootnoteAnchor"/>
          <w:rtl w:val="true"/>
        </w:rPr>
        <w:footnoteReference w:id="1586"/>
      </w:r>
    </w:p>
    <w:p>
      <w:pPr>
        <w:pStyle w:val="BookText"/>
        <w:rPr/>
      </w:pPr>
      <w:r>
        <w:rPr>
          <w:rFonts w:ascii="IRNazanin" w:hAnsi="IRNazanin" w:eastAsia="IRNazanin"/>
          <w:color w:val="111111"/>
          <w:sz w:val="28"/>
          <w:sz w:val="28"/>
          <w:szCs w:val="28"/>
          <w:rtl w:val="true"/>
          <w:lang w:bidi="fa-IR"/>
        </w:rPr>
        <w:t>ظاهر عبارت شرایع</w:t>
      </w:r>
      <w:r>
        <w:rPr>
          <w:rStyle w:val="FootnoteAnchor"/>
          <w:rtl w:val="true"/>
        </w:rPr>
        <w:footnoteReference w:id="1587"/>
      </w:r>
      <w:r>
        <w:rPr>
          <w:rFonts w:ascii="IRNazanin" w:hAnsi="IRNazanin" w:eastAsia="IRNazanin"/>
          <w:color w:val="111111"/>
          <w:sz w:val="28"/>
          <w:sz w:val="28"/>
          <w:szCs w:val="28"/>
          <w:rtl w:val="true"/>
          <w:lang w:bidi="fa-IR"/>
        </w:rPr>
        <w:t>نیز برخلاف آنچه که صاحب مفتاح</w:t>
      </w:r>
      <w:r>
        <w:rPr>
          <w:rStyle w:val="FootnoteAnchor"/>
          <w:rtl w:val="true"/>
        </w:rPr>
        <w:footnoteReference w:id="1588"/>
      </w:r>
      <w:r>
        <w:rPr>
          <w:rFonts w:ascii="IRNazanin" w:hAnsi="IRNazanin" w:eastAsia="IRNazanin"/>
          <w:color w:val="111111"/>
          <w:sz w:val="28"/>
          <w:sz w:val="28"/>
          <w:szCs w:val="28"/>
          <w:rtl w:val="true"/>
          <w:lang w:bidi="fa-IR"/>
        </w:rPr>
        <w:t>به او نسبت داده، این است که؛ قبض شرط لزوم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جواهر ظاهر اکثر و صریح بعضی را قول به شرطیّت برای صحّت دانسته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مهذّب و سرائر نیز نقل کرده است که قبض شرط لزوم است و خود نیز آن را تقویت کرده است</w:t>
      </w:r>
      <w:r>
        <w:rPr>
          <w:rFonts w:eastAsia="IRNazanin" w:cs="IRNazanin"/>
          <w:color w:val="111111"/>
          <w:sz w:val="28"/>
          <w:szCs w:val="28"/>
          <w:rtl w:val="true"/>
          <w:lang w:bidi="fa-IR"/>
        </w:rPr>
        <w:t>.</w:t>
      </w:r>
      <w:r>
        <w:rPr>
          <w:rStyle w:val="FootnoteAnchor"/>
          <w:rtl w:val="true"/>
        </w:rPr>
        <w:footnoteReference w:id="1589"/>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 رسد همان طور که صاحب جواهر آن را تقویت کرده است و از عبارات بسیاری از فقها نیز استفاده می شود، قبض شرط لزوم است نه شرط صحّت؛ زیرا مقتضای عمومات و اطلاقات در باب عقود،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اَوْفُوا بِالْعُقُود</w:t>
      </w:r>
      <w:r>
        <w:rPr>
          <w:rFonts w:eastAsia="IRNazanin" w:cs="IRNazanin"/>
          <w:color w:val="111111"/>
          <w:sz w:val="28"/>
          <w:szCs w:val="28"/>
          <w:rtl w:val="true"/>
          <w:lang w:bidi="fa-IR"/>
        </w:rPr>
        <w:t>»</w:t>
      </w:r>
      <w:r>
        <w:rPr>
          <w:rStyle w:val="FootnoteAnchor"/>
          <w:rtl w:val="true"/>
        </w:rPr>
        <w:footnoteReference w:id="1590"/>
      </w:r>
      <w:r>
        <w:rPr>
          <w:rFonts w:ascii="IRNazanin" w:hAnsi="IRNazanin" w:eastAsia="IRNazanin"/>
          <w:color w:val="111111"/>
          <w:sz w:val="28"/>
          <w:sz w:val="28"/>
          <w:szCs w:val="28"/>
          <w:rtl w:val="true"/>
          <w:lang w:bidi="fa-IR"/>
        </w:rPr>
        <w:t>، صحّت عقد است، هرچند قبض هم صورت نگرفته باشد، چرا که بدون قبض نیز اطلاق عقد بر آنها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مشمول اطلاقات و عمومات قرار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دیدگاه قابل دفاع همان است که قبض شرط لزوم است نه شرط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شایان یادآوری است که لزوم در این امور به حسب خودشان می باشد، یعنی به مقدار زمانی که در نظر گرفته شده است یا مدّت عمر یکی از آن دو، اگر مقیّد به عمر شده باشد</w:t>
      </w:r>
      <w:r>
        <w:rPr>
          <w:rFonts w:eastAsia="IRNazanin" w:cs="IRNazanin"/>
          <w:color w:val="111111"/>
          <w:sz w:val="28"/>
          <w:szCs w:val="28"/>
          <w:rtl w:val="true"/>
          <w:lang w:bidi="fa-IR"/>
        </w:rPr>
        <w:t xml:space="preserve">. </w:t>
      </w:r>
      <w:bookmarkStart w:id="928" w:name="pg4267_22206"/>
    </w:p>
    <w:p>
      <w:pPr>
        <w:pStyle w:val="Heading6"/>
        <w:numPr>
          <w:ilvl w:val="5"/>
          <w:numId w:val="1"/>
        </w:numPr>
        <w:rPr/>
      </w:pPr>
      <w:bookmarkStart w:id="929" w:name="__RefHeading___Toc474585_1479056682"/>
      <w:bookmarkStart w:id="930" w:name="_Toc355"/>
      <w:bookmarkEnd w:id="928"/>
      <w:bookmarkEnd w:id="929"/>
      <w:r>
        <w:rPr>
          <w:rtl w:val="true"/>
        </w:rPr>
        <w:t>شرط سوم</w:t>
      </w:r>
      <w:r>
        <w:rPr>
          <w:rtl w:val="true"/>
        </w:rPr>
        <w:t xml:space="preserve">: </w:t>
      </w:r>
      <w:r>
        <w:rPr>
          <w:rtl w:val="true"/>
        </w:rPr>
        <w:t>قصد قربت</w:t>
      </w:r>
      <w:bookmarkEnd w:id="930"/>
    </w:p>
    <w:p>
      <w:pPr>
        <w:pStyle w:val="BookText"/>
        <w:rPr/>
      </w:pPr>
      <w:r>
        <w:rPr>
          <w:rFonts w:ascii="IRNazanin" w:hAnsi="IRNazanin" w:eastAsia="IRNazanin"/>
          <w:color w:val="111111"/>
          <w:sz w:val="28"/>
          <w:sz w:val="28"/>
          <w:szCs w:val="28"/>
          <w:rtl w:val="true"/>
          <w:lang w:bidi="fa-IR"/>
        </w:rPr>
        <w:t>علاّمه در قواعد نیّت قربت را در این شرط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ذیل عبارتِ</w:t>
      </w:r>
    </w:p>
    <w:p>
      <w:pPr>
        <w:pStyle w:val="BookText"/>
        <w:rPr/>
      </w:pPr>
      <w:r>
        <w:rPr>
          <w:rFonts w:ascii="IRNazanin" w:hAnsi="IRNazanin" w:eastAsia="IRNazanin"/>
          <w:color w:val="111111"/>
          <w:sz w:val="28"/>
          <w:sz w:val="28"/>
          <w:szCs w:val="28"/>
          <w:rtl w:val="true"/>
          <w:lang w:bidi="fa-IR"/>
        </w:rPr>
        <w:t>علاّمه ، آن را به صریح وسیله نسبت داده و از مقنعه، کافی، غنیه و الجامع للشّرایع نقل کرده است که؛ قربت شرط لزوم است</w:t>
      </w:r>
      <w:r>
        <w:rPr>
          <w:rFonts w:eastAsia="IRNazanin" w:cs="IRNazanin"/>
          <w:color w:val="111111"/>
          <w:sz w:val="28"/>
          <w:szCs w:val="28"/>
          <w:rtl w:val="true"/>
          <w:lang w:bidi="fa-IR"/>
        </w:rPr>
        <w:t>.</w:t>
      </w:r>
      <w:r>
        <w:rPr>
          <w:rStyle w:val="FootnoteAnchor"/>
          <w:rtl w:val="true"/>
        </w:rPr>
        <w:footnoteReference w:id="1591"/>
      </w:r>
      <w:r>
        <w:rPr>
          <w:rFonts w:ascii="IRNazanin" w:hAnsi="IRNazanin" w:eastAsia="IRNazanin"/>
          <w:color w:val="111111"/>
          <w:sz w:val="28"/>
          <w:sz w:val="28"/>
          <w:szCs w:val="28"/>
          <w:rtl w:val="true"/>
          <w:lang w:bidi="fa-IR"/>
        </w:rPr>
        <w:t>فاضل مقداد ضمن نقل قول علاّمه در قواعد، خود عدم آن را تقویت کرده است</w:t>
      </w:r>
      <w:r>
        <w:rPr>
          <w:rFonts w:eastAsia="IRNazanin" w:cs="IRNazanin"/>
          <w:color w:val="111111"/>
          <w:sz w:val="28"/>
          <w:szCs w:val="28"/>
          <w:rtl w:val="true"/>
          <w:lang w:bidi="fa-IR"/>
        </w:rPr>
        <w:t>.</w:t>
      </w:r>
      <w:r>
        <w:rPr>
          <w:rStyle w:val="FootnoteAnchor"/>
          <w:rtl w:val="true"/>
        </w:rPr>
        <w:footnoteReference w:id="1592"/>
      </w:r>
      <w:r>
        <w:rPr>
          <w:rFonts w:ascii="IRNazanin" w:hAnsi="IRNazanin" w:eastAsia="IRNazanin"/>
          <w:color w:val="111111"/>
          <w:sz w:val="28"/>
          <w:sz w:val="28"/>
          <w:szCs w:val="28"/>
          <w:rtl w:val="true"/>
          <w:lang w:bidi="fa-IR"/>
        </w:rPr>
        <w:t xml:space="preserve">صاحب جواهر نیز قول به اعتبار قربت را به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اظهار داشته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برای آن نیست</w:t>
      </w:r>
      <w:r>
        <w:rPr>
          <w:rFonts w:eastAsia="IRNazanin" w:cs="IRNazanin"/>
          <w:color w:val="111111"/>
          <w:sz w:val="28"/>
          <w:szCs w:val="28"/>
          <w:rtl w:val="true"/>
          <w:lang w:bidi="fa-IR"/>
        </w:rPr>
        <w:t>.</w:t>
      </w:r>
      <w:r>
        <w:rPr>
          <w:rStyle w:val="FootnoteAnchor"/>
          <w:rtl w:val="true"/>
        </w:rPr>
        <w:footnoteReference w:id="1593"/>
      </w:r>
      <w:r>
        <w:rPr>
          <w:rFonts w:ascii="IRNazanin" w:hAnsi="IRNazanin" w:eastAsia="IRNazanin"/>
          <w:color w:val="111111"/>
          <w:sz w:val="28"/>
          <w:sz w:val="28"/>
          <w:szCs w:val="28"/>
          <w:rtl w:val="true"/>
          <w:lang w:bidi="fa-IR"/>
        </w:rPr>
        <w:t>شهید در مسالک با استناد به این که اصحاب، ایجاب و قبول و قبض را ذکر کرده‌اند و قربت را ذکر نکرده اند ، آن را شرط صحّت ندانسته است، هر چند حصول ثواب بر آن توقّف دارد</w:t>
      </w:r>
      <w:r>
        <w:rPr>
          <w:rFonts w:eastAsia="IRNazanin" w:cs="IRNazanin"/>
          <w:color w:val="111111"/>
          <w:sz w:val="28"/>
          <w:szCs w:val="28"/>
          <w:rtl w:val="true"/>
          <w:lang w:bidi="fa-IR"/>
        </w:rPr>
        <w:t>.</w:t>
      </w:r>
      <w:r>
        <w:rPr>
          <w:rStyle w:val="FootnoteAnchor"/>
          <w:rtl w:val="true"/>
        </w:rPr>
        <w:footnoteReference w:id="1594"/>
      </w:r>
    </w:p>
    <w:p>
      <w:pPr>
        <w:pStyle w:val="BookText"/>
        <w:rPr/>
      </w:pPr>
      <w:r>
        <w:rPr>
          <w:rFonts w:ascii="IRNazanin" w:hAnsi="IRNazanin" w:eastAsia="IRNazanin"/>
          <w:color w:val="111111"/>
          <w:sz w:val="28"/>
          <w:sz w:val="28"/>
          <w:szCs w:val="28"/>
          <w:rtl w:val="true"/>
          <w:lang w:bidi="fa-IR"/>
        </w:rPr>
        <w:t>به نظر می‌رسد که اگر این امور و عقود از افراد صدقات به شمار نیایند و از آن حیث، قصد قربت در آنها شرط نباشد، مقتضای عمومات و اطلاقات باب عقود این است که قصد قربت در اینها شرط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 که اگر کسی بخواهد به ثواب برسد، عبادت بودن این امور متوقّف بر قصد قربت است</w:t>
      </w:r>
      <w:r>
        <w:rPr>
          <w:rFonts w:eastAsia="IRNazanin" w:cs="IRNazanin"/>
          <w:color w:val="111111"/>
          <w:sz w:val="28"/>
          <w:szCs w:val="28"/>
          <w:rtl w:val="true"/>
          <w:lang w:bidi="fa-IR"/>
        </w:rPr>
        <w:t>.</w:t>
      </w:r>
    </w:p>
    <w:p>
      <w:pPr>
        <w:pStyle w:val="Heading5"/>
        <w:numPr>
          <w:ilvl w:val="4"/>
          <w:numId w:val="1"/>
        </w:numPr>
        <w:rPr/>
      </w:pPr>
      <w:bookmarkStart w:id="931" w:name="__RefHeading___Toc474587_1479056682"/>
      <w:bookmarkStart w:id="932" w:name="_Toc356"/>
      <w:bookmarkEnd w:id="931"/>
      <w:r>
        <w:rPr>
          <w:rtl w:val="true"/>
        </w:rPr>
        <w:t xml:space="preserve">گفتار </w:t>
      </w:r>
      <w:r>
        <w:rPr/>
        <w:t>3</w:t>
      </w:r>
      <w:r>
        <w:rPr>
          <w:rtl w:val="true"/>
        </w:rPr>
        <w:t xml:space="preserve">- </w:t>
      </w:r>
      <w:r>
        <w:rPr>
          <w:rtl w:val="true"/>
        </w:rPr>
        <w:t>آیا اثر و فایده این عقود نقل منفعت است؟</w:t>
      </w:r>
      <w:bookmarkEnd w:id="932"/>
    </w:p>
    <w:p>
      <w:pPr>
        <w:pStyle w:val="BookText"/>
        <w:rPr/>
      </w:pPr>
      <w:r>
        <w:rPr>
          <w:rFonts w:ascii="IRNazanin" w:hAnsi="IRNazanin" w:eastAsia="IRNazanin"/>
          <w:color w:val="111111"/>
          <w:sz w:val="28"/>
          <w:sz w:val="28"/>
          <w:szCs w:val="28"/>
          <w:rtl w:val="true"/>
          <w:lang w:bidi="fa-IR"/>
        </w:rPr>
        <w:t>محقّق در شرایع، همانند بسیاری از فقها، اظهارداشته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سکنی و عمری مسلّط ساختن دیگری است بر منفعت با بقای رقبه مال بر ملکیّت مالک اصلی</w:t>
      </w:r>
      <w:r>
        <w:rPr>
          <w:rFonts w:eastAsia="IRNazanin" w:cs="IRNazanin"/>
          <w:color w:val="111111"/>
          <w:sz w:val="28"/>
          <w:szCs w:val="28"/>
          <w:rtl w:val="true"/>
          <w:lang w:bidi="fa-IR"/>
        </w:rPr>
        <w:t>.</w:t>
      </w:r>
      <w:r>
        <w:rPr>
          <w:rStyle w:val="FootnoteAnchor"/>
          <w:rtl w:val="true"/>
        </w:rPr>
        <w:footnoteReference w:id="1595"/>
      </w:r>
    </w:p>
    <w:p>
      <w:pPr>
        <w:pStyle w:val="BookText"/>
        <w:rPr/>
      </w:pPr>
      <w:r>
        <w:rPr>
          <w:rFonts w:ascii="IRNazanin" w:hAnsi="IRNazanin" w:eastAsia="IRNazanin"/>
          <w:color w:val="111111"/>
          <w:sz w:val="28"/>
          <w:sz w:val="28"/>
          <w:szCs w:val="28"/>
          <w:rtl w:val="true"/>
          <w:lang w:bidi="fa-IR"/>
        </w:rPr>
        <w:t xml:space="preserve">بنابراین آنچه در این عقود به دیگری منتقل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باب اجاره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منفعت است و مُنتقَلٌ الیه، مالک منفعت مالِ مورد سکنی ، عمری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در ذیل عبارت شرایع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مخالفی را سراغ ندارم و غرض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یادآوری این مطلب ، اشاره به مخالفت بعضی عامّه است که این عقود را در بعضی از موارد همانند هبه می دانند که ملک نیز به ساکن منتقل </w:t>
      </w:r>
      <w:bookmarkStart w:id="933" w:name="pg4267_22208"/>
    </w:p>
    <w:p>
      <w:pPr>
        <w:pStyle w:val="BookText"/>
        <w:rPr/>
      </w:pPr>
      <w:bookmarkEnd w:id="933"/>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Style w:val="FootnoteAnchor"/>
          <w:rtl w:val="true"/>
        </w:rPr>
        <w:footnoteReference w:id="1596"/>
      </w:r>
    </w:p>
    <w:p>
      <w:pPr>
        <w:pStyle w:val="BookText"/>
        <w:rPr/>
      </w:pPr>
      <w:r>
        <w:rPr>
          <w:rFonts w:ascii="IRNazanin" w:hAnsi="IRNazanin" w:eastAsia="IRNazanin"/>
          <w:color w:val="111111"/>
          <w:sz w:val="28"/>
          <w:sz w:val="28"/>
          <w:szCs w:val="28"/>
          <w:rtl w:val="true"/>
          <w:lang w:bidi="fa-IR"/>
        </w:rPr>
        <w:t>علاّمه در قواعد و تذکره و محقّق ثانی در جامع‌المقاصد فایده این عقود را انتقال منافع دانسته‌اند</w:t>
      </w:r>
      <w:r>
        <w:rPr>
          <w:rFonts w:eastAsia="IRNazanin" w:cs="IRNazanin"/>
          <w:color w:val="111111"/>
          <w:sz w:val="28"/>
          <w:szCs w:val="28"/>
          <w:rtl w:val="true"/>
          <w:lang w:bidi="fa-IR"/>
        </w:rPr>
        <w:t>.</w:t>
      </w:r>
      <w:r>
        <w:rPr>
          <w:rStyle w:val="FootnoteAnchor"/>
          <w:rtl w:val="true"/>
        </w:rPr>
        <w:footnoteReference w:id="1597"/>
      </w:r>
    </w:p>
    <w:p>
      <w:pPr>
        <w:pStyle w:val="BookText"/>
        <w:rPr/>
      </w:pPr>
      <w:r>
        <w:rPr>
          <w:rFonts w:ascii="IRNazanin" w:hAnsi="IRNazanin" w:eastAsia="IRNazanin"/>
          <w:color w:val="111111"/>
          <w:sz w:val="28"/>
          <w:sz w:val="28"/>
          <w:szCs w:val="28"/>
          <w:rtl w:val="true"/>
          <w:lang w:bidi="fa-IR"/>
        </w:rPr>
        <w:t>صاحب مفتاح در ذیل عبارتِ قواعد، در این مسأله ادّعای عدم خلاف،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فاضل مقداد از ادلّه عدم انتقال ملک را اصل بقای ملک برای مالک اوّل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ظاهر شیخ را عدم رجوع ملک به مالک اوّل دانسته است و دلیل شیخ را حدیث نبوی صلی‌الله‌علیه‌و‌آله از جابر ذکر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مالی به عنوان عمری به او داده شده است، آن مال برای خود اوست و به مُعطی باز نمی‌گردد</w:t>
      </w:r>
      <w:r>
        <w:rPr>
          <w:rFonts w:eastAsia="IRNazanin" w:cs="IRNazanin"/>
          <w:color w:val="111111"/>
          <w:sz w:val="28"/>
          <w:szCs w:val="28"/>
          <w:rtl w:val="true"/>
          <w:lang w:bidi="fa-IR"/>
        </w:rPr>
        <w:t>».</w:t>
      </w:r>
      <w:r>
        <w:rPr>
          <w:rStyle w:val="FootnoteAnchor"/>
          <w:rtl w:val="true"/>
        </w:rPr>
        <w:footnoteReference w:id="1598"/>
      </w:r>
    </w:p>
    <w:p>
      <w:pPr>
        <w:pStyle w:val="BookText"/>
        <w:rPr/>
      </w:pPr>
      <w:r>
        <w:rPr>
          <w:rFonts w:ascii="IRNazanin" w:hAnsi="IRNazanin" w:eastAsia="IRNazanin"/>
          <w:color w:val="111111"/>
          <w:sz w:val="28"/>
          <w:sz w:val="28"/>
          <w:szCs w:val="28"/>
          <w:rtl w:val="true"/>
          <w:lang w:bidi="fa-IR"/>
        </w:rPr>
        <w:t>خلاصه آنچه در این عقود منتقل می شود منفعت است نه رقبه 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شیخ به آن استدلال کرده است، نیز عامی است</w:t>
      </w:r>
      <w:r>
        <w:rPr>
          <w:rFonts w:eastAsia="IRNazanin" w:cs="IRNazanin"/>
          <w:color w:val="111111"/>
          <w:sz w:val="28"/>
          <w:szCs w:val="28"/>
          <w:rtl w:val="true"/>
          <w:lang w:bidi="fa-IR"/>
        </w:rPr>
        <w:t>.</w:t>
      </w:r>
    </w:p>
    <w:p>
      <w:pPr>
        <w:pStyle w:val="Heading5"/>
        <w:numPr>
          <w:ilvl w:val="4"/>
          <w:numId w:val="1"/>
        </w:numPr>
        <w:rPr/>
      </w:pPr>
      <w:bookmarkStart w:id="934" w:name="__RefHeading___Toc474589_1479056682"/>
      <w:bookmarkStart w:id="935" w:name="_Toc357"/>
      <w:bookmarkEnd w:id="934"/>
      <w:r>
        <w:rPr>
          <w:rtl w:val="true"/>
        </w:rPr>
        <w:t xml:space="preserve">گفتار </w:t>
      </w:r>
      <w:r>
        <w:rPr/>
        <w:t>4</w:t>
      </w:r>
      <w:r>
        <w:rPr>
          <w:rtl w:val="true"/>
        </w:rPr>
        <w:t xml:space="preserve">- </w:t>
      </w:r>
      <w:r>
        <w:rPr>
          <w:rtl w:val="true"/>
        </w:rPr>
        <w:t>مواردی که متعلّقِ سکنی، عمری و رقبی قرار می‌گیرند</w:t>
      </w:r>
      <w:bookmarkEnd w:id="935"/>
    </w:p>
    <w:p>
      <w:pPr>
        <w:pStyle w:val="BookText"/>
        <w:rPr/>
      </w:pPr>
      <w:r>
        <w:rPr>
          <w:rFonts w:ascii="IRNazanin" w:hAnsi="IRNazanin" w:eastAsia="IRNazanin"/>
          <w:color w:val="111111"/>
          <w:sz w:val="28"/>
          <w:sz w:val="28"/>
          <w:szCs w:val="28"/>
          <w:rtl w:val="true"/>
          <w:lang w:bidi="fa-IR"/>
        </w:rPr>
        <w:t>سکنی، چنان که از نامش پیداست، مربوط به مساکن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عمری و رقبی فقها اظهار داشته اندکه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وقف آن صحیح است، یعنی عینی که با بقای آن قابل انتفاع باشد، اعمار و ارقاب آن نیز صحیح است</w:t>
      </w:r>
      <w:r>
        <w:rPr>
          <w:rFonts w:eastAsia="IRNazanin" w:cs="IRNazanin"/>
          <w:color w:val="111111"/>
          <w:sz w:val="28"/>
          <w:szCs w:val="28"/>
          <w:rtl w:val="true"/>
          <w:lang w:bidi="fa-IR"/>
        </w:rPr>
        <w:t>.</w:t>
      </w:r>
      <w:r>
        <w:rPr>
          <w:rStyle w:val="FootnoteAnchor"/>
          <w:rtl w:val="true"/>
        </w:rPr>
        <w:footnoteReference w:id="1599"/>
      </w:r>
      <w:r>
        <w:rPr>
          <w:rFonts w:ascii="IRNazanin" w:hAnsi="IRNazanin" w:eastAsia="IRNazanin"/>
          <w:color w:val="111111"/>
          <w:sz w:val="28"/>
          <w:sz w:val="28"/>
          <w:szCs w:val="28"/>
          <w:rtl w:val="true"/>
          <w:lang w:bidi="fa-IR"/>
        </w:rPr>
        <w:t>صاحب جواهر ضمن انتساب این قول به صریح کثیری از اصحاب،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مخالفی را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ظاهر تذکره برای این قول، نقل اجماع کرده است</w:t>
      </w:r>
      <w:r>
        <w:rPr>
          <w:rFonts w:eastAsia="IRNazanin" w:cs="IRNazanin"/>
          <w:color w:val="111111"/>
          <w:sz w:val="28"/>
          <w:szCs w:val="28"/>
          <w:rtl w:val="true"/>
          <w:lang w:bidi="fa-IR"/>
        </w:rPr>
        <w:t xml:space="preserve">. </w:t>
      </w:r>
      <w:r>
        <w:rPr>
          <w:rStyle w:val="FootnoteAnchor"/>
          <w:rtl w:val="true"/>
        </w:rPr>
        <w:footnoteReference w:id="1600"/>
      </w:r>
    </w:p>
    <w:p>
      <w:pPr>
        <w:pStyle w:val="BookText"/>
        <w:rPr/>
      </w:pPr>
      <w:r>
        <w:rPr>
          <w:rFonts w:ascii="IRNazanin" w:hAnsi="IRNazanin" w:eastAsia="IRNazanin"/>
          <w:color w:val="111111"/>
          <w:sz w:val="28"/>
          <w:sz w:val="28"/>
          <w:szCs w:val="28"/>
          <w:rtl w:val="true"/>
          <w:lang w:bidi="fa-IR"/>
        </w:rPr>
        <w:t xml:space="preserve">از دلایل این دسته از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امور نوعی عاریه و یا نوعی صدقه‌اند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هر موردی که بتوان با بقاو دوام عینی از آن بهره مشروع برد، صحیح</w:t>
      </w:r>
    </w:p>
    <w:p>
      <w:pPr>
        <w:pStyle w:val="BookText"/>
        <w:rPr/>
      </w:pPr>
      <w:r>
        <w:rPr>
          <w:rFonts w:ascii="IRNazanin" w:hAnsi="IRNazanin" w:eastAsia="IRNazanin"/>
          <w:color w:val="111111"/>
          <w:sz w:val="28"/>
          <w:sz w:val="28"/>
          <w:szCs w:val="28"/>
          <w:rtl w:val="true"/>
          <w:lang w:bidi="fa-IR"/>
        </w:rPr>
        <w:t>خواهند بود</w:t>
      </w:r>
      <w:r>
        <w:rPr>
          <w:rFonts w:eastAsia="IRNazanin" w:cs="IRNazanin"/>
          <w:color w:val="111111"/>
          <w:sz w:val="28"/>
          <w:szCs w:val="28"/>
          <w:rtl w:val="true"/>
          <w:lang w:bidi="fa-IR"/>
        </w:rPr>
        <w:t>.</w:t>
      </w:r>
      <w:r>
        <w:rPr>
          <w:rStyle w:val="FootnoteAnchor"/>
          <w:rtl w:val="true"/>
        </w:rPr>
        <w:footnoteReference w:id="1601"/>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دیگر، روایات این باب هستند، زیرا روایات در موارد مختلفی چون دار، غلام و </w:t>
      </w:r>
      <w:bookmarkStart w:id="936" w:name="pg4267_22210"/>
    </w:p>
    <w:p>
      <w:pPr>
        <w:pStyle w:val="BookText"/>
        <w:rPr/>
      </w:pPr>
      <w:bookmarkEnd w:id="936"/>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شده‌اند</w:t>
      </w:r>
      <w:r>
        <w:rPr>
          <w:rFonts w:eastAsia="IRNazanin" w:cs="IRNazanin"/>
          <w:color w:val="111111"/>
          <w:sz w:val="28"/>
          <w:szCs w:val="28"/>
          <w:rtl w:val="true"/>
          <w:lang w:bidi="fa-IR"/>
        </w:rPr>
        <w:t xml:space="preserve">. </w:t>
      </w:r>
      <w:r>
        <w:rPr>
          <w:rStyle w:val="FootnoteAnchor"/>
          <w:rtl w:val="true"/>
        </w:rPr>
        <w:footnoteReference w:id="1602"/>
      </w:r>
    </w:p>
    <w:p>
      <w:pPr>
        <w:pStyle w:val="Heading5"/>
        <w:numPr>
          <w:ilvl w:val="4"/>
          <w:numId w:val="1"/>
        </w:numPr>
        <w:rPr/>
      </w:pPr>
      <w:bookmarkStart w:id="937" w:name="__RefHeading___Toc474591_1479056682"/>
      <w:bookmarkStart w:id="938" w:name="_Toc358"/>
      <w:bookmarkEnd w:id="937"/>
      <w:r>
        <w:rPr>
          <w:rtl w:val="true"/>
        </w:rPr>
        <w:t xml:space="preserve">گفتار </w:t>
      </w:r>
      <w:r>
        <w:rPr/>
        <w:t>5</w:t>
      </w:r>
      <w:r>
        <w:rPr>
          <w:rtl w:val="true"/>
        </w:rPr>
        <w:t xml:space="preserve">- </w:t>
      </w:r>
      <w:r>
        <w:rPr>
          <w:rtl w:val="true"/>
        </w:rPr>
        <w:t>قلمرو استفاده ساکن مُعمَر</w:t>
      </w:r>
      <w:r>
        <w:rPr>
          <w:rtl w:val="true"/>
        </w:rPr>
        <w:t>...</w:t>
      </w:r>
      <w:bookmarkEnd w:id="938"/>
    </w:p>
    <w:p>
      <w:pPr>
        <w:pStyle w:val="BookText"/>
        <w:rPr/>
      </w:pPr>
      <w:r>
        <w:rPr>
          <w:rFonts w:ascii="IRNazanin" w:hAnsi="IRNazanin" w:eastAsia="IRNazanin"/>
          <w:color w:val="111111"/>
          <w:sz w:val="28"/>
          <w:sz w:val="28"/>
          <w:szCs w:val="28"/>
          <w:rtl w:val="true"/>
          <w:lang w:bidi="fa-IR"/>
        </w:rPr>
        <w:t>بدون تردید فردی که منفعت با یکی از این عقود به او انتقال یافته است می تواند از این منافع انتفاع ببرد و اهل عیال خود را در آن جا اسکان دهد، امّا آیا حق نقل آن منافع را به دیگران، در شکل اجاره، عاریه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دارد یا خیر؟</w:t>
      </w:r>
    </w:p>
    <w:p>
      <w:pPr>
        <w:pStyle w:val="BookText"/>
        <w:rPr/>
      </w:pPr>
      <w:r>
        <w:rPr>
          <w:rFonts w:ascii="IRNazanin" w:hAnsi="IRNazanin" w:eastAsia="IRNazanin"/>
          <w:color w:val="111111"/>
          <w:sz w:val="28"/>
          <w:sz w:val="28"/>
          <w:szCs w:val="28"/>
          <w:rtl w:val="true"/>
          <w:lang w:bidi="fa-IR"/>
        </w:rPr>
        <w:t>صاحب مفاتیح و شهید ثانی در مسالک اظهار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حق استفاده به</w:t>
      </w:r>
    </w:p>
    <w:p>
      <w:pPr>
        <w:pStyle w:val="BookText"/>
        <w:rPr/>
      </w:pPr>
      <w:r>
        <w:rPr>
          <w:rFonts w:ascii="IRNazanin" w:hAnsi="IRNazanin" w:eastAsia="IRNazanin"/>
          <w:color w:val="111111"/>
          <w:sz w:val="28"/>
          <w:sz w:val="28"/>
          <w:szCs w:val="28"/>
          <w:rtl w:val="true"/>
          <w:lang w:bidi="fa-IR"/>
        </w:rPr>
        <w:t>همین مقدار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در عقد شرط شده باشد که مثلاً ساکن حق اجاره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اصل عصمت و عدم جواز تصرّف در ملک دیگران بدون اذن آنهاست</w:t>
      </w:r>
      <w:r>
        <w:rPr>
          <w:rFonts w:eastAsia="IRNazanin" w:cs="IRNazanin"/>
          <w:color w:val="111111"/>
          <w:sz w:val="28"/>
          <w:szCs w:val="28"/>
          <w:rtl w:val="true"/>
          <w:lang w:bidi="fa-IR"/>
        </w:rPr>
        <w:t>.</w:t>
      </w:r>
      <w:r>
        <w:rPr>
          <w:rStyle w:val="FootnoteAnchor"/>
          <w:rtl w:val="true"/>
        </w:rPr>
        <w:footnoteReference w:id="1603"/>
      </w:r>
    </w:p>
    <w:p>
      <w:pPr>
        <w:pStyle w:val="BookText"/>
        <w:rPr/>
      </w:pPr>
      <w:r>
        <w:rPr>
          <w:rFonts w:ascii="IRNazanin" w:hAnsi="IRNazanin" w:eastAsia="IRNazanin"/>
          <w:color w:val="111111"/>
          <w:sz w:val="28"/>
          <w:sz w:val="28"/>
          <w:szCs w:val="28"/>
          <w:rtl w:val="true"/>
          <w:lang w:bidi="fa-IR"/>
        </w:rPr>
        <w:t>محقّق در شرایع و مختصر، علاّمه در تذکره و قواعد و محقّق ثانی، نیز همین قول را برگزیده‌اند</w:t>
      </w:r>
      <w:r>
        <w:rPr>
          <w:rFonts w:eastAsia="IRNazanin" w:cs="IRNazanin"/>
          <w:color w:val="111111"/>
          <w:sz w:val="28"/>
          <w:szCs w:val="28"/>
          <w:rtl w:val="true"/>
          <w:lang w:bidi="fa-IR"/>
        </w:rPr>
        <w:t>.</w:t>
      </w:r>
      <w:r>
        <w:rPr>
          <w:rStyle w:val="FootnoteAnchor"/>
          <w:rtl w:val="true"/>
        </w:rPr>
        <w:footnoteReference w:id="1604"/>
      </w:r>
      <w:r>
        <w:rPr>
          <w:rFonts w:ascii="IRNazanin" w:hAnsi="IRNazanin" w:eastAsia="IRNazanin"/>
          <w:color w:val="111111"/>
          <w:sz w:val="28"/>
          <w:sz w:val="28"/>
          <w:szCs w:val="28"/>
          <w:rtl w:val="true"/>
          <w:lang w:bidi="fa-IR"/>
        </w:rPr>
        <w:t>علاّمه در تذکره و محقّق افرادی را که عادت بر سکونت آنها جاری است نیز به همسر و فرزندان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ادریس با این نظر مخالفت کرده و اجازه</w:t>
      </w:r>
    </w:p>
    <w:p>
      <w:pPr>
        <w:pStyle w:val="BookText"/>
        <w:rPr/>
      </w:pPr>
      <w:r>
        <w:rPr>
          <w:rFonts w:ascii="IRNazanin" w:hAnsi="IRNazanin" w:eastAsia="IRNazanin"/>
          <w:color w:val="111111"/>
          <w:sz w:val="28"/>
          <w:sz w:val="28"/>
          <w:szCs w:val="28"/>
          <w:rtl w:val="true"/>
          <w:lang w:bidi="fa-IR"/>
        </w:rPr>
        <w:t>اجاره و نقل منافع را به هر شکل که بخواهد، داده است</w:t>
      </w:r>
      <w:r>
        <w:rPr>
          <w:rFonts w:eastAsia="IRNazanin" w:cs="IRNazanin"/>
          <w:color w:val="111111"/>
          <w:sz w:val="28"/>
          <w:szCs w:val="28"/>
          <w:rtl w:val="true"/>
          <w:lang w:bidi="fa-IR"/>
        </w:rPr>
        <w:t>.</w:t>
      </w:r>
      <w:r>
        <w:rPr>
          <w:rStyle w:val="FootnoteAnchor"/>
          <w:rtl w:val="true"/>
        </w:rPr>
        <w:footnoteReference w:id="1605"/>
      </w:r>
    </w:p>
    <w:p>
      <w:pPr>
        <w:pStyle w:val="BookText"/>
        <w:rPr/>
      </w:pPr>
      <w:r>
        <w:rPr>
          <w:rFonts w:ascii="IRNazanin" w:hAnsi="IRNazanin" w:eastAsia="IRNazanin"/>
          <w:color w:val="111111"/>
          <w:sz w:val="28"/>
          <w:sz w:val="28"/>
          <w:szCs w:val="28"/>
          <w:rtl w:val="true"/>
          <w:lang w:bidi="fa-IR"/>
        </w:rPr>
        <w:t>به نظر می‌رسد در این مسأله، چنان که صاحب مفاتیح و صاحب مسالک نیز اظهار</w:t>
      </w:r>
    </w:p>
    <w:p>
      <w:pPr>
        <w:pStyle w:val="BookText"/>
        <w:rPr/>
      </w:pPr>
      <w:r>
        <w:rPr>
          <w:rFonts w:ascii="IRNazanin" w:hAnsi="IRNazanin" w:eastAsia="IRNazanin"/>
          <w:color w:val="111111"/>
          <w:sz w:val="28"/>
          <w:sz w:val="28"/>
          <w:szCs w:val="28"/>
          <w:rtl w:val="true"/>
          <w:lang w:bidi="fa-IR"/>
        </w:rPr>
        <w:t>داشته اند، دیدگاه ابن ادریس از قوّت بیشتری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فیض قول مشهور را احوط دانسته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العمل علی المشهور</w:t>
      </w:r>
      <w:r>
        <w:rPr>
          <w:rFonts w:eastAsia="IRNazanin" w:cs="IRNazanin"/>
          <w:color w:val="111111"/>
          <w:sz w:val="28"/>
          <w:szCs w:val="28"/>
          <w:rtl w:val="true"/>
          <w:lang w:bidi="fa-IR"/>
        </w:rPr>
        <w:t>».</w:t>
      </w:r>
      <w:r>
        <w:rPr>
          <w:rStyle w:val="FootnoteAnchor"/>
          <w:rtl w:val="true"/>
        </w:rPr>
        <w:footnoteReference w:id="1606"/>
      </w:r>
    </w:p>
    <w:p>
      <w:pPr>
        <w:pStyle w:val="BookText"/>
        <w:rPr/>
      </w:pPr>
      <w:r>
        <w:rPr>
          <w:rFonts w:ascii="IRNazanin" w:hAnsi="IRNazanin" w:eastAsia="IRNazanin"/>
          <w:color w:val="111111"/>
          <w:sz w:val="28"/>
          <w:sz w:val="28"/>
          <w:szCs w:val="28"/>
          <w:rtl w:val="true"/>
          <w:lang w:bidi="fa-IR"/>
        </w:rPr>
        <w:t>دلیل این قوّت همان است که ابن ادریس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غیر مالک با عقد مسکن، عمری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منافع را مالک شده است و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در موارد استثنا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از اموال خود، هر طور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انتفاع ببرد یا</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شکل اجاره، عاریه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دیگری منتقل کند</w:t>
      </w:r>
      <w:r>
        <w:rPr>
          <w:rFonts w:eastAsia="IRNazanin" w:cs="IRNazanin"/>
          <w:color w:val="111111"/>
          <w:sz w:val="28"/>
          <w:szCs w:val="28"/>
          <w:rtl w:val="true"/>
          <w:lang w:bidi="fa-IR"/>
        </w:rPr>
        <w:t xml:space="preserve">. </w:t>
      </w:r>
      <w:bookmarkStart w:id="939" w:name="pg4267_22212"/>
    </w:p>
    <w:p>
      <w:pPr>
        <w:pStyle w:val="BookText"/>
        <w:rPr/>
      </w:pPr>
      <w:bookmarkEnd w:id="939"/>
      <w:r>
        <w:rPr>
          <w:rFonts w:ascii="IRNazanin" w:hAnsi="IRNazanin" w:eastAsia="IRNazanin"/>
          <w:color w:val="111111"/>
          <w:sz w:val="28"/>
          <w:sz w:val="28"/>
          <w:szCs w:val="28"/>
          <w:rtl w:val="true"/>
          <w:lang w:bidi="fa-IR"/>
        </w:rPr>
        <w:t>امّا استدلال برای قول مشهور به اصل عصمت مال دیگران از جواز تصرّف ، موضوعا منتفی است، زیرا در این موارد، هر چند رقبه مال از آن مالک اوّل است و بجز خودش کسی حق تصرّف ناقل در آن را ندارد؛ امّا منفعت آن، فرض این است که به دیگری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چرا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همانند باب اجاره، نتواند در آن تصرّف ناقل بنماید؟</w:t>
      </w:r>
    </w:p>
    <w:p>
      <w:pPr>
        <w:pStyle w:val="BookText"/>
        <w:rPr/>
      </w:pPr>
      <w:r>
        <w:rPr>
          <w:rFonts w:ascii="IRNazanin" w:hAnsi="IRNazanin" w:eastAsia="IRNazanin"/>
          <w:color w:val="111111"/>
          <w:sz w:val="28"/>
          <w:sz w:val="28"/>
          <w:szCs w:val="28"/>
          <w:rtl w:val="true"/>
          <w:lang w:bidi="fa-IR"/>
        </w:rPr>
        <w:t xml:space="preserve">عموماتی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عَلی اَمْوْالِهِمْ</w:t>
      </w:r>
      <w:r>
        <w:rPr>
          <w:rFonts w:eastAsia="IRNazanin" w:cs="IRNazanin"/>
          <w:color w:val="111111"/>
          <w:sz w:val="28"/>
          <w:szCs w:val="28"/>
          <w:rtl w:val="true"/>
          <w:lang w:bidi="fa-IR"/>
        </w:rPr>
        <w:t>»</w:t>
      </w:r>
      <w:r>
        <w:rPr>
          <w:rStyle w:val="FootnoteAnchor"/>
          <w:rtl w:val="true"/>
        </w:rPr>
        <w:footnoteReference w:id="1607"/>
      </w:r>
      <w:r>
        <w:rPr>
          <w:rFonts w:ascii="IRNazanin" w:hAnsi="IRNazanin" w:eastAsia="IRNazanin"/>
          <w:color w:val="111111"/>
          <w:sz w:val="28"/>
          <w:sz w:val="28"/>
          <w:szCs w:val="28"/>
          <w:rtl w:val="true"/>
          <w:lang w:bidi="fa-IR"/>
        </w:rPr>
        <w:t>نیز این موارد را در بر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مالک شرط کرده باشد که حق نقل منفعت به دیگری را ندارد، مسأله صورت دیگری پیدا می کند</w:t>
      </w:r>
      <w:r>
        <w:rPr>
          <w:rFonts w:eastAsia="IRNazanin" w:cs="IRNazanin"/>
          <w:color w:val="111111"/>
          <w:sz w:val="28"/>
          <w:szCs w:val="28"/>
          <w:rtl w:val="true"/>
          <w:lang w:bidi="fa-IR"/>
        </w:rPr>
        <w:t>.</w:t>
      </w:r>
    </w:p>
    <w:p>
      <w:pPr>
        <w:pStyle w:val="Heading5"/>
        <w:numPr>
          <w:ilvl w:val="4"/>
          <w:numId w:val="1"/>
        </w:numPr>
        <w:rPr/>
      </w:pPr>
      <w:bookmarkStart w:id="940" w:name="__RefHeading___Toc474593_1479056682"/>
      <w:bookmarkStart w:id="941" w:name="_Toc359"/>
      <w:bookmarkEnd w:id="940"/>
      <w:r>
        <w:rPr>
          <w:rtl w:val="true"/>
        </w:rPr>
        <w:t xml:space="preserve">گفتار </w:t>
      </w:r>
      <w:r>
        <w:rPr/>
        <w:t>6</w:t>
      </w:r>
      <w:r>
        <w:rPr>
          <w:rtl w:val="true"/>
        </w:rPr>
        <w:t xml:space="preserve">- </w:t>
      </w:r>
      <w:r>
        <w:rPr>
          <w:rtl w:val="true"/>
        </w:rPr>
        <w:t>آیا قبل از انقضای مدّت مقرر، مالک حق بیع و</w:t>
      </w:r>
      <w:r>
        <w:rPr>
          <w:rtl w:val="true"/>
        </w:rPr>
        <w:t xml:space="preserve">... </w:t>
      </w:r>
      <w:r>
        <w:rPr>
          <w:rtl w:val="true"/>
        </w:rPr>
        <w:t>دارد؟</w:t>
      </w:r>
      <w:bookmarkEnd w:id="941"/>
    </w:p>
    <w:p>
      <w:pPr>
        <w:pStyle w:val="BookText"/>
        <w:rPr/>
      </w:pPr>
      <w:r>
        <w:rPr>
          <w:rFonts w:ascii="IRNazanin" w:hAnsi="IRNazanin" w:eastAsia="IRNazanin"/>
          <w:color w:val="111111"/>
          <w:sz w:val="28"/>
          <w:sz w:val="28"/>
          <w:szCs w:val="28"/>
          <w:rtl w:val="true"/>
          <w:lang w:bidi="fa-IR"/>
        </w:rPr>
        <w:t>جمهور فقها بیع را صحیح می دانند، هر چند ممکن است در مواردی که مقیّد به عمر شده است اشکالِ عدم تعیین زمان تحویل آن به مشتری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مالک محجور نیست و حق بیع و نقل ملک خویش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بحث این است که آیا این عقود با بیع مالک باطل می‌شوند یا خیر؟ جمهور فقها این عقود را باطل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در شرایع تصریح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یَبطُلُ بِالْبَیْع</w:t>
      </w:r>
      <w:r>
        <w:rPr>
          <w:rFonts w:eastAsia="IRNazanin" w:cs="IRNazanin"/>
          <w:color w:val="111111"/>
          <w:sz w:val="28"/>
          <w:szCs w:val="28"/>
          <w:rtl w:val="true"/>
          <w:lang w:bidi="fa-IR"/>
        </w:rPr>
        <w:t>»</w:t>
      </w:r>
      <w:r>
        <w:rPr>
          <w:rStyle w:val="FootnoteAnchor"/>
          <w:rtl w:val="true"/>
        </w:rPr>
        <w:footnoteReference w:id="1608"/>
      </w:r>
      <w:r>
        <w:rPr>
          <w:rFonts w:ascii="IRNazanin" w:hAnsi="IRNazanin" w:eastAsia="IRNazanin"/>
          <w:color w:val="111111"/>
          <w:sz w:val="28"/>
          <w:sz w:val="28"/>
          <w:szCs w:val="28"/>
          <w:rtl w:val="true"/>
          <w:lang w:bidi="fa-IR"/>
        </w:rPr>
        <w:t>صاحب جواهر در ذیل این عبارت،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مخالفی را سراغ ندارم بلکه ادّعای تحصیل اجماع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این که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بقای مالکیّت ساکن، مُعمَر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لزوم این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قبلاً به‌آنها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بر عدم بطلان دلالت دارند</w:t>
      </w:r>
      <w:r>
        <w:rPr>
          <w:rFonts w:eastAsia="IRNazanin" w:cs="IRNazanin"/>
          <w:color w:val="111111"/>
          <w:sz w:val="28"/>
          <w:szCs w:val="28"/>
          <w:rtl w:val="true"/>
          <w:lang w:bidi="fa-IR"/>
        </w:rPr>
        <w:t xml:space="preserve">. </w:t>
      </w:r>
      <w:r>
        <w:rPr>
          <w:rStyle w:val="FootnoteAnchor"/>
          <w:rtl w:val="true"/>
        </w:rPr>
        <w:footnoteReference w:id="1609"/>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فاضل مقداد ضمن تصریح به اجماع به روایت حسین بن نعیم از امام کاظم علیه‌السلام</w:t>
      </w:r>
      <w:r>
        <w:rPr>
          <w:rStyle w:val="FootnoteAnchor"/>
          <w:rtl w:val="true"/>
        </w:rPr>
        <w:footnoteReference w:id="1610"/>
      </w:r>
      <w:r>
        <w:rPr>
          <w:rFonts w:ascii="IRNazanin" w:hAnsi="IRNazanin" w:eastAsia="IRNazanin"/>
          <w:color w:val="111111"/>
          <w:sz w:val="28"/>
          <w:sz w:val="28"/>
          <w:szCs w:val="28"/>
          <w:rtl w:val="true"/>
          <w:lang w:bidi="fa-IR"/>
        </w:rPr>
        <w:t>استناد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این که؛ منافع این ملک تا پایان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انقضای مدّت معیّن شده، ملک دیگری است و غیر از خود او کسی، حتّی مالک رقبه مال نیز بر </w:t>
      </w:r>
      <w:bookmarkStart w:id="942" w:name="pg4267_22214"/>
    </w:p>
    <w:p>
      <w:pPr>
        <w:pStyle w:val="BookText"/>
        <w:rPr/>
      </w:pPr>
      <w:bookmarkEnd w:id="942"/>
      <w:r>
        <w:rPr>
          <w:rFonts w:ascii="IRNazanin" w:hAnsi="IRNazanin" w:eastAsia="IRNazanin"/>
          <w:color w:val="111111"/>
          <w:sz w:val="28"/>
          <w:sz w:val="28"/>
          <w:szCs w:val="28"/>
          <w:rtl w:val="true"/>
          <w:lang w:bidi="fa-IR"/>
        </w:rPr>
        <w:t>آن سلطه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همانند باب اجاره که اگر موجر ملک مورد اجاره را بفروشد هم بیع صحیح است و هم اجاره باطل نمی شود و مستأجر تا پایان مدّت اجاره حق استیفای منافع خودش را دارد، در این موارد نیز بیع و مانند آن از سوی مالک با عدم بطلان عقد سکنی ، عمری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استیفای منافع توسّط ساکن و معمر،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صورتی که سکنی،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ذکر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سکنای مطلق را لازم ندانیم و یا به همان مقدار تحقّق مسمّای اسکان لازم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مقدار حاصل شده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فروش عین مورد نظر به معنای فسخ عقد باشد، هر چند در این موارد نیز بیع، صریح در فسخ نیست</w:t>
      </w:r>
      <w:r>
        <w:rPr>
          <w:rFonts w:eastAsia="IRNazanin" w:cs="IRNazanin"/>
          <w:color w:val="111111"/>
          <w:sz w:val="28"/>
          <w:szCs w:val="28"/>
          <w:rtl w:val="true"/>
          <w:lang w:bidi="fa-IR"/>
        </w:rPr>
        <w:t>.</w:t>
      </w:r>
    </w:p>
    <w:p>
      <w:pPr>
        <w:pStyle w:val="Heading5"/>
        <w:numPr>
          <w:ilvl w:val="4"/>
          <w:numId w:val="1"/>
        </w:numPr>
        <w:rPr/>
      </w:pPr>
      <w:bookmarkStart w:id="943" w:name="__RefHeading___Toc474595_1479056682"/>
      <w:bookmarkStart w:id="944" w:name="_Toc360"/>
      <w:bookmarkEnd w:id="943"/>
      <w:r>
        <w:rPr>
          <w:rtl w:val="true"/>
        </w:rPr>
        <w:t xml:space="preserve">گفتار </w:t>
      </w:r>
      <w:r>
        <w:rPr/>
        <w:t>7</w:t>
      </w:r>
      <w:r>
        <w:rPr>
          <w:rtl w:val="true"/>
        </w:rPr>
        <w:t xml:space="preserve">- </w:t>
      </w:r>
      <w:r>
        <w:rPr>
          <w:rtl w:val="true"/>
        </w:rPr>
        <w:t>حکم این عقود در صورت مرگ یکی از متعاقدین</w:t>
      </w:r>
      <w:bookmarkEnd w:id="944"/>
    </w:p>
    <w:p>
      <w:pPr>
        <w:pStyle w:val="BookText"/>
        <w:rPr/>
      </w:pPr>
      <w:r>
        <w:rPr>
          <w:rFonts w:ascii="IRNazanin" w:hAnsi="IRNazanin" w:eastAsia="IRNazanin"/>
          <w:color w:val="111111"/>
          <w:sz w:val="28"/>
          <w:sz w:val="28"/>
          <w:szCs w:val="28"/>
          <w:rtl w:val="true"/>
          <w:lang w:bidi="fa-IR"/>
        </w:rPr>
        <w:t>از آن جا که این عقود، چنان که گذشت، از عقود لازمه هستند، تا زمان مقرّر و مقدّر در عقد، هیچ کس حق اخراج و جلوگیری آنها را از استیفای منافع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اگر به عمر ساکن یا مُعمَر محدود شده باشد، در صورت مرگ مالک، ورثه او حق باز پس گرفتن ملک خود را، قبل از پایان عمر دیگری،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شخص ساکن یا معمر بمیرد ورثه او از منافع استفاده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مواردی که این عقود دارای زمان معیّنی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تا قبل از انقضای این مدّت، منافع از آن ساکن و مُعمَر و بعد از وی ملک ورثه اش خواهد بود و مالک و ورثه او حق اخراج و سلب منافع از آنان را نخواهند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شیخ مفید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اسکان بر وجه صدقه و برای خدا نباشد و برای امری از امور دنیوی باشد، مالک هر وقت بخواهد حق اخراج او را خواهد داشت</w:t>
      </w:r>
      <w:r>
        <w:rPr>
          <w:rFonts w:eastAsia="IRNazanin" w:cs="IRNazanin"/>
          <w:color w:val="111111"/>
          <w:sz w:val="28"/>
          <w:szCs w:val="28"/>
          <w:rtl w:val="true"/>
          <w:lang w:bidi="fa-IR"/>
        </w:rPr>
        <w:t>.</w:t>
      </w:r>
      <w:r>
        <w:rPr>
          <w:rStyle w:val="FootnoteAnchor"/>
          <w:rtl w:val="true"/>
        </w:rPr>
        <w:footnoteReference w:id="1611"/>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مشهور چنین حقّی را برای مالک قایل نیستند، زیرا فرض این است که این عقود، صحیح واقع شده اند، لازم هم هستند در نتیجه همه ادلّه دلالت کننده بر لزوم وفای به </w:t>
      </w:r>
      <w:bookmarkStart w:id="945" w:name="pg4267_22216"/>
    </w:p>
    <w:p>
      <w:pPr>
        <w:pStyle w:val="BookText"/>
        <w:rPr/>
      </w:pPr>
      <w:bookmarkEnd w:id="945"/>
      <w:r>
        <w:rPr>
          <w:rFonts w:ascii="IRNazanin" w:hAnsi="IRNazanin" w:eastAsia="IRNazanin"/>
          <w:color w:val="111111"/>
          <w:sz w:val="28"/>
          <w:sz w:val="28"/>
          <w:szCs w:val="28"/>
          <w:rtl w:val="true"/>
          <w:lang w:bidi="fa-IR"/>
        </w:rPr>
        <w:t>عقود این موارد را نیز شامل می شوند</w:t>
      </w:r>
      <w:r>
        <w:rPr>
          <w:rFonts w:eastAsia="IRNazanin" w:cs="IRNazanin"/>
          <w:color w:val="111111"/>
          <w:sz w:val="28"/>
          <w:szCs w:val="28"/>
          <w:rtl w:val="true"/>
          <w:lang w:bidi="fa-IR"/>
        </w:rPr>
        <w:t>.</w:t>
      </w:r>
      <w:r>
        <w:rPr>
          <w:rStyle w:val="FootnoteAnchor"/>
          <w:rtl w:val="true"/>
        </w:rPr>
        <w:footnoteReference w:id="1612"/>
      </w:r>
    </w:p>
    <w:p>
      <w:pPr>
        <w:pStyle w:val="BookText"/>
        <w:rPr/>
      </w:pPr>
      <w:r>
        <w:rPr>
          <w:rFonts w:ascii="IRNazanin" w:hAnsi="IRNazanin" w:eastAsia="IRNazanin"/>
          <w:color w:val="111111"/>
          <w:sz w:val="28"/>
          <w:sz w:val="28"/>
          <w:szCs w:val="28"/>
          <w:rtl w:val="true"/>
          <w:lang w:bidi="fa-IR"/>
        </w:rPr>
        <w:t>شایان ذکر است که صحّت بیع از جانب مالک در موارد یاد شده با این مسأله منافات ندارد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از وضعیّت این مال در هنگام عقد آگاه نبود خیار فسخ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w:t>
      </w:r>
    </w:p>
    <w:p>
      <w:pPr>
        <w:pStyle w:val="BookText"/>
        <w:rPr/>
      </w:pPr>
      <w:r>
        <w:rPr>
          <w:rFonts w:ascii="IRNazanin" w:hAnsi="IRNazanin" w:eastAsia="IRNazanin"/>
          <w:color w:val="111111"/>
          <w:sz w:val="28"/>
          <w:sz w:val="28"/>
          <w:szCs w:val="28"/>
          <w:rtl w:val="true"/>
          <w:lang w:bidi="fa-IR"/>
        </w:rPr>
        <w:t>که در باب اجاره اگر موجری ملک مورد اجاره را قبل از انقضای مدّت اجاره به مشتری که از اجاره ملک بی خبر است، بفروشد، مشتری حق فسخ دارد</w:t>
      </w:r>
      <w:r>
        <w:rPr>
          <w:rFonts w:eastAsia="IRNazanin" w:cs="IRNazanin"/>
          <w:color w:val="111111"/>
          <w:sz w:val="28"/>
          <w:szCs w:val="28"/>
          <w:rtl w:val="true"/>
          <w:lang w:bidi="fa-IR"/>
        </w:rPr>
        <w:t>.</w:t>
      </w:r>
    </w:p>
    <w:p>
      <w:pPr>
        <w:pStyle w:val="Heading4"/>
        <w:numPr>
          <w:ilvl w:val="3"/>
          <w:numId w:val="1"/>
        </w:numPr>
        <w:rPr/>
      </w:pPr>
      <w:bookmarkStart w:id="946" w:name="__RefHeading___Toc474597_1479056682"/>
      <w:bookmarkStart w:id="947" w:name="_Toc361"/>
      <w:bookmarkEnd w:id="946"/>
      <w:r>
        <w:rPr>
          <w:rtl w:val="true"/>
        </w:rPr>
        <w:t>مبحث دوم</w:t>
      </w:r>
      <w:r>
        <w:rPr>
          <w:rtl w:val="true"/>
        </w:rPr>
        <w:t xml:space="preserve">: </w:t>
      </w:r>
      <w:r>
        <w:rPr>
          <w:rtl w:val="true"/>
        </w:rPr>
        <w:t xml:space="preserve">حبس </w:t>
      </w:r>
      <w:r>
        <w:rPr>
          <w:rtl w:val="true"/>
        </w:rPr>
        <w:t>(</w:t>
      </w:r>
      <w:r>
        <w:rPr>
          <w:rtl w:val="true"/>
        </w:rPr>
        <w:t>از دیدگاه امامیّه</w:t>
      </w:r>
      <w:r>
        <w:rPr>
          <w:rtl w:val="true"/>
        </w:rPr>
        <w:t>)</w:t>
      </w:r>
      <w:bookmarkEnd w:id="947"/>
    </w:p>
    <w:p>
      <w:pPr>
        <w:pStyle w:val="Heading5"/>
        <w:numPr>
          <w:ilvl w:val="4"/>
          <w:numId w:val="1"/>
        </w:numPr>
        <w:rPr/>
      </w:pPr>
      <w:bookmarkStart w:id="948" w:name="__RefHeading___Toc474599_1479056682"/>
      <w:bookmarkStart w:id="949" w:name="_Toc362"/>
      <w:bookmarkEnd w:id="948"/>
      <w:r>
        <w:rPr>
          <w:rtl w:val="true"/>
        </w:rPr>
        <w:t xml:space="preserve">گفتار </w:t>
      </w:r>
      <w:r>
        <w:rPr/>
        <w:t>1</w:t>
      </w:r>
      <w:r>
        <w:rPr>
          <w:rtl w:val="true"/>
        </w:rPr>
        <w:t xml:space="preserve">- </w:t>
      </w:r>
      <w:r>
        <w:rPr>
          <w:rtl w:val="true"/>
        </w:rPr>
        <w:t>موارد و معنی حبس</w:t>
      </w:r>
      <w:bookmarkEnd w:id="949"/>
    </w:p>
    <w:p>
      <w:pPr>
        <w:pStyle w:val="BookText"/>
        <w:rPr/>
      </w:pPr>
      <w:r>
        <w:rPr>
          <w:rFonts w:ascii="IRNazanin" w:hAnsi="IRNazanin" w:eastAsia="IRNazanin"/>
          <w:color w:val="111111"/>
          <w:sz w:val="28"/>
          <w:sz w:val="28"/>
          <w:szCs w:val="28"/>
          <w:rtl w:val="true"/>
          <w:lang w:bidi="fa-IR"/>
        </w:rPr>
        <w:t xml:space="preserve">یکی دیگر از ملحقات و به تعبیر گروهی از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اخوات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حبس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حبس همان مواردی هستند که می توانند مورد و متعلّق وقف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اَعیانی که با دوام و استمرار، قابل انتفاع هستند، خواه منقول باشند یا غیر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کسانی چون کاشف الغطاء حبس را اعمّ از سُکنی، عمری و رقبی معنا کرده اند و آن را عنوانی گرفته‌اند که این سه را در بر می‌گیرد</w:t>
      </w:r>
      <w:r>
        <w:rPr>
          <w:rFonts w:eastAsia="IRNazanin" w:cs="IRNazanin"/>
          <w:color w:val="111111"/>
          <w:sz w:val="28"/>
          <w:szCs w:val="28"/>
          <w:rtl w:val="true"/>
          <w:lang w:bidi="fa-IR"/>
        </w:rPr>
        <w:t>.</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امّا فقها حبس را جداگانه مورد بررسی قرار داده‌اند و اشتراک عقود در بعضی از آثار به معنای اتّحاد آنها نخواهد بود، چنان که در باب صلح تصریح کرده اند که صلح از عقود</w:t>
      </w:r>
    </w:p>
    <w:p>
      <w:pPr>
        <w:pStyle w:val="BookText"/>
        <w:rPr/>
      </w:pPr>
      <w:r>
        <w:rPr>
          <w:rFonts w:ascii="IRNazanin" w:hAnsi="IRNazanin" w:eastAsia="IRNazanin"/>
          <w:color w:val="111111"/>
          <w:sz w:val="28"/>
          <w:sz w:val="28"/>
          <w:szCs w:val="28"/>
          <w:rtl w:val="true"/>
          <w:lang w:bidi="fa-IR"/>
        </w:rPr>
        <w:t>مستقلّ است، هر چند ممکن است در بعضی از موارد فایده بیع و در مورد دیگر فایده هبه، اجاره،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تا آن جا که استقصا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کلماتِ فقها به موردی که برای حبس تعریف مستقلّ و منسجمی ذکرکرده باشند، بر 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این مبحث </w:t>
      </w:r>
    </w:p>
    <w:p>
      <w:pPr>
        <w:pStyle w:val="BookText"/>
        <w:rPr/>
      </w:pPr>
      <w:r>
        <w:rPr>
          <w:rFonts w:ascii="IRNazanin" w:hAnsi="IRNazanin" w:eastAsia="IRNazanin"/>
          <w:color w:val="111111"/>
          <w:sz w:val="28"/>
          <w:sz w:val="28"/>
          <w:szCs w:val="28"/>
          <w:rtl w:val="true"/>
          <w:lang w:bidi="fa-IR"/>
        </w:rPr>
        <w:t xml:space="preserve">را مطرح کرده اند معمولاً به بیان مختصری از احکام و معدودی از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حَبسِ فَرَس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در این باره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اکثر فقها متعرّض عقد حبس،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عدم نیاز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قبض ، ضابطه و ملاک آنچه می‌تواند متعلّق</w:t>
      </w:r>
    </w:p>
    <w:p>
      <w:pPr>
        <w:pStyle w:val="BookText"/>
        <w:rPr/>
      </w:pPr>
      <w:r>
        <w:rPr>
          <w:rFonts w:ascii="IRNazanin" w:hAnsi="IRNazanin" w:eastAsia="IRNazanin"/>
          <w:color w:val="111111"/>
          <w:sz w:val="28"/>
          <w:sz w:val="28"/>
          <w:szCs w:val="28"/>
          <w:rtl w:val="true"/>
          <w:lang w:bidi="fa-IR"/>
        </w:rPr>
        <w:t xml:space="preserve">حبس باشد ، نشده اند و به ذکر اموال مخصوصی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توانند متعلّق حبس قرار گیرند،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اشتراط عقد و قبض را معتبر دانسته اعتبار</w:t>
      </w:r>
    </w:p>
    <w:p>
      <w:pPr>
        <w:pStyle w:val="BookText"/>
        <w:rPr/>
      </w:pPr>
      <w:r>
        <w:rPr>
          <w:rFonts w:ascii="IRNazanin" w:hAnsi="IRNazanin" w:eastAsia="IRNazanin"/>
          <w:color w:val="111111"/>
          <w:sz w:val="28"/>
          <w:sz w:val="28"/>
          <w:szCs w:val="28"/>
          <w:rtl w:val="true"/>
          <w:lang w:bidi="fa-IR"/>
        </w:rPr>
        <w:t>قصد قربت را نیز از تحریر نقل کرده است</w:t>
      </w:r>
      <w:r>
        <w:rPr>
          <w:rFonts w:eastAsia="IRNazanin" w:cs="IRNazanin"/>
          <w:color w:val="111111"/>
          <w:sz w:val="28"/>
          <w:szCs w:val="28"/>
          <w:rtl w:val="true"/>
          <w:lang w:bidi="fa-IR"/>
        </w:rPr>
        <w:t>.</w:t>
      </w:r>
      <w:r>
        <w:rPr>
          <w:rStyle w:val="FootnoteAnchor"/>
          <w:rtl w:val="true"/>
        </w:rPr>
        <w:footnoteReference w:id="1614"/>
      </w:r>
    </w:p>
    <w:p>
      <w:pPr>
        <w:pStyle w:val="BookText"/>
        <w:rPr/>
      </w:pPr>
      <w:r>
        <w:rPr>
          <w:rFonts w:ascii="IRNazanin" w:hAnsi="IRNazanin" w:eastAsia="IRNazanin"/>
          <w:color w:val="111111"/>
          <w:sz w:val="28"/>
          <w:sz w:val="28"/>
          <w:szCs w:val="28"/>
          <w:rtl w:val="true"/>
          <w:lang w:bidi="fa-IR"/>
        </w:rPr>
        <w:t>صاحب جواهر علّت عدم تعرّض اصحاب را این دانسته که حبس نسبت به مال محبوس و محبوسٌ عَلَیه همانند وقف است</w:t>
      </w:r>
      <w:r>
        <w:rPr>
          <w:rFonts w:eastAsia="IRNazanin" w:cs="IRNazanin"/>
          <w:color w:val="111111"/>
          <w:sz w:val="28"/>
          <w:szCs w:val="28"/>
          <w:rtl w:val="true"/>
          <w:lang w:bidi="fa-IR"/>
        </w:rPr>
        <w:t>.</w:t>
      </w:r>
      <w:r>
        <w:rPr>
          <w:rStyle w:val="FootnoteAnchor"/>
          <w:rtl w:val="true"/>
        </w:rPr>
        <w:footnoteReference w:id="1615"/>
      </w:r>
      <w:r>
        <w:rPr>
          <w:rFonts w:ascii="IRNazanin" w:hAnsi="IRNazanin" w:eastAsia="IRNazanin"/>
          <w:color w:val="111111"/>
          <w:sz w:val="28"/>
          <w:sz w:val="28"/>
          <w:szCs w:val="28"/>
          <w:rtl w:val="true"/>
          <w:lang w:bidi="fa-IR"/>
        </w:rPr>
        <w:t>شهید اوّل در لمعه یادآور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تحبیس در اشتراط عقد و قبض و تقیّد به مدّت، حکم سکنی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ذیل آن اضافه کرده است در اطلاق و محلّ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مواردی که می توانند متعلّق حبس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وقف است </w:t>
      </w:r>
      <w:r>
        <w:rPr>
          <w:rFonts w:eastAsia="IRNazanin" w:cs="IRNazanin"/>
          <w:color w:val="111111"/>
          <w:sz w:val="28"/>
          <w:szCs w:val="28"/>
          <w:rtl w:val="true"/>
          <w:lang w:bidi="fa-IR"/>
        </w:rPr>
        <w:t>.</w:t>
      </w:r>
      <w:r>
        <w:rPr>
          <w:rStyle w:val="FootnoteAnchor"/>
          <w:rtl w:val="true"/>
        </w:rPr>
        <w:footnoteReference w:id="1616"/>
      </w:r>
    </w:p>
    <w:p>
      <w:pPr>
        <w:pStyle w:val="BookText"/>
        <w:rPr/>
      </w:pPr>
      <w:r>
        <w:rPr>
          <w:rFonts w:ascii="IRNazanin" w:hAnsi="IRNazanin" w:eastAsia="IRNazanin"/>
          <w:color w:val="111111"/>
          <w:sz w:val="28"/>
          <w:sz w:val="28"/>
          <w:szCs w:val="28"/>
          <w:rtl w:val="true"/>
          <w:lang w:bidi="fa-IR"/>
        </w:rPr>
        <w:t>علاّمه در تذکره ضمن اشتراط قصد قربت در حبس، آن را به وقف منقطع تشبیه کرده است</w:t>
      </w:r>
      <w:r>
        <w:rPr>
          <w:rFonts w:eastAsia="IRNazanin" w:cs="IRNazanin"/>
          <w:color w:val="111111"/>
          <w:sz w:val="28"/>
          <w:szCs w:val="28"/>
          <w:rtl w:val="true"/>
          <w:lang w:bidi="fa-IR"/>
        </w:rPr>
        <w:t>.</w:t>
      </w:r>
      <w:r>
        <w:rPr>
          <w:rStyle w:val="FootnoteAnchor"/>
          <w:rtl w:val="true"/>
        </w:rPr>
        <w:footnoteReference w:id="1617"/>
      </w:r>
    </w:p>
    <w:p>
      <w:pPr>
        <w:pStyle w:val="BookText"/>
        <w:rPr/>
      </w:pPr>
      <w:r>
        <w:rPr>
          <w:rFonts w:ascii="IRNazanin" w:hAnsi="IRNazanin" w:eastAsia="IRNazanin"/>
          <w:color w:val="111111"/>
          <w:sz w:val="28"/>
          <w:sz w:val="28"/>
          <w:szCs w:val="28"/>
          <w:rtl w:val="true"/>
          <w:lang w:bidi="fa-IR"/>
        </w:rPr>
        <w:t>البتّه این تشبیه در بعضی از امور، مانند قابلیّت محدود شدن به زمان معیّن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وگرنه وقف منقطع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مشروعیت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حبس تفاوتهای قابل توجّهی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جواد مغنیه، فرق حبس و وقف را زوال ملک و عدم آن دانسته است یعنی در وقف، ملک از واقف زایل می شود، امّا در حبس، عین بر ملک حابس باقی است</w:t>
      </w:r>
      <w:r>
        <w:rPr>
          <w:rFonts w:eastAsia="IRNazanin" w:cs="IRNazanin"/>
          <w:color w:val="111111"/>
          <w:sz w:val="28"/>
          <w:szCs w:val="28"/>
          <w:rtl w:val="true"/>
          <w:lang w:bidi="fa-IR"/>
        </w:rPr>
        <w:t>.</w:t>
      </w:r>
      <w:r>
        <w:rPr>
          <w:rStyle w:val="FootnoteAnchor"/>
          <w:rtl w:val="true"/>
        </w:rPr>
        <w:footnoteReference w:id="1618"/>
      </w:r>
    </w:p>
    <w:p>
      <w:pPr>
        <w:pStyle w:val="BookText"/>
        <w:rPr/>
      </w:pPr>
      <w:r>
        <w:rPr>
          <w:rFonts w:ascii="IRNazanin" w:hAnsi="IRNazanin" w:eastAsia="IRNazanin"/>
          <w:color w:val="111111"/>
          <w:sz w:val="28"/>
          <w:sz w:val="28"/>
          <w:szCs w:val="28"/>
          <w:rtl w:val="true"/>
          <w:lang w:bidi="fa-IR"/>
        </w:rPr>
        <w:t>از مطالب آینده روشن خواهد شد که این فرق نیز کلّیّت ندارد و در مواردی از حبس نیز ممکن است ملکیّت حابس زایل شود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کاشانی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قریب به وقف است و اصحاب، بسیاری از احکام آن را مُهمل گذاشته اند و ظاهرا بجز اهلیّت تصرّف، همانند وقف، ایجاب و قبول </w:t>
      </w:r>
      <w:bookmarkStart w:id="950" w:name="pg4267_22220"/>
    </w:p>
    <w:p>
      <w:pPr>
        <w:pStyle w:val="BookText"/>
        <w:rPr/>
      </w:pPr>
      <w:bookmarkEnd w:id="950"/>
      <w:r>
        <w:rPr>
          <w:rFonts w:ascii="IRNazanin" w:hAnsi="IRNazanin" w:eastAsia="IRNazanin"/>
          <w:color w:val="111111"/>
          <w:sz w:val="28"/>
          <w:sz w:val="28"/>
          <w:szCs w:val="28"/>
          <w:rtl w:val="true"/>
          <w:lang w:bidi="fa-IR"/>
        </w:rPr>
        <w:t>و دیگر شرایطی که در وقف گذشت، نیز در آن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آن نیز همان مورد وقف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عینی که با دوام و استمرار قابل انتفاع باشد وی به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قُرَب، مانند حمل آب برای مساجد، کمک به حجّاج، زوّار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زده است</w:t>
      </w:r>
      <w:r>
        <w:rPr>
          <w:rFonts w:eastAsia="IRNazanin" w:cs="IRNazanin"/>
          <w:color w:val="111111"/>
          <w:sz w:val="28"/>
          <w:szCs w:val="28"/>
          <w:rtl w:val="true"/>
          <w:lang w:bidi="fa-IR"/>
        </w:rPr>
        <w:t>.</w:t>
      </w:r>
      <w:r>
        <w:rPr>
          <w:rStyle w:val="FootnoteAnchor"/>
          <w:rtl w:val="true"/>
        </w:rPr>
        <w:footnoteReference w:id="1619"/>
      </w:r>
    </w:p>
    <w:p>
      <w:pPr>
        <w:pStyle w:val="BookText"/>
        <w:rPr/>
      </w:pPr>
      <w:r>
        <w:rPr>
          <w:rFonts w:ascii="IRNazanin" w:hAnsi="IRNazanin" w:eastAsia="IRNazanin"/>
          <w:color w:val="111111"/>
          <w:sz w:val="28"/>
          <w:sz w:val="28"/>
          <w:szCs w:val="28"/>
          <w:rtl w:val="true"/>
          <w:lang w:bidi="fa-IR"/>
        </w:rPr>
        <w:t xml:space="preserve">شاید بتوان یکی از وجوه تمایز حبس از سکنی، عمری و رقبی را ازاله ملک از حابس و وجه تمایز آن از وقف را این دانست که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در بعضی از مواردش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وقف می‌تواند به مدّت مقیّد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دیگر، این که در بعضی از موارد، مانند موردی که</w:t>
      </w:r>
    </w:p>
    <w:p>
      <w:pPr>
        <w:pStyle w:val="BookText"/>
        <w:rPr/>
      </w:pPr>
      <w:r>
        <w:rPr>
          <w:rFonts w:ascii="IRNazanin" w:hAnsi="IRNazanin" w:eastAsia="IRNazanin"/>
          <w:color w:val="111111"/>
          <w:sz w:val="28"/>
          <w:sz w:val="28"/>
          <w:szCs w:val="28"/>
          <w:rtl w:val="true"/>
          <w:lang w:bidi="fa-IR"/>
        </w:rPr>
        <w:t xml:space="preserve">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قُرُبات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مطلق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مدّت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نظر عده بسیاری از اَعلام،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چنان که اشاره شد بزرگان معنای حبس و فرق آن با وقف را به‌طور مُنقّح بررسی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گذشته در بسیاری از موارد در روایات و کلمات فقهای فریقین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به‌کار برده‌اند</w:t>
      </w:r>
      <w:r>
        <w:rPr>
          <w:rFonts w:eastAsia="IRNazanin" w:cs="IRNazanin"/>
          <w:color w:val="111111"/>
          <w:sz w:val="28"/>
          <w:szCs w:val="28"/>
          <w:rtl w:val="true"/>
          <w:lang w:bidi="fa-IR"/>
        </w:rPr>
        <w:t>.</w:t>
      </w:r>
    </w:p>
    <w:p>
      <w:pPr>
        <w:pStyle w:val="Heading5"/>
        <w:numPr>
          <w:ilvl w:val="4"/>
          <w:numId w:val="1"/>
        </w:numPr>
        <w:rPr/>
      </w:pPr>
      <w:bookmarkStart w:id="951" w:name="__RefHeading___Toc474601_1479056682"/>
      <w:bookmarkStart w:id="952" w:name="_Toc363"/>
      <w:bookmarkEnd w:id="951"/>
      <w:r>
        <w:rPr>
          <w:rtl w:val="true"/>
        </w:rPr>
        <w:t xml:space="preserve">گفتار </w:t>
      </w:r>
      <w:r>
        <w:rPr/>
        <w:t>2</w:t>
      </w:r>
      <w:r>
        <w:rPr>
          <w:rtl w:val="true"/>
        </w:rPr>
        <w:t xml:space="preserve">- </w:t>
      </w:r>
      <w:r>
        <w:rPr>
          <w:rtl w:val="true"/>
        </w:rPr>
        <w:t>حبس؛ لزوم یا عدم لزوم؟</w:t>
      </w:r>
      <w:bookmarkEnd w:id="952"/>
    </w:p>
    <w:p>
      <w:pPr>
        <w:pStyle w:val="BookText"/>
        <w:rPr/>
      </w:pPr>
      <w:r>
        <w:rPr>
          <w:rFonts w:ascii="IRNazanin" w:hAnsi="IRNazanin" w:eastAsia="IRNazanin"/>
          <w:color w:val="111111"/>
          <w:sz w:val="28"/>
          <w:sz w:val="28"/>
          <w:szCs w:val="28"/>
          <w:rtl w:val="true"/>
          <w:lang w:bidi="fa-IR"/>
        </w:rPr>
        <w:t>جمهور کسانی که این مسأله را مطرح کرده‌اند یادآور شده‌اند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مورد و متعلّق حبس از قُرُبات، همانند حبس مرکبی فی سبیل اللّه یا اموال برای مساجد و مشاهد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برای همیشه لازم است و رجوع از آن به هیچ وجه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مفید در مقنعه، علاّمه در قواعد و تذکره، شهید ثانی در مسالک، شهید اوّل در لمعه و دروس، محقّق در شرایع و مختصر، فاضل مقداد در تنقیح، امام خمینی در تحریر، آیه‌اللّه خویی در منهاج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یادآور شده‌اند</w:t>
      </w:r>
      <w:r>
        <w:rPr>
          <w:rFonts w:eastAsia="IRNazanin" w:cs="IRNazanin"/>
          <w:color w:val="111111"/>
          <w:sz w:val="28"/>
          <w:szCs w:val="28"/>
          <w:rtl w:val="true"/>
          <w:lang w:bidi="fa-IR"/>
        </w:rPr>
        <w:t>.</w:t>
      </w:r>
      <w:r>
        <w:rPr>
          <w:rStyle w:val="FootnoteAnchor"/>
          <w:rtl w:val="true"/>
        </w:rPr>
        <w:footnoteReference w:id="1620"/>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مفتاح این مطلب را از نوادر قضای سرائر نیز نقل کرده است</w:t>
      </w:r>
      <w:r>
        <w:rPr>
          <w:rFonts w:eastAsia="IRNazanin" w:cs="IRNazanin"/>
          <w:color w:val="111111"/>
          <w:sz w:val="28"/>
          <w:szCs w:val="28"/>
          <w:rtl w:val="true"/>
          <w:lang w:bidi="fa-IR"/>
        </w:rPr>
        <w:t>.</w:t>
      </w:r>
      <w:r>
        <w:rPr>
          <w:rStyle w:val="FootnoteAnchor"/>
          <w:rtl w:val="true"/>
        </w:rPr>
        <w:footnoteReference w:id="1621"/>
      </w:r>
      <w:r>
        <w:rPr>
          <w:rFonts w:ascii="IRNazanin" w:hAnsi="IRNazanin" w:eastAsia="IRNazanin"/>
          <w:color w:val="111111"/>
          <w:sz w:val="28"/>
          <w:sz w:val="28"/>
          <w:szCs w:val="28"/>
          <w:rtl w:val="true"/>
          <w:lang w:bidi="fa-IR"/>
        </w:rPr>
        <w:t xml:space="preserve">صاحب </w:t>
      </w:r>
    </w:p>
    <w:p>
      <w:pPr>
        <w:pStyle w:val="BookText"/>
        <w:rPr/>
      </w:pPr>
      <w:r>
        <w:rPr>
          <w:rFonts w:ascii="IRNazanin" w:hAnsi="IRNazanin" w:eastAsia="IRNazanin"/>
          <w:color w:val="111111"/>
          <w:sz w:val="28"/>
          <w:sz w:val="28"/>
          <w:szCs w:val="28"/>
          <w:rtl w:val="true"/>
          <w:lang w:bidi="fa-IR"/>
        </w:rPr>
        <w:t>جواهر ضمن نقل بیان فوق از ابن ادریس در مسأله، ادّعای عدم خلاف کرده است</w:t>
      </w:r>
      <w:r>
        <w:rPr>
          <w:rFonts w:eastAsia="IRNazanin" w:cs="IRNazanin"/>
          <w:color w:val="111111"/>
          <w:sz w:val="28"/>
          <w:szCs w:val="28"/>
          <w:rtl w:val="true"/>
          <w:lang w:bidi="fa-IR"/>
        </w:rPr>
        <w:t>.</w:t>
      </w:r>
      <w:r>
        <w:rPr>
          <w:rStyle w:val="FootnoteAnchor"/>
          <w:rtl w:val="true"/>
        </w:rPr>
        <w:footnoteReference w:id="1622"/>
      </w:r>
      <w:r>
        <w:rPr>
          <w:rFonts w:ascii="IRNazanin" w:hAnsi="IRNazanin" w:eastAsia="IRNazanin"/>
          <w:color w:val="111111"/>
          <w:sz w:val="28"/>
          <w:sz w:val="28"/>
          <w:szCs w:val="28"/>
          <w:rtl w:val="true"/>
          <w:lang w:bidi="fa-IR"/>
        </w:rPr>
        <w:t>شایان ذکر است که عبارات اصحاب در منایع یاد شده، چنان که شهید ثانی</w:t>
      </w:r>
      <w:r>
        <w:rPr>
          <w:rStyle w:val="FootnoteAnchor"/>
          <w:rtl w:val="true"/>
        </w:rPr>
        <w:footnoteReference w:id="1623"/>
      </w:r>
      <w:r>
        <w:rPr>
          <w:rFonts w:ascii="IRNazanin" w:hAnsi="IRNazanin" w:eastAsia="IRNazanin"/>
          <w:color w:val="111111"/>
          <w:sz w:val="28"/>
          <w:sz w:val="28"/>
          <w:szCs w:val="28"/>
          <w:rtl w:val="true"/>
          <w:lang w:bidi="fa-IR"/>
        </w:rPr>
        <w:t>یادآور شده</w:t>
      </w:r>
    </w:p>
    <w:p>
      <w:pPr>
        <w:pStyle w:val="BookText"/>
        <w:rPr/>
      </w:pPr>
      <w:r>
        <w:rPr>
          <w:rFonts w:ascii="IRNazanin" w:hAnsi="IRNazanin" w:eastAsia="IRNazanin"/>
          <w:color w:val="111111"/>
          <w:sz w:val="28"/>
          <w:sz w:val="28"/>
          <w:szCs w:val="28"/>
          <w:rtl w:val="true"/>
          <w:lang w:bidi="fa-IR"/>
        </w:rPr>
        <w:t xml:space="preserve">است، مطلق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امام خمینی، خویی و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نکرده اند که؛ آیا در مواردی هم که ذکر مدّت می شود برای همیشه حبس لازم است یا خیر؟</w:t>
      </w:r>
    </w:p>
    <w:p>
      <w:pPr>
        <w:pStyle w:val="BookText"/>
        <w:rPr/>
      </w:pPr>
      <w:r>
        <w:rPr>
          <w:rFonts w:ascii="IRNazanin" w:hAnsi="IRNazanin" w:eastAsia="IRNazanin"/>
          <w:color w:val="111111"/>
          <w:sz w:val="28"/>
          <w:sz w:val="28"/>
          <w:szCs w:val="28"/>
          <w:rtl w:val="true"/>
          <w:lang w:bidi="fa-IR"/>
        </w:rPr>
        <w:t>امام خمینی و آیه‌اللّه حکیم در منابع نام برده یادآور شده اند که در وقف بر قُرُبات اگر</w:t>
      </w:r>
    </w:p>
    <w:p>
      <w:pPr>
        <w:pStyle w:val="BookText"/>
        <w:rPr/>
      </w:pPr>
      <w:r>
        <w:rPr>
          <w:rFonts w:ascii="IRNazanin" w:hAnsi="IRNazanin" w:eastAsia="IRNazanin"/>
          <w:color w:val="111111"/>
          <w:sz w:val="28"/>
          <w:sz w:val="28"/>
          <w:szCs w:val="28"/>
          <w:rtl w:val="true"/>
          <w:lang w:bidi="fa-IR"/>
        </w:rPr>
        <w:t>حابس مدّتی را قید کند، حبس تا انقضای آن مدّت لازم است و بعد از انقضای مدّت، حبس پایان می‌یابد و مال به ملک حابس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دلایل فقها برای لزوم حبس در این مورد یکی اجماع است</w:t>
      </w:r>
      <w:r>
        <w:rPr>
          <w:rFonts w:eastAsia="IRNazanin" w:cs="IRNazanin"/>
          <w:color w:val="111111"/>
          <w:sz w:val="28"/>
          <w:szCs w:val="28"/>
          <w:rtl w:val="true"/>
          <w:lang w:bidi="fa-IR"/>
        </w:rPr>
        <w:t>.</w:t>
      </w:r>
      <w:r>
        <w:rPr>
          <w:rStyle w:val="FootnoteAnchor"/>
          <w:rtl w:val="true"/>
        </w:rPr>
        <w:footnoteReference w:id="1624"/>
      </w:r>
      <w:r>
        <w:rPr>
          <w:rFonts w:ascii="IRNazanin" w:hAnsi="IRNazanin" w:eastAsia="IRNazanin"/>
          <w:color w:val="111111"/>
          <w:sz w:val="28"/>
          <w:sz w:val="28"/>
          <w:szCs w:val="28"/>
          <w:rtl w:val="true"/>
          <w:lang w:bidi="fa-IR"/>
        </w:rPr>
        <w:t>صاحب مفتاح اجماع</w:t>
      </w:r>
    </w:p>
    <w:p>
      <w:pPr>
        <w:pStyle w:val="BookText"/>
        <w:rPr/>
      </w:pPr>
      <w:r>
        <w:rPr>
          <w:rFonts w:ascii="IRNazanin" w:hAnsi="IRNazanin" w:eastAsia="IRNazanin"/>
          <w:color w:val="111111"/>
          <w:sz w:val="28"/>
          <w:sz w:val="28"/>
          <w:szCs w:val="28"/>
          <w:rtl w:val="true"/>
          <w:lang w:bidi="fa-IR"/>
        </w:rPr>
        <w:t>در این مورد را اجماع محصّل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دیگر روایاتی است که مضمون آنها عدم جواز رجوع از انفاقات و صدقاتی است که انسان برای خدای متعال انجام می‌دهد</w:t>
      </w:r>
      <w:r>
        <w:rPr>
          <w:rFonts w:eastAsia="IRNazanin" w:cs="IRNazanin"/>
          <w:color w:val="111111"/>
          <w:sz w:val="28"/>
          <w:szCs w:val="28"/>
          <w:rtl w:val="true"/>
          <w:lang w:bidi="fa-IR"/>
        </w:rPr>
        <w:t>.</w:t>
      </w:r>
      <w:r>
        <w:rPr>
          <w:rStyle w:val="FootnoteAnchor"/>
          <w:rtl w:val="true"/>
        </w:rPr>
        <w:footnoteReference w:id="1625"/>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علیه‌السلام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یُرجَعُ فِی الصَّدَقَةِ اِذا ابْتُغِیَ بِها وَجهُ اللّهِ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صدقه ای که برای خدا و قصد قربت انجام شده است نباید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اشکال این است که اوّلاً لازمه این استدلال این است که در این موارد اگر قصد قربت نکرد لازم نباشد و</w:t>
      </w:r>
    </w:p>
    <w:p>
      <w:pPr>
        <w:pStyle w:val="BookText"/>
        <w:rPr/>
      </w:pPr>
      <w:r>
        <w:rPr>
          <w:rFonts w:ascii="IRNazanin" w:hAnsi="IRNazanin" w:eastAsia="IRNazanin"/>
          <w:color w:val="111111"/>
          <w:sz w:val="28"/>
          <w:sz w:val="28"/>
          <w:szCs w:val="28"/>
          <w:rtl w:val="true"/>
          <w:lang w:bidi="fa-IR"/>
        </w:rPr>
        <w:t>ثانیا اگر در حبس بر آدمی قصد قربت کند طبق این استدلال باید برای همیشه لازم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حبس بر انسان باشد و زمانی را برای آن تعیین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ده سال یا تا زمان موت حابس یا موت محبوسٌ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در شرایع علاّمه در تذکره، فیض در مفاتیح، شهیدین در لمعه و روضه، شهید در مسالک و از معاصران امام خمینی، آیة اللّه خویی و آیة اللّه حکیم،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تا پایان مدّت، لازم است وپس از آن به حابس یا ورثه او باز می‌گردد</w:t>
      </w:r>
      <w:r>
        <w:rPr>
          <w:rFonts w:eastAsia="IRNazanin" w:cs="IRNazanin"/>
          <w:color w:val="111111"/>
          <w:sz w:val="28"/>
          <w:szCs w:val="28"/>
          <w:rtl w:val="true"/>
          <w:lang w:bidi="fa-IR"/>
        </w:rPr>
        <w:t>.</w:t>
      </w:r>
      <w:r>
        <w:rPr>
          <w:rStyle w:val="FootnoteAnchor"/>
          <w:rtl w:val="true"/>
        </w:rPr>
        <w:footnoteReference w:id="1626"/>
      </w:r>
      <w:r>
        <w:rPr>
          <w:rFonts w:ascii="IRNazanin" w:hAnsi="IRNazanin" w:eastAsia="IRNazanin"/>
          <w:color w:val="111111"/>
          <w:sz w:val="28"/>
          <w:sz w:val="28"/>
          <w:szCs w:val="28"/>
          <w:rtl w:val="true"/>
          <w:lang w:bidi="fa-IR"/>
        </w:rPr>
        <w:t>و اگر مدّتی را ذکر نکرده باشد غالبا در منابع یاد شده تصریح کرده اند بعد از موت حابس، حبس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قبل از آن</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لازم است یا حابس حق رجوع دارد؟ </w:t>
      </w:r>
      <w:bookmarkStart w:id="953" w:name="pg4267_22224"/>
    </w:p>
    <w:p>
      <w:pPr>
        <w:pStyle w:val="BookText"/>
        <w:rPr/>
      </w:pPr>
      <w:bookmarkEnd w:id="953"/>
      <w:r>
        <w:rPr>
          <w:rFonts w:ascii="IRNazanin" w:hAnsi="IRNazanin" w:eastAsia="IRNazanin"/>
          <w:color w:val="111111"/>
          <w:sz w:val="28"/>
          <w:sz w:val="28"/>
          <w:szCs w:val="28"/>
          <w:rtl w:val="true"/>
          <w:lang w:bidi="fa-IR"/>
        </w:rPr>
        <w:t>گروهی چون محقّق در شرایع، شهید ثانی در مسالک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گذاشته اند و برخی</w:t>
      </w:r>
    </w:p>
    <w:p>
      <w:pPr>
        <w:pStyle w:val="BookText"/>
        <w:rPr/>
      </w:pPr>
      <w:r>
        <w:rPr>
          <w:rFonts w:ascii="IRNazanin" w:hAnsi="IRNazanin" w:eastAsia="IRNazanin"/>
          <w:color w:val="111111"/>
          <w:sz w:val="28"/>
          <w:sz w:val="28"/>
          <w:szCs w:val="28"/>
          <w:rtl w:val="true"/>
          <w:lang w:bidi="fa-IR"/>
        </w:rPr>
        <w:t>چون علاّمه در قواعد تصریح کرده اند که لازم نیست و هر زمان که حابس بخواهد حق</w:t>
      </w:r>
    </w:p>
    <w:p>
      <w:pPr>
        <w:pStyle w:val="BookText"/>
        <w:rPr/>
      </w:pPr>
      <w:r>
        <w:rPr>
          <w:rFonts w:ascii="IRNazanin" w:hAnsi="IRNazanin" w:eastAsia="IRNazanin"/>
          <w:color w:val="111111"/>
          <w:sz w:val="28"/>
          <w:sz w:val="28"/>
          <w:szCs w:val="28"/>
          <w:rtl w:val="true"/>
          <w:lang w:bidi="fa-IR"/>
        </w:rPr>
        <w:t>رجوع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بطلان آن را با موت حابس به معنای عدم لزوم گرفته است که قبل از مرگ هم هر زمان بخواهد حق رجوع دارد</w:t>
      </w:r>
      <w:r>
        <w:rPr>
          <w:rFonts w:eastAsia="IRNazanin" w:cs="IRNazanin"/>
          <w:color w:val="111111"/>
          <w:sz w:val="28"/>
          <w:szCs w:val="28"/>
          <w:rtl w:val="true"/>
          <w:lang w:bidi="fa-IR"/>
        </w:rPr>
        <w:t>.</w:t>
      </w:r>
      <w:r>
        <w:rPr>
          <w:rStyle w:val="FootnoteAnchor"/>
          <w:rtl w:val="true"/>
        </w:rPr>
        <w:footnoteReference w:id="1627"/>
      </w:r>
      <w:r>
        <w:rPr>
          <w:rFonts w:ascii="IRNazanin" w:hAnsi="IRNazanin" w:eastAsia="IRNazanin"/>
          <w:color w:val="111111"/>
          <w:sz w:val="28"/>
          <w:sz w:val="28"/>
          <w:szCs w:val="28"/>
          <w:rtl w:val="true"/>
          <w:lang w:bidi="fa-IR"/>
        </w:rPr>
        <w:t>آیة اللّه خویی</w:t>
      </w:r>
      <w:r>
        <w:rPr>
          <w:rStyle w:val="FootnoteAnchor"/>
          <w:rtl w:val="true"/>
        </w:rPr>
        <w:footnoteReference w:id="1628"/>
      </w:r>
      <w:r>
        <w:rPr>
          <w:rFonts w:ascii="IRNazanin" w:hAnsi="IRNazanin" w:eastAsia="IRNazanin"/>
          <w:color w:val="111111"/>
          <w:sz w:val="28"/>
          <w:sz w:val="28"/>
          <w:szCs w:val="28"/>
          <w:rtl w:val="true"/>
          <w:lang w:bidi="fa-IR"/>
        </w:rPr>
        <w:t>و شهید محمّد باقر صدر</w:t>
      </w:r>
      <w:r>
        <w:rPr>
          <w:rStyle w:val="FootnoteAnchor"/>
          <w:rtl w:val="true"/>
        </w:rPr>
        <w:footnoteReference w:id="1629"/>
      </w:r>
      <w:r>
        <w:rPr>
          <w:rFonts w:ascii="IRNazanin" w:hAnsi="IRNazanin" w:eastAsia="IRNazanin"/>
          <w:color w:val="111111"/>
          <w:sz w:val="28"/>
          <w:sz w:val="28"/>
          <w:szCs w:val="28"/>
          <w:rtl w:val="true"/>
          <w:lang w:bidi="fa-IR"/>
        </w:rPr>
        <w:t>نیز همین را تقریب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چون امام خمینی و آیة اللّه حکیم، در صورت اطلاق،</w:t>
      </w:r>
    </w:p>
    <w:p>
      <w:pPr>
        <w:pStyle w:val="BookText"/>
        <w:rPr/>
      </w:pPr>
      <w:r>
        <w:rPr>
          <w:rFonts w:ascii="IRNazanin" w:hAnsi="IRNazanin" w:eastAsia="IRNazanin"/>
          <w:color w:val="111111"/>
          <w:sz w:val="28"/>
          <w:sz w:val="28"/>
          <w:szCs w:val="28"/>
          <w:rtl w:val="true"/>
          <w:lang w:bidi="fa-IR"/>
        </w:rPr>
        <w:t>حبس را قبل از موت نیز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معتقدند بعد از مرگ او به ورثه حابس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نیز به این مطلب تصریح کرده است</w:t>
      </w:r>
      <w:r>
        <w:rPr>
          <w:rFonts w:eastAsia="IRNazanin" w:cs="IRNazanin"/>
          <w:color w:val="111111"/>
          <w:sz w:val="28"/>
          <w:szCs w:val="28"/>
          <w:rtl w:val="true"/>
          <w:lang w:bidi="fa-IR"/>
        </w:rPr>
        <w:t>.</w:t>
      </w:r>
      <w:r>
        <w:rPr>
          <w:rStyle w:val="FootnoteAnchor"/>
          <w:rtl w:val="true"/>
        </w:rPr>
        <w:footnoteReference w:id="1630"/>
      </w:r>
    </w:p>
    <w:p>
      <w:pPr>
        <w:pStyle w:val="BookText"/>
        <w:rPr/>
      </w:pPr>
      <w:r>
        <w:rPr>
          <w:rFonts w:ascii="IRNazanin" w:hAnsi="IRNazanin" w:eastAsia="IRNazanin"/>
          <w:color w:val="111111"/>
          <w:sz w:val="28"/>
          <w:sz w:val="28"/>
          <w:szCs w:val="28"/>
          <w:rtl w:val="true"/>
          <w:lang w:bidi="fa-IR"/>
        </w:rPr>
        <w:t>ظاهرا تنها روایت در این باره، صحیح ابن اُذَیْنَه است که در آن محمّد بن مسلم از امام باقر علیه‌السلامنقل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علیه‌السلامبه بازگشت مال حبس شده به حابس و تقسیم آن بین ورثه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کرد</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 xml:space="preserve">معلوم می شود که فقها، چنان که ابن ادریس تصریح کرده است، مورد این روایت را حبس بر آدمی دانسته اند و حبس بر قربات و فی سبیل اللّه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دلایلی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حکم خارج دانسته اند و چنان که اشاره شد در این موارد حبس را، الی الابد، لازم دانسته اند</w:t>
      </w:r>
      <w:r>
        <w:rPr>
          <w:rFonts w:eastAsia="IRNazanin" w:cs="IRNazanin"/>
          <w:color w:val="111111"/>
          <w:sz w:val="28"/>
          <w:szCs w:val="28"/>
          <w:rtl w:val="true"/>
          <w:lang w:bidi="fa-IR"/>
        </w:rPr>
        <w:t>.</w:t>
      </w:r>
    </w:p>
    <w:p>
      <w:pPr>
        <w:pStyle w:val="Heading4"/>
        <w:numPr>
          <w:ilvl w:val="3"/>
          <w:numId w:val="1"/>
        </w:numPr>
        <w:rPr/>
      </w:pPr>
      <w:bookmarkStart w:id="954" w:name="__RefHeading___Toc474603_1479056682"/>
      <w:bookmarkStart w:id="955" w:name="_Toc364"/>
      <w:bookmarkEnd w:id="954"/>
      <w:r>
        <w:rPr>
          <w:rtl w:val="true"/>
        </w:rPr>
        <w:t>مبحث سوم</w:t>
      </w:r>
      <w:r>
        <w:rPr>
          <w:rtl w:val="true"/>
        </w:rPr>
        <w:t xml:space="preserve">: </w:t>
      </w:r>
      <w:r>
        <w:rPr>
          <w:rtl w:val="true"/>
        </w:rPr>
        <w:t>عمری، رُقبی و سُکنی از دیدگاه دیگر مذاهب</w:t>
      </w:r>
      <w:bookmarkEnd w:id="955"/>
    </w:p>
    <w:p>
      <w:pPr>
        <w:pStyle w:val="Heading5"/>
        <w:numPr>
          <w:ilvl w:val="4"/>
          <w:numId w:val="1"/>
        </w:numPr>
        <w:rPr/>
      </w:pPr>
      <w:bookmarkStart w:id="956" w:name="__RefHeading___Toc474605_1479056682"/>
      <w:bookmarkStart w:id="957" w:name="_Toc365"/>
      <w:bookmarkEnd w:id="956"/>
      <w:r>
        <w:rPr>
          <w:rtl w:val="true"/>
        </w:rPr>
        <w:t xml:space="preserve">گفتار </w:t>
      </w:r>
      <w:r>
        <w:rPr/>
        <w:t>1</w:t>
      </w:r>
      <w:r>
        <w:rPr>
          <w:rtl w:val="true"/>
        </w:rPr>
        <w:t xml:space="preserve">- </w:t>
      </w:r>
      <w:r>
        <w:rPr>
          <w:rtl w:val="true"/>
        </w:rPr>
        <w:t>معنای این عناوین</w:t>
      </w:r>
      <w:bookmarkEnd w:id="957"/>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فقه 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را این چنین تعریف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تملیک منفعت چیزی که مملوک است، در طول حیات مُعطی 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تعریف بیع و صدقه خارج می شوند، چون تملیک عین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قید حیات مُعطی وقف مُؤَبَّد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خارج می‌شود</w:t>
      </w:r>
      <w:r>
        <w:rPr>
          <w:rStyle w:val="FootnoteAnchor"/>
          <w:rtl w:val="true"/>
        </w:rPr>
        <w:footnoteReference w:id="1632"/>
      </w:r>
      <w:r>
        <w:rPr>
          <w:rFonts w:ascii="IRNazanin" w:hAnsi="IRNazanin" w:eastAsia="IRNazanin"/>
          <w:color w:val="111111"/>
          <w:sz w:val="28"/>
          <w:sz w:val="28"/>
          <w:szCs w:val="28"/>
          <w:rtl w:val="true"/>
          <w:lang w:bidi="fa-IR"/>
        </w:rPr>
        <w:t xml:space="preserve">از عبارت طحاوی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958" w:name="pg4267_22226"/>
    </w:p>
    <w:p>
      <w:pPr>
        <w:pStyle w:val="BookText"/>
        <w:rPr/>
      </w:pPr>
      <w:bookmarkEnd w:id="958"/>
      <w:r>
        <w:rPr>
          <w:rFonts w:ascii="IRNazanin" w:hAnsi="IRNazanin" w:eastAsia="IRNazanin"/>
          <w:color w:val="111111"/>
          <w:sz w:val="28"/>
          <w:sz w:val="28"/>
          <w:szCs w:val="28"/>
          <w:rtl w:val="true"/>
          <w:lang w:bidi="fa-IR"/>
        </w:rPr>
        <w:t>استفاده می شود که عمری به عمر معطی مقیّد می‌شود</w:t>
      </w:r>
      <w:r>
        <w:rPr>
          <w:rFonts w:eastAsia="IRNazanin" w:cs="IRNazanin"/>
          <w:color w:val="111111"/>
          <w:sz w:val="28"/>
          <w:szCs w:val="28"/>
          <w:rtl w:val="true"/>
          <w:lang w:bidi="fa-IR"/>
        </w:rPr>
        <w:t>.</w:t>
      </w:r>
      <w:r>
        <w:rPr>
          <w:rStyle w:val="FootnoteAnchor"/>
          <w:rtl w:val="true"/>
        </w:rPr>
        <w:footnoteReference w:id="1633"/>
      </w:r>
    </w:p>
    <w:p>
      <w:pPr>
        <w:pStyle w:val="BookText"/>
        <w:rPr/>
      </w:pPr>
      <w:r>
        <w:rPr>
          <w:rFonts w:ascii="IRNazanin" w:hAnsi="IRNazanin" w:eastAsia="IRNazanin"/>
          <w:color w:val="111111"/>
          <w:sz w:val="28"/>
          <w:sz w:val="28"/>
          <w:szCs w:val="28"/>
          <w:rtl w:val="true"/>
          <w:lang w:bidi="fa-IR"/>
        </w:rPr>
        <w:t>ابن قُدامه، عمری و رقبی را دو نوع از هبه دانسته است که نزد کسانی که آنها را معتبر می‌دانند، شرایط و احکام سایر هبات را دارند، مانند ایجاب و قبول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عمری این چنین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اَعْمَرْتُکَ داری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عمری ماعِشْتَ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مُدَّةَ حَیاتِکَ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حَیِیتَ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عمری نامیده اند، چون مقیّد به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رقبی این 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اَرْقَبْتُکَ هذِهِ‌الدّارَ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لَکَ حَیاتَکَ عَلی أَنَّکَ اِنْ مِتَّ عادَتْ اِلَیَّ وَ اِنْ مِتُّ قَبْلَکَ فَهِیَ لَکَ وَ لِعَقِبِکَ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مال برای آخرین فرد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 میرد، باشد و برای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شده است، زیرا هر یک از آن دو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منتظر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رفیقش می باشد</w:t>
      </w:r>
      <w:r>
        <w:rPr>
          <w:rFonts w:eastAsia="IRNazanin" w:cs="IRNazanin"/>
          <w:color w:val="111111"/>
          <w:sz w:val="28"/>
          <w:szCs w:val="28"/>
          <w:rtl w:val="true"/>
          <w:lang w:bidi="fa-IR"/>
        </w:rPr>
        <w:t>.</w:t>
      </w:r>
      <w:r>
        <w:rPr>
          <w:rStyle w:val="FootnoteAnchor"/>
          <w:rtl w:val="true"/>
        </w:rPr>
        <w:footnoteReference w:id="1634"/>
      </w:r>
    </w:p>
    <w:p>
      <w:pPr>
        <w:pStyle w:val="BookText"/>
        <w:rPr/>
      </w:pPr>
      <w:r>
        <w:rPr>
          <w:rFonts w:ascii="IRNazanin" w:hAnsi="IRNazanin" w:eastAsia="IRNazanin"/>
          <w:color w:val="111111"/>
          <w:sz w:val="28"/>
          <w:sz w:val="28"/>
          <w:szCs w:val="28"/>
          <w:rtl w:val="true"/>
          <w:lang w:bidi="fa-IR"/>
        </w:rPr>
        <w:t>در مورد رُقبی فقها همان تعریف ابن قُدامه را ذکر کرده‌اند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 اوّل مُردی این مال برای من، و اگر من اوّل مردم، برای تو باشد</w:t>
      </w:r>
      <w:r>
        <w:rPr>
          <w:rFonts w:eastAsia="IRNazanin" w:cs="IRNazanin"/>
          <w:color w:val="111111"/>
          <w:sz w:val="28"/>
          <w:szCs w:val="28"/>
          <w:rtl w:val="true"/>
          <w:lang w:bidi="fa-IR"/>
        </w:rPr>
        <w:t>.</w:t>
      </w:r>
      <w:r>
        <w:rPr>
          <w:rStyle w:val="FootnoteAnchor"/>
          <w:rtl w:val="true"/>
        </w:rPr>
        <w:footnoteReference w:id="1635"/>
      </w:r>
    </w:p>
    <w:p>
      <w:pPr>
        <w:pStyle w:val="Heading5"/>
        <w:numPr>
          <w:ilvl w:val="4"/>
          <w:numId w:val="1"/>
        </w:numPr>
        <w:rPr/>
      </w:pPr>
      <w:bookmarkStart w:id="959" w:name="__RefHeading___Toc474607_1479056682"/>
      <w:bookmarkStart w:id="960" w:name="_Toc366"/>
      <w:bookmarkEnd w:id="959"/>
      <w:r>
        <w:rPr>
          <w:rtl w:val="true"/>
        </w:rPr>
        <w:t xml:space="preserve">گفتار </w:t>
      </w:r>
      <w:r>
        <w:rPr/>
        <w:t>2</w:t>
      </w:r>
      <w:r>
        <w:rPr>
          <w:rtl w:val="true"/>
        </w:rPr>
        <w:t xml:space="preserve">- </w:t>
      </w:r>
      <w:r>
        <w:rPr>
          <w:rtl w:val="true"/>
        </w:rPr>
        <w:t>حکم عمری</w:t>
      </w:r>
      <w:bookmarkEnd w:id="960"/>
    </w:p>
    <w:p>
      <w:pPr>
        <w:pStyle w:val="BookText"/>
        <w:rPr/>
      </w:pPr>
      <w:r>
        <w:rPr>
          <w:rFonts w:ascii="IRNazanin" w:hAnsi="IRNazanin" w:eastAsia="IRNazanin"/>
          <w:color w:val="111111"/>
          <w:sz w:val="28"/>
          <w:sz w:val="28"/>
          <w:szCs w:val="28"/>
          <w:rtl w:val="true"/>
          <w:lang w:bidi="fa-IR"/>
        </w:rPr>
        <w:t>طحاوی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اهل علم اتّفاق نظر دارند که بعد از قبض، مُعْمَر تا زنده است مالک است و اختلاف آنهامربوط به بعد از وفات 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همانند دیگر اموال مُعْمَر است و شرطی که مُعمِر کرده،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ابوحنیفه، زُفَر، ابویوسف، محمّد بن الحسن، ثوری و شافعی این نظر را برگزیده‌اند</w:t>
      </w:r>
      <w:r>
        <w:rPr>
          <w:rFonts w:eastAsia="IRNazanin" w:cs="IRNazanin"/>
          <w:color w:val="111111"/>
          <w:sz w:val="28"/>
          <w:szCs w:val="28"/>
          <w:rtl w:val="true"/>
          <w:lang w:bidi="fa-IR"/>
        </w:rPr>
        <w:t>.</w:t>
      </w:r>
      <w:r>
        <w:rPr>
          <w:rStyle w:val="FootnoteAnchor"/>
          <w:rtl w:val="true"/>
        </w:rPr>
        <w:footnoteReference w:id="1636"/>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شربینی از فقهای شافعیّه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همانند هبه است که با قبض لازم می‌شود و بعد از مرگ مُعمَر به ورثه او می‌رسند و اگر ورثه ای نداشت برای بیت‌المال است و به مُعمِر باز نمی‌گردد</w:t>
      </w:r>
      <w:r>
        <w:rPr>
          <w:rFonts w:eastAsia="IRNazanin" w:cs="IRNazanin"/>
          <w:color w:val="111111"/>
          <w:sz w:val="28"/>
          <w:szCs w:val="28"/>
          <w:rtl w:val="true"/>
          <w:lang w:bidi="fa-IR"/>
        </w:rPr>
        <w:t>.</w:t>
      </w:r>
      <w:r>
        <w:rPr>
          <w:rStyle w:val="FootnoteAnchor"/>
          <w:rtl w:val="true"/>
        </w:rPr>
        <w:footnoteReference w:id="1637"/>
      </w:r>
      <w:r>
        <w:rPr>
          <w:rFonts w:ascii="IRNazanin" w:hAnsi="IRNazanin" w:eastAsia="IRNazanin"/>
          <w:color w:val="111111"/>
          <w:sz w:val="28"/>
          <w:sz w:val="28"/>
          <w:szCs w:val="28"/>
          <w:rtl w:val="true"/>
          <w:lang w:bidi="fa-IR"/>
        </w:rPr>
        <w:t xml:space="preserve">در مختصر 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این مطلب </w:t>
      </w:r>
    </w:p>
    <w:p>
      <w:pPr>
        <w:pStyle w:val="BookText"/>
        <w:rPr/>
      </w:pPr>
      <w:r>
        <w:rPr>
          <w:rFonts w:ascii="IRNazanin" w:hAnsi="IRNazanin" w:eastAsia="IRNazanin"/>
          <w:color w:val="111111"/>
          <w:sz w:val="28"/>
          <w:sz w:val="28"/>
          <w:szCs w:val="28"/>
          <w:rtl w:val="true"/>
          <w:lang w:bidi="fa-IR"/>
        </w:rPr>
        <w:t>تصریح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فقه احمد نیز در عُمری ، مال ملک معمَر و بعد از او ملک ورثه او خواهد بود و حتّی اگر شرط کند که بعد از مرگ مُعمَر برای فرزندانش باشد در حقیقت ، همان حکم را تأکید کرده است؛ امّا اگر شرط کند که بعد از مرگ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باشد، از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روایت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عقد و شرط، که مالک، ابوثور، داوود و شافعی نیز همین را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صحیح ولی شرط، باطل است و این مال، ملک مُعْمَر و بعد از وی ملک ورثه‌اش خواهد شد که این قول ابوحنفیّه و قول شافعی در جدید است</w:t>
      </w:r>
      <w:r>
        <w:rPr>
          <w:rFonts w:eastAsia="IRNazanin" w:cs="IRNazanin"/>
          <w:color w:val="111111"/>
          <w:sz w:val="28"/>
          <w:szCs w:val="28"/>
          <w:rtl w:val="true"/>
          <w:lang w:bidi="fa-IR"/>
        </w:rPr>
        <w:t>.</w:t>
      </w:r>
      <w:r>
        <w:rPr>
          <w:rStyle w:val="FootnoteAnchor"/>
          <w:rtl w:val="true"/>
        </w:rPr>
        <w:footnoteReference w:id="1638"/>
      </w:r>
    </w:p>
    <w:p>
      <w:pPr>
        <w:pStyle w:val="BookText"/>
        <w:rPr/>
      </w:pPr>
      <w:r>
        <w:rPr>
          <w:rFonts w:ascii="IRNazanin" w:hAnsi="IRNazanin" w:eastAsia="IRNazanin"/>
          <w:color w:val="111111"/>
          <w:sz w:val="28"/>
          <w:sz w:val="28"/>
          <w:szCs w:val="28"/>
          <w:rtl w:val="true"/>
          <w:lang w:bidi="fa-IR"/>
        </w:rPr>
        <w:t>تنها در فقه مالک در عمری مال بعد از مرگ معمَر به ملک مالک اوّل باز می‌گردد</w:t>
      </w:r>
      <w:r>
        <w:rPr>
          <w:rFonts w:eastAsia="IRNazanin" w:cs="IRNazanin"/>
          <w:color w:val="111111"/>
          <w:sz w:val="28"/>
          <w:szCs w:val="28"/>
          <w:rtl w:val="true"/>
          <w:lang w:bidi="fa-IR"/>
        </w:rPr>
        <w:t>.</w:t>
      </w:r>
      <w:r>
        <w:rPr>
          <w:rStyle w:val="FootnoteAnchor"/>
          <w:rtl w:val="true"/>
        </w:rPr>
        <w:footnoteReference w:id="1639"/>
      </w:r>
    </w:p>
    <w:p>
      <w:pPr>
        <w:pStyle w:val="BookText"/>
        <w:rPr/>
      </w:pPr>
      <w:r>
        <w:rPr>
          <w:rFonts w:ascii="IRNazanin" w:hAnsi="IRNazanin" w:eastAsia="IRNazanin"/>
          <w:color w:val="111111"/>
          <w:sz w:val="28"/>
          <w:sz w:val="28"/>
          <w:szCs w:val="28"/>
          <w:rtl w:val="true"/>
          <w:lang w:bidi="fa-IR"/>
        </w:rPr>
        <w:t>تا این جا روشن شد که در عمری دیدگاه عموم فقها بجز مالک و برخی دیگر این است که حکم هبه دارد و معمَر مالک رقبه مال می شود و بعد از وی به ورثه‌اش منتقل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 این دیدگاه اکثریت، روایاتی است که در این باب وارد شده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حدیث نبوی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اَعْمَرَ عمری فَهِیَ لِمَنْ اَعْمَرَها حَیّا وَ مَیِّتا وَ عَقِبِهِ</w:t>
      </w:r>
      <w:r>
        <w:rPr>
          <w:rFonts w:eastAsia="Amiri" w:cs="Amiri" w:ascii="Amiri" w:hAnsi="Amiri"/>
          <w:color w:val="111111"/>
          <w:sz w:val="28"/>
          <w:szCs w:val="28"/>
          <w:rtl w:val="true"/>
          <w:lang w:bidi="ar-SA"/>
        </w:rPr>
        <w:t>»</w:t>
      </w:r>
      <w:r>
        <w:rPr>
          <w:rStyle w:val="FootnoteAnchor"/>
          <w:rtl w:val="true"/>
        </w:rPr>
        <w:footnoteReference w:id="16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مالی را به عنوان عمری به دیگری می دهد آن مال در زمان حیات برای آن دیگری و بعد از مرگ برای ورثه اوست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نبوی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اَلْعمری جائِزَةٌ لأِهْلِها وَالرقبی جائِزَةٌ لأِهْلِها</w:t>
      </w:r>
      <w:r>
        <w:rPr>
          <w:rFonts w:eastAsia="Amiri" w:cs="Amiri" w:ascii="Amiri" w:hAnsi="Amiri"/>
          <w:color w:val="111111"/>
          <w:sz w:val="28"/>
          <w:szCs w:val="28"/>
          <w:rtl w:val="true"/>
          <w:lang w:bidi="ar-SA"/>
        </w:rPr>
        <w:t>»</w:t>
      </w:r>
      <w:r>
        <w:rPr>
          <w:rStyle w:val="FootnoteAnchor"/>
          <w:rtl w:val="true"/>
        </w:rPr>
        <w:footnoteReference w:id="16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برای</w:t>
      </w:r>
    </w:p>
    <w:p>
      <w:pPr>
        <w:pStyle w:val="BookText"/>
        <w:rPr/>
      </w:pPr>
      <w:r>
        <w:rPr>
          <w:rFonts w:ascii="IRNazanin" w:hAnsi="IRNazanin" w:eastAsia="IRNazanin"/>
          <w:color w:val="111111"/>
          <w:sz w:val="28"/>
          <w:sz w:val="28"/>
          <w:szCs w:val="28"/>
          <w:rtl w:val="true"/>
          <w:lang w:bidi="fa-IR"/>
        </w:rPr>
        <w:t xml:space="preserve">اهل آن و رقبی نیز برای اهل آن جایز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جابر از رسول خدا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اَیُّما رَجُلٍ اَعْمَرَ عُمری لَهُ وَ لِعَقِبِهِ فَاِنَّها لِلَّذی یُعْطاها لا یَرْجِعُ اِلَی الَّذی اَعْطاها اَبَدا لأِنَّهُ اَعْطی عَطاءً وَقَعَتْ فِیهِ‌الْمَواریثُ</w:t>
      </w:r>
      <w:r>
        <w:rPr>
          <w:rFonts w:eastAsia="Amiri" w:cs="Amiri" w:ascii="Amiri" w:hAnsi="Amiri"/>
          <w:color w:val="111111"/>
          <w:sz w:val="28"/>
          <w:szCs w:val="28"/>
          <w:rtl w:val="true"/>
          <w:lang w:bidi="ar-SA"/>
        </w:rPr>
        <w:t>»</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کسی که مالی به عنوان عمری در اختیار ش قرار گیرد آن مال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 گاه به کسی که عطا کرده است،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بخششی کرده که میراث در آن واقع شده است</w:t>
      </w:r>
      <w:r>
        <w:rPr>
          <w:rFonts w:eastAsia="IRNazanin" w:cs="IRNazanin"/>
          <w:color w:val="111111"/>
          <w:sz w:val="28"/>
          <w:szCs w:val="28"/>
          <w:rtl w:val="true"/>
          <w:lang w:bidi="fa-IR"/>
        </w:rPr>
        <w:t xml:space="preserve">. </w:t>
      </w:r>
      <w:bookmarkStart w:id="961" w:name="pg4267_22230"/>
    </w:p>
    <w:p>
      <w:pPr>
        <w:pStyle w:val="BookText"/>
        <w:rPr/>
      </w:pPr>
      <w:bookmarkEnd w:id="961"/>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حدیث‌نبوی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تُرْقِبوُا وَ لا تُعْمِروُا فَمَنْ اَرْقَبَ شَیْئا اَوْ اَعْمَرَ شَیْئا فَهُوَ لِوَرَثَتِهِ</w:t>
      </w:r>
      <w:r>
        <w:rPr>
          <w:rFonts w:eastAsia="Amiri" w:cs="Amiri" w:ascii="Amiri" w:hAnsi="Amiri"/>
          <w:color w:val="111111"/>
          <w:sz w:val="28"/>
          <w:szCs w:val="28"/>
          <w:rtl w:val="true"/>
          <w:lang w:bidi="ar-SA"/>
        </w:rPr>
        <w:t>»</w:t>
      </w:r>
      <w:r>
        <w:rPr>
          <w:rStyle w:val="FootnoteAnchor"/>
          <w:rtl w:val="true"/>
        </w:rPr>
        <w:footnoteReference w:id="16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رقبی و عمری نشوید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 که مالی را به عنوان رقبی یا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اختیار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دهد آن مال برای ورثه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نبوی صلی‌الله‌علیه‌و‌آله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اَلْعمری لِمَنْ وَهَبْتَ لَهُ</w:t>
      </w:r>
      <w:r>
        <w:rPr>
          <w:rFonts w:eastAsia="Amiri" w:cs="Amiri" w:ascii="Amiri" w:hAnsi="Amiri"/>
          <w:color w:val="111111"/>
          <w:sz w:val="28"/>
          <w:szCs w:val="28"/>
          <w:rtl w:val="true"/>
          <w:lang w:bidi="ar-SA"/>
        </w:rPr>
        <w:t>»</w:t>
      </w:r>
      <w:r>
        <w:rPr>
          <w:rStyle w:val="FootnoteAnchor"/>
          <w:rtl w:val="true"/>
        </w:rPr>
        <w:footnoteReference w:id="16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عمری برای کسی است که مال را به او بخشیده‌ای</w:t>
      </w:r>
      <w:r>
        <w:rPr>
          <w:rFonts w:eastAsia="IRNazanin" w:cs="IRNazanin"/>
          <w:color w:val="111111"/>
          <w:sz w:val="28"/>
          <w:szCs w:val="28"/>
          <w:rtl w:val="true"/>
          <w:lang w:bidi="fa-IR"/>
        </w:rPr>
        <w:t>.</w:t>
      </w:r>
    </w:p>
    <w:p>
      <w:pPr>
        <w:pStyle w:val="Heading5"/>
        <w:numPr>
          <w:ilvl w:val="4"/>
          <w:numId w:val="1"/>
        </w:numPr>
        <w:rPr/>
      </w:pPr>
      <w:bookmarkStart w:id="962" w:name="__RefHeading___Toc474609_1479056682"/>
      <w:bookmarkStart w:id="963" w:name="_Toc367"/>
      <w:bookmarkEnd w:id="962"/>
      <w:r>
        <w:rPr>
          <w:rtl w:val="true"/>
        </w:rPr>
        <w:t xml:space="preserve">گفتار </w:t>
      </w:r>
      <w:r>
        <w:rPr/>
        <w:t>3</w:t>
      </w:r>
      <w:r>
        <w:rPr>
          <w:rtl w:val="true"/>
        </w:rPr>
        <w:t xml:space="preserve">- </w:t>
      </w:r>
      <w:r>
        <w:rPr>
          <w:rtl w:val="true"/>
        </w:rPr>
        <w:t>حکم رقبی</w:t>
      </w:r>
      <w:bookmarkEnd w:id="963"/>
    </w:p>
    <w:p>
      <w:pPr>
        <w:pStyle w:val="BookText"/>
        <w:rPr/>
      </w:pPr>
      <w:r>
        <w:rPr>
          <w:rFonts w:ascii="IRNazanin" w:hAnsi="IRNazanin" w:eastAsia="IRNazanin"/>
          <w:color w:val="111111"/>
          <w:sz w:val="28"/>
          <w:sz w:val="28"/>
          <w:szCs w:val="28"/>
          <w:rtl w:val="true"/>
          <w:lang w:bidi="fa-IR"/>
        </w:rPr>
        <w:t xml:space="preserve">ابوحنیفه و محمّد 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سرخسی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در رقبی تملیک، معلّق بر مرگ شده است و در حقیقت نوعی مخاطره است و نیز با استناد به حدیث نبوی صلی‌الله‌علیه‌و‌آله رقبی را باطل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رسول خدا صلی‌الله‌علیه‌و‌آله نقل کرده است که حضرت عمری را اجازه می داد، امّا رُقبی را باطل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خواهد شد که ابن قُدامه در مغنی این</w:t>
      </w:r>
    </w:p>
    <w:p>
      <w:pPr>
        <w:pStyle w:val="BookText"/>
        <w:rPr/>
      </w:pPr>
      <w:r>
        <w:rPr>
          <w:rFonts w:ascii="IRNazanin" w:hAnsi="IRNazanin" w:eastAsia="IRNazanin"/>
          <w:color w:val="111111"/>
          <w:sz w:val="28"/>
          <w:sz w:val="28"/>
          <w:szCs w:val="28"/>
          <w:rtl w:val="true"/>
          <w:lang w:bidi="fa-IR"/>
        </w:rPr>
        <w:t>حدیث را مجهول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طحاوی اظهار داشته است که نظر ابوحنیفه و محمّد در مورد اِرقاب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عاریه را دارد که مُعطی مالک رقبه آن نمی‌شود و مُرقِب هر وقت بخواهد، حق رجوع دارد</w:t>
      </w:r>
      <w:r>
        <w:rPr>
          <w:rFonts w:eastAsia="IRNazanin" w:cs="IRNazanin"/>
          <w:color w:val="111111"/>
          <w:sz w:val="28"/>
          <w:szCs w:val="28"/>
          <w:rtl w:val="true"/>
          <w:lang w:bidi="fa-IR"/>
        </w:rPr>
        <w:t>.</w:t>
      </w:r>
      <w:r>
        <w:rPr>
          <w:rStyle w:val="FootnoteAnchor"/>
          <w:rtl w:val="true"/>
        </w:rPr>
        <w:footnoteReference w:id="1645"/>
      </w:r>
    </w:p>
    <w:p>
      <w:pPr>
        <w:pStyle w:val="BookText"/>
        <w:rPr/>
      </w:pPr>
      <w:r>
        <w:rPr>
          <w:rFonts w:ascii="IRNazanin" w:hAnsi="IRNazanin" w:eastAsia="IRNazanin"/>
          <w:color w:val="111111"/>
          <w:sz w:val="28"/>
          <w:sz w:val="28"/>
          <w:szCs w:val="28"/>
          <w:rtl w:val="true"/>
          <w:lang w:bidi="fa-IR"/>
        </w:rPr>
        <w:t xml:space="preserve">از فقهای حنفیّه، ابویوسف، رقبی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عمری دانسته است که با قبض، حکم هبه را خواهد داشت و به ملکیّت شخص معطی در می‌آید</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IRNazanin" w:hAnsi="IRNazanin" w:eastAsia="IRNazanin"/>
          <w:color w:val="111111"/>
          <w:sz w:val="28"/>
          <w:sz w:val="28"/>
          <w:szCs w:val="28"/>
          <w:rtl w:val="true"/>
          <w:lang w:bidi="fa-IR"/>
        </w:rPr>
        <w:t>در فقه مالک، رقبی جایز نیست، زیرا از وجه متعارف خارج شده و نوعی مخاطره است چون معلّق بر مرگ شده است و تملیک به خطر جایز نیست</w:t>
      </w:r>
      <w:r>
        <w:rPr>
          <w:rFonts w:eastAsia="IRNazanin" w:cs="IRNazanin"/>
          <w:color w:val="111111"/>
          <w:sz w:val="28"/>
          <w:szCs w:val="28"/>
          <w:rtl w:val="true"/>
          <w:lang w:bidi="fa-IR"/>
        </w:rPr>
        <w:t>.</w:t>
      </w:r>
      <w:r>
        <w:rPr>
          <w:rStyle w:val="FootnoteAnchor"/>
          <w:rtl w:val="true"/>
        </w:rPr>
        <w:footnoteReference w:id="1647"/>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شافعی حکم رقبی را همان حکم عمری دانسته است</w:t>
      </w:r>
      <w:r>
        <w:rPr>
          <w:rFonts w:eastAsia="IRNazanin" w:cs="IRNazanin"/>
          <w:color w:val="111111"/>
          <w:sz w:val="28"/>
          <w:szCs w:val="28"/>
          <w:rtl w:val="true"/>
          <w:lang w:bidi="fa-IR"/>
        </w:rPr>
        <w:t>.</w:t>
      </w:r>
      <w:r>
        <w:rPr>
          <w:rStyle w:val="FootnoteAnchor"/>
          <w:rtl w:val="true"/>
        </w:rPr>
        <w:footnoteReference w:id="1648"/>
      </w:r>
      <w:r>
        <w:rPr>
          <w:rFonts w:ascii="IRNazanin" w:hAnsi="IRNazanin" w:eastAsia="IRNazanin"/>
          <w:color w:val="111111"/>
          <w:sz w:val="28"/>
          <w:sz w:val="28"/>
          <w:szCs w:val="28"/>
          <w:rtl w:val="true"/>
          <w:lang w:bidi="fa-IR"/>
        </w:rPr>
        <w:t xml:space="preserve">شَربینی یادآور شده است که 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عقد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خاطراین شرط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bookmarkStart w:id="964" w:name="pg4267_22232"/>
    </w:p>
    <w:p>
      <w:pPr>
        <w:pStyle w:val="BookText"/>
        <w:rPr/>
      </w:pPr>
      <w:bookmarkEnd w:id="9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صحیح و شرط را باطل می‌داند</w:t>
      </w:r>
      <w:r>
        <w:rPr>
          <w:rFonts w:eastAsia="IRNazanin" w:cs="IRNazanin"/>
          <w:color w:val="111111"/>
          <w:sz w:val="28"/>
          <w:szCs w:val="28"/>
          <w:rtl w:val="true"/>
          <w:lang w:bidi="fa-IR"/>
        </w:rPr>
        <w:t>.</w:t>
      </w:r>
      <w:r>
        <w:rPr>
          <w:rStyle w:val="FootnoteAnchor"/>
          <w:rtl w:val="true"/>
        </w:rPr>
        <w:footnoteReference w:id="1649"/>
      </w:r>
    </w:p>
    <w:p>
      <w:pPr>
        <w:pStyle w:val="BookText"/>
        <w:rPr/>
      </w:pPr>
      <w:r>
        <w:rPr>
          <w:rFonts w:ascii="IRNazanin" w:hAnsi="IRNazanin" w:eastAsia="IRNazanin"/>
          <w:color w:val="111111"/>
          <w:sz w:val="28"/>
          <w:sz w:val="28"/>
          <w:szCs w:val="28"/>
          <w:rtl w:val="true"/>
          <w:lang w:bidi="fa-IR"/>
        </w:rPr>
        <w:t>در فقه حنبلی نیز رقبی جایز و صحیح است و حکمش همانند عمری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قدامه از علی علیه‌السلامروایت کرده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اَلْعُمری وَالرُّقبی 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عُمری و رُقبی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اَرْقَبَ شَیْئا فَهُوَ عَلی سَبیلِ‌الْمیراث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را که کسی به دیگری، به عنوان رُقبی، می دهد میراث آن شخص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قدامه حدیثی را که مورد استناد ابوحنیفه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بطلان رُقبی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مجهول دانسته است</w:t>
      </w:r>
      <w:r>
        <w:rPr>
          <w:rFonts w:eastAsia="IRNazanin" w:cs="IRNazanin"/>
          <w:color w:val="111111"/>
          <w:sz w:val="28"/>
          <w:szCs w:val="28"/>
          <w:rtl w:val="true"/>
          <w:lang w:bidi="fa-IR"/>
        </w:rPr>
        <w:t>.</w:t>
      </w:r>
      <w:r>
        <w:rPr>
          <w:rStyle w:val="FootnoteAnchor"/>
          <w:rtl w:val="true"/>
        </w:rPr>
        <w:footnoteReference w:id="1650"/>
      </w:r>
    </w:p>
    <w:p>
      <w:pPr>
        <w:pStyle w:val="Heading5"/>
        <w:numPr>
          <w:ilvl w:val="4"/>
          <w:numId w:val="1"/>
        </w:numPr>
        <w:rPr/>
      </w:pPr>
      <w:bookmarkStart w:id="965" w:name="__RefHeading___Toc474611_1479056682"/>
      <w:bookmarkStart w:id="966" w:name="_Toc368"/>
      <w:bookmarkEnd w:id="965"/>
      <w:r>
        <w:rPr>
          <w:rtl w:val="true"/>
        </w:rPr>
        <w:t xml:space="preserve">گفتار </w:t>
      </w:r>
      <w:r>
        <w:rPr/>
        <w:t>4</w:t>
      </w:r>
      <w:r>
        <w:rPr>
          <w:rtl w:val="true"/>
        </w:rPr>
        <w:t xml:space="preserve">- </w:t>
      </w:r>
      <w:r>
        <w:rPr>
          <w:rtl w:val="true"/>
        </w:rPr>
        <w:t>حکم سُکنی</w:t>
      </w:r>
      <w:bookmarkEnd w:id="966"/>
    </w:p>
    <w:p>
      <w:pPr>
        <w:pStyle w:val="BookText"/>
        <w:rPr/>
      </w:pPr>
      <w:r>
        <w:rPr>
          <w:rFonts w:ascii="IRNazanin" w:hAnsi="IRNazanin" w:eastAsia="IRNazanin"/>
          <w:color w:val="111111"/>
          <w:sz w:val="28"/>
          <w:sz w:val="28"/>
          <w:szCs w:val="28"/>
          <w:rtl w:val="true"/>
          <w:lang w:bidi="fa-IR"/>
        </w:rPr>
        <w:t>خَرَقی در متن مغنی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دیگری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سکنی داری هذِهِ لَکَ عُمْرَکَ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سکنای این خانه من تا زنده ای برای تو باشد؛ هر وقت بخواهد می</w:t>
      </w:r>
    </w:p>
    <w:p>
      <w:pPr>
        <w:pStyle w:val="BookText"/>
        <w:rPr/>
      </w:pPr>
      <w:r>
        <w:rPr>
          <w:rFonts w:ascii="IRNazanin" w:hAnsi="IRNazanin" w:eastAsia="IRNazanin"/>
          <w:color w:val="111111"/>
          <w:sz w:val="28"/>
          <w:sz w:val="28"/>
          <w:szCs w:val="28"/>
          <w:rtl w:val="true"/>
          <w:lang w:bidi="fa-IR"/>
        </w:rPr>
        <w:t>تواند از او باز پس گیرد، زیرا سُکنی در حکم، همانند عُمری و رُقبی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قُدامه در توضیح عبارت فوق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عقد لازم نیست، زیرا در حقیقت سُکنی هبه منافع است و منافع در طول زمان به تدریج استیفا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جز نسبت به مقداری که قبض و استیفا کرده است، لازم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مُسکِن هر زمان که بخواهد حق رجوع دارد و هر کدام که بمیرد، سُکنی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ابن قدامه را می توان به اجاره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علما و جماعتی از اهل فتوا از جمله شَعبی، نَخَعی ، ثَوْری، شافعی، اسحاق و اصحاب رأی این نظر را برگزیده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حسن و عطاء، سُکنی را همانند عُمری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سکنی نیز در معنای عمری است و در نتیجه همه احکام آن را خواهد داشت</w:t>
      </w:r>
      <w:r>
        <w:rPr>
          <w:rFonts w:eastAsia="IRNazanin" w:cs="IRNazanin"/>
          <w:color w:val="111111"/>
          <w:sz w:val="28"/>
          <w:szCs w:val="28"/>
          <w:rtl w:val="true"/>
          <w:lang w:bidi="fa-IR"/>
        </w:rPr>
        <w:t>.</w:t>
      </w:r>
      <w:r>
        <w:rPr>
          <w:rStyle w:val="FootnoteAnchor"/>
          <w:rtl w:val="true"/>
        </w:rPr>
        <w:footnoteReference w:id="1651"/>
      </w:r>
      <w:r>
        <w:rPr>
          <w:rFonts w:ascii="IRNazanin" w:hAnsi="IRNazanin" w:eastAsia="IRNazanin"/>
          <w:color w:val="111111"/>
          <w:sz w:val="28"/>
          <w:sz w:val="28"/>
          <w:szCs w:val="28"/>
          <w:rtl w:val="true"/>
          <w:lang w:bidi="fa-IR"/>
        </w:rPr>
        <w:t>سرخسی در مبسوط نیز تصریح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سُکنی حکم عاریه را دارد</w:t>
      </w:r>
      <w:r>
        <w:rPr>
          <w:rFonts w:eastAsia="IRNazanin" w:cs="IRNazanin"/>
          <w:color w:val="111111"/>
          <w:sz w:val="28"/>
          <w:szCs w:val="28"/>
          <w:rtl w:val="true"/>
          <w:lang w:bidi="fa-IR"/>
        </w:rPr>
        <w:t>.</w:t>
      </w:r>
      <w:r>
        <w:rPr>
          <w:rStyle w:val="FootnoteAnchor"/>
          <w:rtl w:val="true"/>
        </w:rPr>
        <w:footnoteReference w:id="1652"/>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اَوَّلاً وَ آخِرا وَ صَلَّی‌اللّه‌ُ عَلی مُحَمَّدٍ وَ آلِهِ‌الطّاهِرینَ سِیَّما مَوْلانا وَ سَیِّدِنا، صاحِب‌الْعَصْرِ، حُجَهِ‌بْنِ‌الْحَسَنِ‌الْمَهْدی اَرْواحُنا لِتُرابِ مَقْدَمِهِ‌الْفِداءُ</w:t>
      </w:r>
      <w:r>
        <w:rPr>
          <w:rFonts w:eastAsia="Amiri" w:cs="Amiri" w:ascii="Amiri" w:hAnsi="Amiri"/>
          <w:color w:val="111111"/>
          <w:sz w:val="28"/>
          <w:szCs w:val="28"/>
          <w:rtl w:val="true"/>
          <w:lang w:bidi="ar-SA"/>
        </w:rPr>
        <w:t xml:space="preserve">. </w:t>
      </w:r>
      <w:bookmarkStart w:id="967" w:name="pg4267_22234"/>
    </w:p>
    <w:p>
      <w:pPr>
        <w:pStyle w:val="Heading2"/>
        <w:numPr>
          <w:ilvl w:val="1"/>
          <w:numId w:val="1"/>
        </w:numPr>
        <w:rPr/>
      </w:pPr>
      <w:bookmarkStart w:id="968" w:name="__RefHeading___Toc474613_1479056682"/>
      <w:bookmarkStart w:id="969" w:name="_Toc369"/>
      <w:bookmarkEnd w:id="967"/>
      <w:bookmarkEnd w:id="968"/>
      <w:r>
        <w:rPr>
          <w:rtl w:val="true"/>
        </w:rPr>
        <w:t xml:space="preserve">بخش </w:t>
      </w:r>
      <w:r>
        <w:rPr/>
        <w:t>3</w:t>
      </w:r>
      <w:r>
        <w:rPr>
          <w:rtl w:val="true"/>
        </w:rPr>
        <w:t xml:space="preserve">: </w:t>
      </w:r>
      <w:r>
        <w:rPr>
          <w:rtl w:val="true"/>
        </w:rPr>
        <w:t>نقش وقف در شکوفایی اقتصاد اسلامی</w:t>
      </w:r>
      <w:bookmarkEnd w:id="969"/>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70" w:name="__RefHeading___Toc474615_1479056682"/>
      <w:bookmarkStart w:id="971" w:name="_Toc370"/>
      <w:bookmarkEnd w:id="970"/>
      <w:r>
        <w:rPr>
          <w:rtl w:val="true"/>
        </w:rPr>
        <w:t>اشاره</w:t>
      </w:r>
      <w:bookmarkEnd w:id="971"/>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2" w:name="pg4267_22238"/>
      <w:bookmarkStart w:id="973" w:name="pg4267_22238"/>
      <w:bookmarkEnd w:id="973"/>
    </w:p>
    <w:p>
      <w:pPr>
        <w:pStyle w:val="Heading3"/>
        <w:numPr>
          <w:ilvl w:val="2"/>
          <w:numId w:val="1"/>
        </w:numPr>
        <w:rPr/>
      </w:pPr>
      <w:bookmarkStart w:id="974" w:name="pg4267_22238"/>
      <w:bookmarkStart w:id="975" w:name="__RefHeading___Toc474617_1479056682"/>
      <w:bookmarkStart w:id="976" w:name="_Toc371"/>
      <w:bookmarkEnd w:id="974"/>
      <w:bookmarkEnd w:id="975"/>
      <w:r>
        <w:rPr>
          <w:rtl w:val="true"/>
        </w:rPr>
        <w:t>فصل اول</w:t>
      </w:r>
      <w:r>
        <w:rPr>
          <w:rtl w:val="true"/>
        </w:rPr>
        <w:t xml:space="preserve">: </w:t>
      </w:r>
      <w:r>
        <w:rPr>
          <w:rtl w:val="true"/>
        </w:rPr>
        <w:t>کلّیّاتی پیرامون اقتصاد اسلامی</w:t>
      </w:r>
      <w:bookmarkEnd w:id="976"/>
    </w:p>
    <w:p>
      <w:pPr>
        <w:pStyle w:val="Heading4"/>
        <w:numPr>
          <w:ilvl w:val="3"/>
          <w:numId w:val="1"/>
        </w:numPr>
        <w:rPr/>
      </w:pPr>
      <w:bookmarkStart w:id="977" w:name="__RefHeading___Toc474619_1479056682"/>
      <w:bookmarkStart w:id="978" w:name="_Toc372"/>
      <w:bookmarkEnd w:id="977"/>
      <w:r>
        <w:rPr>
          <w:rtl w:val="true"/>
        </w:rPr>
        <w:t>اشاره</w:t>
      </w:r>
      <w:bookmarkEnd w:id="978"/>
    </w:p>
    <w:p>
      <w:pPr>
        <w:pStyle w:val="BookText"/>
        <w:rPr/>
      </w:pPr>
      <w:r>
        <w:rPr>
          <w:rFonts w:ascii="IRNazanin" w:hAnsi="IRNazanin" w:eastAsia="IRNazanin"/>
          <w:color w:val="111111"/>
          <w:sz w:val="28"/>
          <w:sz w:val="28"/>
          <w:szCs w:val="28"/>
          <w:rtl w:val="true"/>
          <w:lang w:bidi="fa-IR"/>
        </w:rPr>
        <w:t>هدف اصلی از طرح این بخش، بیان نقش وقف در شکوفایی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بخش به مناسبت پیرامون نقش وقف در فرهنگ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مطالبی به اختصار بیان شده است که این مباحث با اهداف اقتصاد اسلامی و نقش وقف در تحقّق آنها ارتباطی تنگاتنگ دارد</w:t>
      </w:r>
      <w:r>
        <w:rPr>
          <w:rFonts w:eastAsia="IRNazanin" w:cs="IRNazanin"/>
          <w:color w:val="111111"/>
          <w:sz w:val="28"/>
          <w:szCs w:val="28"/>
          <w:rtl w:val="true"/>
          <w:lang w:bidi="fa-IR"/>
        </w:rPr>
        <w:t>.</w:t>
      </w:r>
    </w:p>
    <w:p>
      <w:pPr>
        <w:pStyle w:val="Heading4"/>
        <w:numPr>
          <w:ilvl w:val="3"/>
          <w:numId w:val="1"/>
        </w:numPr>
        <w:rPr/>
      </w:pPr>
      <w:bookmarkStart w:id="979" w:name="__RefHeading___Toc474621_1479056682"/>
      <w:bookmarkStart w:id="980" w:name="_Toc373"/>
      <w:bookmarkEnd w:id="979"/>
      <w:r>
        <w:rPr>
          <w:rtl w:val="true"/>
        </w:rPr>
        <w:t xml:space="preserve">گفتار </w:t>
      </w:r>
      <w:r>
        <w:rPr/>
        <w:t>1</w:t>
      </w:r>
      <w:r>
        <w:rPr>
          <w:rtl w:val="true"/>
        </w:rPr>
        <w:t xml:space="preserve">- </w:t>
      </w:r>
      <w:r>
        <w:rPr>
          <w:rtl w:val="true"/>
        </w:rPr>
        <w:t>اسلام دین زندگی است</w:t>
      </w:r>
      <w:bookmarkEnd w:id="980"/>
    </w:p>
    <w:p>
      <w:pPr>
        <w:pStyle w:val="BookText"/>
        <w:rPr/>
      </w:pPr>
      <w:r>
        <w:rPr>
          <w:rFonts w:ascii="IRNazanin" w:hAnsi="IRNazanin" w:eastAsia="IRNazanin"/>
          <w:color w:val="111111"/>
          <w:sz w:val="28"/>
          <w:sz w:val="28"/>
          <w:szCs w:val="28"/>
          <w:rtl w:val="true"/>
          <w:lang w:bidi="fa-IR"/>
        </w:rPr>
        <w:t>برخلاف دیگر مکاتب اقتصادی، اسلام، برنامه‌ها و مقرّرات خود را با توجّه به ابعاد گوناگون انسان مطرح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مکتب حیاتبخش اسلام، انسان دارای دو بعد معنوی و مادی است و از این رو دارای نیازهای روحی و جسمی و معنوی و مادّی است که به این هر دو جنبه به طور کامل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دو بعد از یکدیگر جدا نیست و بر یکدیگر تأثیر متقابل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مسائل معنوی اسلام و مسائل اقتصادی آن هر یک برای خود دارای قلمروی جداگانه باشند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مسائل اقتصادی اسلام آن چنان با دیگر مسائل آن آمیخته است که حذف آنها از </w:t>
      </w:r>
      <w:bookmarkStart w:id="981" w:name="pg4267_22240"/>
    </w:p>
    <w:p>
      <w:pPr>
        <w:pStyle w:val="BookText"/>
        <w:rPr/>
      </w:pPr>
      <w:bookmarkEnd w:id="981"/>
      <w:r>
        <w:rPr>
          <w:rFonts w:ascii="IRNazanin" w:hAnsi="IRNazanin" w:eastAsia="IRNazanin"/>
          <w:color w:val="111111"/>
          <w:sz w:val="28"/>
          <w:sz w:val="28"/>
          <w:szCs w:val="28"/>
          <w:rtl w:val="true"/>
          <w:lang w:bidi="fa-IR"/>
        </w:rPr>
        <w:t>اسلام به معنای حذف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اسلام منهای عباداتی چون نماز، حج، روزه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نیست، اسلام منهای مسائل اقتصادی نیز اسلام نخواهد بود و اصلاً تفکّر تفکیک بین مسائل عبادی و اقتصادی اسلام تفکّر غلطی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مجموعه ای هماهنگ و به هم پیوسته است، به‌گونه‌ای که قضاوت و داوری در مورد بخشهای گوناگون آن، بدون در نظر گرفتن اجزای دیگر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رابطه اقتصاد اسلامی با سایر بخشهای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نیز جزئی از برنامه ای است که اسلام برای سعادت بشر به ارمغان آورده است و پیوند آن با مسائل اجتماعی، سیاسی، عبادی،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عمیق و ناگسستنی است</w:t>
      </w:r>
      <w:r>
        <w:rPr>
          <w:rFonts w:eastAsia="IRNazanin" w:cs="IRNazanin"/>
          <w:color w:val="111111"/>
          <w:sz w:val="28"/>
          <w:szCs w:val="28"/>
          <w:rtl w:val="true"/>
          <w:lang w:bidi="fa-IR"/>
        </w:rPr>
        <w:t>.</w:t>
      </w:r>
      <w:r>
        <w:rPr>
          <w:rStyle w:val="FootnoteAnchor"/>
          <w:rtl w:val="true"/>
        </w:rPr>
        <w:footnoteReference w:id="1653"/>
      </w:r>
    </w:p>
    <w:p>
      <w:pPr>
        <w:pStyle w:val="Heading4"/>
        <w:numPr>
          <w:ilvl w:val="3"/>
          <w:numId w:val="1"/>
        </w:numPr>
        <w:rPr/>
      </w:pPr>
      <w:bookmarkStart w:id="982" w:name="__RefHeading___Toc474623_1479056682"/>
      <w:bookmarkStart w:id="983" w:name="_Toc374"/>
      <w:bookmarkEnd w:id="982"/>
      <w:r>
        <w:rPr>
          <w:rtl w:val="true"/>
        </w:rPr>
        <w:t xml:space="preserve">گفتار </w:t>
      </w:r>
      <w:r>
        <w:rPr/>
        <w:t>2</w:t>
      </w:r>
      <w:r>
        <w:rPr>
          <w:rtl w:val="true"/>
        </w:rPr>
        <w:t xml:space="preserve">- </w:t>
      </w:r>
      <w:r>
        <w:rPr>
          <w:rtl w:val="true"/>
        </w:rPr>
        <w:t xml:space="preserve">ثروت </w:t>
      </w:r>
      <w:r>
        <w:rPr>
          <w:rtl w:val="true"/>
        </w:rPr>
        <w:t>(</w:t>
      </w:r>
      <w:r>
        <w:rPr>
          <w:rtl w:val="true"/>
        </w:rPr>
        <w:t>و دنیا</w:t>
      </w:r>
      <w:r>
        <w:rPr>
          <w:rtl w:val="true"/>
        </w:rPr>
        <w:t xml:space="preserve">) </w:t>
      </w:r>
      <w:r>
        <w:rPr>
          <w:rtl w:val="true"/>
        </w:rPr>
        <w:t>از دیدگاه اسلام</w:t>
      </w:r>
      <w:bookmarkEnd w:id="983"/>
    </w:p>
    <w:p>
      <w:pPr>
        <w:pStyle w:val="BookText"/>
        <w:rPr/>
      </w:pPr>
      <w:r>
        <w:rPr>
          <w:rFonts w:ascii="IRNazanin" w:hAnsi="IRNazanin" w:eastAsia="IRNazanin"/>
          <w:color w:val="111111"/>
          <w:sz w:val="28"/>
          <w:sz w:val="28"/>
          <w:szCs w:val="28"/>
          <w:rtl w:val="true"/>
          <w:lang w:bidi="fa-IR"/>
        </w:rPr>
        <w:t>به قول شهید مطهّری</w:t>
      </w:r>
      <w:r>
        <w:rPr>
          <w:rStyle w:val="FootnoteAnchor"/>
          <w:rtl w:val="true"/>
        </w:rPr>
        <w:footnoteReference w:id="1654"/>
      </w:r>
      <w:r>
        <w:rPr>
          <w:rFonts w:ascii="IRNazanin" w:hAnsi="IRNazanin" w:eastAsia="IRNazanin"/>
          <w:color w:val="111111"/>
          <w:sz w:val="28"/>
          <w:sz w:val="28"/>
          <w:szCs w:val="28"/>
          <w:rtl w:val="true"/>
          <w:lang w:bidi="fa-IR"/>
        </w:rPr>
        <w:t>قبل از آن که به نظام اقتصادی اسلام نظری بیفکنیم باید ببینیمنظر اسلام درباره مال و ثروت چیست؟</w:t>
      </w:r>
    </w:p>
    <w:p>
      <w:pPr>
        <w:pStyle w:val="BookText"/>
        <w:rPr/>
      </w:pPr>
      <w:r>
        <w:rPr>
          <w:rFonts w:ascii="IRNazanin" w:hAnsi="IRNazanin" w:eastAsia="IRNazanin"/>
          <w:color w:val="111111"/>
          <w:sz w:val="28"/>
          <w:sz w:val="28"/>
          <w:szCs w:val="28"/>
          <w:rtl w:val="true"/>
          <w:lang w:bidi="fa-IR"/>
        </w:rPr>
        <w:t>آیا اسلام به طور کلّی مال و ثروت را مطرود می داند و به آن به عنوان یک امر پلید و دور انداختنی می‌نگرد؟ اگر مکتبی درباره دنیا و ثروت چنین دیدگاهی داشته باشد، نمی‌تواند درباره آن مقررّاتی مثبت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و روایات در این زمینه را کلاً می‌توان به سه دسته تقسیم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اوّل، آیات و روایاتی که در آنها یا دنیا و ثروت مورد مذمّت قرار گرفته و یا از فقر، ستایش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دنیا بازیچه و سرگرمی است</w:t>
      </w:r>
      <w:r>
        <w:rPr>
          <w:rFonts w:eastAsia="IRNazanin" w:cs="IRNazanin"/>
          <w:color w:val="111111"/>
          <w:sz w:val="28"/>
          <w:szCs w:val="28"/>
          <w:rtl w:val="true"/>
          <w:lang w:bidi="fa-IR"/>
        </w:rPr>
        <w:t>»</w:t>
      </w:r>
      <w:r>
        <w:rPr>
          <w:rStyle w:val="FootnoteAnchor"/>
          <w:rtl w:val="true"/>
        </w:rPr>
        <w:footnoteReference w:id="16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اندک</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6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غرور است</w:t>
      </w:r>
      <w:r>
        <w:rPr>
          <w:rFonts w:eastAsia="IRNazanin" w:cs="IRNazanin"/>
          <w:color w:val="111111"/>
          <w:sz w:val="28"/>
          <w:szCs w:val="28"/>
          <w:rtl w:val="true"/>
          <w:lang w:bidi="fa-IR"/>
        </w:rPr>
        <w:t>»</w:t>
      </w:r>
      <w:r>
        <w:rPr>
          <w:rStyle w:val="FootnoteAnchor"/>
          <w:rtl w:val="true"/>
        </w:rPr>
        <w:footnoteReference w:id="16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تَکاثُر و تَفاخُر است</w:t>
      </w:r>
      <w:r>
        <w:rPr>
          <w:rFonts w:eastAsia="Amiri" w:cs="Amiri" w:ascii="Amiri" w:hAnsi="Amiri"/>
          <w:color w:val="111111"/>
          <w:sz w:val="28"/>
          <w:szCs w:val="28"/>
          <w:rtl w:val="true"/>
          <w:lang w:bidi="ar-SA"/>
        </w:rPr>
        <w:t>»</w:t>
      </w:r>
      <w:r>
        <w:rPr>
          <w:rStyle w:val="FootnoteAnchor"/>
          <w:rtl w:val="true"/>
        </w:rPr>
        <w:footnoteReference w:id="165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از روایات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رَأَیْتَ الْفَقْرَ مُقْبِلاً فَقُلْ مَرْحَبا بِشِعارِالصّالِحینَ وَ اِذا رَأَیْتَ الْغِنی مُقْبِلاً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عَجَّلَتْ عُقوُبَتُهُ</w:t>
      </w:r>
      <w:r>
        <w:rPr>
          <w:rStyle w:val="FootnoteAnchor"/>
          <w:rtl w:val="true"/>
        </w:rPr>
        <w:footnoteReference w:id="16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فقر به </w:t>
      </w:r>
    </w:p>
    <w:p>
      <w:pPr>
        <w:pStyle w:val="BookText"/>
        <w:rPr/>
      </w:pPr>
      <w:r>
        <w:rPr>
          <w:rFonts w:ascii="IRNazanin" w:hAnsi="IRNazanin" w:eastAsia="IRNazanin"/>
          <w:color w:val="111111"/>
          <w:sz w:val="28"/>
          <w:sz w:val="28"/>
          <w:szCs w:val="28"/>
          <w:rtl w:val="true"/>
          <w:lang w:bidi="fa-IR"/>
        </w:rPr>
        <w:t xml:space="preserve">تو روی آورد بگو؛ درود بر شعار صالحان و هر گاه بی نیازی به تو روی آورد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گناهی انجام داده ام که در عقوبت آن تعجیل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صادق علیه‌السلامفرموده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یَبْلُغُ اَحَدُکُمْ حَقیقَةَ الاْیمانِ حتّی یَکوُنَ الْفَقْرُ اَحَبَّ اِلَیْهِ مِنَ‌الْغِنی</w:t>
      </w:r>
      <w:r>
        <w:rPr>
          <w:rFonts w:eastAsia="Amiri" w:cs="Amiri" w:ascii="Amiri" w:hAnsi="Amiri"/>
          <w:color w:val="111111"/>
          <w:sz w:val="28"/>
          <w:szCs w:val="28"/>
          <w:rtl w:val="true"/>
          <w:lang w:bidi="ar-SA"/>
        </w:rPr>
        <w:t>»</w:t>
      </w:r>
      <w:r>
        <w:rPr>
          <w:rStyle w:val="FootnoteAnchor"/>
          <w:rtl w:val="true"/>
        </w:rPr>
        <w:footnoteReference w:id="16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شما به حقیقت ایمان نمی رسد مگر در صورتی که فقر در نزد اومحبوبتر از بی نیازی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علیه‌السلام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اَزْیَنُ لِلْمُؤْمِنینَ مِنَ الْعِذارِ عَلی خَدِّ الْفَرَسِ</w:t>
      </w:r>
      <w:r>
        <w:rPr>
          <w:rFonts w:eastAsia="Amiri" w:cs="Amiri" w:ascii="Amiri" w:hAnsi="Amiri"/>
          <w:color w:val="111111"/>
          <w:sz w:val="28"/>
          <w:szCs w:val="28"/>
          <w:rtl w:val="true"/>
          <w:lang w:bidi="ar-SA"/>
        </w:rPr>
        <w:t>»</w:t>
      </w:r>
      <w:r>
        <w:rPr>
          <w:rStyle w:val="FootnoteAnchor"/>
          <w:rtl w:val="true"/>
        </w:rPr>
        <w:footnoteReference w:id="166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فقربرای مؤمنان زیبا تر از لگام بر گونه اسب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rtl w:val="true"/>
          <w:lang w:bidi="ar-SA"/>
        </w:rPr>
        <w:t>»</w:t>
      </w:r>
      <w:r>
        <w:rPr>
          <w:rStyle w:val="FootnoteAnchor"/>
          <w:rtl w:val="true"/>
        </w:rPr>
        <w:footnoteReference w:id="166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اَحْیِنی مِسکینا وَ اَمِتْنی مِسْکینا وَاحْشُرْنی</w:t>
      </w:r>
    </w:p>
    <w:p>
      <w:pPr>
        <w:pStyle w:val="BookText"/>
        <w:rPr/>
      </w:pPr>
      <w:r>
        <w:rPr>
          <w:rFonts w:ascii="Amiri" w:hAnsi="Amiri" w:eastAsia="Amiri" w:cs="Amiri"/>
          <w:color w:val="111111"/>
          <w:sz w:val="28"/>
          <w:sz w:val="28"/>
          <w:szCs w:val="28"/>
          <w:rtl w:val="true"/>
          <w:lang w:bidi="ar-SA"/>
        </w:rPr>
        <w:t>مَعَ‌المَساکینِ</w:t>
      </w:r>
      <w:r>
        <w:rPr>
          <w:rFonts w:eastAsia="Amiri" w:cs="Amiri" w:ascii="Amiri" w:hAnsi="Amiri"/>
          <w:color w:val="111111"/>
          <w:sz w:val="28"/>
          <w:szCs w:val="28"/>
          <w:rtl w:val="true"/>
          <w:lang w:bidi="ar-SA"/>
        </w:rPr>
        <w:t>»</w:t>
      </w:r>
      <w:r>
        <w:rPr>
          <w:rStyle w:val="FootnoteAnchor"/>
          <w:rtl w:val="true"/>
        </w:rPr>
        <w:footnoteReference w:id="16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مسکین زنده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مسکین بمیران و با مساکین محشور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 فراوان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آیات و روایاتی که در آنها به دنیا و ثروت با دید مثبت نگریسته شده و یا فقر نکوهش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آیاتی که از دنیا و ثروت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 اللّه</w:t>
      </w:r>
      <w:r>
        <w:rPr>
          <w:rFonts w:eastAsia="IRNazanin" w:cs="IRNazanin"/>
          <w:color w:val="111111"/>
          <w:sz w:val="28"/>
          <w:szCs w:val="28"/>
          <w:rtl w:val="true"/>
          <w:lang w:bidi="fa-IR"/>
        </w:rPr>
        <w:t>»</w:t>
      </w:r>
      <w:r>
        <w:rPr>
          <w:rStyle w:val="FootnoteAnchor"/>
          <w:rtl w:val="true"/>
        </w:rPr>
        <w:footnoteReference w:id="1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Style w:val="FootnoteAnchor"/>
          <w:rtl w:val="true"/>
        </w:rPr>
        <w:footnoteReference w:id="1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r>
        <w:rPr>
          <w:rStyle w:val="FootnoteAnchor"/>
          <w:rtl w:val="true"/>
        </w:rPr>
        <w:footnoteReference w:id="1666"/>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روایات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حدیث نبوی صلی‌الله‌علیه‌و‌آله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w:t>
      </w:r>
      <w:r>
        <w:rPr>
          <w:rStyle w:val="FootnoteAnchor"/>
          <w:rtl w:val="true"/>
        </w:rPr>
        <w:footnoteReference w:id="166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بینیازی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خوبی برای تقوای الهی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ماءا وَ تُرابا ثُمَ‌افْتَقَرَ فَاَبْعَدَهُ اللّهُ</w:t>
      </w:r>
      <w:r>
        <w:rPr>
          <w:rFonts w:eastAsia="Amiri" w:cs="Amiri" w:ascii="Amiri" w:hAnsi="Amiri"/>
          <w:color w:val="111111"/>
          <w:sz w:val="28"/>
          <w:szCs w:val="28"/>
          <w:rtl w:val="true"/>
          <w:lang w:bidi="ar-SA"/>
        </w:rPr>
        <w:t>»</w:t>
      </w:r>
      <w:r>
        <w:rPr>
          <w:rStyle w:val="FootnoteAnchor"/>
          <w:rtl w:val="true"/>
        </w:rPr>
        <w:footnoteReference w:id="16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آب وخاک در اختیار داشتهباشد و باز هم فقیر شود، خداوند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اِنّی لَمِنْ اَکْثَرِ اَهْلِ الْمَدینَةِ مالاً</w:t>
      </w:r>
      <w:r>
        <w:rPr>
          <w:rFonts w:eastAsia="Amiri" w:cs="Amiri" w:ascii="Amiri" w:hAnsi="Amiri"/>
          <w:color w:val="111111"/>
          <w:sz w:val="28"/>
          <w:szCs w:val="28"/>
          <w:rtl w:val="true"/>
          <w:lang w:bidi="ar-SA"/>
        </w:rPr>
        <w:t>»</w:t>
      </w:r>
      <w:r>
        <w:rPr>
          <w:rStyle w:val="FootnoteAnchor"/>
          <w:rtl w:val="true"/>
        </w:rPr>
        <w:footnoteReference w:id="1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ثروتمندترین مردم مدینه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امامصادق علیه‌السلام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کادَ اَنْ یَکونَ کُفْرا</w:t>
      </w:r>
      <w:r>
        <w:rPr>
          <w:rFonts w:eastAsia="Amiri" w:cs="Amiri" w:ascii="Amiri" w:hAnsi="Amiri"/>
          <w:color w:val="111111"/>
          <w:sz w:val="28"/>
          <w:szCs w:val="28"/>
          <w:rtl w:val="true"/>
          <w:lang w:bidi="ar-SA"/>
        </w:rPr>
        <w:t>»</w:t>
      </w:r>
      <w:r>
        <w:rPr>
          <w:rStyle w:val="FootnoteAnchor"/>
          <w:rtl w:val="true"/>
        </w:rPr>
        <w:footnoteReference w:id="16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نزدیک است به کفر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الْمَوْتُ اْلاَکْبَرُ</w:t>
      </w:r>
      <w:r>
        <w:rPr>
          <w:rFonts w:eastAsia="Amiri" w:cs="Amiri" w:ascii="Amiri" w:hAnsi="Amiri"/>
          <w:color w:val="111111"/>
          <w:sz w:val="28"/>
          <w:szCs w:val="28"/>
          <w:rtl w:val="true"/>
          <w:lang w:bidi="ar-SA"/>
        </w:rPr>
        <w:t>»</w:t>
      </w:r>
      <w:r>
        <w:rPr>
          <w:rStyle w:val="FootnoteAnchor"/>
          <w:rtl w:val="true"/>
        </w:rPr>
        <w:footnoteReference w:id="16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w:t>
      </w:r>
    </w:p>
    <w:p>
      <w:pPr>
        <w:pStyle w:val="BookText"/>
        <w:rPr/>
      </w:pPr>
      <w:r>
        <w:rPr>
          <w:rFonts w:ascii="IRNazanin" w:hAnsi="IRNazanin" w:eastAsia="IRNazanin"/>
          <w:color w:val="111111"/>
          <w:sz w:val="28"/>
          <w:sz w:val="28"/>
          <w:szCs w:val="28"/>
          <w:rtl w:val="true"/>
          <w:lang w:bidi="fa-IR"/>
        </w:rPr>
        <w:t>و روایات فراوان دیگری که با عبارات و مضامین مشابه وارد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سوم آیات و روایاتی که در حقیقت توضیح دو دسته بالاست، یعنی تضادّ آن دو را حلّ کرده است و در آنها توضیح داده شده که؛ دنیا آن گاه مطلوب است که در جهت آخرت و مقدّمه و زمینه برای جهان ابدی باشد و در صورتی مذموم است که به آن اصالت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معاد معتقد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لقای ما دل نبستند و به زندگی دنیا دلخوش شده و دل بسته‌اند </w:t>
      </w:r>
      <w:r>
        <w:rPr>
          <w:rFonts w:eastAsia="IRNazanin" w:cs="IRNazanin"/>
          <w:color w:val="111111"/>
          <w:sz w:val="28"/>
          <w:szCs w:val="28"/>
          <w:rtl w:val="true"/>
          <w:lang w:bidi="fa-IR"/>
        </w:rPr>
        <w:t>...»</w:t>
      </w:r>
      <w:r>
        <w:rPr>
          <w:rStyle w:val="FootnoteAnchor"/>
          <w:rtl w:val="true"/>
        </w:rPr>
        <w:footnoteReference w:id="1672"/>
      </w:r>
      <w:r>
        <w:rPr>
          <w:rFonts w:ascii="IRNazanin" w:hAnsi="IRNazanin" w:eastAsia="IRNazanin"/>
          <w:color w:val="111111"/>
          <w:sz w:val="28"/>
          <w:sz w:val="28"/>
          <w:szCs w:val="28"/>
          <w:rtl w:val="true"/>
          <w:lang w:bidi="fa-IR"/>
        </w:rPr>
        <w:t>در این آیه علّت مذمّت و تحقیر دنیاپرستان، بی اعتقادی به معاد ومنحصر کردن زندگی به دنیا و مرگ را پایان آن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مَتْجَرُ اَوْلِیاءِ اللّهِ</w:t>
      </w:r>
      <w:r>
        <w:rPr>
          <w:rFonts w:eastAsia="IRNazanin" w:cs="IRNazanin"/>
          <w:color w:val="111111"/>
          <w:sz w:val="28"/>
          <w:szCs w:val="28"/>
          <w:rtl w:val="true"/>
          <w:lang w:bidi="fa-IR"/>
        </w:rPr>
        <w:t>»</w:t>
      </w:r>
      <w:r>
        <w:rPr>
          <w:rStyle w:val="FootnoteAnchor"/>
          <w:rtl w:val="true"/>
        </w:rPr>
        <w:footnoteReference w:id="16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جایگاه تجارت اولیای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اَلدُّنْیا مَزْرَعَةُ الْآخِرَة</w:t>
      </w:r>
      <w:r>
        <w:rPr>
          <w:rFonts w:eastAsia="IRNazanin" w:cs="IRNazanin"/>
          <w:color w:val="111111"/>
          <w:sz w:val="28"/>
          <w:szCs w:val="28"/>
          <w:rtl w:val="true"/>
          <w:lang w:bidi="fa-IR"/>
        </w:rPr>
        <w:t>»</w:t>
      </w:r>
      <w:r>
        <w:rPr>
          <w:rStyle w:val="FootnoteAnchor"/>
          <w:rtl w:val="true"/>
        </w:rPr>
        <w:footnoteReference w:id="16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نِعْمَالْعَوْنُ الدُّنْیا عَلَی الْآخِرَة</w:t>
      </w:r>
      <w:r>
        <w:rPr>
          <w:rFonts w:eastAsia="Amiri" w:cs="Amiri" w:ascii="Amiri" w:hAnsi="Amiri"/>
          <w:color w:val="111111"/>
          <w:sz w:val="28"/>
          <w:szCs w:val="28"/>
          <w:rtl w:val="true"/>
          <w:lang w:bidi="ar-SA"/>
        </w:rPr>
        <w:t>»</w:t>
      </w:r>
      <w:r>
        <w:rPr>
          <w:rStyle w:val="FootnoteAnchor"/>
          <w:rtl w:val="true"/>
        </w:rPr>
        <w:footnoteReference w:id="16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کمک خوبی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امام‌صادق علیه‌السلام</w:t>
      </w:r>
    </w:p>
    <w:p>
      <w:pPr>
        <w:pStyle w:val="BookText"/>
        <w:rPr/>
      </w:pPr>
      <w:r>
        <w:rPr>
          <w:rFonts w:ascii="IRNazanin" w:hAnsi="IRNazanin" w:eastAsia="IRNazanin"/>
          <w:color w:val="111111"/>
          <w:sz w:val="28"/>
          <w:sz w:val="28"/>
          <w:szCs w:val="28"/>
          <w:rtl w:val="true"/>
          <w:lang w:bidi="fa-IR"/>
        </w:rPr>
        <w:t>از این رو از دیدگاه اسلام دنیا و ثروت در صورتی که ابزاری برای رسیدن به سعادت ابدی و کمال نهایی به کار گرفته شود، کاملاً مطلوب است و در صورتی که به عنوان هدف به آن نگریسته شود،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ثروت از دیدگاه اسلام، هدف بسیار مهمّی است که جنبه ابزاری دارد، یعنی وسیله‌ای است برای خلافت انسان بر روی زمین و تعالی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رشد ثروت برای ثروت مخالف است، می‌خواهد ثروت افزایش یابد تا در اختیار انسان باشد نه این که انسان در اختیار آن قرار گیرد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آینده اشاره خواهد شد که از اهداف مهمّ اقتصاد اسلامی فقر ستیزی و فقر زدایی است و فقر و ناداری به هیچ وجه مورد تأیید مکتب حیاتبخش و زندگی ساز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یعنی ناداری و ناداری امری عدمی است و عدم نقص است و هیچ گاه اسلام، نقص و عدم کمال را ستایش و تشویق نمی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این رو فقرِ ستایش شده نیز یا به معنای احساس فقر در برابر ذات غنی خداوند است و یا به معنای ساده زیستی که رهبران جامعه، موظّف به رعایت آن هستند تا فقرای جامعه کمتر احساس رنج کنند و مسؤلان نیز بهتر آنها را درک نمایند و یا </w:t>
      </w:r>
      <w:r>
        <w:rPr>
          <w:rFonts w:eastAsia="IRNazanin" w:cs="IRNazanin"/>
          <w:color w:val="111111"/>
          <w:sz w:val="28"/>
          <w:szCs w:val="28"/>
          <w:rtl w:val="true"/>
          <w:lang w:bidi="fa-IR"/>
        </w:rPr>
        <w:t>...</w:t>
      </w:r>
      <w:r>
        <w:rPr>
          <w:rStyle w:val="FootnoteAnchor"/>
          <w:rtl w:val="true"/>
        </w:rPr>
        <w:footnoteReference w:id="1676"/>
      </w:r>
    </w:p>
    <w:p>
      <w:pPr>
        <w:pStyle w:val="BookText"/>
        <w:rPr/>
      </w:pPr>
      <w:r>
        <w:rPr>
          <w:rFonts w:ascii="Amiri" w:hAnsi="Amiri" w:eastAsia="Amiri" w:cs="Amiri"/>
          <w:color w:val="111111"/>
          <w:sz w:val="28"/>
          <w:sz w:val="28"/>
          <w:szCs w:val="28"/>
          <w:rtl w:val="true"/>
          <w:lang w:bidi="ar-SA"/>
        </w:rPr>
        <w:t>برای تکمیل و توضیح این مبحث اشاره به این مطلب، شایان توجّه است که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مکتبی است که ادّعای جهانی بودن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لِیُظْهِرَهُ عَلَی الدّینِ کُلِّهِ وَ لَوْ کَرِهَ الْمُشْرِکوُنَ</w:t>
      </w:r>
      <w:r>
        <w:rPr>
          <w:rFonts w:eastAsia="Amiri" w:cs="Amiri" w:ascii="Amiri" w:hAnsi="Amiri"/>
          <w:color w:val="111111"/>
          <w:sz w:val="28"/>
          <w:szCs w:val="28"/>
          <w:rtl w:val="true"/>
          <w:lang w:bidi="ar-SA"/>
        </w:rPr>
        <w:t>»</w:t>
      </w:r>
      <w:r>
        <w:rPr>
          <w:rStyle w:val="FootnoteAnchor"/>
          <w:rtl w:val="true"/>
        </w:rPr>
        <w:footnoteReference w:id="16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آنرا بر همه ادیان عالم تسلّط و برتری دهد، هر چند مشرکان ناراضی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زمان و مکان و تحت هیچ شرایطی اسلام، نفوذ و استیلای غیر مسلمان بر مسلمان و امور و شؤن گوناگون آنها را نمی پذیرد و تحمّل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یَجْعَلَ اللّهُ لِلْکافِرینَ عَلَی الْمُؤْمِنینَ سَبیلاً</w:t>
      </w:r>
      <w:r>
        <w:rPr>
          <w:rFonts w:eastAsia="IRNazanin" w:cs="IRNazanin"/>
          <w:color w:val="111111"/>
          <w:sz w:val="28"/>
          <w:szCs w:val="28"/>
          <w:rtl w:val="true"/>
          <w:lang w:bidi="fa-IR"/>
        </w:rPr>
        <w:t>»</w:t>
      </w:r>
      <w:r>
        <w:rPr>
          <w:rStyle w:val="FootnoteAnchor"/>
          <w:rtl w:val="true"/>
        </w:rPr>
        <w:footnoteReference w:id="167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16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آنهاخود را مهیّا کنید و تا آن حد که می‌توانید نیرو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بدون دارا بودن یک نظام اقتصادی قوی و سالمِ و نیز بدون استقلال اقتصادی، می‌توان از انواع استیلا و سلطه بیگانگان جلوگیری کرد؟</w:t>
      </w:r>
    </w:p>
    <w:p>
      <w:pPr>
        <w:pStyle w:val="BookText"/>
        <w:rPr/>
      </w:pPr>
      <w:r>
        <w:rPr>
          <w:rFonts w:ascii="IRNazanin" w:hAnsi="IRNazanin" w:eastAsia="IRNazanin"/>
          <w:color w:val="111111"/>
          <w:sz w:val="28"/>
          <w:sz w:val="28"/>
          <w:szCs w:val="28"/>
          <w:rtl w:val="true"/>
          <w:lang w:bidi="fa-IR"/>
        </w:rPr>
        <w:t>مگر نه این است که تاکنون یکی از مهمترین برنامه‌های قدرتهای استکباری برای زیرسلطه در آوردن دیگر ملل، به ضعف کشاندن و وابسته کردن اقتصاد آنها بوده است؟</w:t>
      </w:r>
    </w:p>
    <w:p>
      <w:pPr>
        <w:pStyle w:val="BookText"/>
        <w:rPr/>
      </w:pPr>
      <w:r>
        <w:rPr>
          <w:rFonts w:ascii="IRNazanin" w:hAnsi="IRNazanin" w:eastAsia="IRNazanin"/>
          <w:color w:val="111111"/>
          <w:sz w:val="28"/>
          <w:sz w:val="28"/>
          <w:szCs w:val="28"/>
          <w:rtl w:val="true"/>
          <w:lang w:bidi="fa-IR"/>
        </w:rPr>
        <w:t>چه زیباست این سخن علی علیه‌السلام که شهید مطهری هم در همین زمینه به آن استناد</w:t>
      </w:r>
    </w:p>
    <w:p>
      <w:pPr>
        <w:pStyle w:val="BookText"/>
        <w:rPr/>
      </w:pPr>
      <w:r>
        <w:rPr>
          <w:rFonts w:ascii="IRNazanin" w:hAnsi="IRNazanin" w:eastAsia="IRNazanin"/>
          <w:color w:val="111111"/>
          <w:sz w:val="28"/>
          <w:sz w:val="28"/>
          <w:szCs w:val="28"/>
          <w:rtl w:val="true"/>
          <w:lang w:bidi="fa-IR"/>
        </w:rPr>
        <w:t>کرده است</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اِلی مَنْ شِئتَ تَکُنْ اَسیرَهُ، اِسْتَغْنِ عَمَّن شِئْتَ تَکُنْ نَظیرَهُ وَ اَحْسِنْ اِلی مَنْ شِئْتَ تَکُنْ اَمیرَهُ</w:t>
      </w:r>
      <w:r>
        <w:rPr>
          <w:rFonts w:eastAsia="Amiri" w:cs="Amiri" w:ascii="Amiri" w:hAnsi="Amiri"/>
          <w:color w:val="111111"/>
          <w:sz w:val="28"/>
          <w:szCs w:val="28"/>
          <w:rtl w:val="true"/>
          <w:lang w:bidi="ar-SA"/>
        </w:rPr>
        <w:t>»</w:t>
      </w:r>
      <w:r>
        <w:rPr>
          <w:rStyle w:val="FootnoteAnchor"/>
          <w:rtl w:val="true"/>
        </w:rPr>
        <w:footnoteReference w:id="16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محتاج هر که شوی اسیر او خواهی بود، بی نیاز از هر که گردی با او برابر خواهی شد و به هر که نیکی نمایی فرمانروای او خواهی شد</w:t>
      </w:r>
      <w:r>
        <w:rPr>
          <w:rFonts w:eastAsia="IRNazanin" w:cs="IRNazanin"/>
          <w:color w:val="111111"/>
          <w:sz w:val="28"/>
          <w:szCs w:val="28"/>
          <w:rtl w:val="true"/>
          <w:lang w:bidi="fa-IR"/>
        </w:rPr>
        <w:t xml:space="preserve">. </w:t>
      </w:r>
      <w:bookmarkStart w:id="984" w:name="pg4267_22248"/>
    </w:p>
    <w:p>
      <w:pPr>
        <w:pStyle w:val="Heading4"/>
        <w:numPr>
          <w:ilvl w:val="3"/>
          <w:numId w:val="1"/>
        </w:numPr>
        <w:rPr/>
      </w:pPr>
      <w:bookmarkStart w:id="985" w:name="__RefHeading___Toc474625_1479056682"/>
      <w:bookmarkStart w:id="986" w:name="_Toc375"/>
      <w:bookmarkEnd w:id="984"/>
      <w:bookmarkEnd w:id="985"/>
      <w:r>
        <w:rPr>
          <w:rtl w:val="true"/>
        </w:rPr>
        <w:t xml:space="preserve">گفتار </w:t>
      </w:r>
      <w:r>
        <w:rPr/>
        <w:t>3</w:t>
      </w:r>
      <w:r>
        <w:rPr>
          <w:rtl w:val="true"/>
        </w:rPr>
        <w:t xml:space="preserve">- </w:t>
      </w:r>
      <w:r>
        <w:rPr>
          <w:rtl w:val="true"/>
        </w:rPr>
        <w:t>اقتصاد اسلامی در مقایسه با دیگر مکتبهای اقتصادی</w:t>
      </w:r>
      <w:bookmarkEnd w:id="986"/>
    </w:p>
    <w:p>
      <w:pPr>
        <w:pStyle w:val="BookText"/>
        <w:rPr/>
      </w:pPr>
      <w:r>
        <w:rPr>
          <w:rFonts w:ascii="IRNazanin" w:hAnsi="IRNazanin" w:eastAsia="IRNazanin"/>
          <w:color w:val="111111"/>
          <w:sz w:val="28"/>
          <w:sz w:val="28"/>
          <w:szCs w:val="28"/>
          <w:rtl w:val="true"/>
          <w:lang w:bidi="fa-IR"/>
        </w:rPr>
        <w:t>نظام اقتصادی اسلام به دلیل توجّه به همه ابعاد وجودی انسان، یعنی توجّه و عنایت به جنبه فردی و اجتماعی و بُعد مادّی و معنوی وی از دو نظام سرمایه داری و سوسیالیسم کاملاً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مکتبی است که در همه ابعاد زندگی انسان، دین وسط است و از افراط و تفریطها دوری 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افسار گسیختگی در مورد مالکیّت و فعّالیّتهای اقتصادی در نظام سرمایه داری را که موجب آن همه فساد و فحشا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فقر را نیز ریشه کن نکرده است، تأیید می‌کند، و نه آن محدودیّت در مالکیّت</w:t>
      </w:r>
    </w:p>
    <w:p>
      <w:pPr>
        <w:pStyle w:val="BookText"/>
        <w:rPr/>
      </w:pPr>
      <w:r>
        <w:rPr>
          <w:rFonts w:ascii="IRNazanin" w:hAnsi="IRNazanin" w:eastAsia="IRNazanin"/>
          <w:color w:val="111111"/>
          <w:sz w:val="28"/>
          <w:sz w:val="28"/>
          <w:szCs w:val="28"/>
          <w:rtl w:val="true"/>
          <w:lang w:bidi="fa-IR"/>
        </w:rPr>
        <w:t>فردی را که در نظام سوسیالیستی مورد توجّه است، می‌پذیرد؛ یعنی کار به قدر توان و بهره بردن به قدر نیاز که لازمه آن دلسردی و عدم رغبت در کار و ظلم بی حدّ و حصر نسبت به مردم زحمتکش از یک سو و تبدیل دولت و سردمداران حکومت به عمده مالکها و سرمایه دارانی به مراتب بزرگتر از سرمایه داران نظام سرمایه داری از سوی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عین حال که مالکیّت فردی را می‌پذیرد و کار و کوشش را تشویق می‌کند و هر کس را مالک ثمره کار خود می‌داند، با قیدها و محدودیّتهای گوناگون، از تمرکز ثروت</w:t>
      </w:r>
    </w:p>
    <w:p>
      <w:pPr>
        <w:pStyle w:val="BookText"/>
        <w:rPr/>
      </w:pPr>
      <w:r>
        <w:rPr>
          <w:rFonts w:ascii="IRNazanin" w:hAnsi="IRNazanin" w:eastAsia="IRNazanin"/>
          <w:color w:val="111111"/>
          <w:sz w:val="28"/>
          <w:sz w:val="28"/>
          <w:szCs w:val="28"/>
          <w:rtl w:val="true"/>
          <w:lang w:bidi="fa-IR"/>
        </w:rPr>
        <w:t>جلوگیری می‌کند و با فقر اجتماعی و فردی بشدّت می‌ستیزد قیدهایی 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با گنجوری و انباشتن ثروتهای آن چنانی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یَکْنِزُونَ الذَّهَبَ وَالْفِضَّةَ وَ لایُنْفِقونَها فیِ سَبِیلِ‌اللّه‌ِ فَبَشِّرْهُمْ بِعَذابٍ اَلیمٍ</w:t>
      </w:r>
      <w:r>
        <w:rPr>
          <w:rFonts w:eastAsia="IRNazanin" w:cs="IRNazanin"/>
          <w:color w:val="111111"/>
          <w:sz w:val="28"/>
          <w:szCs w:val="28"/>
          <w:rtl w:val="true"/>
          <w:lang w:bidi="fa-IR"/>
        </w:rPr>
        <w:t>»</w:t>
      </w:r>
      <w:r>
        <w:rPr>
          <w:rStyle w:val="FootnoteAnchor"/>
          <w:rtl w:val="true"/>
        </w:rPr>
        <w:footnoteReference w:id="16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طلا و نقره گنجینه وذخیره می‌کنند و در راه خدا انفاق نمی‌کنند به عذاب دردناک بشارت 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مالکیّت اجتماعی که به دست دولت اِعمال می‌شود مانند خمس، انفال وفی‌ء</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تحریض فراوان به انفاق و صدقات و</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مالکیّت به مشروع و نامشروع و مخالفت با مالکیّت نامشروع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 در این باره اظهار 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مالکیّتهای چند میلیاردی از راه مشروع به دست نیامده و </w:t>
      </w:r>
    </w:p>
    <w:p>
      <w:pPr>
        <w:pStyle w:val="BookText"/>
        <w:rPr/>
      </w:pPr>
      <w:r>
        <w:rPr>
          <w:rFonts w:ascii="IRNazanin" w:hAnsi="IRNazanin" w:eastAsia="IRNazanin"/>
          <w:color w:val="111111"/>
          <w:sz w:val="28"/>
          <w:sz w:val="28"/>
          <w:szCs w:val="28"/>
          <w:rtl w:val="true"/>
          <w:lang w:bidi="fa-IR"/>
        </w:rPr>
        <w:t>باید از صاحبان آن، طبق مقررات اسلام، سلب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مشروعیّت چه در اصل پیدایش ثروت و چه در مورد ثروتهای از پیش فراهم شده، هر دو،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بهترین وسیله کنترل ثروت و برقراری عدالت اجتماعی است، عدالت اجتماعی در همین محدوده مطلوب است و باید در نظام اسلامی تحقّق یابد</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از این رو نظام اقتصادی اسلام نه سرمایه داری است و نه سوسیالیسم و نه تلفیقی از آن دو، بلکه نظامی کاملاً مستقلّ است که به همه ابعاد وجودی انسان توجّه کامل کرده و</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معایب و نواقص هیچ یک از نظامهای اقتصادی را ندارد و دیدگاه آن نسبت به انسان با دیدگاههای دیگر مکاتب تفاوت عمده دارد</w:t>
      </w:r>
      <w:r>
        <w:rPr>
          <w:rFonts w:eastAsia="IRNazanin" w:cs="IRNazanin"/>
          <w:color w:val="111111"/>
          <w:sz w:val="28"/>
          <w:szCs w:val="28"/>
          <w:rtl w:val="true"/>
          <w:lang w:bidi="fa-IR"/>
        </w:rPr>
        <w:t>.</w:t>
      </w:r>
      <w:r>
        <w:rPr>
          <w:rStyle w:val="FootnoteAnchor"/>
          <w:rtl w:val="true"/>
        </w:rPr>
        <w:footnoteReference w:id="1684"/>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87" w:name="pg4267_22254"/>
      <w:bookmarkStart w:id="988" w:name="pg4267_22254"/>
      <w:bookmarkEnd w:id="988"/>
    </w:p>
    <w:p>
      <w:pPr>
        <w:pStyle w:val="Heading3"/>
        <w:numPr>
          <w:ilvl w:val="2"/>
          <w:numId w:val="1"/>
        </w:numPr>
        <w:rPr/>
      </w:pPr>
      <w:bookmarkStart w:id="989" w:name="pg4267_22254"/>
      <w:bookmarkStart w:id="990" w:name="__RefHeading___Toc474627_1479056682"/>
      <w:bookmarkStart w:id="991" w:name="_Toc376"/>
      <w:bookmarkEnd w:id="989"/>
      <w:bookmarkEnd w:id="990"/>
      <w:r>
        <w:rPr>
          <w:rtl w:val="true"/>
        </w:rPr>
        <w:t>فصل دوم</w:t>
      </w:r>
      <w:r>
        <w:rPr>
          <w:rtl w:val="true"/>
        </w:rPr>
        <w:t xml:space="preserve">: </w:t>
      </w:r>
      <w:r>
        <w:rPr>
          <w:rtl w:val="true"/>
        </w:rPr>
        <w:t>نظام اقتصادی اسلام</w:t>
      </w:r>
      <w:bookmarkEnd w:id="991"/>
    </w:p>
    <w:p>
      <w:pPr>
        <w:pStyle w:val="Heading4"/>
        <w:numPr>
          <w:ilvl w:val="3"/>
          <w:numId w:val="1"/>
        </w:numPr>
        <w:rPr/>
      </w:pPr>
      <w:bookmarkStart w:id="992" w:name="__RefHeading___Toc474629_1479056682"/>
      <w:bookmarkStart w:id="993" w:name="_Toc377"/>
      <w:bookmarkEnd w:id="992"/>
      <w:r>
        <w:rPr>
          <w:rtl w:val="true"/>
        </w:rPr>
        <w:t xml:space="preserve">گفتار </w:t>
      </w:r>
      <w:r>
        <w:rPr/>
        <w:t>1</w:t>
      </w:r>
      <w:r>
        <w:rPr>
          <w:rtl w:val="true"/>
        </w:rPr>
        <w:t xml:space="preserve">- </w:t>
      </w:r>
      <w:r>
        <w:rPr>
          <w:rtl w:val="true"/>
        </w:rPr>
        <w:t>تفاوت مکتب اقتصادی و علم اقتصاد</w:t>
      </w:r>
      <w:bookmarkEnd w:id="993"/>
    </w:p>
    <w:p>
      <w:pPr>
        <w:pStyle w:val="BookText"/>
        <w:rPr/>
      </w:pPr>
      <w:r>
        <w:rPr>
          <w:rFonts w:ascii="IRNazanin" w:hAnsi="IRNazanin" w:eastAsia="IRNazanin"/>
          <w:color w:val="111111"/>
          <w:sz w:val="28"/>
          <w:sz w:val="28"/>
          <w:szCs w:val="28"/>
          <w:rtl w:val="true"/>
          <w:lang w:bidi="fa-IR"/>
        </w:rPr>
        <w:t>مکتب</w:t>
      </w:r>
    </w:p>
    <w:p>
      <w:pPr>
        <w:pStyle w:val="BookText"/>
        <w:rPr/>
      </w:pPr>
      <w:r>
        <w:rPr>
          <w:rFonts w:ascii="IRNazanin" w:hAnsi="IRNazanin" w:eastAsia="IRNazanin"/>
          <w:color w:val="111111"/>
          <w:sz w:val="28"/>
          <w:sz w:val="28"/>
          <w:szCs w:val="28"/>
          <w:rtl w:val="true"/>
          <w:lang w:bidi="fa-IR"/>
        </w:rPr>
        <w:t>اقتصادی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حلّ مسائل اقتصادی که در هر جا به نحوی از آن پیروی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 است که پدیده های اقتصادی را تفسیر و روابط آنها را با یکدیگر تعیین می‌کند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شهید سیّد محمّدباقر صدر</w:t>
      </w:r>
      <w:r>
        <w:rPr>
          <w:rStyle w:val="FootnoteAnchor"/>
          <w:rtl w:val="true"/>
        </w:rPr>
        <w:footnoteReference w:id="16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پیروی او بسیاری از کسانی که بعد از وی در زمینه اقتصاد اسلامی سخن گفته‌اند یا مطلب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تعریف فوق،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مکتب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یکدیگر باز شناخت، زیرا در نظام اسلامی هیچ یک از حوادث و قوانین اقتصادی تجزیه و تحلیل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علم اقتصاد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نظام مزبور به عنوان یک برنامه اقتصادی که از دیگر طرحها بهتر دانسته </w:t>
      </w:r>
    </w:p>
    <w:p>
      <w:pPr>
        <w:pStyle w:val="BookText"/>
        <w:rPr/>
      </w:pPr>
      <w:r>
        <w:rPr>
          <w:rFonts w:ascii="IRNazanin" w:hAnsi="IRNazanin" w:eastAsia="IRNazanin"/>
          <w:color w:val="111111"/>
          <w:sz w:val="28"/>
          <w:sz w:val="28"/>
          <w:szCs w:val="28"/>
          <w:rtl w:val="true"/>
          <w:lang w:bidi="fa-IR"/>
        </w:rPr>
        <w:t>شده برای جامعه اسلامی لازم الاجرا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نظام اسلامی جنبه مکتبی دارد و نه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قلمرو مکتب اقتصادی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توزیع ثروت نیست و شامل تولید هم می شود، زیرا بحث از تولید یا توزیع تا وقتی که با روش و هدف مخصوص به آن، تعقیب شود، جنبه مکتبی آن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ارتباط و بستگی علم اقتصاد با مکتب اقتصادی نباید موجب شود که جنبه های علمی و مکتبی مطالعات اقتصادی را در هم آمیزیم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که عدّه ای اسلام را فاقد یک نظام اقتصادی دانسته اند، همین است که بین مطالعات علمی با مطالعات مکتبی تفاوت قایل نمی شوند و گمان می‌کنند کسی مدّعی است که اسلام، قبل از دانشمندان غربی، علم اقتصاد را ابداع کرده و نظیر همان مباحثی</w:t>
      </w:r>
    </w:p>
    <w:p>
      <w:pPr>
        <w:pStyle w:val="BookText"/>
        <w:rPr/>
      </w:pPr>
      <w:r>
        <w:rPr>
          <w:rFonts w:ascii="IRNazanin" w:hAnsi="IRNazanin" w:eastAsia="IRNazanin"/>
          <w:color w:val="111111"/>
          <w:sz w:val="28"/>
          <w:sz w:val="28"/>
          <w:szCs w:val="28"/>
          <w:rtl w:val="true"/>
          <w:lang w:bidi="fa-IR"/>
        </w:rPr>
        <w:t xml:space="preserve">که در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ریکاردو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درباره قوانین اقتصادی، تولید، توزیع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آمده در اسلام نیز موجود است و چون چنین نیست پس اقتصاد اسلامی افسانه و خیال و سخن از آن بیهوده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روشنتر،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به هر قاعده اساسی که با ایده عدالت اجتماعی ارتباط یابد، اطلاق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هر نظریه ای است که رویدادهای عینی اقتصادی را دور از هر گونه اندیشه عدالت خواهی و پیش ساخته ذهنی، تفسیر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مفهوم عدالت، حد 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منزله شاخصی است که افکار مکتبی را از نظریّات علمی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به خودی خود جنبه علمی ندارد و با ابزار علمی، قابل مطالعه و آزمایش نیست، بلکه نوعی دریافت اجتماعی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از مالکیّت خصوصی، آزادی اقتصادی، لغو بهره، ملّی کردن ابزار تولید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مفهوم عدالت مرتبط است، جنبه مکتبی و بحث از قانون عرضه و تقاضا، بازده نزولی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حاکی از حقیقتی عینی و ثابت هستند جنبه علمی دارند</w:t>
      </w:r>
      <w:r>
        <w:rPr>
          <w:rFonts w:eastAsia="IRNazanin" w:cs="IRNazanin"/>
          <w:color w:val="111111"/>
          <w:sz w:val="28"/>
          <w:szCs w:val="28"/>
          <w:rtl w:val="true"/>
          <w:lang w:bidi="fa-IR"/>
        </w:rPr>
        <w:t>.</w:t>
      </w:r>
      <w:r>
        <w:rPr>
          <w:rStyle w:val="FootnoteAnchor"/>
          <w:rtl w:val="true"/>
        </w:rPr>
        <w:footnoteReference w:id="1686"/>
      </w:r>
      <w:bookmarkStart w:id="994" w:name="pg4267_22258"/>
    </w:p>
    <w:p>
      <w:pPr>
        <w:pStyle w:val="Heading4"/>
        <w:numPr>
          <w:ilvl w:val="3"/>
          <w:numId w:val="1"/>
        </w:numPr>
        <w:rPr/>
      </w:pPr>
      <w:bookmarkStart w:id="995" w:name="__RefHeading___Toc474631_1479056682"/>
      <w:bookmarkStart w:id="996" w:name="_Toc378"/>
      <w:bookmarkEnd w:id="994"/>
      <w:bookmarkEnd w:id="995"/>
      <w:r>
        <w:rPr>
          <w:rtl w:val="true"/>
        </w:rPr>
        <w:t xml:space="preserve">گفتار </w:t>
      </w:r>
      <w:r>
        <w:rPr/>
        <w:t>2</w:t>
      </w:r>
      <w:r>
        <w:rPr>
          <w:rtl w:val="true"/>
        </w:rPr>
        <w:t xml:space="preserve">- </w:t>
      </w:r>
      <w:r>
        <w:rPr>
          <w:rtl w:val="true"/>
        </w:rPr>
        <w:t>وظیفه و کار اصلی محقّق در مکتب اقتصادی اسلام، کشف است</w:t>
      </w:r>
      <w:bookmarkEnd w:id="996"/>
    </w:p>
    <w:p>
      <w:pPr>
        <w:pStyle w:val="BookText"/>
        <w:rPr/>
      </w:pPr>
      <w:r>
        <w:rPr>
          <w:rFonts w:ascii="IRNazanin" w:hAnsi="IRNazanin" w:eastAsia="IRNazanin"/>
          <w:color w:val="111111"/>
          <w:sz w:val="28"/>
          <w:sz w:val="28"/>
          <w:szCs w:val="28"/>
          <w:rtl w:val="true"/>
          <w:lang w:bidi="fa-IR"/>
        </w:rPr>
        <w:t>برخلاف سرمایه داری و سوسیالیسم که در این راستا کارشان ابداع و تأسیس است، وظیفه محقّق در مکتب اقتصاد اسلامی، کشف است نه تکوین و تأسیس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تمایز این است که برخلاف سرمایه داری و سوسیالیسم، در استخراج نظام اقتصادی اسلام، از منابعی استفاده می‌شود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احکام، مفاهیم و بینشهای اقتصادی اسلام</w:t>
      </w:r>
    </w:p>
    <w:p>
      <w:pPr>
        <w:pStyle w:val="BookText"/>
        <w:rPr/>
      </w:pPr>
      <w:r>
        <w:rPr>
          <w:rFonts w:ascii="IRNazanin" w:hAnsi="IRNazanin" w:eastAsia="IRNazanin"/>
          <w:color w:val="111111"/>
          <w:sz w:val="28"/>
          <w:sz w:val="28"/>
          <w:szCs w:val="28"/>
          <w:rtl w:val="true"/>
          <w:lang w:bidi="fa-IR"/>
        </w:rPr>
        <w:t>که از قبل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اسلام مکتبی الهی است که تمام ابعاد آن، از جمله بعد اقتصادی، از سوی پروردگار جهان به وسیله وحی بر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وظیفه دانشمندان و محقّقان و فقها، در این رابطه، کشف و اجتهاد و رسیدن به آن</w:t>
      </w:r>
    </w:p>
    <w:p>
      <w:pPr>
        <w:pStyle w:val="BookText"/>
        <w:rPr/>
      </w:pPr>
      <w:r>
        <w:rPr>
          <w:rFonts w:ascii="IRNazanin" w:hAnsi="IRNazanin" w:eastAsia="IRNazanin"/>
          <w:color w:val="111111"/>
          <w:sz w:val="28"/>
          <w:sz w:val="28"/>
          <w:szCs w:val="28"/>
          <w:rtl w:val="true"/>
          <w:lang w:bidi="fa-IR"/>
        </w:rPr>
        <w:t>است نه تأسیس و وضع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اصلی شناخت مکتب اقتصادی اسلام نیز همان منابع شناخت سایر بینشها و احکام فقهی اسلام یعنی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توجّه کرد که روش بحث و بررسی در اقتصاد اسلامی با آنچه در مکتبهای اقتصادی دیگر مطرح می‌شود، فرق خواهد داشت، زیرا در آن مکتبها بررسی کننده آنها آزادانه می‌تواند از ابتدا نیازهای یک نظام اقتصادی مورد نظر را مطالعه و کاوش کند؛ در صورتی که یک محقّق و متفکّر اسلامی باید نظام اقتصادی اسلام را از مفاد احکام فقهی و مضمون دیگر</w:t>
      </w:r>
    </w:p>
    <w:p>
      <w:pPr>
        <w:pStyle w:val="BookText"/>
        <w:rPr/>
      </w:pPr>
      <w:r>
        <w:rPr>
          <w:rFonts w:ascii="IRNazanin" w:hAnsi="IRNazanin" w:eastAsia="IRNazanin"/>
          <w:color w:val="111111"/>
          <w:sz w:val="28"/>
          <w:sz w:val="28"/>
          <w:szCs w:val="28"/>
          <w:rtl w:val="true"/>
          <w:lang w:bidi="fa-IR"/>
        </w:rPr>
        <w:t>منابع اسلامی، استنباط و کشف کند و روشن است که این کار تنها براساس روش اجتهاد میسّر است</w:t>
      </w:r>
      <w:r>
        <w:rPr>
          <w:rFonts w:eastAsia="IRNazanin" w:cs="IRNazanin"/>
          <w:color w:val="111111"/>
          <w:sz w:val="28"/>
          <w:szCs w:val="28"/>
          <w:rtl w:val="true"/>
          <w:lang w:bidi="fa-IR"/>
        </w:rPr>
        <w:t>.</w:t>
      </w:r>
      <w:r>
        <w:rPr>
          <w:rStyle w:val="FootnoteAnchor"/>
          <w:rtl w:val="true"/>
        </w:rPr>
        <w:footnoteReference w:id="1687"/>
      </w:r>
    </w:p>
    <w:p>
      <w:pPr>
        <w:pStyle w:val="Heading4"/>
        <w:numPr>
          <w:ilvl w:val="3"/>
          <w:numId w:val="1"/>
        </w:numPr>
        <w:rPr/>
      </w:pPr>
      <w:bookmarkStart w:id="997" w:name="__RefHeading___Toc474633_1479056682"/>
      <w:bookmarkStart w:id="998" w:name="_Toc379"/>
      <w:bookmarkEnd w:id="997"/>
      <w:r>
        <w:rPr>
          <w:rtl w:val="true"/>
        </w:rPr>
        <w:t xml:space="preserve">گفتار </w:t>
      </w:r>
      <w:r>
        <w:rPr/>
        <w:t>3</w:t>
      </w:r>
      <w:r>
        <w:rPr>
          <w:rtl w:val="true"/>
        </w:rPr>
        <w:t xml:space="preserve">- </w:t>
      </w:r>
      <w:r>
        <w:rPr>
          <w:rtl w:val="true"/>
        </w:rPr>
        <w:t>اسلام و علم اقتصاد</w:t>
      </w:r>
      <w:bookmarkEnd w:id="998"/>
    </w:p>
    <w:p>
      <w:pPr>
        <w:pStyle w:val="BookText"/>
        <w:rPr/>
      </w:pPr>
      <w:r>
        <w:rPr>
          <w:rFonts w:ascii="IRNazanin" w:hAnsi="IRNazanin" w:eastAsia="IRNazanin"/>
          <w:color w:val="111111"/>
          <w:sz w:val="28"/>
          <w:sz w:val="28"/>
          <w:szCs w:val="28"/>
          <w:rtl w:val="true"/>
          <w:lang w:bidi="fa-IR"/>
        </w:rPr>
        <w:t>مطالب گذشته به این معنا نیست که مکتب اسلام درباره روابط حقیقی حاکم در یک نظام اقتصادی دیدگاهی ندارد و ما نمی توانیم علم اقتصاد اسلامی داشته باشیم</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شناخت اقتصاد در بخش روابط حقیقی حاکم در یک نظام اقتصادی مبتنی بر اسلام و تحلیل و تفسیر آن روابط، علاوه بر شناخت دقیق و کامل مکتب اقتصادی اسلام، </w:t>
      </w:r>
    </w:p>
    <w:p>
      <w:pPr>
        <w:pStyle w:val="BookText"/>
        <w:rPr/>
      </w:pPr>
      <w:r>
        <w:rPr>
          <w:rFonts w:ascii="IRNazanin" w:hAnsi="IRNazanin" w:eastAsia="IRNazanin"/>
          <w:color w:val="111111"/>
          <w:sz w:val="28"/>
          <w:sz w:val="28"/>
          <w:szCs w:val="28"/>
          <w:rtl w:val="true"/>
          <w:lang w:bidi="fa-IR"/>
        </w:rPr>
        <w:t>به استفاده از روشهای علمی و تحلیلی نیز نیاز است که معمولاً از آنها در علم اقتصاد</w:t>
      </w:r>
    </w:p>
    <w:p>
      <w:pPr>
        <w:pStyle w:val="BookText"/>
        <w:rPr/>
      </w:pPr>
      <w:r>
        <w:rPr>
          <w:rFonts w:ascii="IRNazanin" w:hAnsi="IRNazanin" w:eastAsia="IRNazanin"/>
          <w:color w:val="111111"/>
          <w:sz w:val="28"/>
          <w:sz w:val="28"/>
          <w:szCs w:val="28"/>
          <w:rtl w:val="true"/>
          <w:lang w:bidi="fa-IR"/>
        </w:rPr>
        <w:t>بحث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تحلیلهای یاد شده در صورتی دقیق و درست خواهد بود که به چارچوبهای مکتب توجّه کامل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نقش جهان بینی اسلامی و معیارهای عملی و ارزشی آن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به اجتهاد و آگاهی محقّقانه به مبانی استنباط فقهی شدیدا نیاز است و هم نمی توان از آگاهی کامل به مباحث فنّی و عملی اقتصادی، بی نیاز</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لزوم هماهنگی دقیق و همه جانبه میان حوزه و دانشگاه روشن می‌شود</w:t>
      </w:r>
      <w:r>
        <w:rPr>
          <w:rFonts w:eastAsia="IRNazanin" w:cs="IRNazanin"/>
          <w:color w:val="111111"/>
          <w:sz w:val="28"/>
          <w:szCs w:val="28"/>
          <w:rtl w:val="true"/>
          <w:lang w:bidi="fa-IR"/>
        </w:rPr>
        <w:t>.</w:t>
      </w:r>
      <w:r>
        <w:rPr>
          <w:rStyle w:val="FootnoteAnchor"/>
          <w:rtl w:val="true"/>
        </w:rPr>
        <w:footnoteReference w:id="1688"/>
      </w:r>
    </w:p>
    <w:p>
      <w:pPr>
        <w:pStyle w:val="BookText"/>
        <w:rPr/>
      </w:pPr>
      <w:r>
        <w:rPr>
          <w:rFonts w:ascii="IRNazanin" w:hAnsi="IRNazanin" w:eastAsia="IRNazanin"/>
          <w:color w:val="111111"/>
          <w:sz w:val="28"/>
          <w:sz w:val="28"/>
          <w:szCs w:val="28"/>
          <w:rtl w:val="true"/>
          <w:lang w:bidi="fa-IR"/>
        </w:rPr>
        <w:t>دکتر انس زرقاء در مقاله‌ای در صدد اثبات این مطلب برآمده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اقتصاد یک علم نظری محض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فیزیک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فاقد احکام ارزشی نمی‌باشد و نیز اسلام، گر چه اساسا دستوری است، امّا از مفاهیم اثباتی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واقعیّتهای اقتصادی عاری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برای اثبات وجود مفاهیم اثباتی در قرآن و سنّت، موارد و شواهدی را یادآور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با ذکر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بَسَطَ اللّه‌ُ الرِّزْقَ لِعِبادِهِ لَبَغَوْا فِی‌الاَرْضِ</w:t>
      </w:r>
      <w:r>
        <w:rPr>
          <w:rFonts w:eastAsia="IRNazanin" w:cs="IRNazanin"/>
          <w:color w:val="111111"/>
          <w:sz w:val="28"/>
          <w:szCs w:val="28"/>
          <w:rtl w:val="true"/>
          <w:lang w:bidi="fa-IR"/>
        </w:rPr>
        <w:t>»</w:t>
      </w:r>
      <w:r>
        <w:rPr>
          <w:rStyle w:val="FootnoteAnchor"/>
          <w:rtl w:val="true"/>
        </w:rPr>
        <w:footnoteReference w:id="168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روزی بندگانش را گشایش دهد، در زمین سرکشی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الاِنْسانَ لِیَطْغی اَنْ رَآهُ اسْتَغْنی</w:t>
      </w:r>
      <w:r>
        <w:rPr>
          <w:rFonts w:eastAsia="IRNazanin" w:cs="IRNazanin"/>
          <w:color w:val="111111"/>
          <w:sz w:val="28"/>
          <w:szCs w:val="28"/>
          <w:rtl w:val="true"/>
          <w:lang w:bidi="fa-IR"/>
        </w:rPr>
        <w:t>»</w:t>
      </w:r>
      <w:r>
        <w:rPr>
          <w:rStyle w:val="FootnoteAnchor"/>
          <w:rtl w:val="true"/>
        </w:rPr>
        <w:footnoteReference w:id="169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ا که انسان طغیان می‌کند اگر خود را بی‌نیاز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آیه به یکی از آثار افزایش قابل توجّه ثروت و درآمد بر رفتار انسان، اشاره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مفهوم اثباتی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نظر نمی‌رسد که اقتصاد دانان به این ارتباط توجّه پیدا کرده باشند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ضمن بر شمردن آیات و روایاتی در این زمینه،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که در اسلام با آن مواجهیم، عباراتی مختلط از مفاهیم دستوری و اثباتی اند، مثلاً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کُتِبَ عَلَیْکُمُ الصِّیامُّ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لَعَلَّکُمْ تَتَّقُونَ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جزئی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دستوری، و جزئی دیگر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روزه در تحقّق 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اثباتی است و</w:t>
      </w:r>
      <w:r>
        <w:rPr>
          <w:rFonts w:eastAsia="IRNazanin" w:cs="IRNazanin"/>
          <w:color w:val="111111"/>
          <w:sz w:val="28"/>
          <w:szCs w:val="28"/>
          <w:rtl w:val="true"/>
          <w:lang w:bidi="fa-IR"/>
        </w:rPr>
        <w:t>...</w:t>
      </w:r>
      <w:r>
        <w:rPr>
          <w:rStyle w:val="FootnoteAnchor"/>
          <w:rtl w:val="true"/>
        </w:rPr>
        <w:footnoteReference w:id="1691"/>
      </w:r>
      <w:bookmarkStart w:id="999" w:name="pg4267_22262"/>
    </w:p>
    <w:p>
      <w:pPr>
        <w:pStyle w:val="Heading3"/>
        <w:numPr>
          <w:ilvl w:val="2"/>
          <w:numId w:val="1"/>
        </w:numPr>
        <w:rPr/>
      </w:pPr>
      <w:bookmarkStart w:id="1000" w:name="__RefHeading___Toc474635_1479056682"/>
      <w:bookmarkStart w:id="1001" w:name="_Toc380"/>
      <w:bookmarkEnd w:id="999"/>
      <w:bookmarkEnd w:id="1000"/>
      <w:r>
        <w:rPr>
          <w:rtl w:val="true"/>
        </w:rPr>
        <w:t>فصل سوم</w:t>
      </w:r>
      <w:r>
        <w:rPr>
          <w:rtl w:val="true"/>
        </w:rPr>
        <w:t xml:space="preserve">: </w:t>
      </w:r>
      <w:r>
        <w:rPr>
          <w:rtl w:val="true"/>
        </w:rPr>
        <w:t>اهداف اقتصادی اسلامی</w:t>
      </w:r>
      <w:bookmarkEnd w:id="1001"/>
    </w:p>
    <w:p>
      <w:pPr>
        <w:pStyle w:val="Heading4"/>
        <w:numPr>
          <w:ilvl w:val="3"/>
          <w:numId w:val="1"/>
        </w:numPr>
        <w:rPr/>
      </w:pPr>
      <w:bookmarkStart w:id="1002" w:name="__RefHeading___Toc474637_1479056682"/>
      <w:bookmarkStart w:id="1003" w:name="_Toc381"/>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نظام اقتصادی اسلام در حقیقت دارای دو نوع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اولّی یا اصلی و هدف فرعی و ثانوی؛ حال به تشریح هر کدام می‌پردازیم</w:t>
      </w:r>
      <w:r>
        <w:rPr>
          <w:rFonts w:eastAsia="IRNazanin" w:cs="IRNazanin"/>
          <w:color w:val="111111"/>
          <w:sz w:val="28"/>
          <w:szCs w:val="28"/>
          <w:rtl w:val="true"/>
          <w:lang w:bidi="fa-IR"/>
        </w:rPr>
        <w:t>:</w:t>
      </w:r>
    </w:p>
    <w:p>
      <w:pPr>
        <w:pStyle w:val="Heading4"/>
        <w:numPr>
          <w:ilvl w:val="3"/>
          <w:numId w:val="1"/>
        </w:numPr>
        <w:rPr/>
      </w:pPr>
      <w:bookmarkStart w:id="1004" w:name="__RefHeading___Toc474639_1479056682"/>
      <w:bookmarkStart w:id="1005" w:name="_Toc382"/>
      <w:bookmarkEnd w:id="1004"/>
      <w:r>
        <w:rPr>
          <w:rtl w:val="true"/>
        </w:rPr>
        <w:t xml:space="preserve">گفتار </w:t>
      </w:r>
      <w:r>
        <w:rPr/>
        <w:t>1</w:t>
      </w:r>
      <w:r>
        <w:rPr>
          <w:rtl w:val="true"/>
        </w:rPr>
        <w:t xml:space="preserve">- </w:t>
      </w:r>
      <w:r>
        <w:rPr>
          <w:rtl w:val="true"/>
        </w:rPr>
        <w:t xml:space="preserve">هدف اوّلی </w:t>
      </w:r>
      <w:r>
        <w:rPr>
          <w:rtl w:val="true"/>
        </w:rPr>
        <w:t>(</w:t>
      </w:r>
      <w:r>
        <w:rPr>
          <w:rtl w:val="true"/>
        </w:rPr>
        <w:t>یا اصلی</w:t>
      </w:r>
      <w:r>
        <w:rPr>
          <w:rtl w:val="true"/>
        </w:rPr>
        <w:t>)</w:t>
      </w:r>
      <w:bookmarkEnd w:id="1005"/>
    </w:p>
    <w:p>
      <w:pPr>
        <w:pStyle w:val="BookText"/>
        <w:rPr/>
      </w:pPr>
      <w:r>
        <w:rPr>
          <w:rFonts w:ascii="IRNazanin" w:hAnsi="IRNazanin" w:eastAsia="IRNazanin"/>
          <w:color w:val="111111"/>
          <w:sz w:val="28"/>
          <w:sz w:val="28"/>
          <w:szCs w:val="28"/>
          <w:rtl w:val="true"/>
          <w:lang w:bidi="fa-IR"/>
        </w:rPr>
        <w:t xml:space="preserve">هدف اوّلی و اصلی نظام اقتصادی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دیگر نظامهای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کمال حقیقی انسان، یعنی همان قرب پروردگار و تقّرب الی اللّه است و بقیّه کمالات هرچه باشند، ابزار و مقدّمه‌ای برای این هدف هستند که به اندازه تأثیرشان در این سمت و سو،</w:t>
      </w:r>
    </w:p>
    <w:p>
      <w:pPr>
        <w:pStyle w:val="BookText"/>
        <w:rPr/>
      </w:pPr>
      <w:r>
        <w:rPr>
          <w:rFonts w:ascii="IRNazanin" w:hAnsi="IRNazanin" w:eastAsia="IRNazanin"/>
          <w:color w:val="111111"/>
          <w:sz w:val="28"/>
          <w:sz w:val="28"/>
          <w:szCs w:val="28"/>
          <w:rtl w:val="true"/>
          <w:lang w:bidi="fa-IR"/>
        </w:rPr>
        <w:t>ارزش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w:t>
      </w:r>
      <w:r>
        <w:rPr>
          <w:rStyle w:val="FootnoteAnchor"/>
          <w:rtl w:val="true"/>
        </w:rPr>
        <w:footnoteReference w:id="16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اللّه‌ِ الْمَصیِرُ</w:t>
      </w:r>
      <w:r>
        <w:rPr>
          <w:rFonts w:eastAsia="Amiri" w:cs="Amiri" w:ascii="Amiri" w:hAnsi="Amiri"/>
          <w:color w:val="111111"/>
          <w:sz w:val="28"/>
          <w:szCs w:val="28"/>
          <w:rtl w:val="true"/>
          <w:lang w:bidi="ar-SA"/>
        </w:rPr>
        <w:t>»</w:t>
      </w:r>
      <w:r>
        <w:rPr>
          <w:rStyle w:val="FootnoteAnchor"/>
          <w:rtl w:val="true"/>
        </w:rPr>
        <w:footnoteReference w:id="1693"/>
      </w:r>
      <w:r>
        <w:rPr>
          <w:rFonts w:ascii="IRNazanin" w:hAnsi="IRNazanin" w:eastAsia="IRNazanin"/>
          <w:color w:val="111111"/>
          <w:sz w:val="28"/>
          <w:sz w:val="28"/>
          <w:szCs w:val="28"/>
          <w:rtl w:val="true"/>
          <w:lang w:bidi="fa-IR"/>
        </w:rPr>
        <w:t>و آیات فراوان دیگرگویای این حقیقت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الهی یعنی دریافت رابطه وجودی انسان با خدای خویش، یعنی احساس این که به او تعلّق دارد، همه چیزش از او و وابسته به اوست و از خود استقلالی ندارد و بدون رابطه با او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 به انسان نزدیک است و بر</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احاطه دارد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نَحْنُ اَقْرَبُ اِلَیْهِ مَنْ حَبْلِ الْوَرید</w:t>
      </w:r>
      <w:r>
        <w:rPr>
          <w:rFonts w:eastAsia="Amiri" w:cs="Amiri" w:ascii="Amiri" w:hAnsi="Amiri"/>
          <w:color w:val="111111"/>
          <w:sz w:val="28"/>
          <w:szCs w:val="28"/>
          <w:rtl w:val="true"/>
          <w:lang w:bidi="ar-SA"/>
        </w:rPr>
        <w:t>»</w:t>
      </w:r>
      <w:r>
        <w:rPr>
          <w:rStyle w:val="FootnoteAnchor"/>
          <w:rtl w:val="true"/>
        </w:rPr>
        <w:footnoteReference w:id="16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رگ گردن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دوری از جانب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خاطر عدم آگاهی از رابطه خویش با خدا که باید با بندگی و اطاعت، صفات کمال رادر خود رشد دهد و به قُرب خداوند نایل شود تا آن 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تَکونَ اَعْمالی وَ اَوْرادی کُلُّها وِرْدا واحِدا وَحالیِ فیِ خِدْمَتِکَ سَرْمَدا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همه کارها و ذکرهایم یک سخن باشند و حال من برای همیشه در خدمت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جنّ و انس را نیافریدیم مگر برای این که مرا پرستش کنند</w:t>
      </w:r>
      <w:r>
        <w:rPr>
          <w:rStyle w:val="FootnoteAnchor"/>
          <w:rtl w:val="true"/>
        </w:rPr>
        <w:footnoteReference w:id="169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عبادت به من معرفت پیدا کنند</w:t>
      </w:r>
      <w:r>
        <w:rPr>
          <w:rFonts w:eastAsia="IRNazanin" w:cs="IRNazanin"/>
          <w:color w:val="111111"/>
          <w:sz w:val="28"/>
          <w:szCs w:val="28"/>
          <w:rtl w:val="true"/>
          <w:lang w:bidi="fa-IR"/>
        </w:rPr>
        <w:t>).</w:t>
      </w:r>
      <w:r>
        <w:rPr>
          <w:rStyle w:val="FootnoteAnchor"/>
          <w:rtl w:val="true"/>
        </w:rPr>
        <w:footnoteReference w:id="1696"/>
      </w:r>
    </w:p>
    <w:p>
      <w:pPr>
        <w:pStyle w:val="BookText"/>
        <w:rPr/>
      </w:pPr>
      <w:r>
        <w:rPr>
          <w:rFonts w:ascii="IRNazanin" w:hAnsi="IRNazanin" w:eastAsia="IRNazanin"/>
          <w:color w:val="111111"/>
          <w:sz w:val="28"/>
          <w:sz w:val="28"/>
          <w:szCs w:val="28"/>
          <w:rtl w:val="true"/>
          <w:lang w:bidi="fa-IR"/>
        </w:rPr>
        <w:t xml:space="preserve">از این رو اگر خداوند آبادی زمین را از انسان خواسته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اَنْشَاَکُمْ مِنْ‌الاَرْضِ وَ اسْتَعْمَرَکَمْ فیها</w:t>
      </w:r>
      <w:r>
        <w:rPr>
          <w:rFonts w:eastAsia="IRNazanin" w:cs="IRNazanin"/>
          <w:color w:val="111111"/>
          <w:sz w:val="28"/>
          <w:szCs w:val="28"/>
          <w:rtl w:val="true"/>
          <w:lang w:bidi="fa-IR"/>
        </w:rPr>
        <w:t>...»</w:t>
      </w:r>
      <w:r>
        <w:rPr>
          <w:rStyle w:val="FootnoteAnchor"/>
          <w:rtl w:val="true"/>
        </w:rPr>
        <w:footnoteReference w:id="1697"/>
      </w:r>
      <w:r>
        <w:rPr>
          <w:rFonts w:ascii="IRNazanin" w:hAnsi="IRNazanin" w:eastAsia="IRNazanin"/>
          <w:color w:val="111111"/>
          <w:sz w:val="28"/>
          <w:sz w:val="28"/>
          <w:szCs w:val="28"/>
          <w:rtl w:val="true"/>
          <w:lang w:bidi="fa-IR"/>
        </w:rPr>
        <w:t>خداوند شما را از خاک آفرید و برای عمارت و آباد ساختن زمین برگماشت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از او اقامه عدالت و قسط را طلب کرده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Style w:val="FootnoteAnchor"/>
          <w:rtl w:val="true"/>
        </w:rPr>
        <w:footnoteReference w:id="16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مردماقامه قسط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عدالت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او را به تلاش و جهاد و فداکاری و ایثار برای رفع نیاز دیگران تشویق و ترغیب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از اهداف فرعی و جزئی نظام آفرینش و خلقت انسان هستند که از آن هدف کلّی نشأت می‌گیرند و به اندازه سهمی که در تحقّق و نیل به آن هدف اصلی دارند، ارزش و اهمّیّت دارند، در غیر این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اوُلئکَ کَالاَنْعامِ بَلْ هُمْ اَضَلُّ </w:t>
      </w:r>
      <w:r>
        <w:rPr>
          <w:rFonts w:eastAsia="IRNazanin" w:cs="IRNazanin"/>
          <w:color w:val="111111"/>
          <w:sz w:val="28"/>
          <w:szCs w:val="28"/>
          <w:rtl w:val="true"/>
          <w:lang w:bidi="fa-IR"/>
        </w:rPr>
        <w:t>...»</w:t>
      </w:r>
      <w:r>
        <w:rPr>
          <w:rStyle w:val="FootnoteAnchor"/>
          <w:rtl w:val="true"/>
        </w:rPr>
        <w:footnoteReference w:id="1699"/>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پرواضح است که تأثیر چنین بینشی نسبت به جهان و فعالیّتهای انسان و اهداف آنها، با بینشهایی که مکبتهای سرمایه‌داری، سوسیالیسم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جهان و انسان دارند به‌هیچ وجه قابل مقایسه نیست</w:t>
      </w:r>
      <w:r>
        <w:rPr>
          <w:rFonts w:eastAsia="IRNazanin" w:cs="IRNazanin"/>
          <w:color w:val="111111"/>
          <w:sz w:val="28"/>
          <w:szCs w:val="28"/>
          <w:rtl w:val="true"/>
          <w:lang w:bidi="fa-IR"/>
        </w:rPr>
        <w:t>.</w:t>
      </w:r>
      <w:r>
        <w:rPr>
          <w:rStyle w:val="FootnoteAnchor"/>
          <w:rtl w:val="true"/>
        </w:rPr>
        <w:footnoteReference w:id="1700"/>
      </w:r>
      <w:bookmarkStart w:id="1006" w:name="pg4267_22265"/>
    </w:p>
    <w:p>
      <w:pPr>
        <w:pStyle w:val="Heading4"/>
        <w:numPr>
          <w:ilvl w:val="3"/>
          <w:numId w:val="1"/>
        </w:numPr>
        <w:rPr/>
      </w:pPr>
      <w:bookmarkStart w:id="1007" w:name="__RefHeading___Toc474641_1479056682"/>
      <w:bookmarkStart w:id="1008" w:name="_Toc383"/>
      <w:bookmarkEnd w:id="1006"/>
      <w:bookmarkEnd w:id="1007"/>
      <w:r>
        <w:rPr>
          <w:rtl w:val="true"/>
        </w:rPr>
        <w:t xml:space="preserve">گفتار </w:t>
      </w:r>
      <w:r>
        <w:rPr/>
        <w:t>2</w:t>
      </w:r>
      <w:r>
        <w:rPr>
          <w:rtl w:val="true"/>
        </w:rPr>
        <w:t xml:space="preserve">- </w:t>
      </w:r>
      <w:r>
        <w:rPr>
          <w:rtl w:val="true"/>
        </w:rPr>
        <w:t>هدفهای فرعی و ثانوی</w:t>
      </w:r>
      <w:bookmarkEnd w:id="1008"/>
    </w:p>
    <w:p>
      <w:pPr>
        <w:pStyle w:val="Heading5"/>
        <w:numPr>
          <w:ilvl w:val="4"/>
          <w:numId w:val="1"/>
        </w:numPr>
        <w:rPr/>
      </w:pPr>
      <w:bookmarkStart w:id="1009" w:name="__RefHeading___Toc474643_1479056682"/>
      <w:bookmarkStart w:id="1010" w:name="_Toc384"/>
      <w:bookmarkEnd w:id="1009"/>
      <w:r>
        <w:rPr>
          <w:rtl w:val="true"/>
        </w:rPr>
        <w:t>اشاره</w:t>
      </w:r>
      <w:bookmarkEnd w:id="1010"/>
    </w:p>
    <w:p>
      <w:pPr>
        <w:pStyle w:val="BookText"/>
        <w:rPr/>
      </w:pPr>
      <w:r>
        <w:rPr>
          <w:rFonts w:ascii="IRNazanin" w:hAnsi="IRNazanin" w:eastAsia="IRNazanin"/>
          <w:color w:val="111111"/>
          <w:sz w:val="28"/>
          <w:sz w:val="28"/>
          <w:szCs w:val="28"/>
          <w:rtl w:val="true"/>
          <w:lang w:bidi="fa-IR"/>
        </w:rPr>
        <w:t>بجز آن هدف اوّلی و اصلی که به اختصار از آن گذشتیم، نظام اقتصادی اسلام هدفهای فرعی و ثانوی 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هدفهایی که در حقیقت، مقدّمه‌ای برای تحقّق همان هدف اصلی هستند و همان طور که اشاره شد، اهمیّت و ارزش آنها شعاعی از ارزش و مطلوبیّت هدف اصلی و کمال نهایی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نمونه اگر رفاه و آسایش اقتصادی از اهداف اقتصاد اسلامی است، این رفاه و آسایش در صورتی و تا حدّی مطلوب است که در جهت تأمین سعادت ابدی قرار گیرد و راهی برای وصول به کمال 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چنان که در بحث دیدگاه اسلام، نسبت به دنیا و ثروت، گذشت، ارزش کلّ دنیا به دلیل همان مقدّمه و مزرعه آخرت بودن آن است و نه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به طور مختصر به بررسی و تحلیل اهمّ اهداف اقتصادی اسلام می‌پردازیم</w:t>
      </w:r>
      <w:r>
        <w:rPr>
          <w:rStyle w:val="FootnoteAnchor"/>
          <w:rtl w:val="true"/>
        </w:rPr>
        <w:footnoteReference w:id="1701"/>
      </w:r>
      <w:r>
        <w:rPr>
          <w:rFonts w:ascii="IRNazanin" w:hAnsi="IRNazanin" w:eastAsia="IRNazanin"/>
          <w:color w:val="111111"/>
          <w:sz w:val="28"/>
          <w:sz w:val="28"/>
          <w:szCs w:val="28"/>
          <w:rtl w:val="true"/>
          <w:lang w:bidi="fa-IR"/>
        </w:rPr>
        <w:t>، تا درفصل آینده ببینیم وقف به عنوان یکی از منابع مالی در جامعه و امّتاسلامی چه نقشی در تحقّق این اهداف می‌تواند داشته باشد</w:t>
      </w:r>
      <w:r>
        <w:rPr>
          <w:rFonts w:eastAsia="IRNazanin" w:cs="IRNazanin"/>
          <w:color w:val="111111"/>
          <w:sz w:val="28"/>
          <w:szCs w:val="28"/>
          <w:rtl w:val="true"/>
          <w:lang w:bidi="fa-IR"/>
        </w:rPr>
        <w:t>:</w:t>
      </w:r>
    </w:p>
    <w:p>
      <w:pPr>
        <w:pStyle w:val="Heading5"/>
        <w:numPr>
          <w:ilvl w:val="4"/>
          <w:numId w:val="1"/>
        </w:numPr>
        <w:rPr/>
      </w:pPr>
      <w:bookmarkStart w:id="1011" w:name="__RefHeading___Toc474645_1479056682"/>
      <w:bookmarkStart w:id="1012" w:name="_Toc385"/>
      <w:bookmarkEnd w:id="1011"/>
      <w:r>
        <w:rPr/>
        <w:t>1</w:t>
      </w:r>
      <w:r>
        <w:rPr>
          <w:rtl w:val="true"/>
        </w:rPr>
        <w:t xml:space="preserve">- </w:t>
      </w:r>
      <w:r>
        <w:rPr>
          <w:rtl w:val="true"/>
        </w:rPr>
        <w:t>حاکمیّت سیاسی اسلام</w:t>
      </w:r>
      <w:bookmarkEnd w:id="1012"/>
    </w:p>
    <w:p>
      <w:pPr>
        <w:pStyle w:val="BookText"/>
        <w:rPr/>
      </w:pPr>
      <w:r>
        <w:rPr>
          <w:rFonts w:ascii="IRNazanin" w:hAnsi="IRNazanin" w:eastAsia="IRNazanin"/>
          <w:color w:val="111111"/>
          <w:sz w:val="28"/>
          <w:sz w:val="28"/>
          <w:szCs w:val="28"/>
          <w:rtl w:val="true"/>
          <w:lang w:bidi="fa-IR"/>
        </w:rPr>
        <w:t>بدون شک در روابط خارجی، مناسبات سیاسی و اقتصادی در هم آمیخته و به هم پیوسته‌اند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وابستگی سیاسی بسیاری از کشورهای جهان سوم، معلول وابستگی اقتصادی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نیز اشاره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نادانی است کسی تصّور کند که امروزه استقلال سیاسی کامل بدون استقلال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به عنوان شرط لازم و نه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است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اسلام با وابستگی مسلمانان سخت به مبارزه برخاسته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به چند نمونه اشاره می‌شود</w:t>
      </w:r>
      <w:r>
        <w:rPr>
          <w:rFonts w:eastAsia="IRNazanin" w:cs="IRNazanin"/>
          <w:color w:val="111111"/>
          <w:sz w:val="28"/>
          <w:szCs w:val="28"/>
          <w:rtl w:val="true"/>
          <w:lang w:bidi="fa-IR"/>
        </w:rPr>
        <w:t xml:space="preserve">: </w:t>
      </w:r>
      <w:bookmarkStart w:id="1013" w:name="pg4267_22267"/>
    </w:p>
    <w:p>
      <w:pPr>
        <w:pStyle w:val="BookText"/>
        <w:rPr/>
      </w:pPr>
      <w:bookmarkEnd w:id="10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702"/>
      </w:r>
      <w:r>
        <w:rPr>
          <w:rFonts w:ascii="IRNazanin" w:hAnsi="IRNazanin" w:eastAsia="IRNazanin"/>
          <w:color w:val="111111"/>
          <w:sz w:val="28"/>
          <w:sz w:val="28"/>
          <w:szCs w:val="28"/>
          <w:rtl w:val="true"/>
          <w:lang w:bidi="fa-IR"/>
        </w:rPr>
        <w:t>در این آیه هر گونه استیلا و سلطه‌ای از جانب کافران ممنوع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اَعِدُّو لَهُمْ مَااسْتَطَعْتم مِنْ قُوَّةٍ</w:t>
      </w:r>
      <w:r>
        <w:rPr>
          <w:rFonts w:eastAsia="IRNazanin" w:cs="IRNazanin"/>
          <w:color w:val="111111"/>
          <w:sz w:val="28"/>
          <w:szCs w:val="28"/>
          <w:rtl w:val="true"/>
          <w:lang w:bidi="fa-IR"/>
        </w:rPr>
        <w:t>»</w:t>
      </w:r>
      <w:r>
        <w:rPr>
          <w:rStyle w:val="FootnoteAnchor"/>
          <w:rtl w:val="true"/>
        </w:rPr>
        <w:footnoteReference w:id="1703"/>
      </w:r>
      <w:r>
        <w:rPr>
          <w:rFonts w:ascii="IRNazanin" w:hAnsi="IRNazanin" w:eastAsia="IRNazanin"/>
          <w:color w:val="111111"/>
          <w:sz w:val="28"/>
          <w:sz w:val="28"/>
          <w:szCs w:val="28"/>
          <w:rtl w:val="true"/>
          <w:lang w:bidi="fa-IR"/>
        </w:rPr>
        <w:t xml:space="preserve">در این آیه نیز از مسلمانان خواسته شده تا همه نیروهای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نظامی، اقتصادی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w:t>
      </w:r>
    </w:p>
    <w:p>
      <w:pPr>
        <w:pStyle w:val="BookText"/>
        <w:rPr/>
      </w:pPr>
      <w:r>
        <w:rPr>
          <w:rFonts w:ascii="IRNazanin" w:hAnsi="IRNazanin" w:eastAsia="IRNazanin"/>
          <w:color w:val="111111"/>
          <w:sz w:val="28"/>
          <w:sz w:val="28"/>
          <w:szCs w:val="28"/>
          <w:rtl w:val="true"/>
          <w:lang w:bidi="fa-IR"/>
        </w:rPr>
        <w:t>کار گیرند تا دشمن هوس سلطه بر بلاد اسلامی را در سر نپروراند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یَعْلوُ وَ لا یُعْلی علیه</w:t>
      </w:r>
      <w:r>
        <w:rPr>
          <w:rFonts w:eastAsia="Amiri" w:cs="Amiri" w:ascii="Amiri" w:hAnsi="Amiri"/>
          <w:color w:val="111111"/>
          <w:sz w:val="28"/>
          <w:szCs w:val="28"/>
          <w:rtl w:val="true"/>
          <w:lang w:bidi="ar-SA"/>
        </w:rPr>
        <w:t>»</w:t>
      </w:r>
      <w:r>
        <w:rPr>
          <w:rStyle w:val="FootnoteAnchor"/>
          <w:rtl w:val="true"/>
        </w:rPr>
        <w:footnoteReference w:id="1704"/>
      </w:r>
      <w:r>
        <w:rPr>
          <w:rFonts w:ascii="IRNazanin" w:hAnsi="IRNazanin" w:eastAsia="IRNazanin"/>
          <w:color w:val="111111"/>
          <w:sz w:val="28"/>
          <w:sz w:val="28"/>
          <w:szCs w:val="28"/>
          <w:rtl w:val="true"/>
          <w:lang w:bidi="fa-IR"/>
        </w:rPr>
        <w:t>مطابق این حدیث علّو و برتری از آن اسلام است و هرگونه علّو و برتری بر اسلام مردود اعلام شده است</w:t>
      </w:r>
      <w:r>
        <w:rPr>
          <w:rFonts w:eastAsia="IRNazanin" w:cs="IRNazanin"/>
          <w:color w:val="111111"/>
          <w:sz w:val="28"/>
          <w:szCs w:val="28"/>
          <w:rtl w:val="true"/>
          <w:lang w:bidi="fa-IR"/>
        </w:rPr>
        <w:t>.</w:t>
      </w:r>
    </w:p>
    <w:p>
      <w:pPr>
        <w:pStyle w:val="Heading5"/>
        <w:numPr>
          <w:ilvl w:val="4"/>
          <w:numId w:val="1"/>
        </w:numPr>
        <w:rPr/>
      </w:pPr>
      <w:bookmarkStart w:id="1014" w:name="__RefHeading___Toc474647_1479056682"/>
      <w:bookmarkStart w:id="1015" w:name="_Toc386"/>
      <w:bookmarkEnd w:id="1014"/>
      <w:r>
        <w:rPr/>
        <w:t>2</w:t>
      </w:r>
      <w:r>
        <w:rPr>
          <w:rtl w:val="true"/>
        </w:rPr>
        <w:t xml:space="preserve">- </w:t>
      </w:r>
      <w:r>
        <w:rPr>
          <w:rtl w:val="true"/>
        </w:rPr>
        <w:t>تحکیم ارزشهای معنوی و اخلاقی</w:t>
      </w:r>
      <w:bookmarkEnd w:id="1015"/>
    </w:p>
    <w:p>
      <w:pPr>
        <w:pStyle w:val="BookText"/>
        <w:rPr/>
      </w:pPr>
      <w:r>
        <w:rPr>
          <w:rFonts w:ascii="IRNazanin" w:hAnsi="IRNazanin" w:eastAsia="IRNazanin"/>
          <w:color w:val="111111"/>
          <w:sz w:val="28"/>
          <w:sz w:val="28"/>
          <w:szCs w:val="28"/>
          <w:rtl w:val="true"/>
          <w:lang w:bidi="fa-IR"/>
        </w:rPr>
        <w:t>در اسلام، تحکیم ارزشهای معنوی و اخلاقی همیشه و در همه جا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یکی از اهدافِ حرمت کسب از راه حرام و باطل، سفارش به آدابی چون تکبیر و شهادتین در هنگام معامله و رعایت ضعفا و سود کمتر گرفتن، توجه به مواسات در زندگی اجتماعی و جنبه عبادی داشتن بسیاری از مالیاتها و انفاقهای مالی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تحکیم ارزشهای معنوی و اخلاقی است، یعنی تحکیم روحیه ایثار و فداکاری، برادری و برابری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 دو نکته</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هدف را نباید با آن هدف اصلی و اوّلی نظامهای گوناگون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قُرب الی اللّه و کمال نهایی است، اشتباه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تحکیم ارزشهای معنوی و اخلاقی نیز یکی از اهداف فرعی و مقدّمه برای رسیدن به آن هدف اصلی 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ارتباطش با آن هدف اصلی از ارتباط بقیّه اهداف، روشنتر و</w:t>
      </w:r>
    </w:p>
    <w:p>
      <w:pPr>
        <w:pStyle w:val="BookText"/>
        <w:rPr/>
      </w:pPr>
      <w:r>
        <w:rPr>
          <w:rFonts w:ascii="IRNazanin" w:hAnsi="IRNazanin" w:eastAsia="IRNazanin"/>
          <w:color w:val="111111"/>
          <w:sz w:val="28"/>
          <w:sz w:val="28"/>
          <w:szCs w:val="28"/>
          <w:rtl w:val="true"/>
          <w:lang w:bidi="fa-IR"/>
        </w:rPr>
        <w:t>نزدیکتر باشد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که تحکیم ارزشها از اهداف اقتصاد اسلامی است، به معنای آنچه سوسیالیسم معتقد است،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نیز تابع و زاییده مادیّات است و از اقتصا </w:t>
      </w:r>
      <w:bookmarkStart w:id="1016" w:name="pg4267_22269"/>
    </w:p>
    <w:p>
      <w:pPr>
        <w:pStyle w:val="BookText"/>
        <w:rPr/>
      </w:pPr>
      <w:bookmarkEnd w:id="1016"/>
      <w:r>
        <w:rPr>
          <w:rFonts w:ascii="IRNazanin" w:hAnsi="IRNazanin" w:eastAsia="IRNazanin"/>
          <w:color w:val="111111"/>
          <w:sz w:val="28"/>
          <w:sz w:val="28"/>
          <w:szCs w:val="28"/>
          <w:rtl w:val="true"/>
          <w:lang w:bidi="fa-IR"/>
        </w:rPr>
        <w:t>ناشی می‌شود، بلکه منظور این است که تلاشها و فعالیّتهای اقتصادی با توجّه به بینشهای گوناگون بر روی اخلاق متعالی تأثیرهای مثبت و منفی گوناگون دارند، چنان که عکس آن نیز هست، یعنی فضایل و رذایل اخلاقی بر فعالیّتهای اقتصادی اثر مثبت و منفی می‌گذارند و تأثیر متقابل دارند</w:t>
      </w:r>
      <w:r>
        <w:rPr>
          <w:rFonts w:eastAsia="IRNazanin" w:cs="IRNazanin"/>
          <w:color w:val="111111"/>
          <w:sz w:val="28"/>
          <w:szCs w:val="28"/>
          <w:rtl w:val="true"/>
          <w:lang w:bidi="fa-IR"/>
        </w:rPr>
        <w:t>.</w:t>
      </w:r>
    </w:p>
    <w:p>
      <w:pPr>
        <w:pStyle w:val="Heading5"/>
        <w:numPr>
          <w:ilvl w:val="4"/>
          <w:numId w:val="1"/>
        </w:numPr>
        <w:rPr/>
      </w:pPr>
      <w:bookmarkStart w:id="1017" w:name="__RefHeading___Toc474649_1479056682"/>
      <w:bookmarkStart w:id="1018" w:name="_Toc387"/>
      <w:bookmarkEnd w:id="1017"/>
      <w:r>
        <w:rPr/>
        <w:t>3</w:t>
      </w:r>
      <w:r>
        <w:rPr>
          <w:rtl w:val="true"/>
        </w:rPr>
        <w:t xml:space="preserve">- </w:t>
      </w:r>
      <w:r>
        <w:rPr>
          <w:rtl w:val="true"/>
        </w:rPr>
        <w:t>برپایی عدالت اجتماعی</w:t>
      </w:r>
      <w:bookmarkEnd w:id="1018"/>
    </w:p>
    <w:p>
      <w:pPr>
        <w:pStyle w:val="BookText"/>
        <w:rPr/>
      </w:pPr>
      <w:r>
        <w:rPr>
          <w:rFonts w:ascii="IRNazanin" w:hAnsi="IRNazanin" w:eastAsia="IRNazanin"/>
          <w:color w:val="111111"/>
          <w:sz w:val="28"/>
          <w:sz w:val="28"/>
          <w:szCs w:val="28"/>
          <w:rtl w:val="true"/>
          <w:lang w:bidi="fa-IR"/>
        </w:rPr>
        <w:t>اصلاً یکی از اهداف اصلی ارسال رسل و انزال کتب، اقامه عدل و قسط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پیمبران خود را با ادلّه و معجزات فرستادیم و بر آنها کتاب و میزان عدل</w:t>
      </w:r>
    </w:p>
    <w:p>
      <w:pPr>
        <w:pStyle w:val="BookText"/>
        <w:rPr/>
      </w:pPr>
      <w:r>
        <w:rPr>
          <w:rFonts w:ascii="IRNazanin" w:hAnsi="IRNazanin" w:eastAsia="IRNazanin"/>
          <w:color w:val="111111"/>
          <w:sz w:val="28"/>
          <w:sz w:val="28"/>
          <w:szCs w:val="28"/>
          <w:rtl w:val="true"/>
          <w:lang w:bidi="fa-IR"/>
        </w:rPr>
        <w:t>نازل کردیم تا مردم اقامه قسط کنند</w:t>
      </w:r>
      <w:r>
        <w:rPr>
          <w:rFonts w:eastAsia="IRNazanin" w:cs="IRNazanin"/>
          <w:color w:val="111111"/>
          <w:sz w:val="28"/>
          <w:szCs w:val="28"/>
          <w:rtl w:val="true"/>
          <w:lang w:bidi="fa-IR"/>
        </w:rPr>
        <w:t>...»</w:t>
      </w:r>
      <w:r>
        <w:rPr>
          <w:rStyle w:val="FootnoteAnchor"/>
          <w:rtl w:val="true"/>
        </w:rPr>
        <w:footnoteReference w:id="1705"/>
      </w:r>
      <w:r>
        <w:rPr>
          <w:rFonts w:ascii="IRNazanin" w:hAnsi="IRNazanin" w:eastAsia="IRNazanin"/>
          <w:color w:val="111111"/>
          <w:sz w:val="28"/>
          <w:sz w:val="28"/>
          <w:szCs w:val="28"/>
          <w:rtl w:val="true"/>
          <w:lang w:bidi="fa-IR"/>
        </w:rPr>
        <w:t>و تحقّق عدالت اجتماعی مستلزم تحقّق دو امربسیار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فقر از جامعه؛ چرا که فقر در جامعه نشانه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عدالت رفتار می‌شد همه مردم بی‌نیاز می‌شدند</w:t>
      </w:r>
      <w:r>
        <w:rPr>
          <w:rFonts w:eastAsia="IRNazanin" w:cs="IRNazanin"/>
          <w:color w:val="111111"/>
          <w:sz w:val="28"/>
          <w:szCs w:val="28"/>
          <w:rtl w:val="true"/>
          <w:lang w:bidi="fa-IR"/>
        </w:rPr>
        <w:t>»</w:t>
      </w:r>
      <w:r>
        <w:rPr>
          <w:rStyle w:val="FootnoteAnchor"/>
          <w:rtl w:val="true"/>
        </w:rPr>
        <w:footnoteReference w:id="1706"/>
      </w:r>
    </w:p>
    <w:p>
      <w:pPr>
        <w:pStyle w:val="BookText"/>
        <w:rPr/>
      </w:pPr>
      <w:r>
        <w:rPr>
          <w:rFonts w:ascii="IRNazanin" w:hAnsi="IRNazanin" w:eastAsia="IRNazanin"/>
          <w:color w:val="111111"/>
          <w:sz w:val="28"/>
          <w:sz w:val="28"/>
          <w:szCs w:val="28"/>
          <w:rtl w:val="true"/>
          <w:lang w:bidi="fa-IR"/>
        </w:rPr>
        <w:t>در مباحث آینده نیز روایاتی ذکر خواهد شد با این مضمون که اگر مردم حقّ فقرا و مساکین را می‌پرداختند کسی فقیر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نعمتها را برای همه انسانها آفریده و آیات بسیاری از قرآن کریم گویای این حقیقت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از تمرکز ثروت در دست عدّه‌ای معدود؛ قبلاً به آیه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که از گنجوری و ذخیره طلا و نقره نکوهش کرده است،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دیگر،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حشر است که در مقام تعلیل اختصاص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و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ذی‌القربی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کَیْ لایَکُونَ دُولةً بَیْنَ‌الاَغْنِیاءِ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ثروتمندان دست به دست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تمرکز ثروتهای آن چنانی جز در سایه تضییع حقوق دیگران تحقّق نمی‌یابد</w:t>
      </w:r>
      <w:r>
        <w:rPr>
          <w:rFonts w:eastAsia="IRNazanin" w:cs="IRNazanin"/>
          <w:color w:val="111111"/>
          <w:sz w:val="28"/>
          <w:szCs w:val="28"/>
          <w:rtl w:val="true"/>
          <w:lang w:bidi="fa-IR"/>
        </w:rPr>
        <w:t xml:space="preserve">. </w:t>
      </w:r>
      <w:bookmarkStart w:id="1019" w:name="pg4267_22272"/>
    </w:p>
    <w:p>
      <w:pPr>
        <w:pStyle w:val="Heading5"/>
        <w:numPr>
          <w:ilvl w:val="4"/>
          <w:numId w:val="1"/>
        </w:numPr>
        <w:rPr/>
      </w:pPr>
      <w:bookmarkStart w:id="1020" w:name="__RefHeading___Toc474651_1479056682"/>
      <w:bookmarkStart w:id="1021" w:name="_Toc388"/>
      <w:bookmarkEnd w:id="1019"/>
      <w:bookmarkEnd w:id="1020"/>
      <w:r>
        <w:rPr/>
        <w:t>4</w:t>
      </w:r>
      <w:r>
        <w:rPr>
          <w:rtl w:val="true"/>
        </w:rPr>
        <w:t xml:space="preserve">- </w:t>
      </w:r>
      <w:r>
        <w:rPr>
          <w:rtl w:val="true"/>
        </w:rPr>
        <w:t>استقلال اقتصادی</w:t>
      </w:r>
      <w:bookmarkEnd w:id="1021"/>
    </w:p>
    <w:p>
      <w:pPr>
        <w:pStyle w:val="BookText"/>
        <w:rPr/>
      </w:pPr>
      <w:r>
        <w:rPr>
          <w:rFonts w:ascii="IRNazanin" w:hAnsi="IRNazanin" w:eastAsia="IRNazanin"/>
          <w:color w:val="111111"/>
          <w:sz w:val="28"/>
          <w:sz w:val="28"/>
          <w:szCs w:val="28"/>
          <w:rtl w:val="true"/>
          <w:lang w:bidi="fa-IR"/>
        </w:rPr>
        <w:t>قبلاً به حاکمیّت سیاسی اسلام و این که از شرایط اساسی آن، استقلال اقتصادی است،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حال، استقلال اقتصادی، در عین این که شرط اساسی استقلال سیاسی است، با آن تفاوت دارد و غیر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استقلال اقتصادی، یعنی روی پای خود ایستادن و در امور اقتصادی تحت قَیمومت دیگران نبودن و این مستلزم خود کفایی نیست، زیرا ممکن است کشوری کالاهای مورد نیازش را به شکلّ مبادله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نیاز 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نه خود کفاست و نه وابستگی اقتصادی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 تأمین نیازمندیها در سطح عالی رفاه معقول و مشروع، مطلوب و مورد توجّه نظام اقتصادی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ادلّه ای که استقلال سیاسی را ایجاب می‌کردند بر لزوم استقلال اقتصادی نیز به طور کامل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آیه نفی سبیل</w:t>
      </w:r>
      <w:r>
        <w:rPr>
          <w:rStyle w:val="FootnoteAnchor"/>
          <w:rtl w:val="true"/>
        </w:rPr>
        <w:footnoteReference w:id="1707"/>
      </w:r>
      <w:r>
        <w:rPr>
          <w:rFonts w:ascii="Amiri" w:hAnsi="Amiri" w:eastAsia="Amiri" w:cs="Amiri"/>
          <w:color w:val="111111"/>
          <w:sz w:val="28"/>
          <w:sz w:val="28"/>
          <w:szCs w:val="28"/>
          <w:rtl w:val="true"/>
          <w:lang w:bidi="ar-SA"/>
        </w:rPr>
        <w:t xml:space="preserve">،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اَعِدُّوا لَهُمْ مَا اسْتَطَعْتُمْ مِنْ قُوَّةٍ</w:t>
      </w:r>
      <w:r>
        <w:rPr>
          <w:rFonts w:eastAsia="Amiri" w:cs="Amiri" w:ascii="Amiri" w:hAnsi="Amiri"/>
          <w:color w:val="111111"/>
          <w:sz w:val="28"/>
          <w:szCs w:val="28"/>
          <w:rtl w:val="true"/>
          <w:lang w:bidi="ar-SA"/>
        </w:rPr>
        <w:t>»</w:t>
      </w:r>
      <w:r>
        <w:rPr>
          <w:rStyle w:val="FootnoteAnchor"/>
          <w:rtl w:val="true"/>
        </w:rPr>
        <w:footnoteReference w:id="1708"/>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Heading5"/>
        <w:numPr>
          <w:ilvl w:val="4"/>
          <w:numId w:val="1"/>
        </w:numPr>
        <w:rPr/>
      </w:pPr>
      <w:bookmarkStart w:id="1022" w:name="__RefHeading___Toc474653_1479056682"/>
      <w:bookmarkStart w:id="1023" w:name="_Toc389"/>
      <w:bookmarkEnd w:id="1022"/>
      <w:r>
        <w:rPr/>
        <w:t>5</w:t>
      </w:r>
      <w:r>
        <w:rPr>
          <w:rtl w:val="true"/>
        </w:rPr>
        <w:t xml:space="preserve">- </w:t>
      </w:r>
      <w:r>
        <w:rPr>
          <w:rtl w:val="true"/>
        </w:rPr>
        <w:t>توسعه و رشد</w:t>
      </w:r>
      <w:bookmarkEnd w:id="1023"/>
    </w:p>
    <w:p>
      <w:pPr>
        <w:pStyle w:val="BookText"/>
        <w:rPr/>
      </w:pPr>
      <w:r>
        <w:rPr>
          <w:rFonts w:ascii="IRNazanin" w:hAnsi="IRNazanin" w:eastAsia="IRNazanin"/>
          <w:color w:val="111111"/>
          <w:sz w:val="28"/>
          <w:sz w:val="28"/>
          <w:szCs w:val="28"/>
          <w:rtl w:val="true"/>
          <w:lang w:bidi="fa-IR"/>
        </w:rPr>
        <w:t>از بسیاری از متون اسلامی و سیره عملی معصومین و مسلمین بعد از ظهور اسلام می‌توان به توجّه و عنایت مکتب حیاتبخش اسلام به این هدف پی برد؛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اکید اسلام به یادگیری و افزایش اطّلاعات که با عبارات گوناگون وارد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اُطلُبُوا الْعِلْمَ وَ لَوْ بِالصّینِ</w:t>
      </w:r>
      <w:r>
        <w:rPr>
          <w:rFonts w:eastAsia="IRNazanin" w:cs="IRNazanin"/>
          <w:color w:val="111111"/>
          <w:sz w:val="28"/>
          <w:szCs w:val="28"/>
          <w:rtl w:val="true"/>
          <w:lang w:bidi="fa-IR"/>
        </w:rPr>
        <w:t>»</w:t>
      </w:r>
      <w:r>
        <w:rPr>
          <w:rStyle w:val="FootnoteAnchor"/>
          <w:rtl w:val="true"/>
        </w:rPr>
        <w:footnoteReference w:id="1709"/>
      </w:r>
      <w:r>
        <w:rPr>
          <w:rFonts w:ascii="IRNazanin" w:hAnsi="IRNazanin" w:eastAsia="IRNazanin"/>
          <w:color w:val="111111"/>
          <w:sz w:val="28"/>
          <w:sz w:val="28"/>
          <w:szCs w:val="28"/>
          <w:rtl w:val="true"/>
          <w:lang w:bidi="fa-IR"/>
        </w:rPr>
        <w:t xml:space="preserve">، و نیز اهمّیّت دادن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بهمسأله سواد آموزی که نمونه‌اش را در جنگ بدر می‌بینیم که اعلام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اسیری که ده کودک مسلمان را سواد بیاموزد، آزاد خواهد شد</w:t>
      </w:r>
      <w:r>
        <w:rPr>
          <w:rFonts w:eastAsia="IRNazanin" w:cs="IRNazanin"/>
          <w:color w:val="111111"/>
          <w:sz w:val="28"/>
          <w:szCs w:val="28"/>
          <w:rtl w:val="true"/>
          <w:lang w:bidi="fa-IR"/>
        </w:rPr>
        <w:t>.</w:t>
      </w:r>
      <w:r>
        <w:rPr>
          <w:rStyle w:val="FootnoteAnchor"/>
          <w:rtl w:val="true"/>
        </w:rPr>
        <w:footnoteReference w:id="1710"/>
      </w:r>
      <w:r>
        <w:rPr>
          <w:rFonts w:ascii="IRNazanin" w:hAnsi="IRNazanin" w:eastAsia="IRNazanin"/>
          <w:color w:val="111111"/>
          <w:sz w:val="28"/>
          <w:sz w:val="28"/>
          <w:szCs w:val="28"/>
          <w:rtl w:val="true"/>
          <w:lang w:bidi="fa-IR"/>
        </w:rPr>
        <w:t>و موارد متعدّد دیگری که نمونه واضح و تجربه عملی آن را در قرون اوّلیه در اندلس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بوده‌ایم</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وضعیّت اقتصادی جزیرة العرب از بازرگانی به افزایش کشاورزی تا آن جا که مدینه مرکز مهمّ تولیدی شد</w:t>
      </w:r>
      <w:r>
        <w:rPr>
          <w:rFonts w:eastAsia="IRNazanin" w:cs="IRNazanin"/>
          <w:color w:val="111111"/>
          <w:sz w:val="28"/>
          <w:szCs w:val="28"/>
          <w:rtl w:val="true"/>
          <w:lang w:bidi="fa-IR"/>
        </w:rPr>
        <w:t xml:space="preserve">. </w:t>
      </w:r>
      <w:bookmarkStart w:id="1024" w:name="pg4267_22274"/>
    </w:p>
    <w:p>
      <w:pPr>
        <w:pStyle w:val="BookText"/>
        <w:rPr/>
      </w:pPr>
      <w:bookmarkEnd w:id="1024"/>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وَجَدَ ماءً وَ تُرابا ثُمَّ افْتَقَرَ فَاَبْعَدَهُ‌اللّه‌ُ</w:t>
      </w:r>
      <w:r>
        <w:rPr>
          <w:rFonts w:eastAsia="Amiri" w:cs="Amiri" w:ascii="Amiri" w:hAnsi="Amiri"/>
          <w:color w:val="111111"/>
          <w:sz w:val="28"/>
          <w:szCs w:val="28"/>
          <w:rtl w:val="true"/>
          <w:lang w:bidi="ar-SA"/>
        </w:rPr>
        <w:t>»</w:t>
      </w:r>
      <w:r>
        <w:rPr>
          <w:rStyle w:val="FootnoteAnchor"/>
          <w:rtl w:val="true"/>
        </w:rPr>
        <w:footnoteReference w:id="1711"/>
      </w:r>
      <w:r>
        <w:rPr>
          <w:rFonts w:ascii="IRNazanin" w:hAnsi="IRNazanin" w:eastAsia="IRNazanin"/>
          <w:color w:val="111111"/>
          <w:sz w:val="28"/>
          <w:sz w:val="28"/>
          <w:szCs w:val="28"/>
          <w:rtl w:val="true"/>
          <w:lang w:bidi="fa-IR"/>
        </w:rPr>
        <w:t>هر کس آبی و خاکیبیابد و در عین حال فقیر باشد خداوند او را از رحمت خویش دور می‌دارد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تأکید اسلام بر آباد کردن زمینها و 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اَنشَأَکُمْ مِنَ‌الاَرضِ وَاسْتَعْمَرَکُمْ فیها</w:t>
      </w:r>
      <w:r>
        <w:rPr>
          <w:rFonts w:eastAsia="Amiri" w:cs="Amiri" w:ascii="Amiri" w:hAnsi="Amiri"/>
          <w:color w:val="111111"/>
          <w:sz w:val="28"/>
          <w:szCs w:val="28"/>
          <w:rtl w:val="true"/>
          <w:lang w:bidi="ar-SA"/>
        </w:rPr>
        <w:t>»</w:t>
      </w:r>
      <w:r>
        <w:rPr>
          <w:rStyle w:val="FootnoteAnchor"/>
          <w:rtl w:val="true"/>
        </w:rPr>
        <w:footnoteReference w:id="17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را از خاک آفرید و آبادانی زمین را از شما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مؤمنان علیه‌السلام در عهدنامه مالک اشتر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وظایف استاندار جمع آوری مالیات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آباد کردن شهرهای آنان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ثروت و پیدایش رفاه بر اثر حاکمیّت اسلام که نمونه آن، تغییر زندگی فقیرانه مسلمانان در آغاز اسلام به رفاههای بعدی است</w:t>
      </w:r>
      <w:r>
        <w:rPr>
          <w:rFonts w:eastAsia="IRNazanin" w:cs="IRNazanin"/>
          <w:color w:val="111111"/>
          <w:sz w:val="28"/>
          <w:szCs w:val="28"/>
          <w:rtl w:val="true"/>
          <w:lang w:bidi="fa-IR"/>
        </w:rPr>
        <w:t>.</w:t>
      </w:r>
      <w:r>
        <w:rPr>
          <w:rStyle w:val="FootnoteAnchor"/>
          <w:rtl w:val="true"/>
        </w:rPr>
        <w:footnoteReference w:id="1714"/>
      </w:r>
    </w:p>
    <w:p>
      <w:pPr>
        <w:pStyle w:val="Heading5"/>
        <w:numPr>
          <w:ilvl w:val="4"/>
          <w:numId w:val="1"/>
        </w:numPr>
        <w:rPr/>
      </w:pPr>
      <w:bookmarkStart w:id="1025" w:name="__RefHeading___Toc474655_1479056682"/>
      <w:bookmarkStart w:id="1026" w:name="_Toc390"/>
      <w:bookmarkEnd w:id="1025"/>
      <w:r>
        <w:rPr/>
        <w:t>6</w:t>
      </w:r>
      <w:r>
        <w:rPr>
          <w:rtl w:val="true"/>
        </w:rPr>
        <w:t xml:space="preserve">- </w:t>
      </w:r>
      <w:r>
        <w:rPr>
          <w:rtl w:val="true"/>
        </w:rPr>
        <w:t>رفاه عمومی</w:t>
      </w:r>
      <w:bookmarkEnd w:id="1026"/>
    </w:p>
    <w:p>
      <w:pPr>
        <w:pStyle w:val="BookText"/>
        <w:rPr/>
      </w:pPr>
      <w:r>
        <w:rPr>
          <w:rFonts w:ascii="IRNazanin" w:hAnsi="IRNazanin" w:eastAsia="IRNazanin"/>
          <w:color w:val="111111"/>
          <w:sz w:val="28"/>
          <w:sz w:val="28"/>
          <w:szCs w:val="28"/>
          <w:rtl w:val="true"/>
          <w:lang w:bidi="fa-IR"/>
        </w:rPr>
        <w:t xml:space="preserve">این امر در ضمن توسعه و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 و مشروع توأم با عدالت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می‌شود و بدون توسعه و رشد، تأمین رفاه عمومی میسّر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اوّلاً، نظام اقتصادی اسلام، تنها درصدد رفع نیازهای ضروری نیست و در پی تأمین رفاه نیز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ای پیغمبر چه کسی زینتهای خدا را که برای بندگان خود آفریده، حرام کرده و از صرف رزق حلال و پاکیزه منع کرده است</w:t>
      </w:r>
      <w:r>
        <w:rPr>
          <w:rFonts w:eastAsia="IRNazanin" w:cs="IRNazanin"/>
          <w:color w:val="111111"/>
          <w:sz w:val="28"/>
          <w:szCs w:val="28"/>
          <w:rtl w:val="true"/>
          <w:lang w:bidi="fa-IR"/>
        </w:rPr>
        <w:t>»</w:t>
      </w:r>
      <w:r>
        <w:rPr>
          <w:rStyle w:val="FootnoteAnchor"/>
          <w:rtl w:val="true"/>
        </w:rPr>
        <w:footnoteReference w:id="17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شهر و دیار، ایمان آورده پرهیزگار می‌شدند، همانا درهای برکات آسمان و زمین را به روی آنها می‌گشودیم</w:t>
      </w:r>
      <w:r>
        <w:rPr>
          <w:rFonts w:eastAsia="IRNazanin" w:cs="IRNazanin"/>
          <w:color w:val="111111"/>
          <w:sz w:val="28"/>
          <w:szCs w:val="28"/>
          <w:rtl w:val="true"/>
          <w:lang w:bidi="fa-IR"/>
        </w:rPr>
        <w:t>...»</w:t>
      </w:r>
      <w:r>
        <w:rPr>
          <w:rStyle w:val="FootnoteAnchor"/>
          <w:rtl w:val="true"/>
        </w:rPr>
        <w:footnoteReference w:id="1716"/>
      </w:r>
    </w:p>
    <w:p>
      <w:pPr>
        <w:pStyle w:val="BookText"/>
        <w:rPr/>
      </w:pPr>
      <w:r>
        <w:rPr>
          <w:rFonts w:ascii="IRNazanin" w:hAnsi="IRNazanin" w:eastAsia="IRNazanin"/>
          <w:color w:val="111111"/>
          <w:sz w:val="28"/>
          <w:sz w:val="28"/>
          <w:szCs w:val="28"/>
          <w:rtl w:val="true"/>
          <w:lang w:bidi="fa-IR"/>
        </w:rPr>
        <w:t>ثانیا، رفاه مطلوب و مجاز در اسلام باید در حدّی باشد که انسان را از یاد خدا غافل نکند و او را از هدف اصلی و اساسی که کمال ابدی و قُرب الهی است، باز ندارد، بلکه او</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 در راه رسیدن به آن هدف یاری دهد و جمع میان این دو نه تنها ممکن، بلکه مطلوب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الْمُتَّقِینَ ذَهَبُوا بِعاجِلِ‌الدُّنْیا وَ آجِلِ‌الآخِرَةِ</w:t>
      </w:r>
      <w:r>
        <w:rPr>
          <w:rStyle w:val="FootnoteAnchor"/>
          <w:rtl w:val="true"/>
        </w:rPr>
        <w:footnoteReference w:id="17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 با تقوا </w:t>
      </w:r>
    </w:p>
    <w:p>
      <w:pPr>
        <w:pStyle w:val="BookText"/>
        <w:rPr/>
      </w:pPr>
      <w:r>
        <w:rPr>
          <w:rFonts w:ascii="IRNazanin" w:hAnsi="IRNazanin" w:eastAsia="IRNazanin"/>
          <w:color w:val="111111"/>
          <w:sz w:val="28"/>
          <w:sz w:val="28"/>
          <w:szCs w:val="28"/>
          <w:rtl w:val="true"/>
          <w:lang w:bidi="fa-IR"/>
        </w:rPr>
        <w:t xml:space="preserve">دنیا و آخرت را با هم از آنِ خود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یک را فدای دیگری نکردند از دنیا نیز</w:t>
      </w:r>
    </w:p>
    <w:p>
      <w:pPr>
        <w:pStyle w:val="BookText"/>
        <w:rPr/>
      </w:pPr>
      <w:r>
        <w:rPr>
          <w:rFonts w:ascii="IRNazanin" w:hAnsi="IRNazanin" w:eastAsia="IRNazanin"/>
          <w:color w:val="111111"/>
          <w:sz w:val="28"/>
          <w:sz w:val="28"/>
          <w:szCs w:val="28"/>
          <w:rtl w:val="true"/>
          <w:lang w:bidi="fa-IR"/>
        </w:rPr>
        <w:t>استفاده کردند و از آن برای اهداف معنوی و اخروی بهره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غیر این صورت، انسان از دیدگاه اسلام در زمره حیوانات بلکه بدتر از آنان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کُلُوا وَارْعَوْا اَنْعامَکُم</w:t>
      </w:r>
      <w:r>
        <w:rPr>
          <w:rFonts w:eastAsia="IRNazanin" w:cs="IRNazanin"/>
          <w:color w:val="111111"/>
          <w:sz w:val="28"/>
          <w:szCs w:val="28"/>
          <w:rtl w:val="true"/>
          <w:lang w:bidi="fa-IR"/>
        </w:rPr>
        <w:t>»</w:t>
      </w:r>
      <w:r>
        <w:rPr>
          <w:rStyle w:val="FootnoteAnchor"/>
          <w:rtl w:val="true"/>
        </w:rPr>
        <w:footnoteReference w:id="171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نعمتهای خود را آفریده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آنها بخورید وچهارپایانتان را هم بچرانید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اُولئکَ کَالاَنْعامِ بَلْ هُمْ اَضلّ</w:t>
      </w:r>
      <w:r>
        <w:rPr>
          <w:rFonts w:eastAsia="IRNazanin" w:cs="IRNazanin"/>
          <w:color w:val="111111"/>
          <w:sz w:val="28"/>
          <w:szCs w:val="28"/>
          <w:rtl w:val="true"/>
          <w:lang w:bidi="fa-IR"/>
        </w:rPr>
        <w:t>»</w:t>
      </w:r>
      <w:r>
        <w:rPr>
          <w:rStyle w:val="FootnoteAnchor"/>
          <w:rtl w:val="true"/>
        </w:rPr>
        <w:footnoteReference w:id="1719"/>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بصیرتندارند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چهارپایانند، بلکه بسی گمراه 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این رفاه باید برای همه باشد نه افراد خاصّ، و این امر مقتضای همان عدالت اجتماعی است که به آن اشاره شد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غرض از ذکر این مطالب، بیان مختصر اهمّ اهداف نظام اقتصادی اسلام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چه ممکن است بعضی از این اقسام به نوعی متداخل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یاری خداوند در فصل آینده به طور مختصر و گذرا به‌تأثیر و نقش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انفاقات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تحقّق این اهداف بپردازیم</w:t>
      </w:r>
      <w:r>
        <w:rPr>
          <w:rFonts w:eastAsia="IRNazanin" w:cs="IRNazanin"/>
          <w:color w:val="111111"/>
          <w:sz w:val="28"/>
          <w:szCs w:val="28"/>
          <w:rtl w:val="true"/>
          <w:lang w:bidi="fa-IR"/>
        </w:rPr>
        <w:t xml:space="preserve">. </w:t>
      </w:r>
      <w:bookmarkStart w:id="1027" w:name="pg4267_22277"/>
    </w:p>
    <w:p>
      <w:pPr>
        <w:pStyle w:val="Heading3"/>
        <w:numPr>
          <w:ilvl w:val="2"/>
          <w:numId w:val="1"/>
        </w:numPr>
        <w:rPr/>
      </w:pPr>
      <w:bookmarkStart w:id="1028" w:name="__RefHeading___Toc474657_1479056682"/>
      <w:bookmarkStart w:id="1029" w:name="_Toc391"/>
      <w:bookmarkEnd w:id="1027"/>
      <w:bookmarkEnd w:id="1028"/>
      <w:r>
        <w:rPr>
          <w:rtl w:val="true"/>
        </w:rPr>
        <w:t>فصل چهارم</w:t>
      </w:r>
      <w:r>
        <w:rPr>
          <w:rtl w:val="true"/>
        </w:rPr>
        <w:t xml:space="preserve">: </w:t>
      </w:r>
      <w:r>
        <w:rPr>
          <w:rtl w:val="true"/>
        </w:rPr>
        <w:t>نقش وقف در تحقّق اهداف اقتصاد اسلامی</w:t>
      </w:r>
      <w:bookmarkEnd w:id="1029"/>
    </w:p>
    <w:p>
      <w:pPr>
        <w:pStyle w:val="Heading4"/>
        <w:numPr>
          <w:ilvl w:val="3"/>
          <w:numId w:val="1"/>
        </w:numPr>
        <w:rPr/>
      </w:pPr>
      <w:bookmarkStart w:id="1030" w:name="__RefHeading___Toc474659_1479056682"/>
      <w:bookmarkStart w:id="1031" w:name="_Toc392"/>
      <w:bookmarkEnd w:id="1030"/>
      <w:r>
        <w:rPr>
          <w:rtl w:val="true"/>
        </w:rPr>
        <w:t xml:space="preserve">گفتار </w:t>
      </w:r>
      <w:r>
        <w:rPr/>
        <w:t>1</w:t>
      </w:r>
      <w:r>
        <w:rPr>
          <w:rtl w:val="true"/>
        </w:rPr>
        <w:t xml:space="preserve">- </w:t>
      </w:r>
      <w:r>
        <w:rPr>
          <w:rtl w:val="true"/>
        </w:rPr>
        <w:t>نقش وقف در تحقّق هدف اصلی و اوّلی</w:t>
      </w:r>
      <w:bookmarkEnd w:id="1031"/>
    </w:p>
    <w:p>
      <w:pPr>
        <w:pStyle w:val="BookText"/>
        <w:rPr/>
      </w:pPr>
      <w:r>
        <w:rPr>
          <w:rFonts w:ascii="IRNazanin" w:hAnsi="IRNazanin" w:eastAsia="IRNazanin"/>
          <w:color w:val="111111"/>
          <w:sz w:val="28"/>
          <w:sz w:val="28"/>
          <w:szCs w:val="28"/>
          <w:rtl w:val="true"/>
          <w:lang w:bidi="fa-IR"/>
        </w:rPr>
        <w:t>چنانچه قبلاً گذشت، هدف اساسی و اصلی همه نظامهای اسلام، از جمله نظام اقتصادی آن، کمال ابدی، یعنی همان تقرّب الی اللّه است و از دیدگاه قرآن کریم و روایات معصومین علیهاالسلام انفاقات مالی، چه واجب و چه مستحبّ، برای رسیدن به این هدف نهایی نقش بس عظیم و اساسی دارند که به عنوان نمونه، در این جا مواردی یادآوری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موارد متعدّدی از انفاق به عنوان جهاد مالی در کنار جهاد با جان، یاد کرده است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لایَسْتَوِی‌الْقاعِدُونَ مِنَ‌الْمُؤْمِنینَ غَیْرُ اُولیِ‌الضَّرَرِ وَالْمُجاهِدُونَ فی سَبیلِ‌اللّه‌ِ بِاَموالِهِمْ وَ اَنْفُسِهِم فَضَّلَ‌اللّه‌ُالْمُجاهِدینَ بِاَموالِهِم وَ اَنْفُسِهِمْ عَلَی‌القاعِدینَ دَرَجةً </w:t>
      </w:r>
      <w:r>
        <w:rPr>
          <w:rFonts w:eastAsia="Amiri" w:cs="Amiri" w:ascii="Amiri" w:hAnsi="Amiri"/>
          <w:color w:val="111111"/>
          <w:sz w:val="28"/>
          <w:szCs w:val="28"/>
          <w:rtl w:val="true"/>
          <w:lang w:bidi="ar-SA"/>
        </w:rPr>
        <w:t>...»</w:t>
      </w:r>
      <w:r>
        <w:rPr>
          <w:rStyle w:val="FootnoteAnchor"/>
          <w:rtl w:val="true"/>
        </w:rPr>
        <w:footnoteReference w:id="1720"/>
      </w:r>
      <w:r>
        <w:rPr>
          <w:rFonts w:ascii="IRNazanin" w:hAnsi="IRNazanin" w:eastAsia="IRNazanin"/>
          <w:color w:val="111111"/>
          <w:sz w:val="28"/>
          <w:sz w:val="28"/>
          <w:szCs w:val="28"/>
          <w:rtl w:val="true"/>
          <w:lang w:bidi="fa-IR"/>
        </w:rPr>
        <w:t>مؤمنانی که بدون</w:t>
      </w:r>
    </w:p>
    <w:p>
      <w:pPr>
        <w:pStyle w:val="BookText"/>
        <w:rPr/>
      </w:pPr>
      <w:r>
        <w:rPr>
          <w:rFonts w:ascii="IRNazanin" w:hAnsi="IRNazanin" w:eastAsia="IRNazanin"/>
          <w:color w:val="111111"/>
          <w:sz w:val="28"/>
          <w:sz w:val="28"/>
          <w:szCs w:val="28"/>
          <w:rtl w:val="true"/>
          <w:lang w:bidi="fa-IR"/>
        </w:rPr>
        <w:t>عذر از جهاد بازنشسته‌اند با آنان که با مال و جان خود در راه خدا جهاد می‌کنند، برابر</w:t>
      </w:r>
    </w:p>
    <w:p>
      <w:pPr>
        <w:pStyle w:val="BookText"/>
        <w:rPr/>
      </w:pPr>
      <w:r>
        <w:rPr>
          <w:rFonts w:ascii="IRNazanin" w:hAnsi="IRNazanin" w:eastAsia="IRNazanin"/>
          <w:color w:val="111111"/>
          <w:sz w:val="28"/>
          <w:sz w:val="28"/>
          <w:szCs w:val="28"/>
          <w:rtl w:val="true"/>
          <w:lang w:bidi="fa-IR"/>
        </w:rPr>
        <w:t>نیستند، خدا مجاهدان به مال و جان را بر نشستگان برتری بخشیده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متعدّدی از مالیاتها و انفاقات در اسلام، از جمله زکات و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w:t>
      </w:r>
    </w:p>
    <w:p>
      <w:pPr>
        <w:pStyle w:val="BookText"/>
        <w:rPr/>
      </w:pPr>
      <w:r>
        <w:rPr>
          <w:rFonts w:ascii="IRNazanin" w:hAnsi="IRNazanin" w:eastAsia="IRNazanin"/>
          <w:color w:val="111111"/>
          <w:sz w:val="28"/>
          <w:sz w:val="28"/>
          <w:szCs w:val="28"/>
          <w:rtl w:val="true"/>
          <w:lang w:bidi="fa-IR"/>
        </w:rPr>
        <w:t>بسیاری از 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قربت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انفاقات، گذشته از جنبه اقتصادی، همانند نماز، روزه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هستند، و غرض اصلی از عبادات چیزی جز نیل به قرب الهی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یَأتِیَکَ‌الْیَقیُن</w:t>
      </w:r>
      <w:r>
        <w:rPr>
          <w:rFonts w:eastAsia="Amiri" w:cs="Amiri" w:ascii="Amiri" w:hAnsi="Amiri"/>
          <w:color w:val="111111"/>
          <w:sz w:val="28"/>
          <w:szCs w:val="28"/>
          <w:rtl w:val="true"/>
          <w:lang w:bidi="ar-SA"/>
        </w:rPr>
        <w:t>»</w:t>
      </w:r>
      <w:r>
        <w:rPr>
          <w:rStyle w:val="FootnoteAnchor"/>
          <w:rtl w:val="true"/>
        </w:rPr>
        <w:footnoteReference w:id="1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خدای خود مشغول باش تا یقین بر توفرا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 بسیاری از قرآن کریم هر جا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به دنبال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ذکر شده است؛ به عنوان نمونه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یُنفِقونَ اَموالَهُمْ فی سَبیلِ‌اللّه ثُمَّ لایُتْبِعونَ ما اَنفَقُوا مَنّاً وَ لااذیً لَهُمْ اَجْرُهُم عِنْدَ رَبِّهِمْ</w:t>
      </w:r>
      <w:r>
        <w:rPr>
          <w:rFonts w:eastAsia="Amiri" w:cs="Amiri" w:ascii="Amiri" w:hAnsi="Amiri"/>
          <w:color w:val="111111"/>
          <w:sz w:val="28"/>
          <w:szCs w:val="28"/>
          <w:rtl w:val="true"/>
          <w:lang w:bidi="ar-SA"/>
        </w:rPr>
        <w:t>...»</w:t>
      </w:r>
      <w:r>
        <w:rPr>
          <w:rStyle w:val="FootnoteAnchor"/>
          <w:rtl w:val="true"/>
        </w:rPr>
        <w:footnoteReference w:id="17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مالشان را در راه خدا انفاق می‌کنند و در پی آن منّتی نگذارند و آزارینکنند، پاداشی نیکو نزد خدا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 تقریبا با صراحت، هدف از انفاق را لقاء اللّه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تُنفِقُونَ اِلاّ ابْتِغاءَ وَجهِ‌اللّه‌ِ وَ ما تُنفِقُوا مِنْ خَیْرٍ یُوَفَّ اِلَیْکُمْ</w:t>
      </w:r>
      <w:r>
        <w:rPr>
          <w:rFonts w:eastAsia="IRNazanin" w:cs="IRNazanin"/>
          <w:color w:val="111111"/>
          <w:sz w:val="28"/>
          <w:szCs w:val="28"/>
          <w:rtl w:val="true"/>
          <w:lang w:bidi="fa-IR"/>
        </w:rPr>
        <w:t>...»</w:t>
      </w:r>
      <w:r>
        <w:rPr>
          <w:rStyle w:val="FootnoteAnchor"/>
          <w:rtl w:val="true"/>
        </w:rPr>
        <w:footnoteReference w:id="17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جز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لقای پروردگار انفاق کنید و آنچه از خیر که انفاقکنید به طور کامل به شما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دارای این گونه مضامین است در قرآن کریم کم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آیاتی از قرآن کریم، هدف روشن انفاق و اخذ صدقات را تزکیه نفس و یا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نیکی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آل عمران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تَنالُواالبِرَّ</w:t>
      </w:r>
    </w:p>
    <w:p>
      <w:pPr>
        <w:pStyle w:val="BookText"/>
        <w:rPr/>
      </w:pPr>
      <w:r>
        <w:rPr>
          <w:rFonts w:ascii="Amiri" w:hAnsi="Amiri" w:eastAsia="Amiri" w:cs="Amiri"/>
          <w:color w:val="111111"/>
          <w:sz w:val="28"/>
          <w:sz w:val="28"/>
          <w:szCs w:val="28"/>
          <w:rtl w:val="true"/>
          <w:lang w:bidi="ar-SA"/>
        </w:rPr>
        <w:t>حتّی تُنفِقُوا مِمّا تُحِبُّونَ</w:t>
      </w:r>
      <w:r>
        <w:rPr>
          <w:rFonts w:eastAsia="Amiri" w:cs="Amiri" w:ascii="Amiri" w:hAnsi="Amiri"/>
          <w:color w:val="111111"/>
          <w:sz w:val="28"/>
          <w:szCs w:val="28"/>
          <w:rtl w:val="true"/>
          <w:lang w:bidi="ar-SA"/>
        </w:rPr>
        <w:t>»</w:t>
      </w:r>
      <w:r>
        <w:rPr>
          <w:rStyle w:val="FootnoteAnchor"/>
          <w:rtl w:val="true"/>
        </w:rPr>
        <w:footnoteReference w:id="1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به مقام نیکو 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خاصّان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نخواهید رسیّد مگرآن که از آنچه دوست می‌دارید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بسیار محبوب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وشأن نزول این آیه کریمه، وقف و صدقات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مبحث تاریخچه وقف گذشت که با نزول این آیه، کسانی چون ابوطلحه انصاری به فکر تصدّق و وقف کردن اَحبِّ اموال خود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راه رسیدن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انفاق چیزهایی دانسته که مورد علاقه و محبت انسان</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به معنای ثواب از جانب خدا باشد یا انجام فعل خیری که پاداش الهی را به دنبال دارد</w:t>
      </w:r>
      <w:r>
        <w:rPr>
          <w:rStyle w:val="FootnoteAnchor"/>
          <w:rtl w:val="true"/>
        </w:rPr>
        <w:footnoteReference w:id="1725"/>
      </w:r>
      <w:r>
        <w:rPr>
          <w:rFonts w:ascii="IRNazanin" w:hAnsi="IRNazanin" w:eastAsia="IRNazanin"/>
          <w:color w:val="111111"/>
          <w:sz w:val="28"/>
          <w:sz w:val="28"/>
          <w:szCs w:val="28"/>
          <w:rtl w:val="true"/>
          <w:lang w:bidi="fa-IR"/>
        </w:rPr>
        <w:t xml:space="preserve">، مصداق اصلی و حقیقی آن، قرب الهی و سعادت و </w:t>
      </w:r>
      <w:bookmarkStart w:id="1032" w:name="pg4267_22281"/>
    </w:p>
    <w:p>
      <w:pPr>
        <w:pStyle w:val="BookText"/>
        <w:rPr/>
      </w:pPr>
      <w:bookmarkEnd w:id="1032"/>
      <w:r>
        <w:rPr>
          <w:rFonts w:ascii="IRNazanin" w:hAnsi="IRNazanin" w:eastAsia="IRNazanin"/>
          <w:color w:val="111111"/>
          <w:sz w:val="28"/>
          <w:sz w:val="28"/>
          <w:szCs w:val="28"/>
          <w:rtl w:val="true"/>
          <w:lang w:bidi="fa-IR"/>
        </w:rPr>
        <w:t>کمال ابدی انسان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اَمْوالِهِم صَدَقَةً تُطَهِّرُهُمْ وَ تُزَکِّیهِمْ بِها</w:t>
      </w:r>
      <w:r>
        <w:rPr>
          <w:rFonts w:eastAsia="Amiri" w:cs="Amiri" w:ascii="Amiri" w:hAnsi="Amiri"/>
          <w:color w:val="111111"/>
          <w:sz w:val="28"/>
          <w:szCs w:val="28"/>
          <w:rtl w:val="true"/>
          <w:lang w:bidi="ar-SA"/>
        </w:rPr>
        <w:t>...»</w:t>
      </w:r>
      <w:r>
        <w:rPr>
          <w:rStyle w:val="FootnoteAnchor"/>
          <w:rtl w:val="true"/>
        </w:rPr>
        <w:footnoteReference w:id="17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اموال مؤمنان صدقات را دریافت دار تا با آن صدقات نفوس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پلیدی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پاکیزه</w:t>
      </w:r>
    </w:p>
    <w:p>
      <w:pPr>
        <w:pStyle w:val="BookText"/>
        <w:rPr/>
      </w:pPr>
      <w:r>
        <w:rPr>
          <w:rFonts w:ascii="IRNazanin" w:hAnsi="IRNazanin" w:eastAsia="IRNazanin"/>
          <w:color w:val="111111"/>
          <w:sz w:val="28"/>
          <w:sz w:val="28"/>
          <w:szCs w:val="28"/>
          <w:rtl w:val="true"/>
          <w:lang w:bidi="fa-IR"/>
        </w:rPr>
        <w:t xml:space="preserve">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فلسفه اخذ صدقه ازمؤمنان‌را تطهیر وتزکیه نفوس آنها به وسیله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انفاق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طباطبایی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تطهیر یعنی ازاله اوساخ از یک چیز تا وجود آن صاف شود و برای نشو و نما وظهور آثار و برکات، مستعدّ و مهیّا گردد و تزکیه عبارت</w:t>
      </w:r>
    </w:p>
    <w:p>
      <w:pPr>
        <w:pStyle w:val="BookText"/>
        <w:rPr/>
      </w:pPr>
      <w:r>
        <w:rPr>
          <w:rFonts w:ascii="IRNazanin" w:hAnsi="IRNazanin" w:eastAsia="IRNazanin"/>
          <w:color w:val="111111"/>
          <w:sz w:val="28"/>
          <w:sz w:val="28"/>
          <w:szCs w:val="28"/>
          <w:rtl w:val="true"/>
          <w:lang w:bidi="fa-IR"/>
        </w:rPr>
        <w:t>است از رشد دادن و اعطای رشد به وسیله لحوق خیرات وظهور برکات، همانند درختی که قطع زواید از فروع و شاخه های آن، باعث زیادی در حسن و نمو آن و نیکویی میوه هایش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جمع بین تطهیر و تزکیه در آیه از تعابیر لطیف است</w:t>
      </w:r>
      <w:r>
        <w:rPr>
          <w:rFonts w:eastAsia="IRNazanin" w:cs="IRNazanin"/>
          <w:color w:val="111111"/>
          <w:sz w:val="28"/>
          <w:szCs w:val="28"/>
          <w:rtl w:val="true"/>
          <w:lang w:bidi="fa-IR"/>
        </w:rPr>
        <w:t>.</w:t>
      </w:r>
      <w:r>
        <w:rPr>
          <w:rStyle w:val="FootnoteAnchor"/>
          <w:rtl w:val="true"/>
        </w:rPr>
        <w:footnoteReference w:id="1727"/>
      </w:r>
    </w:p>
    <w:p>
      <w:pPr>
        <w:pStyle w:val="BookText"/>
        <w:rPr/>
      </w:pPr>
      <w:r>
        <w:rPr>
          <w:rFonts w:ascii="IRNazanin" w:hAnsi="IRNazanin" w:eastAsia="IRNazanin"/>
          <w:color w:val="111111"/>
          <w:sz w:val="28"/>
          <w:sz w:val="28"/>
          <w:szCs w:val="28"/>
          <w:rtl w:val="true"/>
          <w:lang w:bidi="fa-IR"/>
        </w:rPr>
        <w:t>بنابراین همه انفاقات مالی، از جمله وقف، برای انسان به منزله هَرَس کردن درخت از اضافات است که او را در مسیر رسیدن به هدف اصلی ونهایی اش یاری می‌دهد و در این جهت به او سرعت می‌بخشد</w:t>
      </w:r>
      <w:r>
        <w:rPr>
          <w:rFonts w:eastAsia="IRNazanin" w:cs="IRNazanin"/>
          <w:color w:val="111111"/>
          <w:sz w:val="28"/>
          <w:szCs w:val="28"/>
          <w:rtl w:val="true"/>
          <w:lang w:bidi="fa-IR"/>
        </w:rPr>
        <w:t>.</w:t>
      </w:r>
    </w:p>
    <w:p>
      <w:pPr>
        <w:pStyle w:val="Heading4"/>
        <w:numPr>
          <w:ilvl w:val="3"/>
          <w:numId w:val="1"/>
        </w:numPr>
        <w:rPr/>
      </w:pPr>
      <w:bookmarkStart w:id="1033" w:name="__RefHeading___Toc474661_1479056682"/>
      <w:bookmarkStart w:id="1034" w:name="_Toc393"/>
      <w:bookmarkEnd w:id="1033"/>
      <w:r>
        <w:rPr>
          <w:rtl w:val="true"/>
        </w:rPr>
        <w:t xml:space="preserve">گفتار </w:t>
      </w:r>
      <w:r>
        <w:rPr/>
        <w:t>2</w:t>
      </w:r>
      <w:r>
        <w:rPr>
          <w:rtl w:val="true"/>
        </w:rPr>
        <w:t xml:space="preserve">- </w:t>
      </w:r>
      <w:r>
        <w:rPr>
          <w:rtl w:val="true"/>
        </w:rPr>
        <w:t>نقش وقف در تحقّق اهداف فرعی اقتصاد اسلامی</w:t>
      </w:r>
      <w:bookmarkEnd w:id="1034"/>
    </w:p>
    <w:p>
      <w:pPr>
        <w:pStyle w:val="Heading5"/>
        <w:numPr>
          <w:ilvl w:val="4"/>
          <w:numId w:val="1"/>
        </w:numPr>
        <w:rPr/>
      </w:pPr>
      <w:bookmarkStart w:id="1035" w:name="__RefHeading___Toc474663_1479056682"/>
      <w:bookmarkStart w:id="1036" w:name="_Toc394"/>
      <w:bookmarkEnd w:id="1035"/>
      <w:r>
        <w:rPr>
          <w:rtl w:val="true"/>
        </w:rPr>
        <w:t xml:space="preserve">الف </w:t>
      </w:r>
      <w:r>
        <w:rPr>
          <w:rtl w:val="true"/>
        </w:rPr>
        <w:t xml:space="preserve">- </w:t>
      </w:r>
      <w:r>
        <w:rPr>
          <w:rtl w:val="true"/>
        </w:rPr>
        <w:t xml:space="preserve">تأثیر وقف بر استقلال اقتصادی </w:t>
      </w:r>
      <w:r>
        <w:rPr>
          <w:rtl w:val="true"/>
        </w:rPr>
        <w:t>(</w:t>
      </w:r>
      <w:r>
        <w:rPr>
          <w:rtl w:val="true"/>
        </w:rPr>
        <w:t>و سیاسی</w:t>
      </w:r>
      <w:r>
        <w:rPr>
          <w:rtl w:val="true"/>
        </w:rPr>
        <w:t xml:space="preserve">) </w:t>
      </w:r>
      <w:r>
        <w:rPr>
          <w:rtl w:val="true"/>
        </w:rPr>
        <w:t>و رشد و توسعه</w:t>
      </w:r>
      <w:bookmarkEnd w:id="1036"/>
    </w:p>
    <w:p>
      <w:pPr>
        <w:pStyle w:val="Heading6"/>
        <w:numPr>
          <w:ilvl w:val="5"/>
          <w:numId w:val="1"/>
        </w:numPr>
        <w:rPr/>
      </w:pPr>
      <w:bookmarkStart w:id="1037" w:name="__RefHeading___Toc474665_1479056682"/>
      <w:bookmarkStart w:id="1038" w:name="_Toc395"/>
      <w:bookmarkEnd w:id="1037"/>
      <w:r>
        <w:rPr>
          <w:rtl w:val="true"/>
        </w:rPr>
        <w:t>اشاره</w:t>
      </w:r>
      <w:bookmarkEnd w:id="1038"/>
    </w:p>
    <w:p>
      <w:pPr>
        <w:pStyle w:val="BookText"/>
        <w:rPr/>
      </w:pPr>
      <w:r>
        <w:rPr>
          <w:rFonts w:ascii="IRNazanin" w:hAnsi="IRNazanin" w:eastAsia="IRNazanin"/>
          <w:color w:val="111111"/>
          <w:sz w:val="28"/>
          <w:sz w:val="28"/>
          <w:szCs w:val="28"/>
          <w:rtl w:val="true"/>
          <w:lang w:bidi="fa-IR"/>
        </w:rPr>
        <w:t>وقتی سخن از تأثیر وقف بر استقلال اقتصادی و رشد و توسعه مطرح می‌شود هرگز به این معنا نیست که وقف به تنهایی می‌تواند همه ابعاد و زوایای گوناگون اقتصاد یک ملّت را در برگیرد، به طوری که برای اقتصاد کشور به منابع مالی دیگر نیازی نباشد، بلکه</w:t>
      </w:r>
    </w:p>
    <w:p>
      <w:pPr>
        <w:pStyle w:val="BookText"/>
        <w:rPr/>
      </w:pPr>
      <w:r>
        <w:rPr>
          <w:rFonts w:ascii="IRNazanin" w:hAnsi="IRNazanin" w:eastAsia="IRNazanin"/>
          <w:color w:val="111111"/>
          <w:sz w:val="28"/>
          <w:sz w:val="28"/>
          <w:szCs w:val="28"/>
          <w:rtl w:val="true"/>
          <w:lang w:bidi="fa-IR"/>
        </w:rPr>
        <w:t>منظور این است که وقف به عنوان یک سرمایه عظیم مالی می‌تواند در این سمت و سو دارای نقشی سازنده و قابل توجّه و سهمی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این معنا نیست که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بیاییم بر خلاف انظار و اغراض واقفان، درآمد اوقاف را از موارد اصلی مصارفشان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نامه‌ها آمده است، منحرف سازیم و آنها را در راه تحقّق استقلال اقتصادی و رشد و توسعه به کار گیریم و به مصرف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نادرشاه افشار که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موقوفه خواران به حال کشور سودی نبخشید لذا بهتر است من اوقاف و درآمد آنها را به مصرف سپاهیان برسانم که برای حفظ پیشرفت مملکت به مراتب مفیدترند</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حقیقت مورد نظر این است که می‌توان سرمایه‌های عظیم اوقاف را نیز همانند دیگر سرمایه‌ها با رعایت همه جوانب وقف و موازین شرع و اغراض و اهداف واقفان در فرآیند فعالیّتهای تولیدی و خدماتی قرار داد و آنها را از حالت رکود و از مایه خرج کردن</w:t>
      </w:r>
    </w:p>
    <w:p>
      <w:pPr>
        <w:pStyle w:val="BookText"/>
        <w:rPr/>
      </w:pPr>
      <w:r>
        <w:rPr>
          <w:rFonts w:ascii="IRNazanin" w:hAnsi="IRNazanin" w:eastAsia="IRNazanin"/>
          <w:color w:val="111111"/>
          <w:sz w:val="28"/>
          <w:sz w:val="28"/>
          <w:szCs w:val="28"/>
          <w:rtl w:val="true"/>
          <w:lang w:bidi="fa-IR"/>
        </w:rPr>
        <w:t xml:space="preserve">به حالت تحرّک و زایایی هدایت کرد تا بدین وسیله هم به رشد و توسعه و استقلال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کمک شایان و قابل توجّه، شده باشد و هم روز به روز بر سرمایه های اوقاف افزوده شود که این امر قطعا در جهت اغراض واقفان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دو ایراد</w:t>
      </w:r>
    </w:p>
    <w:p>
      <w:pPr>
        <w:pStyle w:val="BookText"/>
        <w:rPr/>
      </w:pPr>
      <w:r>
        <w:rPr>
          <w:rFonts w:ascii="IRNazanin" w:hAnsi="IRNazanin" w:eastAsia="IRNazanin"/>
          <w:color w:val="111111"/>
          <w:sz w:val="28"/>
          <w:sz w:val="28"/>
          <w:szCs w:val="28"/>
          <w:rtl w:val="true"/>
          <w:lang w:bidi="fa-IR"/>
        </w:rPr>
        <w:t>ایراد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به معنای حبس است و سرمایه حبس شده نمی‌تواند در جریان فعّالیّتهای اقتصادی قرار 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حبس که در تعریف وقف آمده است هرگز به معنای حبس سرمایه و اموال موقوفه از قرار گرفتن در مسیر تولید و خدمات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رعایت ضوابط و اهداف واقفان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در این جا به معنای منع و جلوگیری از منتقل ساختن رقبه و سرمایه اوقاف به دیگری است و این امر هرگز به معنای حبس اموال وقف از فعالیّتهای اقتصادی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فقهی و در غالب وقف نامه ها آمده است که؛ در مرحله اوّل لازم است از درآمد مال وقفی صرف تعمیرات و اصلاح خود رقبه وقف شود تا هم سالم و مصون بماند و هم بتواند دارای درآمد بیشتری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 درآمد تر کردن سرمایه های وقفی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رعایت 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مورد رضایت شارع است و هم در جهت تحقّق اغراض واقفان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ایراد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از انفاقات مستحبی است وضامن و پشتوانه مطمئنّی ندارد حال آن که از نظر اقتصادی سرمایه هایی که بخواهند در مسیر تولید و خدمات اقتصادی قرار گیرند، باید سرمایه هایی مطمئن و با پشتوانه باشند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همان انگیزه‌های معنوی که صاحبان و مالکان خیر اندیش را به وقف </w:t>
      </w:r>
      <w:bookmarkStart w:id="1039" w:name="pg4267_22285"/>
    </w:p>
    <w:p>
      <w:pPr>
        <w:pStyle w:val="BookText"/>
        <w:rPr/>
      </w:pPr>
      <w:bookmarkEnd w:id="1039"/>
      <w:r>
        <w:rPr>
          <w:rFonts w:ascii="IRNazanin" w:hAnsi="IRNazanin" w:eastAsia="IRNazanin"/>
          <w:color w:val="111111"/>
          <w:sz w:val="28"/>
          <w:sz w:val="28"/>
          <w:szCs w:val="28"/>
          <w:rtl w:val="true"/>
          <w:lang w:bidi="fa-IR"/>
        </w:rPr>
        <w:t>کردن بخشی از اَحبّ و اَطْیَب سرمایه خود وا می‌دارد، بهترین ضامن و پشتوانه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گذشته اوقاف و تعداد بی‌شمار رقبات وقفی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رغم صدمات و تلفات سنگینی که در طول عمر طولانی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نگاهی گذرا به وقف نامه‌ها و بعضی از کتیبه های موجود، این حقیقت را کاملاً آشکار می‌سازد که مردم با دل و جان بهترین اموال خود را برای این منظور در نظر گرفته اند و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ما در حال حاضر عملاً مواجه با اوقاف بی‌شماری هستیم که وجود دارند و وقف شده اند و ایراد یاد شده دست کم درباره آنها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اوقاف موجود چه باید کرد؟ آیا باید آنها را به امان خدا رها کرد تا هر کس تحت هر عنوان در مورد آنها</w:t>
      </w:r>
    </w:p>
    <w:p>
      <w:pPr>
        <w:pStyle w:val="BookText"/>
        <w:rPr/>
      </w:pPr>
      <w:r>
        <w:rPr>
          <w:rFonts w:ascii="IRNazanin" w:hAnsi="IRNazanin" w:eastAsia="IRNazanin"/>
          <w:color w:val="111111"/>
          <w:sz w:val="28"/>
          <w:sz w:val="28"/>
          <w:szCs w:val="28"/>
          <w:rtl w:val="true"/>
          <w:lang w:bidi="fa-IR"/>
        </w:rPr>
        <w:t>هر کار می‌خواهد انجام دهد و نباید برای احیای آنها قدمی برداشت؟</w:t>
      </w:r>
    </w:p>
    <w:p>
      <w:pPr>
        <w:pStyle w:val="BookText"/>
        <w:rPr/>
      </w:pPr>
      <w:r>
        <w:rPr>
          <w:rFonts w:ascii="IRNazanin" w:hAnsi="IRNazanin" w:eastAsia="IRNazanin"/>
          <w:color w:val="111111"/>
          <w:sz w:val="28"/>
          <w:sz w:val="28"/>
          <w:szCs w:val="28"/>
          <w:rtl w:val="true"/>
          <w:lang w:bidi="fa-IR"/>
        </w:rPr>
        <w:t>البتّه بعد از پیروزی انقلاب اسلامی سازمان اوقاف و نهادهای بزرگی چون آستان قدس رضوی علیه‌السلام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گامهای بلندی برداشته اند که به برخی از آنها اشاره خواهد شد، امّا به نظر می‌رسد گستردگی و ظرفیت اوقاف برای فعالیّتهای اقتصادی کشور، بیش از اینها باشد که قطعا مورد نظر دست‌اندرکاران امور وقف کشور هم هست و حرکت در این سمت و سو خود نشانه این بذل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در این جا نباید از نظر دور داشت و البتّه بخشی از همان رشد و توسعه است و بد نیست جداگانه هم اشاره‌ای به آن بشود، مسأله اشتغال زایی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اگر سرمایه عظیم اوقاف در مسیر فعّالیّتهای گوناگون اقتصادی قرار گیرد، بخش قابل توجهی از بیکاران کشور را به کار جذب خواهد کرد و این خود از آثار و برکات بسیار مهمّی است که امروزه در دنیا سخت قابل توجّه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به برخی از مراکز اقتصادی که توسّط آستان قدس رضوی علیه‌السلام احداث شده است اشاره می‌شود</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040" w:name="__RefHeading___Toc474667_1479056682"/>
      <w:bookmarkStart w:id="1041" w:name="_Toc396"/>
      <w:bookmarkEnd w:id="1040"/>
      <w:r>
        <w:rPr/>
        <w:t>1</w:t>
      </w:r>
      <w:r>
        <w:rPr>
          <w:rtl w:val="true"/>
        </w:rPr>
        <w:t xml:space="preserve">- </w:t>
      </w:r>
      <w:r>
        <w:rPr>
          <w:rtl w:val="true"/>
        </w:rPr>
        <w:t>فعّالیّتهای کشاورزی</w:t>
      </w:r>
      <w:bookmarkEnd w:id="1041"/>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به منظور حفظ، احیا و عمران رقبات موقوفات و ایجاد و </w:t>
      </w:r>
      <w:bookmarkStart w:id="1042" w:name="pg4267_22287"/>
    </w:p>
    <w:p>
      <w:pPr>
        <w:pStyle w:val="BookText"/>
        <w:rPr/>
      </w:pPr>
      <w:bookmarkEnd w:id="1042"/>
      <w:r>
        <w:rPr>
          <w:rFonts w:ascii="IRNazanin" w:hAnsi="IRNazanin" w:eastAsia="IRNazanin"/>
          <w:color w:val="111111"/>
          <w:sz w:val="28"/>
          <w:sz w:val="28"/>
          <w:szCs w:val="28"/>
          <w:rtl w:val="true"/>
          <w:lang w:bidi="fa-IR"/>
        </w:rPr>
        <w:t>گسترش واحدهای کشاورزی و رشد محصولات کشاورزی و دامی به تأسیس یا توسعه مؤسّساتی دست زده که از جمله می‌توان به مراکز زیر اشاره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کشاورزی و دامپروری مزرعه نمونه طُرُق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کشت و صنعت سرخس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کشت و دام کنه بیست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کشاورزی و عمران جنگلهای قدس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سازمان موقوفات مَلِک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کشت و صنعت اسفراین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کشت و صنعت کاشمر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موقوفات یزد و کرمان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کشاورزی و موقوفات جنوب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باغات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موقوفات استان سمنان و سازمان موقوفات استان تهران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کشاورزی موقوفات چناران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فعّالیّتهای کشاورزی در بعضی استانها و شهرستانها از جمله گناباد، کاشمر، نیشابور، کرمان و مازندران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ایجاد و توسعه باغهای میوه در مشهد و شهرستانها</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حفر یازده حلقه چاه و زیر کشت بردن حدود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زمین که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آن زیر پوشش نهال پسته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احیا و کاشت </w:t>
      </w:r>
      <w:r>
        <w:rPr>
          <w:rFonts w:eastAsia="IRNazanin" w:cs="IRNazanin"/>
          <w:color w:val="111111"/>
          <w:sz w:val="28"/>
          <w:szCs w:val="28"/>
          <w:lang w:bidi="fa-IR"/>
        </w:rPr>
        <w:t>11000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هکتار اراضی جنگلی شمال توسّط سازمان کشاورزی و عمران جنگلهای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پروژه کارخانه پنیر مؤّسسه کشاورزی مزرعه نمونه</w:t>
      </w:r>
      <w:r>
        <w:rPr>
          <w:rFonts w:eastAsia="IRNazanin" w:cs="IRNazanin"/>
          <w:color w:val="111111"/>
          <w:sz w:val="28"/>
          <w:szCs w:val="28"/>
          <w:rtl w:val="true"/>
          <w:lang w:bidi="fa-IR"/>
        </w:rPr>
        <w:t>.</w:t>
      </w:r>
    </w:p>
    <w:p>
      <w:pPr>
        <w:pStyle w:val="Heading6"/>
        <w:numPr>
          <w:ilvl w:val="5"/>
          <w:numId w:val="1"/>
        </w:numPr>
        <w:rPr/>
      </w:pPr>
      <w:bookmarkStart w:id="1043" w:name="__RefHeading___Toc474669_1479056682"/>
      <w:bookmarkStart w:id="1044" w:name="_Toc397"/>
      <w:bookmarkEnd w:id="1043"/>
      <w:r>
        <w:rPr/>
        <w:t>2</w:t>
      </w:r>
      <w:r>
        <w:rPr>
          <w:rtl w:val="true"/>
        </w:rPr>
        <w:t xml:space="preserve">- </w:t>
      </w:r>
      <w:r>
        <w:rPr>
          <w:rtl w:val="true"/>
        </w:rPr>
        <w:t>فعّالیّتهای تولیدی</w:t>
      </w:r>
      <w:bookmarkEnd w:id="104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آستان قدس رضوی با تأسیس یا مشارکت در شرکتهای تولیدی زیر از محلّ </w:t>
      </w:r>
    </w:p>
    <w:p>
      <w:pPr>
        <w:pStyle w:val="BookText"/>
        <w:rPr/>
      </w:pPr>
      <w:r>
        <w:rPr>
          <w:rFonts w:ascii="IRNazanin" w:hAnsi="IRNazanin" w:eastAsia="IRNazanin"/>
          <w:color w:val="111111"/>
          <w:sz w:val="28"/>
          <w:sz w:val="28"/>
          <w:szCs w:val="28"/>
          <w:rtl w:val="true"/>
          <w:lang w:bidi="fa-IR"/>
        </w:rPr>
        <w:t>موقوفات مطلقه ضمن تلاش در جهت تسریع روند رشد اقتصادی کشور پشتوانه مالی مناسبی برای هزینه پروژه‌های فرهنگی و اجتماعی خود به وجود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فرش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نان قدس رضوی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کنسرو و سردخانه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تولیدی کاشی سنّتی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گرانیت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معادن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قند آبکوه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قند چناران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قند تربت حیدریّه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نسّاجی و ریسندگی خسروی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کمتر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سرم سازی ثامن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حمل و نقل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بازرگانی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خدمات آب و خاک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ویژه اقتصادی سرخس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صنایع چوبی آستان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بتن ماشینی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با سرمایه‌گذاری در پروژه‌های مختلف و به منظور افزایش تولیدات صنعتی و خدماتی اقداماتی به عمل آمده است که به چند مورد اشاه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کارخانه آرد والسی شرکت نان قدس 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بهره‌برداری از پروژه کنستانتره آبمیوه شرکت کنسرو سردخانه‌رضوی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واحد 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قدس رضوی در زاهدان</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اندازی واحد گرانیت بری شرکت گرانیت قدس</w:t>
      </w:r>
      <w:r>
        <w:rPr>
          <w:rFonts w:eastAsia="IRNazanin" w:cs="IRNazanin"/>
          <w:color w:val="111111"/>
          <w:sz w:val="28"/>
          <w:szCs w:val="28"/>
          <w:rtl w:val="true"/>
          <w:lang w:bidi="fa-IR"/>
        </w:rPr>
        <w:t xml:space="preserve">. </w:t>
      </w:r>
      <w:bookmarkStart w:id="1045" w:name="pg4267_22291"/>
    </w:p>
    <w:p>
      <w:pPr>
        <w:pStyle w:val="BookText"/>
        <w:rPr/>
      </w:pPr>
      <w:bookmarkEnd w:id="104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پروژه آبیاری بارانی مزرعه نمونه، مؤسّسه کشت و دام کنه بیست،</w:t>
      </w:r>
    </w:p>
    <w:p>
      <w:pPr>
        <w:pStyle w:val="BookText"/>
        <w:rPr/>
      </w:pPr>
      <w:r>
        <w:rPr>
          <w:rFonts w:ascii="IRNazanin" w:hAnsi="IRNazanin" w:eastAsia="IRNazanin"/>
          <w:color w:val="111111"/>
          <w:sz w:val="28"/>
          <w:sz w:val="28"/>
          <w:szCs w:val="28"/>
          <w:rtl w:val="true"/>
          <w:lang w:bidi="fa-IR"/>
        </w:rPr>
        <w:t>موقوفات ملک، کشت و صنعت اسفراین و سازمان عمران و کشاورزی جنوب خراسان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پروژه کارخانه فراورده‌های لبنی مجتمع کشت و صنعت مزرعه نمونه</w:t>
      </w:r>
      <w:r>
        <w:rPr>
          <w:rFonts w:eastAsia="IRNazanin" w:cs="IRNazanin"/>
          <w:color w:val="111111"/>
          <w:sz w:val="28"/>
          <w:szCs w:val="28"/>
          <w:rtl w:val="true"/>
          <w:lang w:bidi="fa-IR"/>
        </w:rPr>
        <w:t>.</w:t>
      </w:r>
    </w:p>
    <w:p>
      <w:pPr>
        <w:pStyle w:val="Heading6"/>
        <w:numPr>
          <w:ilvl w:val="5"/>
          <w:numId w:val="1"/>
        </w:numPr>
        <w:rPr/>
      </w:pPr>
      <w:bookmarkStart w:id="1046" w:name="__RefHeading___Toc474671_1479056682"/>
      <w:bookmarkStart w:id="1047" w:name="_Toc398"/>
      <w:bookmarkEnd w:id="1046"/>
      <w:r>
        <w:rPr/>
        <w:t>3</w:t>
      </w:r>
      <w:r>
        <w:rPr>
          <w:rtl w:val="true"/>
        </w:rPr>
        <w:t xml:space="preserve">- </w:t>
      </w:r>
      <w:r>
        <w:rPr>
          <w:rtl w:val="true"/>
        </w:rPr>
        <w:t>فعّالیّتهای خدماتی و اجتماعی</w:t>
      </w:r>
      <w:bookmarkEnd w:id="1047"/>
    </w:p>
    <w:p>
      <w:pPr>
        <w:pStyle w:val="BookText"/>
        <w:rPr/>
      </w:pPr>
      <w:r>
        <w:rPr>
          <w:rFonts w:ascii="IRNazanin" w:hAnsi="IRNazanin" w:eastAsia="IRNazanin"/>
          <w:color w:val="111111"/>
          <w:sz w:val="28"/>
          <w:sz w:val="28"/>
          <w:szCs w:val="28"/>
          <w:rtl w:val="true"/>
          <w:lang w:bidi="fa-IR"/>
        </w:rPr>
        <w:t>به منظور ارائه خدمات گسترده‌تر، طرحها و برنامه‌های متعدّدی توسّط آستان قدس رضوی به اجرا در آمده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واگذاری آن به‌افراد مستحقّ از ابتدای پیروزی انقلاب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کمکهای بلاعوض نقدی و جنسی به محرومان، مؤسّسات خیریّه، توان بخشی و مراکز درمانی به مبلغ </w:t>
      </w:r>
      <w:r>
        <w:rPr>
          <w:rFonts w:eastAsia="IRNazanin" w:cs="IRNazanin"/>
          <w:color w:val="111111"/>
          <w:sz w:val="28"/>
          <w:szCs w:val="28"/>
          <w:lang w:bidi="fa-IR"/>
        </w:rPr>
        <w:t>308/162/089/11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تا پایان سال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خدمات مؤسّسه درمانی آستان 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مرکز طب تصویری مجهز به دستگاه سیتی اسکن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نوار رنگی مغز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اندازی و بهره برداری از بخش دندانپزشکی با خرید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یونیت و تجهیزات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داروخانه مرکزی امام و تحویل داروی رایگان به محرومان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بازسازی شهر مظلوم هویزه با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مسکونی و تجهیزات کامل شهرسازی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اهدای زمین به صورت رایگان و یا با تخفیف مناسب به بنیاد مسکن به منظور احداث واحدهای مسکونی و مساعدت در واگذاری قطعات به افراد محروم و خانواده معظّم شهدا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بیمارستان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تختخوابی چناران با زیربنای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با اعتباری معادل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 ریال و تحویل آن به وزارت بهداشت و درمان و آموزش پزشکی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و تأسیس بخشی از هزینه‌های بیمارستانهای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علی‌بن موسی </w:t>
      </w:r>
      <w:bookmarkStart w:id="1048" w:name="pg4267_22293"/>
    </w:p>
    <w:p>
      <w:pPr>
        <w:pStyle w:val="BookText"/>
        <w:rPr/>
      </w:pPr>
      <w:bookmarkEnd w:id="1048"/>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رفسنجان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نوق استان کرمان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بخش قلب بیمارستان امام رضا علیه‌السلام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عملیّات تکمیلی پروژه بیمارستان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تختخوابی دانشگاه امام رضا علیه‌السلامبا مساحت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در حاشیه‌جاده قوچان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قطعه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مشهد سرخس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بزرگراه رضوی به طول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عرض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مجموعه ورزشی آستان قدس در زمینی به مساحت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هکتار با مجموعه‌های متعدّد ورزشی و مراکز متعدّد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غرض ذکر نمونه‌هاست، نه استقصا و استقرای کامل،به همین مقدار بسنده می‌شود</w:t>
      </w:r>
      <w:r>
        <w:rPr>
          <w:rFonts w:eastAsia="IRNazanin" w:cs="IRNazanin"/>
          <w:color w:val="111111"/>
          <w:sz w:val="28"/>
          <w:szCs w:val="28"/>
          <w:rtl w:val="true"/>
          <w:lang w:bidi="fa-IR"/>
        </w:rPr>
        <w:t>.</w:t>
      </w:r>
    </w:p>
    <w:p>
      <w:pPr>
        <w:pStyle w:val="Heading5"/>
        <w:numPr>
          <w:ilvl w:val="4"/>
          <w:numId w:val="1"/>
        </w:numPr>
        <w:rPr/>
      </w:pPr>
      <w:bookmarkStart w:id="1049" w:name="__RefHeading___Toc474673_1479056682"/>
      <w:bookmarkStart w:id="1050" w:name="_Toc399"/>
      <w:bookmarkEnd w:id="1049"/>
      <w:r>
        <w:rPr>
          <w:rtl w:val="true"/>
        </w:rPr>
        <w:t xml:space="preserve">ب </w:t>
      </w:r>
      <w:r>
        <w:rPr>
          <w:rtl w:val="true"/>
        </w:rPr>
        <w:t xml:space="preserve">- </w:t>
      </w:r>
      <w:r>
        <w:rPr>
          <w:rtl w:val="true"/>
        </w:rPr>
        <w:t>تأثیر وقف بر تحقّق عدالت اجتماعی و رفاه عمومی</w:t>
      </w:r>
      <w:bookmarkEnd w:id="1050"/>
    </w:p>
    <w:p>
      <w:pPr>
        <w:pStyle w:val="Heading6"/>
        <w:numPr>
          <w:ilvl w:val="5"/>
          <w:numId w:val="1"/>
        </w:numPr>
        <w:rPr/>
      </w:pPr>
      <w:bookmarkStart w:id="1051" w:name="__RefHeading___Toc474675_1479056682"/>
      <w:bookmarkStart w:id="1052" w:name="_Toc400"/>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قبلاً یادآوری این نکته خالی از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متون اسلامی بخوبی روشن است که اسلام، هم خواهان زدودن همه جوانب و زوایای فقر در جامعه است</w:t>
      </w:r>
      <w:r>
        <w:rPr>
          <w:rStyle w:val="FootnoteAnchor"/>
          <w:rtl w:val="true"/>
        </w:rPr>
        <w:footnoteReference w:id="1730"/>
      </w:r>
      <w:r>
        <w:rPr>
          <w:rFonts w:ascii="IRNazanin" w:hAnsi="IRNazanin" w:eastAsia="IRNazanin"/>
          <w:color w:val="111111"/>
          <w:sz w:val="28"/>
          <w:sz w:val="28"/>
          <w:szCs w:val="28"/>
          <w:rtl w:val="true"/>
          <w:lang w:bidi="fa-IR"/>
        </w:rPr>
        <w:t>و هم خواهان رفاه عمومی در حدّ معقول و مشروع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صدر در این باره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مسؤولیّت دولت و نظام اسلامی، بجز تأمین نیازهای حیاتی و ضروری افراد، این است که یک سطح زندگی متناسب با شرایط و مقتضیات روز را برای افراد تضمین کند و آنها را به یک حد از رفاه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pStyle w:val="BookText"/>
        <w:rPr/>
      </w:pPr>
      <w:r>
        <w:rPr>
          <w:rFonts w:ascii="IRNazanin" w:hAnsi="IRNazanin" w:eastAsia="IRNazanin"/>
          <w:color w:val="111111"/>
          <w:sz w:val="28"/>
          <w:sz w:val="28"/>
          <w:szCs w:val="28"/>
          <w:rtl w:val="true"/>
          <w:lang w:bidi="fa-IR"/>
        </w:rPr>
        <w:t xml:space="preserve">یکی از ابزارهای مهمّ دولت اسلامی برای تحقّق این هدف را کفالت همگانی مسلمانان در برابر یکدیگر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احساس مسؤولیّت متقابل و عمومی</w:t>
      </w:r>
      <w:r>
        <w:rPr>
          <w:rFonts w:eastAsia="IRNazanin" w:cs="IRNazanin"/>
          <w:color w:val="111111"/>
          <w:sz w:val="28"/>
          <w:szCs w:val="28"/>
          <w:rtl w:val="true"/>
          <w:lang w:bidi="fa-IR"/>
        </w:rPr>
        <w:t>).</w:t>
      </w:r>
      <w:r>
        <w:rPr>
          <w:rStyle w:val="FootnoteAnchor"/>
          <w:rtl w:val="true"/>
        </w:rPr>
        <w:footnoteReference w:id="1731"/>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اوّلاً فقرزدایی تنها در حدّ قوت لا یموت به نیازمندان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مسلمانان در برابر یکدیگر مسؤولند و کفالت همگانی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نقل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برای فقرا در اموال ثروتمندان به قدر کفایت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اداره زندگی آنان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داده است و اگر این مقدار آنها را کفایت نمی‌کرد، بیشتر </w:t>
      </w:r>
      <w:bookmarkStart w:id="1053" w:name="pg4267_22295"/>
    </w:p>
    <w:p>
      <w:pPr>
        <w:pStyle w:val="BookText"/>
        <w:rPr/>
      </w:pPr>
      <w:bookmarkEnd w:id="1053"/>
      <w:r>
        <w:rPr>
          <w:rFonts w:ascii="IRNazanin" w:hAnsi="IRNazanin" w:eastAsia="IRNazanin"/>
          <w:color w:val="111111"/>
          <w:sz w:val="28"/>
          <w:sz w:val="28"/>
          <w:szCs w:val="28"/>
          <w:rtl w:val="true"/>
          <w:lang w:bidi="fa-IR"/>
        </w:rPr>
        <w:t>قرار می‌داد و این مشکلات فقرا از ناحیه کسانی است که آنها را از حقّشان باز می‌دارند</w:t>
      </w:r>
      <w:r>
        <w:rPr>
          <w:rFonts w:eastAsia="IRNazanin" w:cs="IRNazanin"/>
          <w:color w:val="111111"/>
          <w:sz w:val="28"/>
          <w:szCs w:val="28"/>
          <w:rtl w:val="true"/>
          <w:lang w:bidi="fa-IR"/>
        </w:rPr>
        <w:t>.»</w:t>
      </w:r>
      <w:r>
        <w:rPr>
          <w:rStyle w:val="FootnoteAnchor"/>
          <w:rtl w:val="true"/>
        </w:rPr>
        <w:footnoteReference w:id="1732"/>
      </w:r>
    </w:p>
    <w:p>
      <w:pPr>
        <w:pStyle w:val="BookText"/>
        <w:rPr/>
      </w:pPr>
      <w:r>
        <w:rPr>
          <w:rFonts w:ascii="IRNazanin" w:hAnsi="IRNazanin" w:eastAsia="IRNazanin"/>
          <w:color w:val="111111"/>
          <w:sz w:val="28"/>
          <w:sz w:val="28"/>
          <w:szCs w:val="28"/>
          <w:rtl w:val="true"/>
          <w:lang w:bidi="fa-IR"/>
        </w:rPr>
        <w:t>در باب زکات، امام موسی کاظم علیه‌السلام، در پاسخ کسی که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می‌توانم هشتاد درهم به فقیر بدهم؟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و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درهم چطور؟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می‌توانی او را بی‌نیاز کن</w:t>
      </w:r>
      <w:r>
        <w:rPr>
          <w:rFonts w:eastAsia="IRNazanin" w:cs="IRNazanin"/>
          <w:color w:val="111111"/>
          <w:sz w:val="28"/>
          <w:szCs w:val="28"/>
          <w:rtl w:val="true"/>
          <w:lang w:bidi="fa-IR"/>
        </w:rPr>
        <w:t>»</w:t>
      </w:r>
      <w:r>
        <w:rPr>
          <w:rStyle w:val="FootnoteAnchor"/>
          <w:rtl w:val="true"/>
        </w:rPr>
        <w:footnoteReference w:id="1733"/>
      </w:r>
      <w:r>
        <w:rPr>
          <w:rFonts w:ascii="IRNazanin" w:hAnsi="IRNazanin" w:eastAsia="IRNazanin"/>
          <w:color w:val="111111"/>
          <w:sz w:val="28"/>
          <w:sz w:val="28"/>
          <w:szCs w:val="28"/>
          <w:rtl w:val="true"/>
          <w:lang w:bidi="fa-IR"/>
        </w:rPr>
        <w:t>امام باقر علیه‌السلام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اَعْطَیْتَ فَاَغْنِهِ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انفاقمی‌کنی طرف را بی‌نیاز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همه نیازهای فقرا را در نظر</w:t>
      </w:r>
    </w:p>
    <w:p>
      <w:pPr>
        <w:pStyle w:val="BookText"/>
        <w:rPr/>
      </w:pPr>
      <w:r>
        <w:rPr>
          <w:rFonts w:ascii="IRNazanin" w:hAnsi="IRNazanin" w:eastAsia="IRNazanin"/>
          <w:color w:val="111111"/>
          <w:sz w:val="28"/>
          <w:sz w:val="28"/>
          <w:szCs w:val="28"/>
          <w:rtl w:val="true"/>
          <w:lang w:bidi="fa-IR"/>
        </w:rPr>
        <w:t xml:space="preserve">گرفته است، از هزینه‌های غذا و پوشاک و ازدواج گرفته تا هزینه صدقات مستحبّی و حتّی هزینه انجام حجّ آنان </w:t>
      </w:r>
      <w:r>
        <w:rPr>
          <w:rFonts w:eastAsia="IRNazanin" w:cs="IRNazanin"/>
          <w:color w:val="111111"/>
          <w:sz w:val="28"/>
          <w:szCs w:val="28"/>
          <w:rtl w:val="true"/>
          <w:lang w:bidi="fa-IR"/>
        </w:rPr>
        <w:t>...»</w:t>
      </w:r>
      <w:r>
        <w:rPr>
          <w:rStyle w:val="FootnoteAnchor"/>
          <w:rtl w:val="true"/>
        </w:rPr>
        <w:footnoteReference w:id="1734"/>
      </w:r>
    </w:p>
    <w:p>
      <w:pPr>
        <w:pStyle w:val="BookText"/>
        <w:rPr/>
      </w:pPr>
      <w:r>
        <w:rPr>
          <w:rFonts w:ascii="IRNazanin" w:hAnsi="IRNazanin" w:eastAsia="IRNazanin"/>
          <w:color w:val="111111"/>
          <w:sz w:val="28"/>
          <w:sz w:val="28"/>
          <w:szCs w:val="28"/>
          <w:rtl w:val="true"/>
          <w:lang w:bidi="fa-IR"/>
        </w:rPr>
        <w:t>روایات در این زمینه با این مضامین در کافی و دیگر جوامع حدیثی فراوان است که در بعضی از آنها تصریح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مسلمانان نسبت به یکدیگر تنها با پرداخت وجوه واجب،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امام صادق علیه‌السلام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درمال انسان چه مقدار زکات واجب است؟ حضرت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زکات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می‌گویی یا زکات باطن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ظاهر در هر هزار درهم بیست و پنج درهم و امّا ملاک در زکات باطن این است که نیازهای برادرت را در نظر بگیری و در مواردی که او نیازمند است، خود را بر او مقدم نداری</w:t>
      </w:r>
      <w:r>
        <w:rPr>
          <w:rFonts w:eastAsia="IRNazanin" w:cs="IRNazanin"/>
          <w:color w:val="111111"/>
          <w:sz w:val="28"/>
          <w:szCs w:val="28"/>
          <w:rtl w:val="true"/>
          <w:lang w:bidi="fa-IR"/>
        </w:rPr>
        <w:t>».</w:t>
      </w:r>
      <w:r>
        <w:rPr>
          <w:rStyle w:val="FootnoteAnchor"/>
          <w:rtl w:val="true"/>
        </w:rPr>
        <w:footnoteReference w:id="1735"/>
      </w:r>
    </w:p>
    <w:p>
      <w:pPr>
        <w:pStyle w:val="Heading6"/>
        <w:numPr>
          <w:ilvl w:val="5"/>
          <w:numId w:val="1"/>
        </w:numPr>
        <w:rPr/>
      </w:pPr>
      <w:bookmarkStart w:id="1054" w:name="__RefHeading___Toc474677_1479056682"/>
      <w:bookmarkStart w:id="1055" w:name="_Toc401"/>
      <w:bookmarkEnd w:id="1054"/>
      <w:r>
        <w:rPr>
          <w:rtl w:val="true"/>
        </w:rPr>
        <w:t>نقش وقف</w:t>
      </w:r>
      <w:bookmarkEnd w:id="1055"/>
    </w:p>
    <w:p>
      <w:pPr>
        <w:pStyle w:val="BookText"/>
        <w:rPr/>
      </w:pPr>
      <w:r>
        <w:rPr>
          <w:rFonts w:ascii="IRNazanin" w:hAnsi="IRNazanin" w:eastAsia="IRNazanin"/>
          <w:color w:val="111111"/>
          <w:sz w:val="28"/>
          <w:sz w:val="28"/>
          <w:szCs w:val="28"/>
          <w:rtl w:val="true"/>
          <w:lang w:bidi="fa-IR"/>
        </w:rPr>
        <w:t>وقف از دو راه می‌تواند در این مورد مؤثّر باشد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استقلال اقتصادی و رشد و توسعه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مبتنی بر موازین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طبیعی موجب رفاه عمومی و زدودن و حداقل کاهش چشمگیر فقر و محرومیّت و آثار شوم آن در جامعه خواهد شد؛ </w:t>
      </w:r>
    </w:p>
    <w:p>
      <w:pPr>
        <w:pStyle w:val="BookText"/>
        <w:rPr/>
      </w:pPr>
      <w:r>
        <w:rPr>
          <w:rFonts w:ascii="IRNazanin" w:hAnsi="IRNazanin" w:eastAsia="IRNazanin"/>
          <w:color w:val="111111"/>
          <w:sz w:val="28"/>
          <w:sz w:val="28"/>
          <w:szCs w:val="28"/>
          <w:rtl w:val="true"/>
          <w:lang w:bidi="fa-IR"/>
        </w:rPr>
        <w:t>کیست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کشوری که دچار رکود اقتصادی است و یا از اقتصادی وابسته برخوردار است و یا هر دو بیماری را دارد، نمی‌تواند در جهت رفاه عمومی و عدالت اجتماعی گامی مثبت و مؤثّر بردارد؟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عمده، بلکه اعظم موارد و جهات مصرفی که واقفان دورنگر و نیکوکار در طول تاریخِ وقف در نظر گرفته‌اند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می‌توان در وقف در نظر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مواردی هستند که</w:t>
      </w:r>
    </w:p>
    <w:p>
      <w:pPr>
        <w:pStyle w:val="BookText"/>
        <w:rPr/>
      </w:pPr>
      <w:r>
        <w:rPr>
          <w:rFonts w:ascii="IRNazanin" w:hAnsi="IRNazanin" w:eastAsia="IRNazanin"/>
          <w:color w:val="111111"/>
          <w:sz w:val="28"/>
          <w:sz w:val="28"/>
          <w:szCs w:val="28"/>
          <w:rtl w:val="true"/>
          <w:lang w:bidi="fa-IR"/>
        </w:rPr>
        <w:t>به رفاه عمومی، فقرزدایی و عدالت اجتماعی مربوط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نگاهی، هرچند گذرا، به تاریخ اوقاف و موارد مصرفی که در وقف‌نامه‌ها و کتیبه‌ها آمده است، داشته باشیم بخوبی در می‌یابیم که واقفان خیّر و دوراندیش تقریبا</w:t>
      </w:r>
    </w:p>
    <w:p>
      <w:pPr>
        <w:pStyle w:val="BookText"/>
        <w:rPr/>
      </w:pPr>
      <w:r>
        <w:rPr>
          <w:rFonts w:ascii="IRNazanin" w:hAnsi="IRNazanin" w:eastAsia="IRNazanin"/>
          <w:color w:val="111111"/>
          <w:sz w:val="28"/>
          <w:sz w:val="28"/>
          <w:szCs w:val="28"/>
          <w:rtl w:val="true"/>
          <w:lang w:bidi="fa-IR"/>
        </w:rPr>
        <w:t>همه زوایا و جوانب نیازها را در نظر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رغم این که بسیاری از رَقَبات موقوفات و مدارک آنها در طول زمان به دلایل و عوامل گوناگونی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آینده به برخی از آنها اشاره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رفته و از بسیاری</w:t>
      </w:r>
    </w:p>
    <w:p>
      <w:pPr>
        <w:pStyle w:val="BookText"/>
        <w:rPr/>
      </w:pPr>
      <w:r>
        <w:rPr>
          <w:rFonts w:ascii="IRNazanin" w:hAnsi="IRNazanin" w:eastAsia="IRNazanin"/>
          <w:color w:val="111111"/>
          <w:sz w:val="28"/>
          <w:sz w:val="28"/>
          <w:szCs w:val="28"/>
          <w:rtl w:val="true"/>
          <w:lang w:bidi="fa-IR"/>
        </w:rPr>
        <w:t>از آنها نامی هم باقی نمانده است، مشاهده می‌کنیم که جهت و سمت و سوی اصلی مورد نظر واقفان در طول تاریخ در مرحله اوّل، فقرزدایی به معنای واقعی کلمه و در مرحله بعد، تحقّق رفاه عمومی در سطح معقول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انسان به موارد و نمونه‌هایی بر می‌خورد که از صمیم قلب، روح بلند و همّت والای مردان و زنان نیک‌سرشت را می‌ستاید و در برابر آن همه همّت و بلندنظری، احساس خضوع و کرنش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ذکر برخی از موارد مصرف اوقاف، یادآوری یک نکته خالی از فایده نیست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نیازهای عمومی و خصوصی مردم نسبت به زمانها و مکانهای مختلف و اوضاع و شرایط گوناگون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نمونه، در یک زمان، مردم به کاروانسرا، آب انبار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مبرم داشتند، امّا در زمان ما تأسیس فضاهای آموزشی، درمانی، مسکن، جاده‌ها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اولویّت بیشتری برخوردارند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 با آگاه کردن مردم و کسانی که در صدد وقف اموال خود هستند، می‌توان در جهت تأمین نیازهای ضروری جامعه گامهای مؤر و قابل توجّهی برداشت</w:t>
      </w:r>
      <w:r>
        <w:rPr>
          <w:rFonts w:eastAsia="IRNazanin" w:cs="IRNazanin"/>
          <w:color w:val="111111"/>
          <w:sz w:val="28"/>
          <w:szCs w:val="28"/>
          <w:rtl w:val="true"/>
          <w:lang w:bidi="fa-IR"/>
        </w:rPr>
        <w:t xml:space="preserve">. </w:t>
      </w:r>
      <w:bookmarkStart w:id="1056" w:name="pg4267_22299"/>
    </w:p>
    <w:p>
      <w:pPr>
        <w:pStyle w:val="Heading4"/>
        <w:numPr>
          <w:ilvl w:val="3"/>
          <w:numId w:val="1"/>
        </w:numPr>
        <w:rPr/>
      </w:pPr>
      <w:bookmarkStart w:id="1057" w:name="__RefHeading___Toc474679_1479056682"/>
      <w:bookmarkStart w:id="1058" w:name="_Toc402"/>
      <w:bookmarkEnd w:id="1056"/>
      <w:bookmarkEnd w:id="1057"/>
      <w:r>
        <w:rPr>
          <w:rtl w:val="true"/>
        </w:rPr>
        <w:t xml:space="preserve">گفتار </w:t>
      </w:r>
      <w:r>
        <w:rPr/>
        <w:t>3</w:t>
      </w:r>
      <w:r>
        <w:rPr>
          <w:rtl w:val="true"/>
        </w:rPr>
        <w:t xml:space="preserve">- </w:t>
      </w:r>
      <w:r>
        <w:rPr>
          <w:rtl w:val="true"/>
        </w:rPr>
        <w:t>گوشه‌هایی از موارد و جهات مصرف اوقاف</w:t>
      </w:r>
      <w:bookmarkEnd w:id="1058"/>
    </w:p>
    <w:p>
      <w:pPr>
        <w:pStyle w:val="Heading5"/>
        <w:numPr>
          <w:ilvl w:val="4"/>
          <w:numId w:val="1"/>
        </w:numPr>
        <w:rPr/>
      </w:pPr>
      <w:bookmarkStart w:id="1059" w:name="__RefHeading___Toc474681_1479056682"/>
      <w:bookmarkStart w:id="1060" w:name="_Toc403"/>
      <w:bookmarkEnd w:id="1059"/>
      <w:r>
        <w:rPr>
          <w:rtl w:val="true"/>
        </w:rPr>
        <w:t>اشاره</w:t>
      </w:r>
      <w:bookmarkEnd w:id="1060"/>
    </w:p>
    <w:p>
      <w:pPr>
        <w:pStyle w:val="BookText"/>
        <w:rPr/>
      </w:pPr>
      <w:r>
        <w:rPr>
          <w:rFonts w:ascii="IRNazanin" w:hAnsi="IRNazanin" w:eastAsia="IRNazanin"/>
          <w:color w:val="111111"/>
          <w:sz w:val="28"/>
          <w:sz w:val="28"/>
          <w:szCs w:val="28"/>
          <w:rtl w:val="true"/>
          <w:lang w:bidi="fa-IR"/>
        </w:rPr>
        <w:t>در این جا به طور مختصر به برخی از موارد مصرف اوقاف که درکتب و وقف نامه‌ها آمده است، اشاره می‌شود و درباره بعضی از آنها توضیحاتی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می‌کنیم منظور، تنها ذکر نمونه‌هاست نه استقرا و استقصای کامل و یا توضیح و تفسیر مفصّل پیرامون هر یک از موارد</w:t>
      </w:r>
      <w:r>
        <w:rPr>
          <w:rFonts w:eastAsia="IRNazanin" w:cs="IRNazanin"/>
          <w:color w:val="111111"/>
          <w:sz w:val="28"/>
          <w:szCs w:val="28"/>
          <w:rtl w:val="true"/>
          <w:lang w:bidi="fa-IR"/>
        </w:rPr>
        <w:t>.</w:t>
      </w:r>
    </w:p>
    <w:p>
      <w:pPr>
        <w:pStyle w:val="Heading5"/>
        <w:numPr>
          <w:ilvl w:val="4"/>
          <w:numId w:val="1"/>
        </w:numPr>
        <w:rPr/>
      </w:pPr>
      <w:bookmarkStart w:id="1061" w:name="__RefHeading___Toc474683_1479056682"/>
      <w:bookmarkStart w:id="1062" w:name="_Toc404"/>
      <w:bookmarkEnd w:id="1061"/>
      <w:r>
        <w:rPr/>
        <w:t>1</w:t>
      </w:r>
      <w:r>
        <w:rPr>
          <w:rtl w:val="true"/>
        </w:rPr>
        <w:t xml:space="preserve">- </w:t>
      </w:r>
      <w:r>
        <w:rPr>
          <w:rtl w:val="true"/>
        </w:rPr>
        <w:t>مساجد</w:t>
      </w:r>
      <w:bookmarkEnd w:id="1062"/>
    </w:p>
    <w:p>
      <w:pPr>
        <w:pStyle w:val="BookText"/>
        <w:rPr/>
      </w:pPr>
      <w:r>
        <w:rPr>
          <w:rFonts w:ascii="IRNazanin" w:hAnsi="IRNazanin" w:eastAsia="IRNazanin"/>
          <w:color w:val="111111"/>
          <w:sz w:val="28"/>
          <w:sz w:val="28"/>
          <w:szCs w:val="28"/>
          <w:rtl w:val="true"/>
          <w:lang w:bidi="fa-IR"/>
        </w:rPr>
        <w:t>از مسجدالاقصی و مسجدالحرام که بگذریم، اوّلین و دومین مسجد در اسلام، مسجد قبا و مسجدالنّبی صلی‌الله‌علیه‌و‌آله می‌باشند که به دست مبارک رسول گرامی اسلام صلی‌الله‌علیه‌و‌آله تأسیس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دو مسجد را از موقوفات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شمار بیاوریم، اوّلین موقوفات در اسلام خواهند بود که واقف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نتیجه، حتّی وقف حوائط سبعه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بستانهای هفت 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تاریخچه وقف در سیره رسول خدا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اوّلین وقف در اسلام نبوده، امّا به هر حال، می‌توان گفت که اوّلین واقف رسول اکرم صلی‌الله‌علیه‌و‌آله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این دو مسجد مسلمانان در مدینه و شهرهای دیگر و بعد در همه بلاد اسلامی، در شهرها و روستاها و هرجا که گروهی به زندگی مشغول بودند، دست به تأسیس مسجد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زمینهایی را برای مسجد وقف می‌کردند و خود یا دیگری و یا دسته جمعی و با کمک مردم محلّ، ساختمان آن را به پایان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انسان به هر شهری که وارد می‌شود غالبا با مسجدی مواجه است</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قابل توجّهی که با مراجعه به وقف نامه‌های بسیاری از مساجد روشن می‌شود، موقوفات بسیاری است که واقفان مساجد یا دیگر افراد نیکوکار بر مساجد وقف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 مزارع، باغها، مغازه‌ها، املاک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جالب این که در بسیاری از وقف نامه‌های مساجد، بجز تعمیرات و امور مربوط به خود مساجد، کارهای خیر دیگری چون؛ اطعام فقرا، وعظ و خطابه، تعلیم و قراءت قرآن کریم، تدریس علوم گوناگون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موارد مصرف اوقاف مساجد ذکر شده است</w:t>
      </w:r>
      <w:r>
        <w:rPr>
          <w:rFonts w:eastAsia="IRNazanin" w:cs="IRNazanin"/>
          <w:color w:val="111111"/>
          <w:sz w:val="28"/>
          <w:szCs w:val="28"/>
          <w:rtl w:val="true"/>
          <w:lang w:bidi="fa-IR"/>
        </w:rPr>
        <w:t xml:space="preserve">. </w:t>
      </w:r>
      <w:bookmarkStart w:id="1063" w:name="pg4267_22301"/>
    </w:p>
    <w:p>
      <w:pPr>
        <w:pStyle w:val="BookText"/>
        <w:rPr/>
      </w:pPr>
      <w:bookmarkEnd w:id="1063"/>
      <w:r>
        <w:rPr>
          <w:rFonts w:ascii="IRNazanin" w:hAnsi="IRNazanin" w:eastAsia="IRNazanin"/>
          <w:color w:val="111111"/>
          <w:sz w:val="28"/>
          <w:sz w:val="28"/>
          <w:szCs w:val="28"/>
          <w:rtl w:val="true"/>
          <w:lang w:bidi="fa-IR"/>
        </w:rPr>
        <w:t>بیش از این، بحث را به مساجد اختصاص نمی‌دهیم، و به همین مختصر برای تیمّن و تبرّک، اکتفا می‌کنیم</w:t>
      </w:r>
      <w:r>
        <w:rPr>
          <w:rFonts w:eastAsia="IRNazanin" w:cs="IRNazanin"/>
          <w:color w:val="111111"/>
          <w:sz w:val="28"/>
          <w:szCs w:val="28"/>
          <w:rtl w:val="true"/>
          <w:lang w:bidi="fa-IR"/>
        </w:rPr>
        <w:t>.</w:t>
      </w:r>
      <w:r>
        <w:rPr>
          <w:rStyle w:val="FootnoteAnchor"/>
          <w:rtl w:val="true"/>
        </w:rPr>
        <w:footnoteReference w:id="1736"/>
      </w:r>
    </w:p>
    <w:p>
      <w:pPr>
        <w:pStyle w:val="BookText"/>
        <w:rPr/>
      </w:pPr>
      <w:r>
        <w:rPr>
          <w:rFonts w:ascii="IRNazanin" w:hAnsi="IRNazanin" w:eastAsia="IRNazanin"/>
          <w:color w:val="111111"/>
          <w:sz w:val="28"/>
          <w:sz w:val="28"/>
          <w:szCs w:val="28"/>
          <w:rtl w:val="true"/>
          <w:lang w:bidi="fa-IR"/>
        </w:rPr>
        <w:t xml:space="preserve">از مطالب شایان توجّه این که قدیمی‌ترین مسجد جهان اسلام از حیث معماری، مسجد جامع فَهْرَج یزد است که دراستان یزد در کنار جاده یزد به شهرستان بافق قرار دارد و تاریخ بنای آن به حدود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باز می‌گردد</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1064" w:name="__RefHeading___Toc474685_1479056682"/>
      <w:bookmarkStart w:id="1065" w:name="_Toc405"/>
      <w:bookmarkEnd w:id="1064"/>
      <w:r>
        <w:rPr/>
        <w:t>2</w:t>
      </w:r>
      <w:r>
        <w:rPr>
          <w:rtl w:val="true"/>
        </w:rPr>
        <w:t xml:space="preserve">- </w:t>
      </w:r>
      <w:r>
        <w:rPr>
          <w:rtl w:val="true"/>
        </w:rPr>
        <w:t>مدارس</w:t>
      </w:r>
      <w:bookmarkEnd w:id="1065"/>
    </w:p>
    <w:p>
      <w:pPr>
        <w:pStyle w:val="BookText"/>
        <w:rPr/>
      </w:pPr>
      <w:r>
        <w:rPr>
          <w:rFonts w:ascii="IRNazanin" w:hAnsi="IRNazanin" w:eastAsia="IRNazanin"/>
          <w:color w:val="111111"/>
          <w:sz w:val="28"/>
          <w:sz w:val="28"/>
          <w:szCs w:val="28"/>
          <w:rtl w:val="true"/>
          <w:lang w:bidi="fa-IR"/>
        </w:rPr>
        <w:t>از موارد بسیار مهمّی که واقفان در طول تاریخ اوقاف به آن توجّه فراوان مبذول داشته‌اند، مدارس و هزینه تعمیر و اداره آنها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آغاز اسلام تا مدّتی جایگاه تعلیم و تعلّم مسلمانان، مساجد و منازل بوده است و مدرسه به معنای متعارف تأسیس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برای تعلیم و تربیت اطفال در جنب مساجد، مکتبهایی به وجود آمد که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نامیده‌اند</w:t>
      </w:r>
      <w:r>
        <w:rPr>
          <w:rFonts w:eastAsia="IRNazanin" w:cs="IRNazanin"/>
          <w:color w:val="111111"/>
          <w:sz w:val="28"/>
          <w:szCs w:val="28"/>
          <w:rtl w:val="true"/>
          <w:lang w:bidi="fa-IR"/>
        </w:rPr>
        <w:t>.</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اوّلین مدرسه در اسلام</w:t>
      </w:r>
    </w:p>
    <w:p>
      <w:pPr>
        <w:pStyle w:val="BookText"/>
        <w:rPr/>
      </w:pPr>
      <w:r>
        <w:rPr>
          <w:rFonts w:ascii="IRNazanin" w:hAnsi="IRNazanin" w:eastAsia="IRNazanin"/>
          <w:color w:val="111111"/>
          <w:sz w:val="28"/>
          <w:sz w:val="28"/>
          <w:szCs w:val="28"/>
          <w:rtl w:val="true"/>
          <w:lang w:bidi="fa-IR"/>
        </w:rPr>
        <w:t>یحیی محمود ساعاتی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کسانی که در زمینه تأسیس مدرسه در اسلام ازآنان نام برده شده است از اهالی نیشابور بوده‌اند که مدرسه بیهقیّه را در آن جا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نصر، فرزند سبکتکین و برادرش، سلطان محمود هر یک مدرسه‌ای را در این شهر بنا کردند و مدرسه سعیدیّه نیز در آن جا بنا شده بود</w:t>
      </w:r>
      <w:r>
        <w:rPr>
          <w:rFonts w:eastAsia="IRNazanin" w:cs="IRNazanin"/>
          <w:color w:val="111111"/>
          <w:sz w:val="28"/>
          <w:szCs w:val="28"/>
          <w:rtl w:val="true"/>
          <w:lang w:bidi="fa-IR"/>
        </w:rPr>
        <w:t>.</w:t>
      </w:r>
      <w:r>
        <w:rPr>
          <w:rStyle w:val="FootnoteAnchor"/>
          <w:rtl w:val="true"/>
        </w:rPr>
        <w:footnoteReference w:id="1739"/>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 تأسیس این مدارس و مدارس دیگری از جمله مدرسه خواجه نظام‌الملک را در نیشابور از مورّخان اسلامی نقل کرده است</w:t>
      </w:r>
      <w:r>
        <w:rPr>
          <w:rFonts w:eastAsia="IRNazanin" w:cs="IRNazanin"/>
          <w:color w:val="111111"/>
          <w:sz w:val="28"/>
          <w:szCs w:val="28"/>
          <w:rtl w:val="true"/>
          <w:lang w:bidi="fa-IR"/>
        </w:rPr>
        <w:t>.</w:t>
      </w:r>
      <w:r>
        <w:rPr>
          <w:rStyle w:val="FootnoteAnchor"/>
          <w:rtl w:val="true"/>
        </w:rPr>
        <w:footnoteReference w:id="1740"/>
      </w:r>
      <w:r>
        <w:rPr>
          <w:rFonts w:ascii="IRNazanin" w:hAnsi="IRNazanin" w:eastAsia="IRNazanin"/>
          <w:color w:val="111111"/>
          <w:sz w:val="28"/>
          <w:sz w:val="28"/>
          <w:szCs w:val="28"/>
          <w:rtl w:val="true"/>
          <w:lang w:bidi="fa-IR"/>
        </w:rPr>
        <w:t xml:space="preserve">وی از بعضی از مورّخان </w:t>
      </w:r>
    </w:p>
    <w:p>
      <w:pPr>
        <w:pStyle w:val="BookText"/>
        <w:rPr/>
      </w:pPr>
      <w:r>
        <w:rPr>
          <w:rFonts w:ascii="IRNazanin" w:hAnsi="IRNazanin" w:eastAsia="IRNazanin"/>
          <w:color w:val="111111"/>
          <w:sz w:val="28"/>
          <w:sz w:val="28"/>
          <w:szCs w:val="28"/>
          <w:rtl w:val="true"/>
          <w:lang w:bidi="fa-IR"/>
        </w:rPr>
        <w:t>غربی نقل کرده که مأمون در زمان ولیعهدی خود در خراسان مدرسه‌ای تأسیس کرد، امّا خودش یادآور شده است که؛ معلوم نیست فرنگیان این خبر را از کجا آورده‌اند، چرا که مورخّان مسلمان اسمی از آن نبرده‌اند</w:t>
      </w:r>
      <w:r>
        <w:rPr>
          <w:rFonts w:eastAsia="IRNazanin" w:cs="IRNazanin"/>
          <w:color w:val="111111"/>
          <w:sz w:val="28"/>
          <w:szCs w:val="28"/>
          <w:rtl w:val="true"/>
          <w:lang w:bidi="fa-IR"/>
        </w:rPr>
        <w:t>.</w:t>
      </w:r>
      <w:r>
        <w:rPr>
          <w:rStyle w:val="FootnoteAnchor"/>
          <w:rtl w:val="true"/>
        </w:rPr>
        <w:footnoteReference w:id="1741"/>
      </w:r>
    </w:p>
    <w:p>
      <w:pPr>
        <w:pStyle w:val="BookText"/>
        <w:rPr/>
      </w:pPr>
      <w:r>
        <w:rPr>
          <w:rFonts w:ascii="IRNazanin" w:hAnsi="IRNazanin" w:eastAsia="IRNazanin"/>
          <w:color w:val="111111"/>
          <w:sz w:val="28"/>
          <w:sz w:val="28"/>
          <w:szCs w:val="28"/>
          <w:rtl w:val="true"/>
          <w:lang w:bidi="fa-IR"/>
        </w:rPr>
        <w:t xml:space="preserve">امّا مشهورترین مدرسه‌ای که در قدیم بنا شده و تا مدّتهای زیادی پابرجا بوده و بسیاری از مورّخان مسلمان آن را نخستین مدرسه اسلامی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نظامیّه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اواسط قرن پنجم هجری به دستور خواجه نظام الملک طوسی وزیر ملکشاه سلجوقی، در بغداد تأسیس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تاریخ شروع آن سال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جرجی زیدان یادآور شده است که شاید سبب اشتهار مدرسه نظامیّه بغداد از آن روست که خواجه نظام الملک برای اوّلین بار، تدریس را در آن مدرسه مجّانی ساخت و برای شاگردان مقرّری معیّن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اوّلین مدرسه اسلامی توسّط امرا و بزرگان ایران بوده و اگر مدرسه مأمون هم در ایران صحیح باشد، و با نظر ایرانیها بنا شده و اگر</w:t>
      </w:r>
    </w:p>
    <w:p>
      <w:pPr>
        <w:pStyle w:val="BookText"/>
        <w:rPr/>
      </w:pPr>
      <w:r>
        <w:rPr>
          <w:rFonts w:ascii="IRNazanin" w:hAnsi="IRNazanin" w:eastAsia="IRNazanin"/>
          <w:color w:val="111111"/>
          <w:sz w:val="28"/>
          <w:sz w:val="28"/>
          <w:szCs w:val="28"/>
          <w:rtl w:val="true"/>
          <w:lang w:bidi="fa-IR"/>
        </w:rPr>
        <w:t>جز این بود مأمون می‌بایستی پس از خلیفه شدن در بغداد مدرسه دایر کند و نکرد</w:t>
      </w:r>
      <w:r>
        <w:rPr>
          <w:rFonts w:eastAsia="IRNazanin" w:cs="IRNazanin"/>
          <w:color w:val="111111"/>
          <w:sz w:val="28"/>
          <w:szCs w:val="28"/>
          <w:rtl w:val="true"/>
          <w:lang w:bidi="fa-IR"/>
        </w:rPr>
        <w:t>.</w:t>
      </w:r>
      <w:r>
        <w:rPr>
          <w:rStyle w:val="FootnoteAnchor"/>
          <w:rtl w:val="true"/>
        </w:rPr>
        <w:footnoteReference w:id="1742"/>
      </w:r>
    </w:p>
    <w:p>
      <w:pPr>
        <w:pStyle w:val="BookText"/>
        <w:rPr/>
      </w:pPr>
      <w:r>
        <w:rPr>
          <w:rFonts w:ascii="IRNazanin" w:hAnsi="IRNazanin" w:eastAsia="IRNazanin"/>
          <w:color w:val="111111"/>
          <w:sz w:val="28"/>
          <w:sz w:val="28"/>
          <w:szCs w:val="28"/>
          <w:rtl w:val="true"/>
          <w:lang w:bidi="fa-IR"/>
        </w:rPr>
        <w:t>خواجه نظام الملک در اصفهان، نیشابور، هرات و غیره نیز مدارسی تأسیس کرد که همه این مدارس بخصوص مدرسه بغداد به نام وی، مدرسه نظامیّه، خوانده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نظامیّه بغداد که در کنار دجله بنا شده بود، بازارها، کاروانسراها، گرمابه‌ها،</w:t>
      </w:r>
    </w:p>
    <w:p>
      <w:pPr>
        <w:pStyle w:val="BookText"/>
        <w:rPr/>
      </w:pPr>
      <w:r>
        <w:rPr>
          <w:rFonts w:ascii="IRNazanin" w:hAnsi="IRNazanin" w:eastAsia="IRNazanin"/>
          <w:color w:val="111111"/>
          <w:sz w:val="28"/>
          <w:sz w:val="28"/>
          <w:szCs w:val="28"/>
          <w:rtl w:val="true"/>
          <w:lang w:bidi="fa-IR"/>
        </w:rPr>
        <w:t>ده‌ها، خانه‌ها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اطراف دور و نزدیک خریداری و وقف مدرسه کرد، به طوری که هزینه مدرسه به شصت هزار دینار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مدرسه از مراکز مهمّ علمای اسلام گشت و رجال بزرگی از آن بیرون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استاد این مدرسه، ابواسحاق شیرازی، سپس ابونصر صبّاغ، ابوحامد غزّالی، شهاب‌الدّین سهروردی، کمال الدّین انباری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743"/>
      </w:r>
    </w:p>
    <w:p>
      <w:pPr>
        <w:pStyle w:val="BookText"/>
        <w:rPr/>
      </w:pPr>
      <w:r>
        <w:rPr>
          <w:rFonts w:ascii="IRNazanin" w:hAnsi="IRNazanin" w:eastAsia="IRNazanin"/>
          <w:color w:val="111111"/>
          <w:sz w:val="28"/>
          <w:sz w:val="28"/>
          <w:szCs w:val="28"/>
          <w:rtl w:val="true"/>
          <w:lang w:bidi="fa-IR"/>
        </w:rPr>
        <w:t>بعدها به تدریج دیگران به نظام الملک اقتدا کرده در اطراف و اکناف ممالک و بلاد اسلامی مدارس مجّانی دایر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دمشق، ایران، مصر، عثمانی، عراق و</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بطوطه در سفرنامه معروف خود در هر یک از کشورهای اسلامی که در مسیر او </w:t>
      </w:r>
    </w:p>
    <w:p>
      <w:pPr>
        <w:pStyle w:val="BookText"/>
        <w:rPr/>
      </w:pPr>
      <w:r>
        <w:rPr>
          <w:rFonts w:ascii="IRNazanin" w:hAnsi="IRNazanin" w:eastAsia="IRNazanin"/>
          <w:color w:val="111111"/>
          <w:sz w:val="28"/>
          <w:sz w:val="28"/>
          <w:szCs w:val="28"/>
          <w:rtl w:val="true"/>
          <w:lang w:bidi="fa-IR"/>
        </w:rPr>
        <w:t>قرار داشته از مدارس نام می‌برد، مدارسی که عواید و درآمد موقوفات آنها هزینه طلّاب، اساتید و حتّی میهمانان و تازه واردان را به‌خوبی تأمین می‌کرده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یکی از خاطره‌هایش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ایذه تا اصفهان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قلمرو حکومت اتابک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ده روز راه ما از میان کوههای بلند بود و هر شب در مدرسه‌ای منزل می‌کردیم که در همه آنها وسایل خورد و خوراک مسافرین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مدرسه‌ها برخی در میان آبادی و برخی دیگر در مواضع غیر معمور بنا شده بودند و ناچار اجناس مصرفی آنها را از نقاط دیگر می‌آوردند</w:t>
      </w:r>
      <w:r>
        <w:rPr>
          <w:rFonts w:eastAsia="IRNazanin" w:cs="IRNazanin"/>
          <w:color w:val="111111"/>
          <w:sz w:val="28"/>
          <w:szCs w:val="28"/>
          <w:rtl w:val="true"/>
          <w:lang w:bidi="fa-IR"/>
        </w:rPr>
        <w:t>.</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مجتمع عظیم فرهنگی ربع</w:t>
      </w:r>
      <w:r>
        <w:rPr>
          <w:rStyle w:val="FootnoteAnchor"/>
          <w:rtl w:val="true"/>
        </w:rPr>
        <w:footnoteReference w:id="1745"/>
      </w:r>
      <w:r>
        <w:rPr>
          <w:rFonts w:ascii="IRNazanin" w:hAnsi="IRNazanin" w:eastAsia="IRNazanin"/>
          <w:color w:val="111111"/>
          <w:sz w:val="28"/>
          <w:sz w:val="28"/>
          <w:szCs w:val="28"/>
          <w:rtl w:val="true"/>
          <w:lang w:bidi="fa-IR"/>
        </w:rPr>
        <w:t>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پرداخته‌ها و ساخته‌های خواجه رشیدالدّینفضل اللّه همدانی، وزیر کاردان و شایسته و دوراندیش ایلخانان مغول در اواخر قرن هفتم و اوایل قرن هشتم هجری، شهرستان رشیدی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طوری که از وقف نامه ربع رشیدی</w:t>
      </w:r>
      <w:r>
        <w:rPr>
          <w:rStyle w:val="FootnoteAnchor"/>
          <w:rtl w:val="true"/>
        </w:rPr>
        <w:footnoteReference w:id="1746"/>
      </w:r>
      <w:r>
        <w:rPr>
          <w:rFonts w:ascii="IRNazanin" w:hAnsi="IRNazanin" w:eastAsia="IRNazanin"/>
          <w:color w:val="111111"/>
          <w:sz w:val="28"/>
          <w:sz w:val="28"/>
          <w:szCs w:val="28"/>
          <w:rtl w:val="true"/>
          <w:lang w:bidi="fa-IR"/>
        </w:rPr>
        <w:t>استفاده می‌شود، این شهرستان، مجتمع بسیار بزرگ علمی و آموزشی بوده که بخشهای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بازار، کاروانسراها، باغها، راههای درون شهری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در خود جای داده بوده است که افراد و گروههای گوناگون با شرایط و ویژگیهای خاصّی حقّ سکونت درآن‌را داشته‌اند</w:t>
      </w:r>
      <w:r>
        <w:rPr>
          <w:rFonts w:eastAsia="IRNazanin" w:cs="IRNazanin"/>
          <w:color w:val="111111"/>
          <w:sz w:val="28"/>
          <w:szCs w:val="28"/>
          <w:rtl w:val="true"/>
          <w:lang w:bidi="fa-IR"/>
        </w:rPr>
        <w:t>.</w:t>
      </w:r>
      <w:r>
        <w:rPr>
          <w:rStyle w:val="FootnoteAnchor"/>
          <w:rtl w:val="true"/>
        </w:rPr>
        <w:footnoteReference w:id="1747"/>
      </w:r>
      <w:r>
        <w:rPr>
          <w:rFonts w:ascii="IRNazanin" w:hAnsi="IRNazanin" w:eastAsia="IRNazanin"/>
          <w:color w:val="111111"/>
          <w:sz w:val="28"/>
          <w:sz w:val="28"/>
          <w:szCs w:val="28"/>
          <w:rtl w:val="true"/>
          <w:lang w:bidi="fa-IR"/>
        </w:rPr>
        <w:t>در یکی از مکاتبات خود رشیدالدّین آمده است که بیست و چهار کاروانسرای رفیع قصرگونه، هزار و پانصد دکان، سی هزار خانه دلکش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بنا شده بوده است</w:t>
      </w:r>
      <w:r>
        <w:rPr>
          <w:rFonts w:eastAsia="IRNazanin" w:cs="IRNazanin"/>
          <w:color w:val="111111"/>
          <w:sz w:val="28"/>
          <w:szCs w:val="28"/>
          <w:rtl w:val="true"/>
          <w:lang w:bidi="fa-IR"/>
        </w:rPr>
        <w:t>.</w:t>
      </w:r>
      <w:r>
        <w:rPr>
          <w:rStyle w:val="FootnoteAnchor"/>
          <w:rtl w:val="true"/>
        </w:rPr>
        <w:footnoteReference w:id="1748"/>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در این قسمت بیشتر قابل توجّه است این است که همه تأسیسات عظیم رَبع رشیدی با آن اوقاف و بودجه کلان، حول محور آموزش علوم گوناگون می‌چرخیده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هدف غایی رشیدالدّین فضل اللّه از اِحداث این مجتمع، دانش دوستی و علاقه شدید او به علم و علما بوده است</w:t>
      </w:r>
      <w:r>
        <w:rPr>
          <w:rFonts w:eastAsia="IRNazanin" w:cs="IRNazanin"/>
          <w:color w:val="111111"/>
          <w:sz w:val="28"/>
          <w:szCs w:val="28"/>
          <w:rtl w:val="true"/>
          <w:lang w:bidi="fa-IR"/>
        </w:rPr>
        <w:t>...</w:t>
      </w:r>
      <w:r>
        <w:rPr>
          <w:rStyle w:val="FootnoteAnchor"/>
          <w:rtl w:val="true"/>
        </w:rPr>
        <w:footnoteReference w:id="1749"/>
      </w:r>
    </w:p>
    <w:p>
      <w:pPr>
        <w:pStyle w:val="BookText"/>
        <w:rPr/>
      </w:pPr>
      <w:r>
        <w:rPr>
          <w:rFonts w:ascii="IRNazanin" w:hAnsi="IRNazanin" w:eastAsia="IRNazanin"/>
          <w:color w:val="111111"/>
          <w:sz w:val="28"/>
          <w:sz w:val="28"/>
          <w:szCs w:val="28"/>
          <w:rtl w:val="true"/>
          <w:lang w:bidi="fa-IR"/>
        </w:rPr>
        <w:t xml:space="preserve">رَبع رشیدی دارای تأسیسات گوناگون آموزشی در سطوح گوناگون بوده است این مؤسّسه عظیم برای کودکان، بویژه کودکان یتیم و بی‌سرپرست دارای آموزش حرفه‌ای بر حسب نوع و میزان استعداد و محصّلین، مدارس عالی، دارالشّفاء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بیمارستان و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مراکز بسیار مجهّز و گسترده با قوانین و مقرّرات پیشرفته‌ای بوده است که بسیاری از آن قوانین از زمان خود جلوتر بوده و قابل انطباق بر شرایط و اوضاع و مقرّرات</w:t>
      </w:r>
    </w:p>
    <w:p>
      <w:pPr>
        <w:pStyle w:val="BookText"/>
        <w:rPr/>
      </w:pPr>
      <w:r>
        <w:rPr>
          <w:rFonts w:ascii="IRNazanin" w:hAnsi="IRNazanin" w:eastAsia="IRNazanin"/>
          <w:color w:val="111111"/>
          <w:sz w:val="28"/>
          <w:sz w:val="28"/>
          <w:szCs w:val="28"/>
          <w:rtl w:val="true"/>
          <w:lang w:bidi="fa-IR"/>
        </w:rPr>
        <w:t>عصر حاضر نیز می‌باشد</w:t>
      </w:r>
      <w:r>
        <w:rPr>
          <w:rFonts w:eastAsia="IRNazanin" w:cs="IRNazanin"/>
          <w:color w:val="111111"/>
          <w:sz w:val="28"/>
          <w:szCs w:val="28"/>
          <w:rtl w:val="true"/>
          <w:lang w:bidi="fa-IR"/>
        </w:rPr>
        <w:t>.</w:t>
      </w:r>
      <w:r>
        <w:rPr>
          <w:rStyle w:val="FootnoteAnchor"/>
          <w:rtl w:val="true"/>
        </w:rPr>
        <w:footnoteReference w:id="1750"/>
      </w:r>
    </w:p>
    <w:p>
      <w:pPr>
        <w:pStyle w:val="BookText"/>
        <w:rPr/>
      </w:pPr>
      <w:r>
        <w:rPr>
          <w:rFonts w:ascii="IRNazanin" w:hAnsi="IRNazanin" w:eastAsia="IRNazanin"/>
          <w:color w:val="111111"/>
          <w:sz w:val="28"/>
          <w:sz w:val="28"/>
          <w:szCs w:val="28"/>
          <w:rtl w:val="true"/>
          <w:lang w:bidi="fa-IR"/>
        </w:rPr>
        <w:t xml:space="preserve">متأسفانه بعد از قتل رشیدالدّین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رشیدی به غارت رفت و تمام تأسیسات آن به آتش کشیده شد و کلیه ابزار و وسایل آن به دست توده عوام که تحت تأثیر تبلیغات مخالفان قرار داشتند، افتاد و به تاراج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روی کار آمدن فرزندش، خواجه غیاث‌الدّین محمّد</w:t>
      </w:r>
      <w:r>
        <w:rPr>
          <w:rFonts w:eastAsia="IRNazanin" w:cs="IRNazanin"/>
          <w:color w:val="111111"/>
          <w:sz w:val="28"/>
          <w:szCs w:val="28"/>
          <w:rtl w:val="true"/>
          <w:lang w:bidi="fa-IR"/>
        </w:rPr>
        <w:t>(</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 رشیدی مجّددا رونقی یافت و خرابیها سرو سامان گرفت، امّا این بار هم پایدار نماند و بعد از قتل غیاث‌الدّین محمّد دوباره به نابودی گرایید</w:t>
      </w:r>
      <w:r>
        <w:rPr>
          <w:rFonts w:eastAsia="IRNazanin" w:cs="IRNazanin"/>
          <w:color w:val="111111"/>
          <w:sz w:val="28"/>
          <w:szCs w:val="28"/>
          <w:rtl w:val="true"/>
          <w:lang w:bidi="fa-IR"/>
        </w:rPr>
        <w:t>...</w:t>
      </w:r>
      <w:r>
        <w:rPr>
          <w:rStyle w:val="FootnoteAnchor"/>
          <w:rtl w:val="true"/>
        </w:rPr>
        <w:footnoteReference w:id="1751"/>
      </w:r>
    </w:p>
    <w:p>
      <w:pPr>
        <w:pStyle w:val="BookText"/>
        <w:rPr/>
      </w:pPr>
      <w:r>
        <w:rPr>
          <w:rFonts w:ascii="IRNazanin" w:hAnsi="IRNazanin" w:eastAsia="IRNazanin"/>
          <w:color w:val="111111"/>
          <w:sz w:val="28"/>
          <w:sz w:val="28"/>
          <w:szCs w:val="28"/>
          <w:rtl w:val="true"/>
          <w:lang w:bidi="fa-IR"/>
        </w:rPr>
        <w:t>خلاصه این که در سراسر کشورهای اسلامی مدارسی فراوان و بی‌شمار وجود داشته و در طول تاریخ، جایگاه تعلیم و تربیت مردان بسیار بزرگی بوده‌اند که در پیشبرد</w:t>
      </w:r>
    </w:p>
    <w:p>
      <w:pPr>
        <w:pStyle w:val="BookText"/>
        <w:rPr/>
      </w:pPr>
      <w:r>
        <w:rPr>
          <w:rFonts w:ascii="IRNazanin" w:hAnsi="IRNazanin" w:eastAsia="IRNazanin"/>
          <w:color w:val="111111"/>
          <w:sz w:val="28"/>
          <w:sz w:val="28"/>
          <w:szCs w:val="28"/>
          <w:rtl w:val="true"/>
          <w:lang w:bidi="fa-IR"/>
        </w:rPr>
        <w:t>تمدّن و معارف و تعالیم اسلامی نقش اساسی داشته‌اند و حتّی امروز نیز در کشورهای اسلامی شاید نتوان محقّق و دانشمندی را پیدا کرد که بتواند ادّعا کند به طور مستقیم یا غیر مستقیم، مدیون همان مدارس وقفی و موقوفات آنها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نگاهی کوتاه به آمار گذشته و فعلی مدارس در کشور خودمان گویای این حقیقت تلخ است که بسیاری از آن مدارس از بین رفته‌اند و اثری از آنها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w:t>
      </w:r>
    </w:p>
    <w:p>
      <w:pPr>
        <w:pStyle w:val="BookText"/>
        <w:rPr/>
      </w:pPr>
      <w:r>
        <w:rPr>
          <w:rFonts w:ascii="IRNazanin" w:hAnsi="IRNazanin" w:eastAsia="IRNazanin"/>
          <w:color w:val="111111"/>
          <w:sz w:val="28"/>
          <w:sz w:val="28"/>
          <w:szCs w:val="28"/>
          <w:rtl w:val="true"/>
          <w:lang w:bidi="fa-IR"/>
        </w:rPr>
        <w:t>نمونه، مرتضی راوندی درباره کثرت اوقاف در یزد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ازمنه سابق در دارالعباده یزد زیاده از چهارصد مدرسه و بُقعه شریفه معموره بوده است که هریک از آنها موقوفات کلّی و جزئی داشتند و نظر به انقلاب روزگار کلّ آن ابنیه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ویران گشته و تمامی موقوفات به ضبط خالصه دیوان در آمده مگر یک مدرسه شفیعیّه </w:t>
      </w:r>
      <w:bookmarkStart w:id="1066" w:name="pg4267_22309"/>
    </w:p>
    <w:p>
      <w:pPr>
        <w:pStyle w:val="BookText"/>
        <w:rPr/>
      </w:pPr>
      <w:bookmarkEnd w:id="1066"/>
      <w:r>
        <w:rPr>
          <w:rFonts w:ascii="IRNazanin" w:hAnsi="IRNazanin" w:eastAsia="IRNazanin"/>
          <w:color w:val="111111"/>
          <w:sz w:val="28"/>
          <w:sz w:val="28"/>
          <w:szCs w:val="28"/>
          <w:rtl w:val="true"/>
          <w:lang w:bidi="fa-IR"/>
        </w:rPr>
        <w:t>که الآن دایر است و چند مدرسه جدید</w:t>
      </w:r>
      <w:r>
        <w:rPr>
          <w:rFonts w:eastAsia="IRNazanin" w:cs="IRNazanin"/>
          <w:color w:val="111111"/>
          <w:sz w:val="28"/>
          <w:szCs w:val="28"/>
          <w:rtl w:val="true"/>
          <w:lang w:bidi="fa-IR"/>
        </w:rPr>
        <w:t>.</w:t>
      </w:r>
      <w:r>
        <w:rPr>
          <w:rStyle w:val="FootnoteAnchor"/>
          <w:rtl w:val="true"/>
        </w:rPr>
        <w:footnoteReference w:id="1752"/>
      </w:r>
    </w:p>
    <w:p>
      <w:pPr>
        <w:pStyle w:val="BookText"/>
        <w:rPr/>
      </w:pPr>
      <w:r>
        <w:rPr>
          <w:rFonts w:ascii="IRNazanin" w:hAnsi="IRNazanin" w:eastAsia="IRNazanin"/>
          <w:color w:val="111111"/>
          <w:sz w:val="28"/>
          <w:sz w:val="28"/>
          <w:szCs w:val="28"/>
          <w:rtl w:val="true"/>
          <w:lang w:bidi="fa-IR"/>
        </w:rPr>
        <w:t>در هر صورت امروز چون گذشته به همّت والای نیکوکاران، نیاز مبرم احساس می‌شود تا دوباره قدم به میدان نیکوکاری گذارند و مشکل فضاهای آموزشی کشور را از مدارس ابتدایی گرفته تا دانشگاهها، با صدقات جاریه خویش حلّ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افراد بسیاری در گوشه و کنار کشور، اقدامهای بسیار مؤثّری کرده‌اند و با نیّت خیر خواهانه خود به تأسیس مدارس و مراکز آموزشی متعدّدی اقدام کرده‌اند، امّا نیاز به</w:t>
      </w:r>
    </w:p>
    <w:p>
      <w:pPr>
        <w:pStyle w:val="BookText"/>
        <w:rPr/>
      </w:pPr>
      <w:r>
        <w:rPr>
          <w:rFonts w:ascii="IRNazanin" w:hAnsi="IRNazanin" w:eastAsia="IRNazanin"/>
          <w:color w:val="111111"/>
          <w:sz w:val="28"/>
          <w:sz w:val="28"/>
          <w:szCs w:val="28"/>
          <w:rtl w:val="true"/>
          <w:lang w:bidi="fa-IR"/>
        </w:rPr>
        <w:t>استمرار این گونه تلاشها و کارهای خیر خواهانه همچنان احساس می‌شود</w:t>
      </w:r>
      <w:r>
        <w:rPr>
          <w:rFonts w:eastAsia="IRNazanin" w:cs="IRNazanin"/>
          <w:color w:val="111111"/>
          <w:sz w:val="28"/>
          <w:szCs w:val="28"/>
          <w:rtl w:val="true"/>
          <w:lang w:bidi="fa-IR"/>
        </w:rPr>
        <w:t>.</w:t>
      </w:r>
    </w:p>
    <w:p>
      <w:pPr>
        <w:pStyle w:val="Heading5"/>
        <w:numPr>
          <w:ilvl w:val="4"/>
          <w:numId w:val="1"/>
        </w:numPr>
        <w:rPr/>
      </w:pPr>
      <w:bookmarkStart w:id="1067" w:name="__RefHeading___Toc474687_1479056682"/>
      <w:bookmarkStart w:id="1068" w:name="_Toc406"/>
      <w:bookmarkEnd w:id="1067"/>
      <w:r>
        <w:rPr/>
        <w:t>3</w:t>
      </w:r>
      <w:r>
        <w:rPr>
          <w:rtl w:val="true"/>
        </w:rPr>
        <w:t xml:space="preserve">- </w:t>
      </w:r>
      <w:r>
        <w:rPr>
          <w:rtl w:val="true"/>
        </w:rPr>
        <w:t>کتابخانه</w:t>
      </w:r>
      <w:bookmarkEnd w:id="1068"/>
    </w:p>
    <w:p>
      <w:pPr>
        <w:pStyle w:val="BookText"/>
        <w:rPr/>
      </w:pPr>
      <w:r>
        <w:rPr>
          <w:rFonts w:ascii="IRNazanin" w:hAnsi="IRNazanin" w:eastAsia="IRNazanin"/>
          <w:color w:val="111111"/>
          <w:sz w:val="28"/>
          <w:sz w:val="28"/>
          <w:szCs w:val="28"/>
          <w:rtl w:val="true"/>
          <w:lang w:bidi="fa-IR"/>
        </w:rPr>
        <w:t>در مورد کتابخانه نیز استقصا و استقرای کامل مجال بسیار گسترده‌ای را می‌طلبد و مجلّدها کتاب را به خود اختصاص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کتابهایی هم در این زمینه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به‌تاریخ تأسیس کتابخانه و تأثیر وقف در آن اشارات مختصری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تردید کتاب و کتابخانه از عوامل اصلی نهضت فرهنگی و گسترش تعالیم و معارف اسلامی بوده و هست و غالبا کتابخانه‌هایی که تأسیس می‌شده از راه وقف بوده است و از این جا تأثیر وقف بر کتاب و کتابخانه نیز روش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محمود ساعاتی از عبدالّله جبوری نقل کرده است که علاقه علمای اسلام به فراگیری علم، موجب شد تا آن دسته از فقها که وقف اشیای منقول را جایز نمی‌دانستند، نیز وقف کتاب را از این اصل کلّی استثنا کنند</w:t>
      </w:r>
      <w:r>
        <w:rPr>
          <w:rFonts w:eastAsia="IRNazanin" w:cs="IRNazanin"/>
          <w:color w:val="111111"/>
          <w:sz w:val="28"/>
          <w:szCs w:val="28"/>
          <w:rtl w:val="true"/>
          <w:lang w:bidi="fa-IR"/>
        </w:rPr>
        <w:t>.</w:t>
      </w:r>
      <w:r>
        <w:rPr>
          <w:rStyle w:val="FootnoteAnchor"/>
          <w:rtl w:val="true"/>
        </w:rPr>
        <w:footnoteReference w:id="1753"/>
      </w:r>
    </w:p>
    <w:p>
      <w:pPr>
        <w:pStyle w:val="BookText"/>
        <w:rPr/>
      </w:pPr>
      <w:r>
        <w:rPr>
          <w:rFonts w:ascii="IRNazanin" w:hAnsi="IRNazanin" w:eastAsia="IRNazanin"/>
          <w:color w:val="111111"/>
          <w:sz w:val="28"/>
          <w:sz w:val="28"/>
          <w:szCs w:val="28"/>
          <w:rtl w:val="true"/>
          <w:lang w:bidi="fa-IR"/>
        </w:rPr>
        <w:t>اوّلین کتابخانه</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جرجی زیدان بعد از بیان این مطلب که عربها در اواخر قرن دوم فقط علوم اسلامی را مدوّن کردند</w:t>
      </w:r>
      <w:r>
        <w:rPr>
          <w:rStyle w:val="FootnoteAnchor"/>
          <w:rtl w:val="true"/>
        </w:rPr>
        <w:footnoteReference w:id="1754"/>
      </w:r>
      <w:r>
        <w:rPr>
          <w:rFonts w:ascii="IRNazanin" w:hAnsi="IRNazanin" w:eastAsia="IRNazanin"/>
          <w:color w:val="111111"/>
          <w:sz w:val="28"/>
          <w:sz w:val="28"/>
          <w:szCs w:val="28"/>
          <w:rtl w:val="true"/>
          <w:lang w:bidi="fa-IR"/>
        </w:rPr>
        <w:t>،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فرمانروایانی که به تأسیس کتابخانه‌های عمومی </w:t>
      </w:r>
    </w:p>
    <w:p>
      <w:pPr>
        <w:pStyle w:val="BookText"/>
        <w:rPr/>
      </w:pPr>
      <w:r>
        <w:rPr>
          <w:rFonts w:ascii="IRNazanin" w:hAnsi="IRNazanin" w:eastAsia="IRNazanin"/>
          <w:color w:val="111111"/>
          <w:sz w:val="28"/>
          <w:sz w:val="28"/>
          <w:szCs w:val="28"/>
          <w:rtl w:val="true"/>
          <w:lang w:bidi="fa-IR"/>
        </w:rPr>
        <w:t>دست زدند خلفای عبّاسی بودند، گرچه درزمان بنی امیّه نیز کتابخانه‌هایی وجود داشت که بیشتر آنها توسّط پزشکان و فیلسوفانی که در خدمت دولت بودند، تأسیس می‌شد و خود و فرزندانشان استفاده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کتابخانه عمومی را در بغداد دایر کردند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نامیدند؛ محتمل است که هارون مؤسس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کتابخانه‌ها به ترجمه و استنساخ نیز مشغول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عبّاسی ازنظرتأسیس کتابخانه عمومی و نهضت علمی برای سایر فرمانروایان اسلامی سرمشق شد</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 xml:space="preserve">امّا یحیی محمود ساعاتی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نه به طور خیلی مطمئن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کتب وقفی را می‌توان در کتابخانه عبدالحکم جحمی که وی آن را در قرن اوّل هجری در مکّه مکرّمه تأسیس نموده، جست و جو کرد</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 xml:space="preserve">بعد از خلفای عبّاسی، بویژه خلفای آندلس در این کارها به مأمون تأسّی کردند و بیش از همه آنان حَکَم بن ناصر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ه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مأمون شبیه بود به طوری که ابن خلدون و مقریزی شماره کتابهای کتابخانه کاخ سلطنتی آندلس را چهارصد هزار جلد دانسته‌اند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تنها در غرناطه هفتاد کتابخانه عمومی وجود</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جرجی زیدان درباره کتابخانه العزیزباللّه، دومین خلیفه فاطمی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خلیفه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با تشویق وزیر دانش پرور و کتاب دوستش، یعقوب بن کلس، کتابخانه‌ای تأسیس کرد که نام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دارای یک میلیون و ششصد هزار جلد کتاب بوده است</w:t>
      </w:r>
      <w:r>
        <w:rPr>
          <w:rFonts w:eastAsia="IRNazanin" w:cs="IRNazanin"/>
          <w:color w:val="111111"/>
          <w:sz w:val="28"/>
          <w:szCs w:val="28"/>
          <w:rtl w:val="true"/>
          <w:lang w:bidi="fa-IR"/>
        </w:rPr>
        <w:t>.</w:t>
      </w:r>
      <w:r>
        <w:rPr>
          <w:rStyle w:val="FootnoteAnchor"/>
          <w:rtl w:val="true"/>
        </w:rPr>
        <w:footnoteReference w:id="1757"/>
      </w:r>
      <w:r>
        <w:rPr>
          <w:rFonts w:ascii="IRNazanin" w:hAnsi="IRNazanin" w:eastAsia="IRNazanin"/>
          <w:color w:val="111111"/>
          <w:sz w:val="28"/>
          <w:sz w:val="28"/>
          <w:szCs w:val="28"/>
          <w:rtl w:val="true"/>
          <w:lang w:bidi="fa-IR"/>
        </w:rPr>
        <w:t xml:space="preserve">وی درباره کتابخانه بزرگ شام که توسّط خلفای فاطمی تأسیس شد و فرنگیان در سال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پس از فتح طرابلس آن را غارت کردند از گیبون، مؤلّف تاریخ امپراتوری روم، نقل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سه میلیون کتاب آن کتابخانه را </w:t>
      </w:r>
    </w:p>
    <w:p>
      <w:pPr>
        <w:pStyle w:val="BookText"/>
        <w:rPr/>
      </w:pPr>
      <w:r>
        <w:rPr>
          <w:rFonts w:ascii="IRNazanin" w:hAnsi="IRNazanin" w:eastAsia="IRNazanin"/>
          <w:color w:val="111111"/>
          <w:sz w:val="28"/>
          <w:sz w:val="28"/>
          <w:szCs w:val="28"/>
          <w:rtl w:val="true"/>
          <w:lang w:bidi="fa-IR"/>
        </w:rPr>
        <w:t>فرنگیان سوزاندند</w:t>
      </w:r>
      <w:r>
        <w:rPr>
          <w:rFonts w:eastAsia="IRNazanin" w:cs="IRNazanin"/>
          <w:color w:val="111111"/>
          <w:sz w:val="28"/>
          <w:szCs w:val="28"/>
          <w:rtl w:val="true"/>
          <w:lang w:bidi="fa-IR"/>
        </w:rPr>
        <w:t>».</w:t>
      </w:r>
      <w:r>
        <w:rPr>
          <w:rStyle w:val="FootnoteAnchor"/>
          <w:rtl w:val="true"/>
        </w:rPr>
        <w:footnoteReference w:id="1758"/>
      </w:r>
    </w:p>
    <w:p>
      <w:pPr>
        <w:pStyle w:val="BookText"/>
        <w:rPr/>
      </w:pPr>
      <w:r>
        <w:rPr>
          <w:rFonts w:ascii="IRNazanin" w:hAnsi="IRNazanin" w:eastAsia="IRNazanin"/>
          <w:color w:val="111111"/>
          <w:sz w:val="28"/>
          <w:sz w:val="28"/>
          <w:szCs w:val="28"/>
          <w:rtl w:val="true"/>
          <w:lang w:bidi="fa-IR"/>
        </w:rPr>
        <w:t>ساعاتی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قرن چهارم هجری به بعد کتابخانه‌های وقفی در سراسر جهان اسلام، رواج یافت به درجه‌ای که کمتر شهری یافت می‌شد که خالی از کتابخانه وقفی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این کتابخانه‌ها در آندلس به حدّی رسیده بود که ابوحیّان نحوی به خریدار</w:t>
      </w:r>
    </w:p>
    <w:p>
      <w:pPr>
        <w:pStyle w:val="BookText"/>
        <w:rPr/>
      </w:pPr>
      <w:r>
        <w:rPr>
          <w:rFonts w:ascii="IRNazanin" w:hAnsi="IRNazanin" w:eastAsia="IRNazanin"/>
          <w:color w:val="111111"/>
          <w:sz w:val="28"/>
          <w:sz w:val="28"/>
          <w:szCs w:val="28"/>
          <w:rtl w:val="true"/>
          <w:lang w:bidi="fa-IR"/>
        </w:rPr>
        <w:t>کتاب، عیب می‌گرفت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به تو عقل معاش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کتاب می‌خری؟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کتابی بخواهم از کتابخانه‌های وقفی امانت می‌گیرم</w:t>
      </w:r>
      <w:r>
        <w:rPr>
          <w:rFonts w:eastAsia="IRNazanin" w:cs="IRNazanin"/>
          <w:color w:val="111111"/>
          <w:sz w:val="28"/>
          <w:szCs w:val="28"/>
          <w:rtl w:val="true"/>
          <w:lang w:bidi="fa-IR"/>
        </w:rPr>
        <w:t>.</w:t>
      </w:r>
      <w:r>
        <w:rPr>
          <w:rStyle w:val="FootnoteAnchor"/>
          <w:rtl w:val="true"/>
        </w:rPr>
        <w:footnoteReference w:id="1759"/>
      </w:r>
      <w:r>
        <w:rPr>
          <w:rFonts w:ascii="IRNazanin" w:hAnsi="IRNazanin" w:eastAsia="IRNazanin"/>
          <w:color w:val="111111"/>
          <w:sz w:val="28"/>
          <w:sz w:val="28"/>
          <w:szCs w:val="28"/>
          <w:rtl w:val="true"/>
          <w:lang w:bidi="fa-IR"/>
        </w:rPr>
        <w:t>ساعاتی درباره کتابخانهفیروز آباد فارس اظهار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کتابخانه را وزیر قوام الدوله عمادالدّین ابومنصور فرزند مافنه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 که دارای نوزده هزار جلد کتاب بود و آن را بر طالبان علم وقف کرده بود</w:t>
      </w:r>
      <w:r>
        <w:rPr>
          <w:rFonts w:eastAsia="IRNazanin" w:cs="IRNazanin"/>
          <w:color w:val="111111"/>
          <w:sz w:val="28"/>
          <w:szCs w:val="28"/>
          <w:rtl w:val="true"/>
          <w:lang w:bidi="fa-IR"/>
        </w:rPr>
        <w:t>.</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در حال حاضر نیز در سر تا سر کشورهای اسلامی کتابخانه‌های غنی و مجهّز وجود دارند که تشنگان معارف و دانش را سیراب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نیز کتابخانه‌های بسیار</w:t>
      </w:r>
    </w:p>
    <w:p>
      <w:pPr>
        <w:pStyle w:val="BookText"/>
        <w:rPr/>
      </w:pPr>
      <w:r>
        <w:rPr>
          <w:rFonts w:ascii="IRNazanin" w:hAnsi="IRNazanin" w:eastAsia="IRNazanin"/>
          <w:color w:val="111111"/>
          <w:sz w:val="28"/>
          <w:sz w:val="28"/>
          <w:szCs w:val="28"/>
          <w:rtl w:val="true"/>
          <w:lang w:bidi="fa-IR"/>
        </w:rPr>
        <w:t>ارزشمندی مشغول ارائه خدمت هستند که گنجینه‌های عظیمی از میراث ارزشمند و گرانبهای اسلامی را در خود جای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کتابخانه‌هایی که تنها فهرست کتب خطّی بعضی از آنها به دهها مجلّد می‌رسد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میان به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کتابخانه‌های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رضوی</w:t>
      </w:r>
      <w:r>
        <w:rPr>
          <w:rStyle w:val="FootnoteAnchor"/>
          <w:rtl w:val="true"/>
        </w:rPr>
        <w:footnoteReference w:id="1761"/>
      </w:r>
      <w:r>
        <w:rPr>
          <w:rFonts w:ascii="IRNazanin" w:hAnsi="IRNazanin" w:eastAsia="IRNazanin"/>
          <w:color w:val="111111"/>
          <w:sz w:val="28"/>
          <w:sz w:val="28"/>
          <w:szCs w:val="28"/>
          <w:rtl w:val="true"/>
          <w:lang w:bidi="fa-IR"/>
        </w:rPr>
        <w:t xml:space="preserve">، کتابخانه ملّیتهران، کتابخانه آیه‌الله العظمی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در پایان بحث مدارس اشاره شد در این جا نیز یادآور می‌شویم که امروز هیچ محقّق و دانشمند و کاوشگر، چه در علوم انسانی و چه در علوم تجربی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ادّعا کند که به طور مستقیم یا غیر مستقیم مدیون همین کتابها و کتابخانه‌های وقفی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مربوط به کتابخانه نیز به همین مقدار بسنده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اشاره‌ای مختصر بود به تاریخچه کتابخانه‌های وقفی</w:t>
      </w:r>
      <w:r>
        <w:rPr>
          <w:rFonts w:eastAsia="IRNazanin" w:cs="IRNazanin"/>
          <w:color w:val="111111"/>
          <w:sz w:val="28"/>
          <w:szCs w:val="28"/>
          <w:rtl w:val="true"/>
          <w:lang w:bidi="fa-IR"/>
        </w:rPr>
        <w:t>.</w:t>
      </w:r>
      <w:r>
        <w:rPr>
          <w:rStyle w:val="FootnoteAnchor"/>
          <w:rtl w:val="true"/>
        </w:rPr>
        <w:footnoteReference w:id="1762"/>
      </w:r>
      <w:bookmarkStart w:id="1069" w:name="pg4267_22315"/>
    </w:p>
    <w:p>
      <w:pPr>
        <w:pStyle w:val="Heading5"/>
        <w:numPr>
          <w:ilvl w:val="4"/>
          <w:numId w:val="1"/>
        </w:numPr>
        <w:rPr/>
      </w:pPr>
      <w:bookmarkStart w:id="1070" w:name="__RefHeading___Toc474689_1479056682"/>
      <w:bookmarkStart w:id="1071" w:name="_Toc407"/>
      <w:bookmarkEnd w:id="1069"/>
      <w:bookmarkEnd w:id="1070"/>
      <w:r>
        <w:rPr/>
        <w:t>4</w:t>
      </w:r>
      <w:r>
        <w:rPr>
          <w:rtl w:val="true"/>
        </w:rPr>
        <w:t xml:space="preserve">- </w:t>
      </w:r>
      <w:r>
        <w:rPr>
          <w:rtl w:val="true"/>
        </w:rPr>
        <w:t>بیمارستان</w:t>
      </w:r>
      <w:bookmarkEnd w:id="1071"/>
    </w:p>
    <w:p>
      <w:pPr>
        <w:pStyle w:val="BookText"/>
        <w:rPr/>
      </w:pPr>
      <w:r>
        <w:rPr>
          <w:rFonts w:ascii="IRNazanin" w:hAnsi="IRNazanin" w:eastAsia="IRNazanin"/>
          <w:color w:val="111111"/>
          <w:sz w:val="28"/>
          <w:sz w:val="28"/>
          <w:szCs w:val="28"/>
          <w:rtl w:val="true"/>
          <w:lang w:bidi="fa-IR"/>
        </w:rPr>
        <w:t>از موارد دیگری که واقفان به آن توجّه داشته و دارند بیمارستان و مراکز درمانی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بیمارستانهای وقفی، بیمارستانی که بیش از همه مورد توجّه قرار گرفته است و معمولاً به آن پرداخته‌اند، بیمارستان عضدی است که بنای آن در سال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ه به دست عضدالدوله دیلمی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سلاطین آل 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بغداد آغاز شد و در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پایان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عضدالدّوله چندین رَقَبَه املاک را نیز که دارای عواید فراوانی بودند بر بیمارستان وقف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مرکز، بیمارستانی بود بسیار مجهّز و دارای بخشهای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بندی، چشم پزشکی، بیماران روانی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بیمارستان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 بیمارستانها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درمان بیماران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پزشکان، جرّاحان و داروسازان به تدریس نیز می‌پرداختند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عضدالدّوله مشهورترین و حاذقترین طبیبان و جرّاحان را به آن جا فرا خوانده بود، پزشکانی چون ابوالحسن، علی بن ابراهیم بن بکس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 و 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جبرائیل بن عبیداللّه بن بختیشوع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 خاصّ دربار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بیمارستان متجاوز از دو قرن دارالشفای بغدادبود و پس از حمله مغول آسیبهای فراوان دید و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یادها و متون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اثری از آن یافت نمی‌شود</w:t>
      </w:r>
      <w:r>
        <w:rPr>
          <w:rFonts w:eastAsia="IRNazanin" w:cs="IRNazanin"/>
          <w:color w:val="111111"/>
          <w:sz w:val="28"/>
          <w:szCs w:val="28"/>
          <w:rtl w:val="true"/>
          <w:lang w:bidi="fa-IR"/>
        </w:rPr>
        <w:t>.</w:t>
      </w:r>
      <w:r>
        <w:rPr>
          <w:rStyle w:val="FootnoteAnchor"/>
          <w:rtl w:val="true"/>
        </w:rPr>
        <w:footnoteReference w:id="1763"/>
      </w:r>
    </w:p>
    <w:p>
      <w:pPr>
        <w:pStyle w:val="BookText"/>
        <w:rPr/>
      </w:pPr>
      <w:r>
        <w:rPr>
          <w:rFonts w:ascii="IRNazanin" w:hAnsi="IRNazanin" w:eastAsia="IRNazanin"/>
          <w:color w:val="111111"/>
          <w:sz w:val="28"/>
          <w:sz w:val="28"/>
          <w:szCs w:val="28"/>
          <w:rtl w:val="true"/>
          <w:lang w:bidi="fa-IR"/>
        </w:rPr>
        <w:t>در وقف نامه‌ها نیز مکرّر به مواردی بر می‌خوریم که واقفان، اموالی را برای درمان و تهیّه دارو برای مستمندان در نظر می‌گرفته‌اند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یکی از بهترین جهات و موارد</w:t>
      </w:r>
    </w:p>
    <w:p>
      <w:pPr>
        <w:pStyle w:val="BookText"/>
        <w:rPr/>
      </w:pPr>
      <w:r>
        <w:rPr>
          <w:rFonts w:ascii="IRNazanin" w:hAnsi="IRNazanin" w:eastAsia="IRNazanin"/>
          <w:color w:val="111111"/>
          <w:sz w:val="28"/>
          <w:sz w:val="28"/>
          <w:szCs w:val="28"/>
          <w:rtl w:val="true"/>
          <w:lang w:bidi="fa-IR"/>
        </w:rPr>
        <w:t>مصرف وقف، همین بیمارستانها و مراکز درمانی و بهداشتی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متولّیان اموال موقوفه و دست اندر کاران اوقاف کشور می‌توانند از درآمد اوقافی که دارای موارد مصرف عامّ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هستند به مصارف این چنینی اختصاص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انسانهای پاکدل و خیّر و نیک اندیشی که دوست دارند صدقه جاریه‌ای از خود بر جای گذارند تا بدین وسیله حیات و زندگی خود را جاودانه کنند و به </w:t>
      </w:r>
      <w:bookmarkStart w:id="1072" w:name="pg4267_22317"/>
    </w:p>
    <w:p>
      <w:pPr>
        <w:pStyle w:val="BookText"/>
        <w:rPr/>
      </w:pPr>
      <w:bookmarkEnd w:id="1072"/>
      <w:r>
        <w:rPr>
          <w:rFonts w:ascii="IRNazanin" w:hAnsi="IRNazanin" w:eastAsia="IRNazanin"/>
          <w:color w:val="111111"/>
          <w:sz w:val="28"/>
          <w:sz w:val="28"/>
          <w:szCs w:val="28"/>
          <w:rtl w:val="true"/>
          <w:lang w:bidi="fa-IR"/>
        </w:rPr>
        <w:t xml:space="preserve">مقام والای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نایل آیند، چه کاری بالاتر و ارزشمندتر ازاین که بخشی از ثروت فناپذیر</w:t>
      </w:r>
    </w:p>
    <w:p>
      <w:pPr>
        <w:pStyle w:val="BookText"/>
        <w:rPr/>
      </w:pPr>
      <w:r>
        <w:rPr>
          <w:rFonts w:ascii="IRNazanin" w:hAnsi="IRNazanin" w:eastAsia="IRNazanin"/>
          <w:color w:val="111111"/>
          <w:sz w:val="28"/>
          <w:sz w:val="28"/>
          <w:szCs w:val="28"/>
          <w:rtl w:val="true"/>
          <w:lang w:bidi="fa-IR"/>
        </w:rPr>
        <w:t>خویش را به احداث مراکز درمانی یا تهیّه وسایل مورد نیاز آن مراکز، بویژه در مناطق محروم کشور، اختصاص دهند و از این راه بالاترین خدمت را به عدّه‌ای از بندگان خدا ارائه دهند تا مقداری از دین خود را به آنان ادا کرده باشند و خود نیز از بندگان خوب</w:t>
      </w:r>
    </w:p>
    <w:p>
      <w:pPr>
        <w:pStyle w:val="BookText"/>
        <w:rPr/>
      </w:pPr>
      <w:r>
        <w:rPr>
          <w:rFonts w:ascii="IRNazanin" w:hAnsi="IRNazanin" w:eastAsia="IRNazanin"/>
          <w:color w:val="111111"/>
          <w:sz w:val="28"/>
          <w:sz w:val="28"/>
          <w:szCs w:val="28"/>
          <w:rtl w:val="true"/>
          <w:lang w:bidi="fa-IR"/>
        </w:rPr>
        <w:t>خداوند به‌شمار آیند</w:t>
      </w:r>
      <w:r>
        <w:rPr>
          <w:rFonts w:eastAsia="IRNazanin" w:cs="IRNazanin"/>
          <w:color w:val="111111"/>
          <w:sz w:val="28"/>
          <w:szCs w:val="28"/>
          <w:rtl w:val="true"/>
          <w:lang w:bidi="fa-IR"/>
        </w:rPr>
        <w:t>.</w:t>
      </w:r>
    </w:p>
    <w:p>
      <w:pPr>
        <w:pStyle w:val="Heading5"/>
        <w:numPr>
          <w:ilvl w:val="4"/>
          <w:numId w:val="1"/>
        </w:numPr>
        <w:rPr/>
      </w:pPr>
      <w:bookmarkStart w:id="1073" w:name="__RefHeading___Toc474691_1479056682"/>
      <w:bookmarkStart w:id="1074" w:name="_Toc408"/>
      <w:bookmarkEnd w:id="1073"/>
      <w:r>
        <w:rPr/>
        <w:t>5</w:t>
      </w:r>
      <w:r>
        <w:rPr>
          <w:rtl w:val="true"/>
        </w:rPr>
        <w:t xml:space="preserve">- </w:t>
      </w:r>
      <w:r>
        <w:rPr>
          <w:rtl w:val="true"/>
        </w:rPr>
        <w:t>دیگر موارد</w:t>
      </w:r>
      <w:bookmarkEnd w:id="1074"/>
    </w:p>
    <w:p>
      <w:pPr>
        <w:pStyle w:val="BookText"/>
        <w:rPr/>
      </w:pPr>
      <w:r>
        <w:rPr>
          <w:rStyle w:val="FootnoteAnchor"/>
          <w:rtl w:val="true"/>
        </w:rPr>
        <w:footnoteReference w:id="17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تنهابه ذکر نام برخی از موارد مصرف اوقاف با توضیح مختصری بسنده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اطعام مستمندان، نوان‌خانه‌ها، پادگانهای نظامی، تهیّه سلاح و ادوات جنگی برای مجاهدان، قنوات، تعمیر پلها و معابر عمومی، قبرستانها، ایتام، کودکان بی‌سرپرست، معلولان و زمین گیران، در راه ماندگان، زایران بیت‌اللّه‌الحرام، زوّار عتبات و مشاهد</w:t>
      </w:r>
    </w:p>
    <w:p>
      <w:pPr>
        <w:pStyle w:val="BookText"/>
        <w:rPr/>
      </w:pPr>
      <w:r>
        <w:rPr>
          <w:rFonts w:ascii="IRNazanin" w:hAnsi="IRNazanin" w:eastAsia="IRNazanin"/>
          <w:color w:val="111111"/>
          <w:sz w:val="28"/>
          <w:sz w:val="28"/>
          <w:szCs w:val="28"/>
          <w:rtl w:val="true"/>
          <w:lang w:bidi="fa-IR"/>
        </w:rPr>
        <w:t xml:space="preserve">امامان و امامزادگان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زندانیان، کمک و وام به تجّار، تهیّه بذرهای زراعی، ادوات</w:t>
      </w:r>
    </w:p>
    <w:p>
      <w:pPr>
        <w:pStyle w:val="BookText"/>
        <w:rPr/>
      </w:pPr>
      <w:r>
        <w:rPr>
          <w:rFonts w:ascii="IRNazanin" w:hAnsi="IRNazanin" w:eastAsia="IRNazanin"/>
          <w:color w:val="111111"/>
          <w:sz w:val="28"/>
          <w:sz w:val="28"/>
          <w:szCs w:val="28"/>
          <w:rtl w:val="true"/>
          <w:lang w:bidi="fa-IR"/>
        </w:rPr>
        <w:t xml:space="preserve">کشاورزی و چارپایان برای کشاورزان، غرس اشجار و درختان میوه برای زیبایی شهر و استفاده عابران، تعلیم و قرائت قرآن کریم، مخارج علما و دانشمندان، اطعام در ماه مبارک رمضان، اطعام در ایّام محرّم و صفر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اِطعام در اعیاد مذهبی، درمان بیماران روانی؛</w:t>
      </w:r>
    </w:p>
    <w:p>
      <w:pPr>
        <w:pStyle w:val="BookText"/>
        <w:rPr/>
      </w:pPr>
      <w:r>
        <w:rPr>
          <w:rFonts w:ascii="IRNazanin" w:hAnsi="IRNazanin" w:eastAsia="IRNazanin"/>
          <w:color w:val="111111"/>
          <w:sz w:val="28"/>
          <w:sz w:val="28"/>
          <w:szCs w:val="28"/>
          <w:rtl w:val="true"/>
          <w:lang w:bidi="fa-IR"/>
        </w:rPr>
        <w:t>در لبنان موقوفه‌ای است که از عواید آن باید دو نفر هر روزه در بیمارستان بر سر بالین بیماران حاضر شوند و در حالی که با هم نجوا می‌کنند، به طوری که بیمار صدای آنها را</w:t>
      </w:r>
    </w:p>
    <w:p>
      <w:pPr>
        <w:pStyle w:val="BookText"/>
        <w:rPr/>
      </w:pPr>
      <w:r>
        <w:rPr>
          <w:rFonts w:ascii="IRNazanin" w:hAnsi="IRNazanin" w:eastAsia="IRNazanin"/>
          <w:color w:val="111111"/>
          <w:sz w:val="28"/>
          <w:sz w:val="28"/>
          <w:szCs w:val="28"/>
          <w:rtl w:val="true"/>
          <w:lang w:bidi="fa-IR"/>
        </w:rPr>
        <w:t xml:space="preserve">بشنود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تصوّر کند آنها به او توجّه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جملاتی را در مورد بهبودی او رد و بدل می‌کنند و بدین وسیله او را روان درمانی نمایند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بطوطه در مورد موقوفات دمشق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این موقوفه‌ها مخصوص </w:t>
      </w:r>
    </w:p>
    <w:p>
      <w:pPr>
        <w:pStyle w:val="BookText"/>
        <w:rPr/>
      </w:pPr>
      <w:r>
        <w:rPr>
          <w:rFonts w:ascii="IRNazanin" w:hAnsi="IRNazanin" w:eastAsia="IRNazanin"/>
          <w:color w:val="111111"/>
          <w:sz w:val="28"/>
          <w:sz w:val="28"/>
          <w:szCs w:val="28"/>
          <w:rtl w:val="true"/>
          <w:lang w:bidi="fa-IR"/>
        </w:rPr>
        <w:t>کسانی است که استطاعت مالی برای رفتن به حجّ ندارند و مخارج مسافرت آنان از محلّ این گونه موقوفات پرداخت می‌شود</w:t>
      </w:r>
      <w:r>
        <w:rPr>
          <w:rFonts w:eastAsia="IRNazanin" w:cs="IRNazanin"/>
          <w:color w:val="111111"/>
          <w:sz w:val="28"/>
          <w:szCs w:val="28"/>
          <w:rtl w:val="true"/>
          <w:lang w:bidi="fa-IR"/>
        </w:rPr>
        <w:t>.</w:t>
      </w:r>
      <w:r>
        <w:rPr>
          <w:rStyle w:val="FootnoteAnchor"/>
          <w:rtl w:val="true"/>
        </w:rPr>
        <w:footnoteReference w:id="17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ادامه ذکر مصارف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تهیّه آب آشامیدنی، افطاری روزه داران، روضه خوانی و تعزیه درایّام گوناگون سال، تهیّه شیرینی، حلوا و خرما برای اعیاد گوناگون، برای قرض</w:t>
      </w:r>
    </w:p>
    <w:p>
      <w:pPr>
        <w:pStyle w:val="BookText"/>
        <w:rPr/>
      </w:pPr>
      <w:r>
        <w:rPr>
          <w:rFonts w:ascii="IRNazanin" w:hAnsi="IRNazanin" w:eastAsia="IRNazanin"/>
          <w:color w:val="111111"/>
          <w:sz w:val="28"/>
          <w:sz w:val="28"/>
          <w:szCs w:val="28"/>
          <w:rtl w:val="true"/>
          <w:lang w:bidi="fa-IR"/>
        </w:rPr>
        <w:t>دادن بدون بهره</w:t>
      </w:r>
      <w:r>
        <w:rPr>
          <w:rStyle w:val="FootnoteAnchor"/>
          <w:rtl w:val="true"/>
        </w:rPr>
        <w:footnoteReference w:id="1766"/>
      </w:r>
      <w:r>
        <w:rPr>
          <w:rFonts w:ascii="IRNazanin" w:hAnsi="IRNazanin" w:eastAsia="IRNazanin"/>
          <w:color w:val="111111"/>
          <w:sz w:val="28"/>
          <w:sz w:val="28"/>
          <w:szCs w:val="28"/>
          <w:rtl w:val="true"/>
          <w:lang w:bidi="fa-IR"/>
        </w:rPr>
        <w:t>، پوشاک برای زوّار حرم امامان معصوم علیهم‌السلام، عیدی سالانه به طلّاب</w:t>
      </w:r>
    </w:p>
    <w:p>
      <w:pPr>
        <w:pStyle w:val="BookText"/>
        <w:rPr/>
      </w:pPr>
      <w:r>
        <w:rPr>
          <w:rFonts w:ascii="IRNazanin" w:hAnsi="IRNazanin" w:eastAsia="IRNazanin"/>
          <w:color w:val="111111"/>
          <w:sz w:val="28"/>
          <w:sz w:val="28"/>
          <w:szCs w:val="28"/>
          <w:rtl w:val="true"/>
          <w:lang w:bidi="fa-IR"/>
        </w:rPr>
        <w:t>ساکن مدرسه، تهیّه پوشاک و غذا برای سادات، برای ظرفهایی که توسّط غلامان و کنیزکان شکسته می‌شدند و امداد به زنانی که بچه شیر می‌دادند و موارد بی‌شمار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آنچه مورد نظر آنهابوده است و قصد داشتند که در تحقّق آن سهیم باشند همین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1767"/>
      </w:r>
      <w:r>
        <w:rPr>
          <w:rFonts w:ascii="IRNazanin" w:hAnsi="IRNazanin" w:eastAsia="IRNazanin"/>
          <w:color w:val="111111"/>
          <w:sz w:val="28"/>
          <w:sz w:val="28"/>
          <w:szCs w:val="28"/>
          <w:rtl w:val="true"/>
          <w:lang w:bidi="fa-IR"/>
        </w:rPr>
        <w:t>بوده است که مقصود، زدودن و ریشه‌کن ساختن فقر در مرحله اوّل و ایجاد رفاه نسبی عمومی در مرحله بعدی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را با حکایتی زیبا از خاطرات ابن بطوطه و شمار رقبات موقوفه فعلی کلّ ایران به پایان می‌بریم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در یکی از کوچه‌های دمشق می‌گذشتم، غلام بچه‌ای را دیدم که از دستش کاسه چینی که در دمشق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افتاد و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گرد او جمع شدند، یکی از آن میان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مخور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شکسته‌های کاسه را جمع کن ببریم پیش رئیس اوقاف ظروف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خرده‌ها را جمع کرد و آن مرد همراه او پیش رئیس اوقاف مزبور رفت و پول ظرف را گرفت و به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یکی از کارهای خوب است که اگر چنین وقفی نبود طفل در معرض ضرب و شتم ارباب خود قرار می‌گرفت و خاطرش رنجور 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بانیان بلند همّت این گونه خیرات راجزای خیر کرامت فرماید</w:t>
      </w:r>
      <w:r>
        <w:rPr>
          <w:rStyle w:val="FootnoteAnchor"/>
          <w:rtl w:val="true"/>
        </w:rPr>
        <w:footnoteReference w:id="17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آمار ارائه شده موقوفات متصرّفی و غیر متصرّفی</w:t>
      </w:r>
      <w:r>
        <w:rPr>
          <w:rStyle w:val="FootnoteAnchor"/>
          <w:rtl w:val="true"/>
        </w:rPr>
        <w:footnoteReference w:id="1769"/>
      </w:r>
      <w:r>
        <w:rPr>
          <w:rFonts w:ascii="IRNazanin" w:hAnsi="IRNazanin" w:eastAsia="IRNazanin"/>
          <w:color w:val="111111"/>
          <w:sz w:val="28"/>
          <w:sz w:val="28"/>
          <w:szCs w:val="28"/>
          <w:rtl w:val="true"/>
          <w:lang w:bidi="fa-IR"/>
        </w:rPr>
        <w:t xml:space="preserve">از سوی سازمان اوقاف و امور </w:t>
      </w:r>
    </w:p>
    <w:p>
      <w:pPr>
        <w:pStyle w:val="BookText"/>
        <w:rPr/>
      </w:pPr>
      <w:r>
        <w:rPr>
          <w:rFonts w:ascii="IRNazanin" w:hAnsi="IRNazanin" w:eastAsia="IRNazanin"/>
          <w:color w:val="111111"/>
          <w:sz w:val="28"/>
          <w:sz w:val="28"/>
          <w:szCs w:val="28"/>
          <w:rtl w:val="true"/>
          <w:lang w:bidi="fa-IR"/>
        </w:rPr>
        <w:t>خیریّه به تفکیک اداره‌های کلّ اوقاف استانهای کشور</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متصرّفی</w:t>
      </w:r>
    </w:p>
    <w:p>
      <w:pPr>
        <w:pStyle w:val="BookText"/>
        <w:rPr/>
      </w:pPr>
      <w:r>
        <w:rPr>
          <w:rFonts w:ascii="Amiri" w:hAnsi="Amiri" w:eastAsia="Amiri" w:cs="Amiri"/>
          <w:color w:val="111111"/>
          <w:sz w:val="28"/>
          <w:sz w:val="28"/>
          <w:szCs w:val="28"/>
          <w:rtl w:val="true"/>
          <w:lang w:bidi="ar-SA"/>
        </w:rPr>
        <w:t>غیرمتصرّفی</w:t>
      </w:r>
    </w:p>
    <w:p>
      <w:pPr>
        <w:pStyle w:val="BookText"/>
        <w:rPr/>
      </w:pPr>
      <w:r>
        <w:rPr>
          <w:rFonts w:ascii="IRNazanin" w:hAnsi="IRNazanin" w:eastAsia="IRNazanin"/>
          <w:color w:val="111111"/>
          <w:sz w:val="28"/>
          <w:sz w:val="28"/>
          <w:szCs w:val="28"/>
          <w:rtl w:val="true"/>
          <w:lang w:bidi="fa-IR"/>
        </w:rPr>
        <w:t>موقوفهرقبهموقوفهرقبه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استان‌تهران</w:t>
      </w:r>
      <w:r>
        <w:rPr>
          <w:rFonts w:eastAsia="IRNazanin" w:cs="IRNazanin"/>
          <w:color w:val="111111"/>
          <w:sz w:val="28"/>
          <w:szCs w:val="28"/>
          <w:lang w:bidi="fa-IR"/>
        </w:rPr>
        <w:t>32331641486412516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اوقاف‌وامورخیریّه استان خراسان</w:t>
      </w:r>
      <w:r>
        <w:rPr>
          <w:rFonts w:eastAsia="IRNazanin" w:cs="IRNazanin"/>
          <w:color w:val="111111"/>
          <w:sz w:val="28"/>
          <w:szCs w:val="28"/>
          <w:lang w:bidi="fa-IR"/>
        </w:rPr>
        <w:t>1433553297407014969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اراک</w:t>
      </w:r>
      <w:r>
        <w:rPr>
          <w:rFonts w:eastAsia="IRNazanin" w:cs="IRNazanin"/>
          <w:color w:val="111111"/>
          <w:sz w:val="28"/>
          <w:szCs w:val="28"/>
          <w:lang w:bidi="fa-IR"/>
        </w:rPr>
        <w:t>139438355133161</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اصفهان</w:t>
      </w:r>
      <w:r>
        <w:rPr>
          <w:rFonts w:eastAsia="IRNazanin" w:cs="IRNazanin"/>
          <w:color w:val="111111"/>
          <w:sz w:val="28"/>
          <w:szCs w:val="28"/>
          <w:lang w:bidi="fa-IR"/>
        </w:rPr>
        <w:t>238283108413466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اداره‌کلّ‌اوقاف‌وامورخیریّه‌استان‌آذربایجان‌شرقی</w:t>
      </w:r>
      <w:r>
        <w:rPr>
          <w:rFonts w:eastAsia="IRNazanin" w:cs="IRNazanin"/>
          <w:color w:val="111111"/>
          <w:sz w:val="28"/>
          <w:szCs w:val="28"/>
          <w:lang w:bidi="fa-IR"/>
        </w:rPr>
        <w:t>138455112271344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خوزستان</w:t>
      </w:r>
      <w:r>
        <w:rPr>
          <w:rFonts w:eastAsia="IRNazanin" w:cs="IRNazanin"/>
          <w:color w:val="111111"/>
          <w:sz w:val="28"/>
          <w:szCs w:val="28"/>
          <w:lang w:bidi="fa-IR"/>
        </w:rPr>
        <w:t>9442827154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مازندران</w:t>
      </w:r>
      <w:r>
        <w:rPr>
          <w:rFonts w:eastAsia="IRNazanin" w:cs="IRNazanin"/>
          <w:color w:val="111111"/>
          <w:sz w:val="28"/>
          <w:szCs w:val="28"/>
          <w:lang w:bidi="fa-IR"/>
        </w:rPr>
        <w:t>59132499110127307</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فارس</w:t>
      </w:r>
      <w:r>
        <w:rPr>
          <w:rFonts w:eastAsia="IRNazanin" w:cs="IRNazanin"/>
          <w:color w:val="111111"/>
          <w:sz w:val="28"/>
          <w:szCs w:val="28"/>
          <w:lang w:bidi="fa-IR"/>
        </w:rPr>
        <w:t>13943835513161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گیلان</w:t>
      </w:r>
      <w:r>
        <w:rPr>
          <w:rFonts w:eastAsia="IRNazanin" w:cs="IRNazanin"/>
          <w:color w:val="111111"/>
          <w:sz w:val="28"/>
          <w:szCs w:val="28"/>
          <w:lang w:bidi="fa-IR"/>
        </w:rPr>
        <w:t>57636322331183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w:t>
      </w:r>
    </w:p>
    <w:p>
      <w:pPr>
        <w:pStyle w:val="BookText"/>
        <w:rPr/>
      </w:pPr>
      <w:r>
        <w:rPr>
          <w:rFonts w:ascii="IRNazanin" w:hAnsi="IRNazanin" w:eastAsia="IRNazanin"/>
          <w:color w:val="111111"/>
          <w:sz w:val="28"/>
          <w:sz w:val="28"/>
          <w:szCs w:val="28"/>
          <w:rtl w:val="true"/>
          <w:lang w:bidi="fa-IR"/>
        </w:rPr>
        <w:t>آذربایجان غربی</w:t>
      </w:r>
      <w:r>
        <w:rPr>
          <w:rFonts w:eastAsia="IRNazanin" w:cs="IRNazanin"/>
          <w:color w:val="111111"/>
          <w:sz w:val="28"/>
          <w:szCs w:val="28"/>
          <w:lang w:bidi="fa-IR"/>
        </w:rPr>
        <w:t>289608693415</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کرمان</w:t>
      </w:r>
      <w:r>
        <w:rPr>
          <w:rFonts w:eastAsia="IRNazanin" w:cs="IRNazanin"/>
          <w:color w:val="111111"/>
          <w:sz w:val="28"/>
          <w:szCs w:val="28"/>
          <w:lang w:bidi="fa-IR"/>
        </w:rPr>
        <w:t>99834135912728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کرمانشاه</w:t>
      </w:r>
      <w:r>
        <w:rPr>
          <w:rFonts w:eastAsia="IRNazanin" w:cs="IRNazanin"/>
          <w:color w:val="111111"/>
          <w:sz w:val="28"/>
          <w:szCs w:val="28"/>
          <w:lang w:bidi="fa-IR"/>
        </w:rPr>
        <w:t>1405621106609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همدان</w:t>
      </w:r>
      <w:r>
        <w:rPr>
          <w:rFonts w:eastAsia="IRNazanin" w:cs="IRNazanin"/>
          <w:color w:val="111111"/>
          <w:sz w:val="28"/>
          <w:szCs w:val="28"/>
          <w:lang w:bidi="fa-IR"/>
        </w:rPr>
        <w:t>295707065794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سمنان</w:t>
      </w:r>
      <w:r>
        <w:rPr>
          <w:rFonts w:eastAsia="IRNazanin" w:cs="IRNazanin"/>
          <w:color w:val="111111"/>
          <w:sz w:val="28"/>
          <w:szCs w:val="28"/>
          <w:lang w:bidi="fa-IR"/>
        </w:rPr>
        <w:t>236341966141905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یزد</w:t>
      </w:r>
      <w:r>
        <w:rPr>
          <w:rFonts w:eastAsia="IRNazanin" w:cs="IRNazanin"/>
          <w:color w:val="111111"/>
          <w:sz w:val="28"/>
          <w:szCs w:val="28"/>
          <w:lang w:bidi="fa-IR"/>
        </w:rPr>
        <w:t>42041147610825507</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زنجان</w:t>
      </w:r>
      <w:r>
        <w:rPr>
          <w:rFonts w:eastAsia="IRNazanin" w:cs="IRNazanin"/>
          <w:color w:val="111111"/>
          <w:sz w:val="28"/>
          <w:szCs w:val="28"/>
          <w:lang w:bidi="fa-IR"/>
        </w:rPr>
        <w:t>65722173662840</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هرمزگان</w:t>
      </w:r>
      <w:r>
        <w:rPr>
          <w:rFonts w:eastAsia="IRNazanin" w:cs="IRNazanin"/>
          <w:color w:val="111111"/>
          <w:sz w:val="28"/>
          <w:szCs w:val="28"/>
          <w:lang w:bidi="fa-IR"/>
        </w:rPr>
        <w:t>432263337223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کردستان</w:t>
      </w:r>
      <w:r>
        <w:rPr>
          <w:rFonts w:eastAsia="IRNazanin" w:cs="IRNazanin"/>
          <w:color w:val="111111"/>
          <w:sz w:val="28"/>
          <w:szCs w:val="28"/>
          <w:lang w:bidi="fa-IR"/>
        </w:rPr>
        <w:t>257235117205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سیستان</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وبلوچستان</w:t>
      </w:r>
      <w:r>
        <w:rPr>
          <w:rFonts w:eastAsia="IRNazanin" w:cs="IRNazanin"/>
          <w:color w:val="111111"/>
          <w:sz w:val="28"/>
          <w:szCs w:val="28"/>
          <w:lang w:bidi="fa-IR"/>
        </w:rPr>
        <w:t>3322217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متصرّفی</w:t>
      </w:r>
    </w:p>
    <w:p>
      <w:pPr>
        <w:pStyle w:val="BookText"/>
        <w:rPr/>
      </w:pPr>
      <w:r>
        <w:rPr>
          <w:rFonts w:ascii="Amiri" w:hAnsi="Amiri" w:eastAsia="Amiri" w:cs="Amiri"/>
          <w:color w:val="111111"/>
          <w:sz w:val="28"/>
          <w:sz w:val="28"/>
          <w:szCs w:val="28"/>
          <w:rtl w:val="true"/>
          <w:lang w:bidi="ar-SA"/>
        </w:rPr>
        <w:t>غیرمتصرّفی</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لرستان</w:t>
      </w:r>
      <w:r>
        <w:rPr>
          <w:rFonts w:eastAsia="IRNazanin" w:cs="IRNazanin"/>
          <w:color w:val="111111"/>
          <w:sz w:val="28"/>
          <w:szCs w:val="28"/>
          <w:lang w:bidi="fa-IR"/>
        </w:rPr>
        <w:t>8049248206</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چهارمحال</w:t>
      </w:r>
    </w:p>
    <w:p>
      <w:pPr>
        <w:pStyle w:val="BookText"/>
        <w:rPr/>
      </w:pPr>
      <w:r>
        <w:rPr>
          <w:rFonts w:ascii="IRNazanin" w:hAnsi="IRNazanin" w:eastAsia="IRNazanin"/>
          <w:color w:val="111111"/>
          <w:sz w:val="28"/>
          <w:sz w:val="28"/>
          <w:szCs w:val="28"/>
          <w:rtl w:val="true"/>
          <w:lang w:bidi="fa-IR"/>
        </w:rPr>
        <w:t>وبختیاری</w:t>
      </w:r>
      <w:r>
        <w:rPr>
          <w:rFonts w:eastAsia="IRNazanin" w:cs="IRNazanin"/>
          <w:color w:val="111111"/>
          <w:sz w:val="28"/>
          <w:szCs w:val="28"/>
          <w:lang w:bidi="fa-IR"/>
        </w:rPr>
        <w:t>6713114</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بوشهر</w:t>
      </w:r>
      <w:r>
        <w:rPr>
          <w:rFonts w:eastAsia="IRNazanin" w:cs="IRNazanin"/>
          <w:color w:val="111111"/>
          <w:sz w:val="28"/>
          <w:szCs w:val="28"/>
          <w:lang w:bidi="fa-IR"/>
        </w:rPr>
        <w:t>3769521206</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اوقاف و امور خیریّه استان کهکیلویه</w:t>
      </w:r>
    </w:p>
    <w:p>
      <w:pPr>
        <w:pStyle w:val="BookText"/>
        <w:rPr/>
      </w:pPr>
      <w:r>
        <w:rPr>
          <w:rFonts w:ascii="IRNazanin" w:hAnsi="IRNazanin" w:eastAsia="IRNazanin"/>
          <w:color w:val="111111"/>
          <w:sz w:val="28"/>
          <w:sz w:val="28"/>
          <w:szCs w:val="28"/>
          <w:rtl w:val="true"/>
          <w:lang w:bidi="fa-IR"/>
        </w:rPr>
        <w:t>و بویراحمد</w:t>
      </w:r>
      <w:r>
        <w:rPr>
          <w:rFonts w:eastAsia="IRNazanin" w:cs="IRNazanin"/>
          <w:color w:val="111111"/>
          <w:sz w:val="28"/>
          <w:szCs w:val="28"/>
          <w:lang w:bidi="fa-IR"/>
        </w:rPr>
        <w:t>51222</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شایان ذکر است که این آمار مربوط به قبل از تفکیک استانهای اردبیل، قم، قزوین و گلستان می‌باشد</w:t>
      </w:r>
      <w:r>
        <w:rPr>
          <w:rFonts w:eastAsia="IRNazanin" w:cs="IRNazanin"/>
          <w:color w:val="111111"/>
          <w:sz w:val="28"/>
          <w:szCs w:val="28"/>
          <w:rtl w:val="true"/>
          <w:lang w:bidi="fa-IR"/>
        </w:rPr>
        <w:t xml:space="preserve">. </w:t>
      </w:r>
      <w:bookmarkStart w:id="1075" w:name="pg4267_22325"/>
    </w:p>
    <w:p>
      <w:pPr>
        <w:pStyle w:val="Heading2"/>
        <w:numPr>
          <w:ilvl w:val="1"/>
          <w:numId w:val="1"/>
        </w:numPr>
        <w:rPr/>
      </w:pPr>
      <w:bookmarkStart w:id="1076" w:name="__RefHeading___Toc474693_1479056682"/>
      <w:bookmarkStart w:id="1077" w:name="_Toc409"/>
      <w:bookmarkEnd w:id="1075"/>
      <w:bookmarkEnd w:id="1076"/>
      <w:r>
        <w:rPr>
          <w:rtl w:val="true"/>
        </w:rPr>
        <w:t>سخن آخر</w:t>
      </w:r>
      <w:r>
        <w:rPr>
          <w:rtl w:val="true"/>
        </w:rPr>
        <w:t xml:space="preserve">: </w:t>
      </w:r>
      <w:r>
        <w:rPr>
          <w:rtl w:val="true"/>
        </w:rPr>
        <w:t>چگونه از نو میراث جاویدان وقف را احیا کنیم؟</w:t>
      </w:r>
      <w:bookmarkEnd w:id="1077"/>
    </w:p>
    <w:p>
      <w:pPr>
        <w:pStyle w:val="Heading3"/>
        <w:numPr>
          <w:ilvl w:val="2"/>
          <w:numId w:val="1"/>
        </w:numPr>
        <w:rPr/>
      </w:pPr>
      <w:bookmarkStart w:id="1078" w:name="__RefHeading___Toc474695_1479056682"/>
      <w:bookmarkStart w:id="1079" w:name="_Toc410"/>
      <w:bookmarkEnd w:id="1078"/>
      <w:r>
        <w:rPr>
          <w:rtl w:val="true"/>
        </w:rPr>
        <w:t>اشاره</w:t>
      </w:r>
      <w:bookmarkEnd w:id="1079"/>
    </w:p>
    <w:p>
      <w:pPr>
        <w:pStyle w:val="BookText"/>
        <w:rPr/>
      </w:pPr>
      <w:r>
        <w:rPr>
          <w:rFonts w:ascii="IRNazanin" w:hAnsi="IRNazanin" w:eastAsia="IRNazanin"/>
          <w:color w:val="111111"/>
          <w:sz w:val="28"/>
          <w:sz w:val="28"/>
          <w:szCs w:val="28"/>
          <w:rtl w:val="true"/>
          <w:lang w:bidi="fa-IR"/>
        </w:rPr>
        <w:t>چنان که بارها اشاره شد در نظام اقتصادی، اجتماعی و فرهنگی اسلام، وقف از جایگاه و مرتبه بسیار والایی برخوردار است و از اموری است که در متن جای دارد و از مسائل جنبی و حاشیه‌ای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مبحث جایگاه 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آغاز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تمامی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توانایی داشتند، اموالی را در راه خدا وقف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رسول خدا صلی‌الله‌علیه‌و‌آله حضرت زهرا علیهاالسلام و امامان معصوم علیهم‌السلام نیز به تناسب شرایط و موقعیّتهایی که داشتند، دارای صدقات و اوقاف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وقف، از جمله صدقات و انفاقاتی است که هرچند با صراحت در قرآن کریم از آن یاد نشده است، امّا واقعیّت و محتوای آن، سخت مورد تأکید و سفارش قرآن کریم است</w:t>
      </w:r>
      <w:r>
        <w:rPr>
          <w:rFonts w:eastAsia="IRNazanin" w:cs="IRNazanin"/>
          <w:color w:val="111111"/>
          <w:sz w:val="28"/>
          <w:szCs w:val="28"/>
          <w:rtl w:val="true"/>
          <w:lang w:bidi="fa-IR"/>
        </w:rPr>
        <w:t>.</w:t>
      </w:r>
      <w:r>
        <w:rPr>
          <w:rStyle w:val="FootnoteAnchor"/>
          <w:rtl w:val="true"/>
        </w:rPr>
        <w:footnoteReference w:id="1771"/>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این سنّت حسنه دیرینه بعد از زمان صحابه و تابعین نیز در سراسر کشورهای اسلامی موقعیّت خود را حفظ کرد و به صورت یک فرهنگ در آمد، به طوری که رقبه‌های وقفی، همه شهرها، قصبات، روستاهاو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جهانگرد، تاریخ نگار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تاریخ و تمدّن و فرهنگ کشورهای اسلامی دست به قلم برده است از اقلام بسیار مهمّی که نتوانسته از آن بگذرد، اوقاف و رقبه‌های وقفی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گستردگی اوقاف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گذشته کشورهای اسلامی، حتّی به‌طور مختصر و اشاره وار نیز، از مجال و حوصله این کتاب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w:t>
      </w:r>
    </w:p>
    <w:p>
      <w:pPr>
        <w:pStyle w:val="BookText"/>
        <w:rPr/>
      </w:pPr>
      <w:r>
        <w:rPr>
          <w:rFonts w:ascii="IRNazanin" w:hAnsi="IRNazanin" w:eastAsia="IRNazanin"/>
          <w:color w:val="111111"/>
          <w:sz w:val="28"/>
          <w:sz w:val="28"/>
          <w:szCs w:val="28"/>
          <w:rtl w:val="true"/>
          <w:lang w:bidi="fa-IR"/>
        </w:rPr>
        <w:t>برای نشان دادن اهمیّت موضوع به چند مورد اشاره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بطوطه جهانگرد معروف مسلمان که به همه بلاد اسلامی مسافرت کرده و با دقّت، بسیاری از مسائل را مدّ نظر داشته، آنچه توجّه وی را به خود جلب کرده است، اوقاف و صدقات کشورهای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 ارزنده او، بخش عمده‌ای از بیاناتش درباره اوقاف و صدقات مکانهای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موقوفات دمشق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موقوفات از حیث تنوّع موارد مصرف از حدّ شمار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دمشق در ساختن مساجد، زوایا، مدارس و مشاهد هم پیش دستی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را شوق علم و دانش یا شور زهد و طاعت در سر باشد در این شهر از هر گونه مساعدت بهره‌مند خواهد بود</w:t>
      </w:r>
      <w:r>
        <w:rPr>
          <w:rFonts w:eastAsia="IRNazanin" w:cs="IRNazanin"/>
          <w:color w:val="111111"/>
          <w:sz w:val="28"/>
          <w:szCs w:val="28"/>
          <w:rtl w:val="true"/>
          <w:lang w:bidi="fa-IR"/>
        </w:rPr>
        <w:t>.</w:t>
      </w:r>
      <w:r>
        <w:rPr>
          <w:rStyle w:val="FootnoteAnchor"/>
          <w:rtl w:val="true"/>
        </w:rPr>
        <w:footnoteReference w:id="177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رشیدالدّین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بجز مؤسّسه و شهر عظیم فرهنگی رَبع رشیدی که در بحث مربوط به مدارس به آن اشاره شد، موقوفات دیگری را در سراسر کشور ایران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 گذاشت که نام و حدود آنها در وقف نامه رَبع رشیدی آمده است</w:t>
      </w:r>
    </w:p>
    <w:p>
      <w:pPr>
        <w:pStyle w:val="BookText"/>
        <w:rPr/>
      </w:pPr>
      <w:r>
        <w:rPr>
          <w:rFonts w:ascii="IRNazanin" w:hAnsi="IRNazanin" w:eastAsia="IRNazanin"/>
          <w:color w:val="111111"/>
          <w:sz w:val="28"/>
          <w:sz w:val="28"/>
          <w:szCs w:val="28"/>
          <w:rtl w:val="true"/>
          <w:lang w:bidi="fa-IR"/>
        </w:rPr>
        <w:t>و در این جا به چند مورد، اشاره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یزد و توابع</w:t>
      </w:r>
      <w:r>
        <w:rPr>
          <w:rFonts w:eastAsia="IRNazanin" w:cs="IRNazanin"/>
          <w:color w:val="111111"/>
          <w:sz w:val="28"/>
          <w:szCs w:val="28"/>
          <w:rtl w:val="true"/>
          <w:lang w:bidi="fa-IR"/>
        </w:rPr>
        <w:t xml:space="preserve">: </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Style w:val="FootnoteAnchor"/>
          <w:rtl w:val="true"/>
        </w:rPr>
        <w:footnoteReference w:id="1773"/>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تبریز و نواحی آن</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موقوفه</w:t>
      </w:r>
      <w:r>
        <w:rPr>
          <w:rStyle w:val="FootnoteAnchor"/>
          <w:rtl w:val="true"/>
        </w:rPr>
        <w:footnoteReference w:id="1774"/>
      </w:r>
    </w:p>
    <w:p>
      <w:pPr>
        <w:pStyle w:val="BookText"/>
        <w:rPr/>
      </w:pPr>
      <w:r>
        <w:rPr>
          <w:rFonts w:ascii="IRNazanin" w:hAnsi="IRNazanin" w:eastAsia="IRNazanin"/>
          <w:color w:val="111111"/>
          <w:sz w:val="28"/>
          <w:sz w:val="28"/>
          <w:szCs w:val="28"/>
          <w:rtl w:val="true"/>
          <w:lang w:bidi="fa-IR"/>
        </w:rPr>
        <w:t xml:space="preserve">وی در فارس، اصفهان، همدان، موصل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دارای موقوفات فراوانی بوده است که امروز اثری از آنهاباقی نمانده است</w:t>
      </w:r>
      <w:r>
        <w:rPr>
          <w:rFonts w:eastAsia="IRNazanin" w:cs="IRNazanin"/>
          <w:color w:val="111111"/>
          <w:sz w:val="28"/>
          <w:szCs w:val="28"/>
          <w:rtl w:val="true"/>
          <w:lang w:bidi="fa-IR"/>
        </w:rPr>
        <w:t>.</w:t>
      </w:r>
      <w:r>
        <w:rPr>
          <w:rStyle w:val="FootnoteAnchor"/>
          <w:rtl w:val="true"/>
        </w:rPr>
        <w:footnoteReference w:id="1775"/>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اوقاف اصفهان می‌خوانیم که در اواخر صفویّه به حدّی باغها و املاک و اراضی در اصفهان وقف شده بود که برای موقوفات تازه، زمین بایر قابل خرید وجود </w:t>
      </w:r>
    </w:p>
    <w:p>
      <w:pPr>
        <w:pStyle w:val="BookText"/>
        <w:rPr/>
      </w:pPr>
      <w:r>
        <w:rPr>
          <w:rFonts w:ascii="IRNazanin" w:hAnsi="IRNazanin" w:eastAsia="IRNazanin"/>
          <w:color w:val="111111"/>
          <w:sz w:val="28"/>
          <w:sz w:val="28"/>
          <w:szCs w:val="28"/>
          <w:rtl w:val="true"/>
          <w:lang w:bidi="fa-IR"/>
        </w:rPr>
        <w:t>نداشت و ناچار شدند در کاشان و سایر ولایات دور به جست و جوی زمینهایی برای وقف مساجد و مدارس اصفهان بروند و هنوز نیز بعضی از املاک مهمّ اطراف کاشان وقف مدرسه سلطانی اصفهان می‌باشد</w:t>
      </w:r>
      <w:r>
        <w:rPr>
          <w:rFonts w:eastAsia="IRNazanin" w:cs="IRNazanin"/>
          <w:color w:val="111111"/>
          <w:sz w:val="28"/>
          <w:szCs w:val="28"/>
          <w:rtl w:val="true"/>
          <w:lang w:bidi="fa-IR"/>
        </w:rPr>
        <w:t>...</w:t>
      </w:r>
      <w:r>
        <w:rPr>
          <w:rStyle w:val="FootnoteAnchor"/>
          <w:rtl w:val="true"/>
        </w:rPr>
        <w:footnoteReference w:id="1776"/>
      </w:r>
    </w:p>
    <w:p>
      <w:pPr>
        <w:pStyle w:val="BookText"/>
        <w:rPr/>
      </w:pPr>
      <w:r>
        <w:rPr>
          <w:rFonts w:ascii="IRNazanin" w:hAnsi="IRNazanin" w:eastAsia="IRNazanin"/>
          <w:color w:val="111111"/>
          <w:sz w:val="28"/>
          <w:sz w:val="28"/>
          <w:szCs w:val="28"/>
          <w:rtl w:val="true"/>
          <w:lang w:bidi="fa-IR"/>
        </w:rPr>
        <w:t>لَمتون، استاد دانشگاه لندن، در کتاب خود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صفویّه بسیاری ازاملاک را وقف مقاصد خیریّه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عباس اوّل در سال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املاک و رقبات مکتسبه خودرا که قیمت عادله آنها زیاده از یکصدهزار تومان شاهی عراق و حاصل آنها بعد از کسر موُونات زراعت، به نرخ متوسّط، قریب به هفت‌هزار تومان می‌شد و ابنیه گوناگونی که در اصفهان و حوالی آن داشت وقف چهارده معصوم علیهم‌السلام کرد و تولیت آنها را به خود و پس از خود به سلطان زمان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این وقف نامه را شیخ بهاءالدّین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کرد</w:t>
      </w:r>
      <w:r>
        <w:rPr>
          <w:rFonts w:eastAsia="IRNazanin" w:cs="IRNazanin"/>
          <w:color w:val="111111"/>
          <w:sz w:val="28"/>
          <w:szCs w:val="28"/>
          <w:rtl w:val="true"/>
          <w:lang w:bidi="fa-IR"/>
        </w:rPr>
        <w:t>...</w:t>
      </w:r>
      <w:r>
        <w:rPr>
          <w:rStyle w:val="FootnoteAnchor"/>
          <w:rtl w:val="true"/>
        </w:rPr>
        <w:footnoteReference w:id="1777"/>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راوندی</w:t>
      </w:r>
      <w:r>
        <w:rPr>
          <w:rStyle w:val="FootnoteAnchor"/>
          <w:rtl w:val="true"/>
        </w:rPr>
        <w:footnoteReference w:id="1778"/>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در سیرجان یکی از روحانیون، هر وقتقباله‌ای برای امضا نزد او می‌بردند،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دانگ و نیم ملک سیرجان وقف است و در نیم دانگ آن هم شک دارم، و از امضای قباله خودداری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بود بسیار کوتاه و قطره‌ای از اقیانوس عظیم اوقاف و صدقات در کشورهای اسلامی</w:t>
      </w:r>
      <w:r>
        <w:rPr>
          <w:rStyle w:val="FootnoteAnchor"/>
          <w:rtl w:val="true"/>
        </w:rPr>
        <w:footnoteReference w:id="1779"/>
      </w:r>
      <w:r>
        <w:rPr>
          <w:rFonts w:ascii="IRNazanin" w:hAnsi="IRNazanin" w:eastAsia="IRNazanin"/>
          <w:color w:val="111111"/>
          <w:sz w:val="28"/>
          <w:sz w:val="28"/>
          <w:szCs w:val="28"/>
          <w:rtl w:val="true"/>
          <w:lang w:bidi="fa-IR"/>
        </w:rPr>
        <w:t>تا این حقیقت روشن شود که روزگاری فرهنگ وقف همه زوایای زندگیمسلمانان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مدّعی نیستیم که همه واقفان دارای انگیزه‌های صددرصد خالص و معنوی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ممکن است از شواهدی به دست آید که مخصوصا تعدادی از حکّام و سلاطین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و انگیزه‌های دیگر دست به ایجاد صدقات زده‌اند، امّا این امر از اهمّیّت و موقعیّت این بُعد عظیم اقتصادی اسلام نمی‌کاهد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فرهنگ عظیم و ارزشمند در طول زمان به دلایل و عوامل گوناگون ضعیف شد، همه این رونقها به رکود و کم فروغی گرایید و آن همه شور و اشتیاق به بی توجّهی یا کم</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توجّهی مبدّل و در نتیجه فرهنگ ارزشمند و متعالی وقف در جامعه اسلام تا حدود </w:t>
      </w:r>
      <w:bookmarkStart w:id="1080" w:name="pg4267_22332"/>
    </w:p>
    <w:p>
      <w:pPr>
        <w:pStyle w:val="BookText"/>
        <w:rPr/>
      </w:pPr>
      <w:bookmarkEnd w:id="1080"/>
      <w:r>
        <w:rPr>
          <w:rFonts w:ascii="IRNazanin" w:hAnsi="IRNazanin" w:eastAsia="IRNazanin"/>
          <w:color w:val="111111"/>
          <w:sz w:val="28"/>
          <w:sz w:val="28"/>
          <w:szCs w:val="28"/>
          <w:rtl w:val="true"/>
          <w:lang w:bidi="fa-IR"/>
        </w:rPr>
        <w:t>بسیار زیادی کمرنگ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براستی برای احیای مجدّد این فرهنگ چه باید کرد و برای ایجاد شور و شوقی دوباره و معطوف ساختن توجّه امّت اسلامی به این سنّت دیرپای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چاره‌ای باید اندیشید؟</w:t>
      </w:r>
    </w:p>
    <w:p>
      <w:pPr>
        <w:pStyle w:val="BookText"/>
        <w:rPr/>
      </w:pPr>
      <w:r>
        <w:rPr>
          <w:rFonts w:ascii="IRNazanin" w:hAnsi="IRNazanin" w:eastAsia="IRNazanin"/>
          <w:color w:val="111111"/>
          <w:sz w:val="28"/>
          <w:sz w:val="28"/>
          <w:szCs w:val="28"/>
          <w:rtl w:val="true"/>
          <w:lang w:bidi="fa-IR"/>
        </w:rPr>
        <w:t>البتّه بعد از پیروزی انقلاب اسلامی برای تحقّق این هدف والا و ارزشمند از سوی نهادهای ذیربط گامهای بلند و مؤثّری برداشته شده که قابل تقدیر است؛ امّا هنوز آغاز</w:t>
      </w:r>
    </w:p>
    <w:p>
      <w:pPr>
        <w:pStyle w:val="BookText"/>
        <w:rPr/>
      </w:pPr>
      <w:r>
        <w:rPr>
          <w:rFonts w:ascii="IRNazanin" w:hAnsi="IRNazanin" w:eastAsia="IRNazanin"/>
          <w:color w:val="111111"/>
          <w:sz w:val="28"/>
          <w:sz w:val="28"/>
          <w:szCs w:val="28"/>
          <w:rtl w:val="true"/>
          <w:lang w:bidi="fa-IR"/>
        </w:rPr>
        <w:t>راه است و حتّی تا رسیدن به آنچه در گذشته بوده، راهی بس طولانی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برخی از راههایی که به نظر می‌رسد می‌توانند برای رونق بخشیدن دوباره به اوقاف و صدقات مؤثّر باشند و به احیای این صدقه جاریه، کمک کنند، بررسی می‌شود</w:t>
      </w:r>
      <w:r>
        <w:rPr>
          <w:rFonts w:eastAsia="IRNazanin" w:cs="IRNazanin"/>
          <w:color w:val="111111"/>
          <w:sz w:val="28"/>
          <w:szCs w:val="28"/>
          <w:rtl w:val="true"/>
          <w:lang w:bidi="fa-IR"/>
        </w:rPr>
        <w:t>:</w:t>
      </w:r>
    </w:p>
    <w:p>
      <w:pPr>
        <w:pStyle w:val="Heading3"/>
        <w:numPr>
          <w:ilvl w:val="2"/>
          <w:numId w:val="1"/>
        </w:numPr>
        <w:rPr/>
      </w:pPr>
      <w:bookmarkStart w:id="1081" w:name="__RefHeading___Toc474697_1479056682"/>
      <w:bookmarkStart w:id="1082" w:name="_Toc411"/>
      <w:bookmarkEnd w:id="1081"/>
      <w:r>
        <w:rPr/>
        <w:t>1</w:t>
      </w:r>
      <w:r>
        <w:rPr>
          <w:rtl w:val="true"/>
        </w:rPr>
        <w:t xml:space="preserve">- </w:t>
      </w:r>
      <w:r>
        <w:rPr>
          <w:rtl w:val="true"/>
        </w:rPr>
        <w:t>مبارزه با عوامل رکود</w:t>
      </w:r>
      <w:bookmarkEnd w:id="1082"/>
    </w:p>
    <w:p>
      <w:pPr>
        <w:pStyle w:val="BookText"/>
        <w:rPr/>
      </w:pPr>
      <w:r>
        <w:rPr>
          <w:rFonts w:ascii="IRNazanin" w:hAnsi="IRNazanin" w:eastAsia="IRNazanin"/>
          <w:color w:val="111111"/>
          <w:sz w:val="28"/>
          <w:sz w:val="28"/>
          <w:szCs w:val="28"/>
          <w:rtl w:val="true"/>
          <w:lang w:bidi="fa-IR"/>
        </w:rPr>
        <w:t>عواملی که در طول تاریخ موجب رکود و از رونق افتادن اوقاف شده‌اند، متعدّد و متنّوع‌اند که دسته‌ای‌ازآنها شایدقابل‌پیش‌گیری‌وپیش‌بینی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چون زلزله،</w:t>
      </w:r>
    </w:p>
    <w:p>
      <w:pPr>
        <w:pStyle w:val="BookText"/>
        <w:rPr/>
      </w:pPr>
      <w:r>
        <w:rPr>
          <w:rFonts w:ascii="IRNazanin" w:hAnsi="IRNazanin" w:eastAsia="IRNazanin"/>
          <w:color w:val="111111"/>
          <w:sz w:val="28"/>
          <w:sz w:val="28"/>
          <w:szCs w:val="28"/>
          <w:rtl w:val="true"/>
          <w:lang w:bidi="fa-IR"/>
        </w:rPr>
        <w:t xml:space="preserve">سیل، جنگ،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خرابی اوقاف و از بین رفتن اسناد و مدارک اموال موقوفه را به دنبال</w:t>
      </w:r>
    </w:p>
    <w:p>
      <w:pPr>
        <w:pStyle w:val="BookText"/>
        <w:rPr/>
      </w:pPr>
      <w:r>
        <w:rPr>
          <w:rFonts w:ascii="IRNazanin" w:hAnsi="IRNazanin" w:eastAsia="IRNazanin"/>
          <w:color w:val="111111"/>
          <w:sz w:val="28"/>
          <w:sz w:val="28"/>
          <w:szCs w:val="28"/>
          <w:rtl w:val="true"/>
          <w:lang w:bidi="fa-IR"/>
        </w:rPr>
        <w:t>داشته‌اند، می‌توان از این دسته به‌شمار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عامل عمده دیگری وجود داشته که در این راستا سهم بسیار بزرگی را به خود اختصاص داده و آن عبارت است از موقوفه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دو گونه موقوفه خواری وجود داشته که هر یک به نوعی موجب رکود و سقوط اوقاف از آن منزلت و رونق بالای خود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غصب و تصرّف و تملّک نابجا و غیرمشروع درآمد اوقاف و مصرف آن در جهات و مواردی که با جهات و موارد مصرف مورد نظر و توجّه واقفان به هیچ وجه تلائم و سازگاری نداشته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شک تصرّفاتی این چنین و حیف و میلهای خودسرانه و خودخواهانه‌ای که درمورد اوقاف انجام شده، مایه دلسردی و فرار انسانهای نیک سیرت و خیراندیش از </w:t>
      </w:r>
    </w:p>
    <w:p>
      <w:pPr>
        <w:pStyle w:val="BookText"/>
        <w:rPr/>
      </w:pPr>
      <w:r>
        <w:rPr>
          <w:rFonts w:ascii="IRNazanin" w:hAnsi="IRNazanin" w:eastAsia="IRNazanin"/>
          <w:color w:val="111111"/>
          <w:sz w:val="28"/>
          <w:sz w:val="28"/>
          <w:szCs w:val="28"/>
          <w:rtl w:val="true"/>
          <w:lang w:bidi="fa-IR"/>
        </w:rPr>
        <w:t>دست زدن به وقف اموال خود شده 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 خیّری که مال خود را به عنوان صدقه جاریه حبس می‌کنند، طبیعی است که انتظار دارند درآمد این اموال در جهات ومواردی که خودشان با توجّه به ضوابط و موازین شرعی در نظر گرفته‌اند، مصرف شود و اگر احساس کنند که درآمد اوقاف، حیف و میل می‌شود و به جیب کسانی سرازیر می‌شود که به هیچ وجه شایستگی آن را ندارند، قطعا انگیزه‌ای برای وقف و تصدّق در آنها به وجود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دقّت، وسواس و سختگیری متولّیان وقف و دست اندر کاران امور اوقاف بلاد اسلامی در تحقّق اغراض و انظار واقفان، می‌تواند به ایجاد انگیزه در انسانهای نیکوکار، برای وقف بخشی از اموال خود، کمک شایان توجّهی بنماید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 مهمترین گونه موقوفه خواری، غصب و تملّک اصل و رقبه اوقاف است که در طول تاریخ وقف الی ماشاءاللّه و بوفور انجام می‌شده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پادشاهان و حکّام گرفته تا انسانهای ذی نفوذ و طبقات گوناگون جامعه در فرصتهای مختلف همچون گرگهای گرسنه به جان اوقاف افتادند، خوردند و خورانیدند و آثار بسیاری از املاک و رقبات وقفی را از روی زمین محو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توجّه 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قوام الدّین ابوبکر ملک زوزن که در حدود سال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کرمان آمده، بعد از همه خودکامیها، یک روز دستور داد همه وقف نامه‌ها را پیش او بردند،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معلوم شد که از دعای روحانیان و موقوفه خواران کاری پیش نمی‌رود و فرمان داد که مجموع وقف نامه‌ها را در آب شستند و آن گاه تمام رقبات آن موقوفات را در حوزه دیوان گرفت و جزء املاک خالصه کرد</w:t>
      </w:r>
      <w:r>
        <w:rPr>
          <w:rFonts w:eastAsia="IRNazanin" w:cs="IRNazanin"/>
          <w:color w:val="111111"/>
          <w:sz w:val="28"/>
          <w:szCs w:val="28"/>
          <w:rtl w:val="true"/>
          <w:lang w:bidi="fa-IR"/>
        </w:rPr>
        <w:t>.</w:t>
      </w:r>
      <w:r>
        <w:rPr>
          <w:rStyle w:val="FootnoteAnchor"/>
          <w:rtl w:val="true"/>
        </w:rPr>
        <w:footnoteReference w:id="1780"/>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نادرشاه افشار نیز برای تضعیف روحانیان شیعه، به بهانه این که موقوفه داران قدم مثبتی برنمی‌دارند، قسمت اعظم زمینهای موقوفه را به ارزش یک میلیون تومان ضبط کرد و آنها را جزء خالصه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دوره نادرشاه به بعد بر اثر بی ثباتی</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اوضاع و بی توجّهی زمامداران به امور شرعی، عرفی و اخلاقی کمتر کسی در مقام وقف </w:t>
      </w:r>
    </w:p>
    <w:p>
      <w:pPr>
        <w:pStyle w:val="BookText"/>
        <w:rPr/>
      </w:pPr>
      <w:r>
        <w:rPr>
          <w:rFonts w:ascii="IRNazanin" w:hAnsi="IRNazanin" w:eastAsia="IRNazanin"/>
          <w:color w:val="111111"/>
          <w:sz w:val="28"/>
          <w:sz w:val="28"/>
          <w:szCs w:val="28"/>
          <w:rtl w:val="true"/>
          <w:lang w:bidi="fa-IR"/>
        </w:rPr>
        <w:t>اموال و دارایی خود بر می‌آمد</w:t>
      </w:r>
      <w:r>
        <w:rPr>
          <w:rFonts w:eastAsia="IRNazanin" w:cs="IRNazanin"/>
          <w:color w:val="111111"/>
          <w:sz w:val="28"/>
          <w:szCs w:val="28"/>
          <w:rtl w:val="true"/>
          <w:lang w:bidi="fa-IR"/>
        </w:rPr>
        <w:t>...</w:t>
      </w:r>
      <w:r>
        <w:rPr>
          <w:rStyle w:val="FootnoteAnchor"/>
          <w:rtl w:val="true"/>
        </w:rPr>
        <w:footnoteReference w:id="1781"/>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لَمتون درباره اوقاف اصفهان می‌نویسد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اصفهان در سابق خاصّه در دوره صفویّه یکی از مراکز مهمّ موقوفه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غالب آنها از بین رفته یا غصب شده است</w:t>
      </w:r>
      <w:r>
        <w:rPr>
          <w:rFonts w:eastAsia="IRNazanin" w:cs="IRNazanin"/>
          <w:color w:val="111111"/>
          <w:sz w:val="28"/>
          <w:szCs w:val="28"/>
          <w:rtl w:val="true"/>
          <w:lang w:bidi="fa-IR"/>
        </w:rPr>
        <w:t>.</w:t>
      </w:r>
      <w:r>
        <w:rPr>
          <w:rStyle w:val="FootnoteAnchor"/>
          <w:rtl w:val="true"/>
        </w:rPr>
        <w:footnoteReference w:id="1782"/>
      </w:r>
    </w:p>
    <w:p>
      <w:pPr>
        <w:pStyle w:val="BookText"/>
        <w:rPr/>
      </w:pPr>
      <w:r>
        <w:rPr>
          <w:rFonts w:ascii="IRNazanin" w:hAnsi="IRNazanin" w:eastAsia="IRNazanin"/>
          <w:color w:val="111111"/>
          <w:sz w:val="28"/>
          <w:sz w:val="28"/>
          <w:szCs w:val="28"/>
          <w:rtl w:val="true"/>
          <w:lang w:bidi="fa-IR"/>
        </w:rPr>
        <w:t>همچنین بستانی در دائره‌المعارف درباره قحطی که در اصفهان رخ داده از نویسنده‌ای خارجی نقل کرده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موقوفات اصفهان معدوم و نامعلوم شد و متولّیان مانند هزاران نفر اهل اصفهان جان دادند و اثر آن موقوفات ناپدید شد و بعدها به دست مالکین افتاد که به نام خود برای آن سند مالکیّت صادر کردند و حتّی دربعضی موارد با</w:t>
      </w:r>
    </w:p>
    <w:p>
      <w:pPr>
        <w:pStyle w:val="BookText"/>
        <w:rPr/>
      </w:pPr>
      <w:r>
        <w:rPr>
          <w:rFonts w:ascii="IRNazanin" w:hAnsi="IRNazanin" w:eastAsia="IRNazanin"/>
          <w:color w:val="111111"/>
          <w:sz w:val="28"/>
          <w:sz w:val="28"/>
          <w:szCs w:val="28"/>
          <w:rtl w:val="true"/>
          <w:lang w:bidi="fa-IR"/>
        </w:rPr>
        <w:t>علم به وقفیّت، آن را نادیده گرفتند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درزمان رضاشاه به دلیل ممنوع شدن روضه خوانی، بسیاری از اوقاف عامّه، متعذّرالمصرف گشت و نتوانستند آنها را به مصارف خاصّی که مراد واقفان بود،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بعضی از این اوقاف را وزارت فرهنگ به دست گرفت و بقیّه را این و آن غصب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موارد متعدّد دیگری نیز املاک موقوفه غصب شده است، مثلاً بسیاری از این گونه املاک را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بهانه‌های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خود ثبت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مواردی از این قبیل در آذربایجان و سایر نقاط اتفّاق افتاده است</w:t>
      </w:r>
      <w:r>
        <w:rPr>
          <w:rFonts w:eastAsia="IRNazanin" w:cs="IRNazanin"/>
          <w:color w:val="111111"/>
          <w:sz w:val="28"/>
          <w:szCs w:val="28"/>
          <w:rtl w:val="true"/>
          <w:lang w:bidi="fa-IR"/>
        </w:rPr>
        <w:t>.</w:t>
      </w:r>
      <w:r>
        <w:rPr>
          <w:rStyle w:val="FootnoteAnchor"/>
          <w:rtl w:val="true"/>
        </w:rPr>
        <w:footnoteReference w:id="1784"/>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اوقاف سیرجان و یزد نیز گذشت که به ادّعای بعضی از علما اکثریت قریب به اتفاق املاک سیرجان وقف بوده و در یزد از چهارصد مدرسه و بقعه شریفه تنها یک مدرسه باقی مانده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 مدارس جدیدی که بعدها تأسیس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کارنامه منظوم اوقاف، اثر تاج الدّین نسائی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نیمه دوم قرن هفتم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جنبه‌های منفی و کارهای ناروای متولّیان و مسؤولان امور اوقاف و دیوانیان خراسان</w:t>
      </w:r>
    </w:p>
    <w:p>
      <w:pPr>
        <w:pStyle w:val="BookText"/>
        <w:rPr/>
      </w:pP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درباره تغییر مدرسه به کاروانسرا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اوقاف بس پریشان شد</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ازمدرسه پشیمان شد </w:t>
      </w:r>
    </w:p>
    <w:p>
      <w:pPr>
        <w:pStyle w:val="BookText"/>
        <w:rPr/>
      </w:pPr>
      <w:r>
        <w:rPr>
          <w:rFonts w:ascii="IRNazanin" w:hAnsi="IRNazanin" w:eastAsia="IRNazanin"/>
          <w:color w:val="111111"/>
          <w:sz w:val="28"/>
          <w:sz w:val="28"/>
          <w:szCs w:val="28"/>
          <w:rtl w:val="true"/>
          <w:lang w:bidi="fa-IR"/>
        </w:rPr>
        <w:t>مدرسه کاروانسرا کردند</w:t>
      </w:r>
    </w:p>
    <w:p>
      <w:pPr>
        <w:pStyle w:val="BookText"/>
        <w:rPr/>
      </w:pPr>
      <w:r>
        <w:rPr>
          <w:rFonts w:ascii="IRNazanin" w:hAnsi="IRNazanin" w:eastAsia="IRNazanin"/>
          <w:color w:val="111111"/>
          <w:sz w:val="28"/>
          <w:sz w:val="28"/>
          <w:szCs w:val="28"/>
          <w:rtl w:val="true"/>
          <w:lang w:bidi="fa-IR"/>
        </w:rPr>
        <w:t>طلب علم را رها کردند</w:t>
      </w:r>
      <w:r>
        <w:rPr>
          <w:rFonts w:eastAsia="IRNazanin" w:cs="IRNazanin"/>
          <w:color w:val="111111"/>
          <w:sz w:val="28"/>
          <w:szCs w:val="28"/>
          <w:rtl w:val="true"/>
          <w:lang w:bidi="fa-IR"/>
        </w:rPr>
        <w:t>.</w:t>
      </w:r>
      <w:r>
        <w:rPr>
          <w:rStyle w:val="FootnoteAnchor"/>
          <w:rtl w:val="true"/>
        </w:rPr>
        <w:footnoteReference w:id="1785"/>
      </w:r>
    </w:p>
    <w:p>
      <w:pPr>
        <w:pStyle w:val="BookText"/>
        <w:rPr/>
      </w:pPr>
      <w:r>
        <w:rPr>
          <w:rFonts w:ascii="IRNazanin" w:hAnsi="IRNazanin" w:eastAsia="IRNazanin"/>
          <w:color w:val="111111"/>
          <w:sz w:val="28"/>
          <w:sz w:val="28"/>
          <w:szCs w:val="28"/>
          <w:rtl w:val="true"/>
          <w:lang w:bidi="fa-IR"/>
        </w:rPr>
        <w:t>در کتاب اندیشه ترقی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تحقّق پیوسته، املاک موقوفه اغلب جزو املاک مردم شده و در آن، بیع و شراء می‌شود، بلکه صداق زوجات می‌نمایند و </w:t>
      </w:r>
      <w:r>
        <w:rPr>
          <w:rFonts w:eastAsia="IRNazanin" w:cs="IRNazanin"/>
          <w:color w:val="111111"/>
          <w:sz w:val="28"/>
          <w:szCs w:val="28"/>
          <w:rtl w:val="true"/>
          <w:lang w:bidi="fa-IR"/>
        </w:rPr>
        <w:t>...</w:t>
      </w:r>
      <w:r>
        <w:rPr>
          <w:rStyle w:val="FootnoteAnchor"/>
          <w:rtl w:val="true"/>
        </w:rPr>
        <w:footnoteReference w:id="1786"/>
      </w:r>
    </w:p>
    <w:p>
      <w:pPr>
        <w:pStyle w:val="BookText"/>
        <w:rPr/>
      </w:pPr>
      <w:r>
        <w:rPr>
          <w:rFonts w:ascii="IRNazanin" w:hAnsi="IRNazanin" w:eastAsia="IRNazanin"/>
          <w:color w:val="111111"/>
          <w:sz w:val="28"/>
          <w:sz w:val="28"/>
          <w:szCs w:val="28"/>
          <w:rtl w:val="true"/>
          <w:lang w:bidi="fa-IR"/>
        </w:rPr>
        <w:t>خود ما نیز در حکومت پهلوی شاهد بودیم و می‌دیدیم و بسیار می‌شنیدیم که کسانی به بهانه‌های گوناگون و از راههای مختلف، املاک موقوفه را متصرّف و متملّک می‌شدند و برای آنها به نام خود سندهای ثبتی صادر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حدیث مفصّل بخوان از این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گوشه‌هایی بودند و خرده‌هایی از خروار خروار بلا و مصیبتی که بر اوقاف رفته است و این چنین اموال و املاک موقوفه را درزمانهای گوناگون به نابودی و اضمحلال کشانده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همه، برای دلسرد کردن و بی‌رغبت نمودن انسانهای خیرخواه و مآل اندیش نسبت به مسأله و مقوله وقف کافی نیست؟ و آیا از این همه تعدّی و تجاوز و غارت و یغما نسبت به املاک وقفی می‌توان جز رکود و بی‌رونقی و بی‌رغبتی افراد به وقف و تصدّق، انتظار دیگری داشت؟</w:t>
      </w:r>
    </w:p>
    <w:p>
      <w:pPr>
        <w:pStyle w:val="BookText"/>
        <w:rPr/>
      </w:pPr>
      <w:r>
        <w:rPr>
          <w:rFonts w:ascii="IRNazanin" w:hAnsi="IRNazanin" w:eastAsia="IRNazanin"/>
          <w:color w:val="111111"/>
          <w:sz w:val="28"/>
          <w:sz w:val="28"/>
          <w:szCs w:val="28"/>
          <w:rtl w:val="true"/>
          <w:lang w:bidi="fa-IR"/>
        </w:rPr>
        <w:t>برای از بین بردن و خنثی کردن آثار شوم این همه ظلم و تجاوزگری و ایجاد رغبت و شوق مجدّد در انسانهای نیکوکار، یکی از راهها ایجاد این اطمینان است که؛ دیگر چنین نخواهد شد و نهایت دقّت و وسواس در نگهداری و صیانت املاک موقوفه به کار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دست اندر کاران و متولّیان امور اوقاف، ضمن نظارت و دقّت کامل برای نگهداری از رقبات موجود اوقاف، در جهت بازگرداندن املاک به یغما رفته و به تملّک درآمده، تا آن جا که امکان دارد، از هیچ تلاشی دریغ نورزند، کاری که بعد از پیروزی انقلاب اسلامی شروع شد، و در مواردی شاهد بوده‌ایم که کسانی در این مسیر تلاش خود را به حدّ جهاد رسانیده‌اند و آثار و برکات آن نیز روز به روز آشکارتر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زدودن آن همه خاطرات تلخ و وحشتناک از اذهان و خاطره‌ها، تلاش پی‌گیر و فعّالیّت </w:t>
      </w:r>
      <w:bookmarkStart w:id="1083" w:name="pg4267_22340"/>
    </w:p>
    <w:p>
      <w:pPr>
        <w:pStyle w:val="BookText"/>
        <w:rPr/>
      </w:pPr>
      <w:bookmarkEnd w:id="1083"/>
      <w:r>
        <w:rPr>
          <w:rFonts w:ascii="IRNazanin" w:hAnsi="IRNazanin" w:eastAsia="IRNazanin"/>
          <w:color w:val="111111"/>
          <w:sz w:val="28"/>
          <w:sz w:val="28"/>
          <w:szCs w:val="28"/>
          <w:rtl w:val="true"/>
          <w:lang w:bidi="fa-IR"/>
        </w:rPr>
        <w:t>مستمرّ و دراز مدّت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تردیدی نیست که وقتی مردم دوباره ببینند اوقاف، مسیر صحیح خود را می‌پیماید، به اغراض و دیدگاههای واقفان جدّا توجّه می‌شود و از اصل و رقبه موقوفات نیز به‌طور کامل و جدّی محافظت می‌شود، به این سمت و سو گرایش پیدا خواهند کرد و به خواست خداوند در آینده‌ای نه چندان دور دوباره شاهد رونق و شادابی چهره این سنّت دیرپای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سرمایه عظیم و جاوید خواهیم بود</w:t>
      </w:r>
      <w:r>
        <w:rPr>
          <w:rFonts w:eastAsia="IRNazanin" w:cs="IRNazanin"/>
          <w:color w:val="111111"/>
          <w:sz w:val="28"/>
          <w:szCs w:val="28"/>
          <w:rtl w:val="true"/>
          <w:lang w:bidi="fa-IR"/>
        </w:rPr>
        <w:t>.</w:t>
      </w:r>
    </w:p>
    <w:p>
      <w:pPr>
        <w:pStyle w:val="Heading3"/>
        <w:numPr>
          <w:ilvl w:val="2"/>
          <w:numId w:val="1"/>
        </w:numPr>
        <w:rPr/>
      </w:pPr>
      <w:bookmarkStart w:id="1084" w:name="__RefHeading___Toc474699_1479056682"/>
      <w:bookmarkStart w:id="1085" w:name="_Toc412"/>
      <w:bookmarkEnd w:id="1084"/>
      <w:r>
        <w:rPr/>
        <w:t>2</w:t>
      </w:r>
      <w:r>
        <w:rPr>
          <w:rtl w:val="true"/>
        </w:rPr>
        <w:t xml:space="preserve">- </w:t>
      </w:r>
      <w:r>
        <w:rPr>
          <w:rtl w:val="true"/>
        </w:rPr>
        <w:t>تبلیغات صحیح و مستمرّ در سطوح گوناگون</w:t>
      </w:r>
      <w:bookmarkEnd w:id="1085"/>
    </w:p>
    <w:p>
      <w:pPr>
        <w:pStyle w:val="BookText"/>
        <w:rPr/>
      </w:pPr>
      <w:r>
        <w:rPr>
          <w:rFonts w:ascii="IRNazanin" w:hAnsi="IRNazanin" w:eastAsia="IRNazanin"/>
          <w:color w:val="111111"/>
          <w:sz w:val="28"/>
          <w:sz w:val="28"/>
          <w:szCs w:val="28"/>
          <w:rtl w:val="true"/>
          <w:lang w:bidi="fa-IR"/>
        </w:rPr>
        <w:t>یکی دیگر از عوامل گسترش و احیای فرهنگ وقف در جامعه، آشنا کردن مردم به اهمّیّت این مسأله از نظر شرع و دین، اجر و پاداش معنوی آن و آثار و برکات معنوی، اقتصادی و اجتماعی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روز مردم عرب مسلمان که زبان رایجشان، عربی بود به مجرّدی که کریمه‌ای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 تَنالوُا البِرَّ حتّی تُنْفِقوُا مِمّا تُحِبُّونَ</w:t>
      </w:r>
      <w:r>
        <w:rPr>
          <w:rFonts w:eastAsia="IRNazanin" w:cs="IRNazanin"/>
          <w:color w:val="111111"/>
          <w:sz w:val="28"/>
          <w:szCs w:val="28"/>
          <w:rtl w:val="true"/>
          <w:lang w:bidi="fa-IR"/>
        </w:rPr>
        <w:t>»</w:t>
      </w:r>
      <w:r>
        <w:rPr>
          <w:rStyle w:val="FootnoteAnchor"/>
          <w:rtl w:val="true"/>
        </w:rPr>
        <w:footnoteReference w:id="1787"/>
      </w:r>
      <w:r>
        <w:rPr>
          <w:rFonts w:ascii="IRNazanin" w:hAnsi="IRNazanin" w:eastAsia="IRNazanin"/>
          <w:color w:val="111111"/>
          <w:sz w:val="28"/>
          <w:sz w:val="28"/>
          <w:szCs w:val="28"/>
          <w:rtl w:val="true"/>
          <w:lang w:bidi="fa-IR"/>
        </w:rPr>
        <w:t>نازل می‌شد، تکان می‌خوردند و به دنبالآن برای انفاق و تصّدق و وقف اَحَبِّ اموال خویش بر یکدیگر پیشی می‌گرفتند، امّا امروز در بسیاری از کشورهای اسلامی ممکن است بارها همین آیه را تلاوت کنند و چیزی از آن ادراک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هرگز به این معنا نیست که مردم نسبت به انجام کار خیر حسّاسیّتی</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از راههای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فرهنگ وقف آشنا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نوشتن کتاب، تبلیغات متنوّع تلویزیونی و رادیویی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شکل نمایش فیلمهای ارزنده و گویا، نمایشها، سرودها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از روزنامه‌ها و مجلّات، درج مطالبی در این باره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شکلّ فنّی و کارشناسی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درسی مدارس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رادر متن اهمّیّت انفاقهایی ازاین دست قرار داد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مسلمان، بویژه مسلمانان مهربان و بزرگوار و با صفای کشور ما ثابت کرده‌اند که </w:t>
      </w:r>
    </w:p>
    <w:p>
      <w:pPr>
        <w:pStyle w:val="BookText"/>
        <w:rPr/>
      </w:pPr>
      <w:r>
        <w:rPr>
          <w:rFonts w:ascii="Amiri" w:hAnsi="Amiri" w:eastAsia="Amiri" w:cs="Amiri"/>
          <w:color w:val="111111"/>
          <w:sz w:val="28"/>
          <w:sz w:val="28"/>
          <w:szCs w:val="28"/>
          <w:rtl w:val="true"/>
          <w:lang w:bidi="ar-SA"/>
        </w:rPr>
        <w:t>در تحقّق بخشیدن به آیه کریمه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فَاسْتَبِقُواالْخیْراتِ</w:t>
      </w:r>
      <w:r>
        <w:rPr>
          <w:rFonts w:eastAsia="Amiri" w:cs="Amiri" w:ascii="Amiri" w:hAnsi="Amiri"/>
          <w:color w:val="111111"/>
          <w:sz w:val="28"/>
          <w:szCs w:val="28"/>
          <w:rtl w:val="true"/>
          <w:lang w:bidi="ar-SA"/>
        </w:rPr>
        <w:t>»</w:t>
      </w:r>
      <w:r>
        <w:rPr>
          <w:rStyle w:val="FootnoteAnchor"/>
          <w:rtl w:val="true"/>
        </w:rPr>
        <w:footnoteReference w:id="1788"/>
      </w:r>
      <w:r>
        <w:rPr>
          <w:rFonts w:ascii="IRNazanin" w:hAnsi="IRNazanin" w:eastAsia="IRNazanin"/>
          <w:color w:val="111111"/>
          <w:sz w:val="28"/>
          <w:sz w:val="28"/>
          <w:szCs w:val="28"/>
          <w:rtl w:val="true"/>
          <w:lang w:bidi="fa-IR"/>
        </w:rPr>
        <w:t>عقبتر از مسلمانان صدر اسلام نیزنیستند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جهت دادن و کشاندن آنها از راههای صحیح به این سمت و سوست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نوشتن چند کتاب و یا مجلّه، بسیار ارزشمند و مؤثّر است و نقش مهمّی را داراست، امّا باید دید چند درصد از مردم، مخاطب این بخش از ابزار تبلیغاتی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تردید</w:t>
      </w:r>
    </w:p>
    <w:p>
      <w:pPr>
        <w:pStyle w:val="BookText"/>
        <w:rPr/>
      </w:pPr>
      <w:r>
        <w:rPr>
          <w:rFonts w:ascii="IRNazanin" w:hAnsi="IRNazanin" w:eastAsia="IRNazanin"/>
          <w:color w:val="111111"/>
          <w:sz w:val="28"/>
          <w:sz w:val="28"/>
          <w:szCs w:val="28"/>
          <w:rtl w:val="true"/>
          <w:lang w:bidi="fa-IR"/>
        </w:rPr>
        <w:t xml:space="preserve">اکثر جامعه، مخاطب رادیو، تلویزیون، روزنامه‌ها، سخنرانی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از سوی کسانی که در نزد مردم دارای اعتبار و وجاهت بیشتری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باید به اهمّیّت وقف از دیدگاه مکتب و شارع و اجر و پاداش معنوی آن 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در جریان کارهای خیری که توسّط انسانهای نیکوکار انجام می‌شود، قرار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برنامه تلویزیونی چهره یک انسان نیکوکار مازندرانی را نشان می‌دهد که در حال بازدید و عیادت بیماران کلیوی است که در بخش دیالیزی که از سهم کارخانه‌اش ساخته و وقف شده است بستری هستند، و در همین باره با او مصاحبه‌ای انجام می‌شود و در کنارآن لبخند حاکی از رضایت و قدردانی بیماران به تصویر کشیده می‌شود، قلب بسیاری از آزاد مردان و آزاد زنان دلسوز و نیک‌سرشت به تپش می‌افتد و قطعا برای انجام کارهای مشابه تحریک و تحریض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تجلیل از واقفان و خیراندیشان گذشته و حال از راههای گوناگون و حتّی با تشکیل و گردهمایی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عاملی مستقلّ برای احیای فرهنگ وقف در جامعه نباشد، یکی ازبهترین مصادیق تبلیغات صحیح و مؤثّر در این راستاست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هرگز از مقوله تظاهر و خودنمایی نیست، چرا که انسانها فطرتا دوست دارند خدمتگزار باشند و از این که ببینند کسانی از ثمره تلاش آنها بهره می‌برند و احساس امنیّت و آرامش می‌کنند، احساس لذّت و خوشبختی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هنر این است که بتوان از این همه کانون عاطفه و احساس توأم با اعتقاد و ایمان در جهت ایجاد روح تعاون و همکاری و ایثار و فداکاری بهره برد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آماری که هر از چند گاه از سوی وزارت خانه‌ها و نهادهای گوناگون توسّط رسانه‌های </w:t>
      </w:r>
      <w:bookmarkStart w:id="1086" w:name="pg4267_22343"/>
    </w:p>
    <w:p>
      <w:pPr>
        <w:pStyle w:val="BookText"/>
        <w:rPr/>
      </w:pPr>
      <w:bookmarkEnd w:id="1086"/>
      <w:r>
        <w:rPr>
          <w:rFonts w:ascii="IRNazanin" w:hAnsi="IRNazanin" w:eastAsia="IRNazanin"/>
          <w:color w:val="111111"/>
          <w:sz w:val="28"/>
          <w:sz w:val="28"/>
          <w:szCs w:val="28"/>
          <w:rtl w:val="true"/>
          <w:lang w:bidi="fa-IR"/>
        </w:rPr>
        <w:t xml:space="preserve">جمعی اعلام می‌شود، حاکی از این است که از بهمن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مرکز آموزشی ازقبیل مدرسه در سطوح مختلف، فضای آموزشی برای دانشگاهها، خوابگاه دانشجویی، کتابخانه و مراکز درمانی و بهداشتی از قبیل بیمارستان، درمانگاه و نیز مؤسّسات عام‌المنفعه دیگر، توسّط افراد پاک طینت و نیکوکار در کشورمان احداث شده که به مراتب آمار این گونه مؤسسّات در زمان پیروزی انقلاب اسلامی بیشتر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ترتیب با تلاش و پی‌گیری مستمّر، از راههای گوناگون، از جمله تبلیغات صحیح و صادقانه می‌توان دوباره فرهنگ وقف را گسترش داد و خاطرات شیرین گذشته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 رشیدی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 دیگر به بهترین وجه در جوامع اسلامی تحقّق</w:t>
      </w:r>
    </w:p>
    <w:p>
      <w:pPr>
        <w:pStyle w:val="BookText"/>
        <w:rPr/>
      </w:pPr>
      <w:r>
        <w:rPr>
          <w:rFonts w:ascii="IRNazanin" w:hAnsi="IRNazanin" w:eastAsia="IRNazanin"/>
          <w:color w:val="111111"/>
          <w:sz w:val="28"/>
          <w:sz w:val="28"/>
          <w:szCs w:val="28"/>
          <w:rtl w:val="true"/>
          <w:lang w:bidi="fa-IR"/>
        </w:rPr>
        <w:t>بخشید</w:t>
      </w:r>
      <w:r>
        <w:rPr>
          <w:rFonts w:eastAsia="IRNazanin" w:cs="IRNazanin"/>
          <w:color w:val="111111"/>
          <w:sz w:val="28"/>
          <w:szCs w:val="28"/>
          <w:rtl w:val="true"/>
          <w:lang w:bidi="fa-IR"/>
        </w:rPr>
        <w:t>.</w:t>
      </w:r>
    </w:p>
    <w:p>
      <w:pPr>
        <w:pStyle w:val="Heading3"/>
        <w:numPr>
          <w:ilvl w:val="2"/>
          <w:numId w:val="1"/>
        </w:numPr>
        <w:rPr/>
      </w:pPr>
      <w:bookmarkStart w:id="1087" w:name="__RefHeading___Toc474701_1479056682"/>
      <w:bookmarkStart w:id="1088" w:name="_Toc413"/>
      <w:bookmarkEnd w:id="1087"/>
      <w:r>
        <w:rPr/>
        <w:t>3</w:t>
      </w:r>
      <w:r>
        <w:rPr>
          <w:rtl w:val="true"/>
        </w:rPr>
        <w:t xml:space="preserve">- </w:t>
      </w:r>
      <w:r>
        <w:rPr>
          <w:rtl w:val="true"/>
        </w:rPr>
        <w:t>حمایت قانونی از اوقاف</w:t>
      </w:r>
      <w:bookmarkEnd w:id="1088"/>
    </w:p>
    <w:p>
      <w:pPr>
        <w:pStyle w:val="BookText"/>
        <w:rPr/>
      </w:pPr>
      <w:r>
        <w:rPr>
          <w:rFonts w:ascii="IRNazanin" w:hAnsi="IRNazanin" w:eastAsia="IRNazanin"/>
          <w:color w:val="111111"/>
          <w:sz w:val="28"/>
          <w:sz w:val="28"/>
          <w:szCs w:val="28"/>
          <w:rtl w:val="true"/>
          <w:lang w:bidi="fa-IR"/>
        </w:rPr>
        <w:t xml:space="preserve">در کشورهایی که حکومت اسلامی تأسیس شده است، نیز لازم است بر اساس ضوابط و موازین شرع برای اداره کشور، قوانین اساسی، مدنی، جزایی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مواردی که اولیای وقف باید به آن توجّه کافی داشته باشند، یکی همین است که مواظب باشند، هرچند به طور غیر عمدی، قانون و یا متمّم و تبصره‌ای که هرچند در کوتاه مدّت ممکن است اموال و املاک و رقبات وقفی را در معرض آسیب قرار دهد، به تصویب نرسد و اگر به تصویب رسیده است در آن تجدید نظر شود، زیرا ممکن است در همین مدّت کوتاه، حوادث و جریاناتی رخ دهد که قابل جبران نباشد و املاکی از دست برود که بازگرداندن آنها یا ممکن نباشد و یا به آسانی میسّر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که یک مأمور بدون در دست داشتن حکم بازرسی، دستش برای تحقیقات لازم بسته است و به مجوّز قانونی نیاز دارد، متصدّیان و متولّیان امور اوقاف نیز برای</w:t>
      </w:r>
    </w:p>
    <w:p>
      <w:pPr>
        <w:pStyle w:val="BookText"/>
        <w:rPr/>
      </w:pPr>
      <w:r>
        <w:rPr>
          <w:rFonts w:ascii="IRNazanin" w:hAnsi="IRNazanin" w:eastAsia="IRNazanin"/>
          <w:color w:val="111111"/>
          <w:sz w:val="28"/>
          <w:sz w:val="28"/>
          <w:szCs w:val="28"/>
          <w:rtl w:val="true"/>
          <w:lang w:bidi="fa-IR"/>
        </w:rPr>
        <w:t>پی‌گیری امور اوقاف و حفظ و نگهداری آنها و یا بازگرداندن املاک به یغما رفته، به قانون</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صریح به عنوان پشتوانه‌ای مطمئن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محمّدثابتی در مقاله‌ای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میراث جاویدان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اشاره به کمک شایانی که از ناحیه قوانین مصوّب بعد از پیروزی انقلاب اسلامی به وقف و احیای آن شده است از تبصره مادّه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لغو </w:t>
      </w:r>
    </w:p>
    <w:p>
      <w:pPr>
        <w:pStyle w:val="BookText"/>
        <w:rPr/>
      </w:pPr>
      <w:r>
        <w:rPr>
          <w:rFonts w:ascii="IRNazanin" w:hAnsi="IRNazanin" w:eastAsia="IRNazanin"/>
          <w:color w:val="111111"/>
          <w:sz w:val="28"/>
          <w:sz w:val="28"/>
          <w:szCs w:val="28"/>
          <w:rtl w:val="true"/>
          <w:lang w:bidi="fa-IR"/>
        </w:rPr>
        <w:t>مالکیّت زمینهای موات شهری انتقاد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تبصره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موقوفات عام که اسناد مالکیّت و وقف نامه‌های آنها حاکی از عمران و آبادی در آن باشد، احیا شده محسوب می‌گردد ولی در هر حال مشمول بند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آیین نامه خواهد بود</w:t>
      </w:r>
      <w:r>
        <w:rPr>
          <w:rFonts w:eastAsia="IRNazanin" w:cs="IRNazanin"/>
          <w:color w:val="111111"/>
          <w:sz w:val="28"/>
          <w:szCs w:val="28"/>
          <w:rtl w:val="true"/>
          <w:lang w:bidi="fa-IR"/>
        </w:rPr>
        <w:t>.</w:t>
      </w:r>
      <w:r>
        <w:rPr>
          <w:rStyle w:val="FootnoteAnchor"/>
          <w:rtl w:val="true"/>
        </w:rPr>
        <w:footnoteReference w:id="1789"/>
      </w:r>
      <w:r>
        <w:rPr>
          <w:rFonts w:ascii="IRNazanin" w:hAnsi="IRNazanin" w:eastAsia="IRNazanin"/>
          <w:color w:val="111111"/>
          <w:sz w:val="28"/>
          <w:sz w:val="28"/>
          <w:szCs w:val="28"/>
          <w:rtl w:val="true"/>
          <w:lang w:bidi="fa-IR"/>
        </w:rPr>
        <w:t>و اگر ضروری باشد از این گونه اراضی استفاده‌ای غیر ازآنچه در وقف نامه ذکر شده است، بشود، موافقت هیأت وزیران الزامی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خلاصه از جمله انتقادات نویسنده بر این تبصره موارد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تبصره تنها زمینهایی که دارای عمران و آبادی باشند و این مضمون در وقف نامه‌ها قید شده باشد، وقف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دراسناد بسیاری از موقوفات ذکری از عمران و آبادی نشده امّا از زمانهای قدیم دارای مُستحدثات و عمران و آبادی بوده و به مرور از آنها بهره‌برداری 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w:t>
      </w:r>
    </w:p>
    <w:p>
      <w:pPr>
        <w:pStyle w:val="BookText"/>
        <w:rPr/>
      </w:pPr>
      <w:r>
        <w:rPr>
          <w:rFonts w:ascii="IRNazanin" w:hAnsi="IRNazanin" w:eastAsia="IRNazanin"/>
          <w:color w:val="111111"/>
          <w:sz w:val="28"/>
          <w:sz w:val="28"/>
          <w:szCs w:val="28"/>
          <w:rtl w:val="true"/>
          <w:lang w:bidi="fa-IR"/>
        </w:rPr>
        <w:t>قید و شرط یاد شده موقوفات زیادی را از وقفیّت خارج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تبصره‌ها عمران و احیای موجود در اسناد موقوفه را مشمول بند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و مفهوم آن این است که اگر عمران و احیای مطلق، مطابق تعریف مادّه یاد شده، نباشد زمین وقفی موات تلقّی می‌شود و از وقفیت خارج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نیز بسیاری از موقوفاتی را که در گذشته عمران و احیا داشته و به دلیل معطّل ماندن و عدم</w:t>
      </w:r>
    </w:p>
    <w:p>
      <w:pPr>
        <w:pStyle w:val="BookText"/>
        <w:rPr/>
      </w:pPr>
      <w:r>
        <w:rPr>
          <w:rFonts w:ascii="IRNazanin" w:hAnsi="IRNazanin" w:eastAsia="IRNazanin"/>
          <w:color w:val="111111"/>
          <w:sz w:val="28"/>
          <w:sz w:val="28"/>
          <w:szCs w:val="28"/>
          <w:rtl w:val="true"/>
          <w:lang w:bidi="fa-IR"/>
        </w:rPr>
        <w:t>بهره برداری در چندین سال متوالی بایر شده‌اند و نیز بسیاری از موقوفات آباد مزروعی</w:t>
      </w:r>
    </w:p>
    <w:p>
      <w:pPr>
        <w:pStyle w:val="BookText"/>
        <w:rPr/>
      </w:pPr>
      <w:r>
        <w:rPr>
          <w:rFonts w:ascii="Amiri" w:hAnsi="Amiri" w:eastAsia="Amiri" w:cs="Amiri"/>
          <w:color w:val="111111"/>
          <w:sz w:val="28"/>
          <w:sz w:val="28"/>
          <w:szCs w:val="28"/>
          <w:rtl w:val="true"/>
          <w:lang w:bidi="ar-SA"/>
        </w:rPr>
        <w:t xml:space="preserve">یا مُشَجَّر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از وقفیّت خارج می‌سازد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ضابطه تعیین شده به دلیل غیر شرعی بودن، از سوی شورای نگهبان مردود اعلام شد و دیوان عدالت اداری نیز رأی برابطال آن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همین فاصله میان تصویب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ابطال آن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زیادی در کشور، موات اعلام شد که سازمان اوقاف برای احیا و باز گرداندن آنها تلاشهایی کرده است</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تبصره قید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موافقت هیأت وزیران الزامی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قید غیر شرعی است، زیرا براساس موازین شرعی باید نظر واقف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هیأت وزیران نمی‌تواند </w:t>
      </w:r>
    </w:p>
    <w:p>
      <w:pPr>
        <w:pStyle w:val="BookText"/>
        <w:rPr/>
      </w:pPr>
      <w:r>
        <w:rPr>
          <w:rFonts w:ascii="IRNazanin" w:hAnsi="IRNazanin" w:eastAsia="IRNazanin"/>
          <w:color w:val="111111"/>
          <w:sz w:val="28"/>
          <w:sz w:val="28"/>
          <w:szCs w:val="28"/>
          <w:rtl w:val="true"/>
          <w:lang w:bidi="fa-IR"/>
        </w:rPr>
        <w:t>بر خلاف نظر واقف تصمیم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 در حکومت اسلامی فقیه حاکم چنین اختیارهایی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باید خود فقیه حاکم دخالت داشته باشد و نظر هیأت وزیران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دولت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جایگزین نظر فقیه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آن که فقیه حاکم درصورتی دخالت می‌کند که جهت وقف، مشروعیّت نداشته باشد یا اعمال نظر واقف ضرری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برای حکومت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آورد که در این صورت هم وقف تبدیل به احسن می‌شود و موقوفه هرگز 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اشکالات یاد شده درتبصره مادّه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گذشته از موات اعلام شدن بسیاری از زمینهای وقفی، مشکلات بسیاری را نیز به دنبال داشته که هنوز هم ادامه دارد</w:t>
      </w:r>
      <w:r>
        <w:rPr>
          <w:rFonts w:eastAsia="IRNazanin" w:cs="IRNazanin"/>
          <w:color w:val="111111"/>
          <w:sz w:val="28"/>
          <w:szCs w:val="28"/>
          <w:rtl w:val="true"/>
          <w:lang w:bidi="fa-IR"/>
        </w:rPr>
        <w:t>.</w:t>
      </w:r>
      <w:r>
        <w:rPr>
          <w:rStyle w:val="FootnoteAnchor"/>
          <w:rtl w:val="true"/>
        </w:rPr>
        <w:footnoteReference w:id="1790"/>
      </w:r>
    </w:p>
    <w:p>
      <w:pPr>
        <w:pStyle w:val="BookText"/>
        <w:rPr/>
      </w:pPr>
      <w:r>
        <w:rPr>
          <w:rFonts w:ascii="IRNazanin" w:hAnsi="IRNazanin" w:eastAsia="IRNazanin"/>
          <w:color w:val="111111"/>
          <w:sz w:val="28"/>
          <w:sz w:val="28"/>
          <w:szCs w:val="28"/>
          <w:rtl w:val="true"/>
          <w:lang w:bidi="fa-IR"/>
        </w:rPr>
        <w:t>بنابراین حتّی کمترین کوتاهی و بی دقّتی در این مورد می‌تواند هم برای اموال و املاک موقوفه، مشکلات و صدمات جدی را به دنبال داشته باشد و هم موجب مشکلات و درگیریهای فراوانی در این موارد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راههای اصولی و اساسی هستند که به نظر نگارنده می‌توانند در جهت گسترش مجدّد فرهنگ وقف و حیات دوباره این میراث جاویدان، دارای نقشی اساسی و مؤثّر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راههای دیگری نیز ممکن است باشد که در همین جا نگارنده از عموم خوانندگان ارجمند این اثر استدعا دارد از تذکرات و راهنماییهای خویش او را بی‌نصیب نگذارند و پیشاپیش خود را سپاسگزار و مرهون لطف و محبتّشان می‌داند</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وَالْحَمْدُلِلّهِ اوّلاً وَ آخِرا وَ صَلَّی اللّهُ عَلی سَیِّدنا محمّدوَ آلِهِ الطّاهَرِینَ سَیَّما مَوْلانا بَقِّیَةِ اللّهِ فیِ الْاَرَضیِنَ</w:t>
      </w:r>
      <w:r>
        <w:rPr>
          <w:rFonts w:eastAsia="Amiri" w:cs="Amiri" w:ascii="Amiri" w:hAnsi="Amiri"/>
          <w:color w:val="111111"/>
          <w:sz w:val="28"/>
          <w:szCs w:val="28"/>
          <w:rtl w:val="true"/>
          <w:lang w:bidi="ar-SA"/>
        </w:rPr>
        <w:t xml:space="preserve">. </w:t>
      </w:r>
      <w:bookmarkStart w:id="1089" w:name="pg4267_22349"/>
    </w:p>
    <w:p>
      <w:pPr>
        <w:pStyle w:val="Heading2"/>
        <w:numPr>
          <w:ilvl w:val="1"/>
          <w:numId w:val="1"/>
        </w:numPr>
        <w:rPr/>
      </w:pPr>
      <w:bookmarkStart w:id="1090" w:name="__RefHeading___Toc474703_1479056682"/>
      <w:bookmarkStart w:id="1091" w:name="_Toc414"/>
      <w:bookmarkEnd w:id="1089"/>
      <w:bookmarkEnd w:id="1090"/>
      <w:r>
        <w:rPr>
          <w:rtl w:val="true"/>
        </w:rPr>
        <w:t>منابع و مآخذ</w:t>
      </w:r>
      <w:bookmarkEnd w:id="1091"/>
    </w:p>
    <w:p>
      <w:pPr>
        <w:pStyle w:val="BookText"/>
        <w:rPr/>
      </w:pPr>
      <w:r>
        <w:rPr>
          <w:rFonts w:ascii="IRNazanin" w:hAnsi="IRNazanin" w:eastAsia="IRNazanin"/>
          <w:color w:val="111111"/>
          <w:sz w:val="28"/>
          <w:sz w:val="28"/>
          <w:szCs w:val="28"/>
          <w:rtl w:val="true"/>
          <w:lang w:bidi="fa-IR"/>
        </w:rPr>
        <w:t xml:space="preserve">قرآن کریم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اجودالتقریرات، سیّدابوالقاسم خویی، کتابفروشی اسلامیّه،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الاحکام‌السلطانیّة، ابویَعْلی، دفتر تبلیغات اسلامی،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الاحکام‌السلطانیّة، ماوردی، دفتر تبلیغات اسلامی ،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احکام‌الوقف، زهدی یکن، المکتبه‌العصریّة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وقف در شریعت اسلام، کبیسی، ترجمه احمد صادقی گلدر، اداره کلّ حجّ و اوقاف مازندران،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ادوار علم‌الفقه و اطواره، شیخ علی آل کاشف‌الغطاء، دارالزّهراء، بیروت،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چاپ</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ارشادالاَذهان، علاّمه حلّی، انتشارات اسلامی وابسته به جامعه مدّرسین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اسدالغابة فی معرفه‌الصّحابة، علی بن ابی‌الکریم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در مبارزه بنیادی با فقر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اسهل‌المدارک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عیسی البابی و شرکاءه،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الاَعلام، خیر الدین الزرکلی،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اِعلام‌المُوَقِّعین، محمّدبن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قیّم جوزی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الکتب العلمیّه،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اَعیان‌الشّیعه، سیّد محسن امین، دارالتعارف للمطبوعات ، بیروت </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اقتصاد ما، شهید سیّد محمّدباقر صدر، انتشارات اسلامی، تهران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خسرو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الامام زید، محمّدابوزهره، المکتبة الاسلامیه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الامام الصّادق و المذاهب الاربعة، اسد حیدر، دار الکتاب العربی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 ،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الانتصار، سیّد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ایضاح‌الفوائد، محمّدبن الحسن بن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المحقّقین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آیة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محمود شاهرودی،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بحارالانوار، محمّدباقر مجلسی، مؤسّسة الوفاء ،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البحرالزّخّار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بن یحیی بن المرتضی، مؤسّسة الرّسالة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بدایه‌المجتهد، ابن رشد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بدایه‌النّهایة، شیخ حرّ عاملی، موسّسه آل‌البیت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روش اداری و آموزشی رَبع رشیدی، محمّدمهدی بروشکی ، مؤسسه چاپ و انتشارات آستان قدس رضوی ، مشهد مقدّس ،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التّاج‌الجامع للاصول، منصور علی ناصف، المکتبة الاسلامیّه ، مصر،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ابن خلدون، ابن خلدون، مؤسّسة الاعلمی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اجتماعی ایران، مرتضی راوندی ، انتشارات امیرکبیر ، تهران ،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تمدّن اسلام، جرجی زیدان ، ترجمه علی جواهر کلام ، انتشارات امیرکبیر ،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اوقاف اصفهان، عبدالحسین سپنتا ، اداره کلّ اوقاف اصفهان ،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تاریخچه وقف در اسلام، علی اکبر شهابی، چاپخانه دانشگاه تهران ،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تاریخ‌الشیعة، محمّدحسین مظفّر، مکتبه بصیرتی ،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فقه و فقهاء، ابو القاسم گرجی، سازمان سمت، تهران ،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تاریخ کامل، ابن اثیر، ترجمه دکتر محمّدحسین روحانی،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التّبیان فی تفسیر القرآن،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احیاء التراث العربی ،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تحریرالاحکام، علاّمه</w:t>
      </w:r>
    </w:p>
    <w:p>
      <w:pPr>
        <w:pStyle w:val="BookText"/>
        <w:rPr/>
      </w:pPr>
      <w:r>
        <w:rPr>
          <w:rFonts w:ascii="IRNazanin" w:hAnsi="IRNazanin" w:eastAsia="IRNazanin"/>
          <w:color w:val="111111"/>
          <w:sz w:val="28"/>
          <w:sz w:val="28"/>
          <w:szCs w:val="28"/>
          <w:rtl w:val="true"/>
          <w:lang w:bidi="fa-IR"/>
        </w:rPr>
        <w:t xml:space="preserve">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مجلّد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آل البیت </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تحریرالوسیلة، امام خمینی، مؤسّسه اسماعیلیان ، قم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تذکره‌الفقهاء، 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المکتبة المرتضویّه ،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التفسیرالکبیر، فخر رازی، دار احیاء التراث العربی ، بیروت،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التّنقیح‌الرائع، فاضل مقداد سیوری، کتابخانه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تهذیب‌الاحکام،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الاسلامیّة،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تهذیب‌التّهذیب، احمدبن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حجر عسقلانی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الکتاب الاسلامی ، قاهره،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 عبّاسی، بهاء 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فراهانی ،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للشرایع، ابن سعید حلّی، مؤسّسه سیّد الشّهداء،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جامع‌المدارک، سیّد احمد خوانساری، اسماعیلیان ،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الجامع لاحکام‌القرآن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احمد الانصاری القرطبی، داراحیاء التراث‌العربی،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جامع‌المقاصد، علی بن الحسین الکَرَکی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آل‌البیت،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الجوامع الفقهیّه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مجموعه‌ای از چند کتاب فقهی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آیه‌اللّه مرعشی نجفی، قم،</w:t>
      </w:r>
    </w:p>
    <w:p>
      <w:pPr>
        <w:pStyle w:val="BookText"/>
        <w:rPr/>
      </w:pP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جواهرالاخیار، محمدبن یحیی الصعاری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مؤسسة الرسالة، بیروت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جواهرالکلام فی شرح شرایع الاسلام، محمّدحسن النجفی، دار احیاء التراث العربی، بیروت،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 چاپ هفتم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الحدائق‌النّاضرة، شیخ یوسف بحرانی، انتشارات اسلامی وابسته به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مدنی، سیّد حسن امامی، کتابفروشی اسلامیّة،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کاتوزیان، نشر یلدا،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الخلاف،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درآمدی بر اقتصاد اسلامی، دفتر همکاری حوزه و دانشگاه ، مؤسّسه در راه حقّ ، قم، </w:t>
      </w:r>
    </w:p>
    <w:p>
      <w:pPr>
        <w:pStyle w:val="BookText"/>
        <w:rPr/>
      </w:pP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درسهایی از اقتصاد اسلامی، محمّدعلی تسخیری ، مرکز چاپ و انتشارات سازمان تبلیغات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الدّرّالمنثور، جلال‌الدّین سیوطی، دارالفکر،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الدّروس‌الشّرعیّة، محمّدبن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بنیاد پژوهشهای اسلامی آستان قدس رضوی، مشهد مقدّس،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دروسٌ فی‌الاخلاق،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مشکینی، نشر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ذخیره‌المعاد، محمّدباقر سبزواری، مؤسّسه آل البیت،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ذکری‌الشیعة، محمّدبن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مکتبه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روضات‌الجنّات، میرزا محمّدباقر خوانساری، اسماعیلیان،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به‌کوشش دکتر یاحقّی و دکتر ناصح، بنیاد پژوهشهای اسلامی، مشهد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الروضه‌البَهِیّة فی شرح‌اللمعه‌الدمشقیّة،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رحلی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روضه‌المُتَّقین، محمّدتقی مجلسی، بنیاد فرهنگ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المطبعه‌العلمیه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ریاض‌المسائل، سیّد علی طباطبائی، مؤسّسه آل‌البیت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رحلی</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ریحانه‌الادب، میرزا محمّدعلی مدرسی، انتشارات خیام، تهران،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سُبُلُ‌السَّلام، محمّدبن اسماعیل‌الیَمَنی، دارالفکر، 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السّرائر، ابن ادریس حلّی، انتشارات اسلامی وابسته به جامعه مدرّسین، قم،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سفرنامه ابن‌بطوطه، ترجمه محمّدعلی موحّد، انتشارات آگاه، تهران ،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السّیره‌النّبویّة صلی‌الله‌علیه‌و‌آله، ابن هشام، دار احیاءالتراث‌العربی،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شَذَرات‌الذّهب، عبدالحی، ابن عماد حنبلی، دارالکتب‌العلمیّه، بیروت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شرایع‌الاسلام، نجم‌الدّین،محقّق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مطبعه‌الآداب، نجف اَشرف،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الشّرح‌الصّغیر و بُلغَة السّالک، احمدالدردیر، دارالکتب‌العلمیّه،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نهج‌البلاغه، ابن ابی‌الحدید، دار احیاءالکتب‌العربیّة،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اسماعیلیان، قم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شرح نهج‌البلاغه، ابن میثم بحرانی، دفتر تبلیغات اسلامی،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نهج‌البلاغه، محمّدعبده،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مکتبه‌الاندلس،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الشّروط، محمّدتقی خویی، دارالمؤرخ،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الشّروط‌الصّغیر، احمدبن محمّدالطحاوی، احیاءالتراث‌الاسلامی،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اداره اوقاف</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الصّحاح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حمادالجوهری، دارالعلم لملایین، قاهره،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صحیح‌البخاری، محمّدبن اسماعیل‌البخاری، دار احیاءالتراث‌العربی،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الطَّبَقات‌الکُبری، محمّدبن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احیاءالتراث‌العربی، 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العروه‌الوثقی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محمّدکاظم یزدی ، مکتبه‌الداوری،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عول و تعصیب، عبدالرّحیم نجات، انتشارات امیرکبیر،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عیون اخبارالرضا علیه‌السلام، محمّدبن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صدوق،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غایه‌المراد، محمّدبن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دفتر تبلیغات اسلامی،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الغنیة، ابن زهره،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الفتاوی‌الکبری، ابن تیمیه حنبلی، دارالقلم، بیروت،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 xml:space="preserve">ه ،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فتح‌الباری فی شرح صحیح‌البخاری، ابن حجر عسقلانی، دارالمعرفة،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فتوح‌البلدان، احمدبن 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البلاذری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دارالکتب‌العلمیّة، بیروت،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فدک فی‌التّاریخ، شهید سیدمحمّد باقر صدر، بنیاد بعثت،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فقرستیزی، بیت‌الله بیات، انتشارات اشکوری، قم،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سیّدمحمّد شیرازی، دارالعلوم، 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 ، 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فقه‌الامام‌الاَوْزاعی، دکتر عبداللّه محمّدالجبوری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الفقه‌الاسلامی و ادلّته، وهبه‌الزّحیلی، دارالفکر، دمشق،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الفقه علی‌المذاهب‌الخمسة، محمّدجواد مغنیه، کانون الثانی، بیروت،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هفتم</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فقه‌القرآن، قطب راوندی، کتابخانه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مرعشی، قم،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فی ظلال‌القرآن، سیّدقطب، دار احیاءالتراث‌العربی، بیروت،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هفتم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قانون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مدنی، فرج‌اللّه قربانی، انتشارات دانشور، تهران،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قواعدالاحکام، 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 ،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قواعد فقه، سیّد مصطفی محقّق داماد، مرکز نشر علوم اسلامی، تهران،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چهارم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القواعدالفقهیّة، سیّدمیرزا حسن بجنوردی، اسماعیلیان، قم،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القواعدالفقهیّة، ناصر مکارم شیرازی، مدرسه‌الامام امیرالمؤمنین علیه‌السلام،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القواعد والفوائد، محمّدبن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مکتبه‌الداوری،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ابوالصلاح‌الحلبی، مکتبه‌الامام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اصفهان،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الکافی، محمّدبن یعقوب کلینی، دارالکتب‌الاسلامیّه، تهران،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پنجم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کتاب‌البیع، امام خمینی، مطبعة مهر،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حاج آقارضا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جواد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کتاب‌العین، خلیل بن احمد، دارالهجرة، قم،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کتاب‌المکاسب، شیخ مرتضی انصاری، مطبعه‌الاطّلاعات، تبریز،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الکشّاف عن کتب‌الاوقاف، الباحث، اسامی‌التونی، اوقاف کویت،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کشف‌الرّموز، حسن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آبی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کشف‌الغطاء، شیخ جعفر کاشف‌الغطاء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 مجلّد رحلی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کشف‌اللِّثام، محمّدبن الحسن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فاضل هندی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کنزالعرفان، فاضل مقداد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المکتبه‌المرتضویّة، تهران،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ش، چاپ پنجم </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کنزالعُمّال، ابن حسام الدّین الهندی، مؤسّسه‌الرّساله، 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لسان‌العرب، ابن منظور، نشر ادب‌الحوزة، 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 xml:space="preserve">ه ،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اللُّمعه‌الدمشقیّة، شهید اوّل، مؤسّسة فقه‌الشّیعة، 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و زارع در ایران، دکتر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ادبیات فارسی در دانشگاه 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منوچهر امیری، بنگاه ترجمه و نشر کتاب، تهران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اقتصاد اسلامی، دفتر همکاری حوزه و دانشگاه، سازمان سمت، تهران،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دوم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مبانی فقهی اقتصاد اسلامی، محمود عبداللّهی، انتشارات اسلامی، وابسته به جامعه مدرّسین، قم،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ش،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شمس‌الدّین سرخسی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مطبعه‌السعادة، مصر، چاپ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المبسوط،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المکتبه‌المرتضویّة، تهران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مجمع‌البحرین، فخرالدّین طُرَیْحی، المکتبه‌المرتضویّة، تهران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مجمع‌البیان، فضل‌بن الحسن الطبرسی، مکتبه‌العلمیّه‌الاسلامیّة، تهران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مجمع‌الفائدة والبرهان، محقّق اردبیلی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فی‌المناقلة والاستبدال، ابن‌القاضی‌الجبل‌الحنبلی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اوقاف کویت،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مجموعه مقالات فارسی، زیر نظر استاد محمّدواعظ‌زاده ، مجمع بررسیهای اقتصاد اسلامی، مشهد مقدس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محاضراتٌ فی‌الوقف، محمّدابوزهره، مطبعة احمدعلی مخیمر، مصر،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المحلّی، ابن حزم اندلسی، مطبعه‌الأم، مصر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مختصرالمَزَنی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فقه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اسماعیل بن یحیی‌المزنی، دارالمعرفة، بیروت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المختصرالنّافع، نجم‌الدّین جعفربن‌الحسن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مؤسّسه‌البعثة،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مختلف‌الشّیعه، حسن بن یوسف بن مطهّر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علاّمه حلّی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رحلی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مدارک الاحکام، سیّد محمّدبن علی الموسوی العاملی، مؤسّسه آل البیت،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المُدَوَّنَةُ الْکُبْری، مالک بن انس، دار الفکر ، بیروت،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مرآة العقول، محمّدباقر مجلسی، دار الکتب الاسلامیّة،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المراسم العلویّة، سلار دیلمی، المعاونیة العالمی للمجمع العالمی لاهل البیت،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المسائل النّاصریّات، سیّد مرتضی، علم الهدی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مرعشی،قم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المساجد و احکامها فی التّشریع الاسلامی، محمّدابراهیم جنّاتی، مطبعة القضاء، نجف اشرف،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مسالک الافهام، زین الدّین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مکتبة بصیرتی،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مستند الشّیعة، احمد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المصطلحات الوقفیّة، عتیقی، عزّالدّین تونی، خالد شعیب، الصندوق الوقفی للثقافة و 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 ،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مطالعاتی در اقتصاد اسلامی، به کوشش پروفسور خورشید احمد، ترجمه محمّدجواد مهدوی، بنیاد پژوهشهای اسلامی، مشهد مقدس،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المعتبر فی شرح المختصر، نجم‌الدّین جعفر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مجلّد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معجم البلدان، یاقوت بن عبداللّه، دار احیاء التراث العربی، بیروت،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معجم مقائیس اللّغة، احمدبن فارس، مرکز النّشر، مکتب الاعلام الاسلامی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المغازی، محمّدبن عمر بن واقد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دانش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المغنی، ابن قُدامه مقدسی، دار الکتب العلمیّة،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محمّدالخطیب الشربینی، المکتبة التجاریة الکبری، مصر،</w:t>
      </w:r>
    </w:p>
    <w:p>
      <w:pPr>
        <w:pStyle w:val="BookText"/>
        <w:rPr/>
      </w:pP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مفاتیح الشّرایع، محسن فیض کاشانی، مجمع الذّخائر الاسلامیّة، قم، </w:t>
      </w:r>
      <w:r>
        <w:rPr>
          <w:rFonts w:eastAsia="IRNazanin" w:cs="IRNazanin"/>
          <w:color w:val="111111"/>
          <w:sz w:val="28"/>
          <w:szCs w:val="28"/>
          <w:lang w:bidi="fa-IR"/>
        </w:rPr>
        <w:t>14110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مفتاح الکرامة، سیّد محمّدجواد حسینی عاملی، مؤسّسه آل البیت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المفردات، راغب اصفهانی، دار الکاتب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مقایسه بین سیستمهای اقتصادی، حسین مظاهری، مؤسّسه در راه حقّ ، قم</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المقتصر، ابن فهد حلّی، مرکز البحوث الاسلامیّة، مشهد مقدّس،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مقدمه‌ای بر فرهنگ وقف، ابوسعید، احمدبن سلمان، سازمان اوقاف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المقنعة،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اسلامی وابسته به جامعه مدرّسین،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الملل و النّحل، محمّدبن عبد الکریم شهرستانی، دار المعرفة، بیروت،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المنار، محمّدرشید رضا، دار المعرفة للطّباعة و النّشر، بیروت،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المناهل، سیّد محمّد مجاهد، مؤسّسه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 رحلی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المنتظم، جمال الدّین عبد الرحمن بن علی الجوزی، دار الفکر، 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المطلب، علاّمه حلی، مجلد رحلی چاپ افست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منجَّزات المریض، مشکور حولاوی، انتشارات اسلامی وابسته به جامعه مدرّسین،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البراعة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نهج البلاغة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میرزا حبیب اللّه خویی، المکتبة الاسلامیّة،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منهاج‌الصّالحین، سیّدابوالقاسیم خویی، مکتبه لطفی، تهران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منهاج الصّالحین، سیّد محسن حکیم، دار التعارف للمطبوعات، بیروت،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قاضی ابن برّاج، انتشارات اسلامی وابسته به جامعه مدرّسین، قم،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البارع، ابن فهد حلی، انتشارات اسلامی وابسته به جامعه مدرّسین، قم،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موسوعة جمال عبدالناصر، وزارت اوقاف مصر،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المُوَطَّأ، مالک بن انس، دار احیاء التراث العربی، بیروت،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المیزان فی تفسیر القرآن، سیّد محمّدحسین طباطبایی، اسماعیلیان، قم،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ه ،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 به‌نظام اقتصادی اسلام، شهید مطهری، انتشارات صدرا،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پنجم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نگاهی به‌وقف و آثار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مصطفی سلیمی‌فَر، بنیاد پژوهشهای اسلامی،</w:t>
      </w:r>
    </w:p>
    <w:p>
      <w:pPr>
        <w:pStyle w:val="BookText"/>
        <w:rPr/>
      </w:pP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النهایة فی مجرد الفتاوی،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انتشارات قدس،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نهایة الاِحکام فی معرفة الاَحکام، علاّمه حلی، اسماعیلیان، قم،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نَیْلُ الاَوْطار، محمّدبن علی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الشّوکانی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دار الکتب العلمیّة، بیروت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محمّدبن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احیاء التراث العربی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الوسیلة،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الجوامع الفقهیّة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کتابخانه آیه‌ا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مرعشی،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وسیلة النّجاة، سیّد ابو الحسن اصفهانی، دار التعارف للمطبوعات، بیروت، </w:t>
      </w:r>
      <w:r>
        <w:rPr>
          <w:rFonts w:eastAsia="IRNazanin" w:cs="IRNazanin"/>
          <w:color w:val="111111"/>
          <w:sz w:val="28"/>
          <w:szCs w:val="28"/>
          <w:lang w:bidi="fa-IR"/>
        </w:rPr>
        <w:t>1397</w:t>
      </w:r>
      <w:r>
        <w:rPr>
          <w:rFonts w:ascii="IRNazanin" w:hAnsi="IRNazanin" w:eastAsia="IRNazanin"/>
          <w:color w:val="111111"/>
          <w:sz w:val="28"/>
          <w:sz w:val="28"/>
          <w:szCs w:val="28"/>
          <w:rtl w:val="true"/>
          <w:lang w:bidi="fa-IR"/>
        </w:rPr>
        <w:t>ه ، 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الوصایة و الاوقاف، هاشم معروف الحسنی، دار القلم، بیروت،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ه ،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وَفَیاتُ الاَعیان، احمد بن محمّدبن ابی 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صادر، بیروت،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میراث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سازمان اوقاف و امور خیریّه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وقف‌نامه رَبْع رشیدی، رشیدالدّین فضل‌اللّه همدانی، به‌کوشش مجتبی مینوی و ایرج افشار، سلسله انتشارات انجمن آثار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وقف و ساختار کتابخانه های اسلامی، یحیی محمود ساعاتی، ترجمه احمد امیری شادمهری، بنیاد پژوهشهای اسلامی آستان قدس رضوی، مشهد مقدّس،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یادگارهای یزد، ایرج افشار، سلسله انتشارات انجمن آثار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bookmarkStart w:id="1092" w:name="pg4267_22370"/>
    </w:p>
    <w:p>
      <w:pPr>
        <w:pStyle w:val="Heading2"/>
        <w:numPr>
          <w:ilvl w:val="1"/>
          <w:numId w:val="1"/>
        </w:numPr>
        <w:rPr/>
      </w:pPr>
      <w:bookmarkStart w:id="1093" w:name="__RefHeading___Toc474705_1479056682"/>
      <w:bookmarkStart w:id="1094" w:name="_Toc415"/>
      <w:bookmarkEnd w:id="1092"/>
      <w:bookmarkEnd w:id="1093"/>
      <w:r>
        <w:rPr>
          <w:rtl w:val="true"/>
        </w:rPr>
        <w:t>نمایه</w:t>
      </w:r>
      <w:bookmarkEnd w:id="1094"/>
    </w:p>
    <w:p>
      <w:pPr>
        <w:pStyle w:val="BookText"/>
        <w:rPr/>
      </w:pPr>
      <w:r>
        <w:rPr>
          <w:rFonts w:ascii="IRNazanin" w:hAnsi="IRNazanin" w:eastAsia="IRNazanin"/>
          <w:color w:val="111111"/>
          <w:sz w:val="28"/>
          <w:sz w:val="28"/>
          <w:szCs w:val="28"/>
          <w:rtl w:val="true"/>
          <w:lang w:bidi="fa-IR"/>
        </w:rPr>
        <w:t>آیات قرآنی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اَحَلَّ اللّهُ البَیْعَ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اَدْخِلُوا آلَ فِرعَوْنَ اَشدَّ الْعَذاب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لاِباءِهِمْ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اِلَی اللّه‌ِ الْمَصیِرُ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الاِنْسانَ لِیَطْغی اَنْ رَآهُ اسْتَغْنی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لِلّهِ وَ اِنّا اِلَیْهِ راجِعُونَ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انَّما الصَّدَقاتُ لِلْفُقراء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المُؤمِنُونَ اِخوَةٌ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یُریدُ اللّهُ لِیُذْهِبَ عَنْکُمُ‌الرِّجْسَ اَهْلَ الْبَیْتِ وَ یُطَهِّرَکُمْ تَطْهیرا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اوُلئکَ کَالاَنْعامِ بَلْ هُمْ 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عَلَیْکُم اُمَّهاتُکُم وَ بَناتُکُم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اَمْوالِهِم صَدَقَةً تُطَهِّرُهُمْ وَ تُزَکِّیهِمْ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فَاسْتَبِقُواالْخیْراتِ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فاَمّا مَنْ اَعْطی وَ اتَّقی وَ صَدَّقَ بِالْحُسْنی فَسَنُیَسِّرُهُ لِلْیُسْری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اللیل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لِلّهِ خُمُسَهُ وَ لِلرَّسُولِ وَ لِذِی‌الْقُرْبی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فَتَحریرُ رَقَبَةٍ 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کُتِبَ عَلَیْکُمُ الصِّیامُّ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لَعَلَّکُمْ تَتَّقُونَ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کُلُوا وَارْعَوْا اَنْعامَکُم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لاتَجِدُ قَوْما یُؤمِنُون بِاللّهِ وَالْیَوْمِ الآخِرِ یُوادّونَ مَنْ حادَّ اللّهَ وَ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مجادله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لایَسْتَوِی‌الْقاعِدُونَ مِنَ‌الْمُؤْمِنینَ غَیْرُ اُولیِ‌الضَّرَرِ وَالْمُجاهِدُونَ فی سَبیلِ‌اللّه‌ِ بِاَموالِهِمْ وَ اَنْفُسِهِم فَضَّلَ‌اللّه‌ُالْمُجاهِدینَ بِاَموالِهِم وَ اَنْفُسِهِمْ عَلَی‌القاعِدینَ 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ینهاکم اللّه عن الَّذینَ لَمْ‌یُقاتِلوُکُم فِی‌الدّینِ وَ لَمْ یُخْرِجُوکُمْ مِنْ دِیارِکُمْ 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ممتحنه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لیظهره علی الدین کلّه و لو کره المشرکون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لِیَقُومَ النّاسُ بِالقِسْطِ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بَحیرَهٍ وَ لا سائِبَةٍ وَ لا وَصیلَةٍ وَ لا حامٍ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الذینَ یُنفِقونَ اَموالَهُمْ فی سَبیلِ‌اللّه ثُمَّ لایُتْبِعونَ ما اَنفَقُوا مَنّاً وَ لااذیً لَهُمْ اَجْرُهُم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ذَاالْقُربی حقَّهُ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 رَبَّکَ حتّی یَأتِیَکَ‌الْیَقیُن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اَعِدُّو لَهُمْ مَااسْتَطَعْتم مِنْ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وَافْعَلوُا الْخَیْرَ لَعَلَّکُمْ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یَکْنِزُونَ الذَّهَبَ وَالْفِضَّةَ وَ لایُنْفِقونَها فیِ سَبِیلِ‌اللّه‌ِ فَبَشِّرْهُمْ بِعَذابٍ اَلیمٍ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الْمَساجِدَ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تَعاوَنوُا عَلَی‌الْبِرّ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حَلائِلُ اَبْناءِکُمُ الَّذینَ مِنْ اَصلابِکُم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فی الدّنیا مَعْروفا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لقمان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ما فِی بُطُون هذِهِ الاَنْعامِ خالصةٌ لِذُکُورِنا وَ مُحَرَّمٌ عَلی اَزْواجِنا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تَنْسَوُاالْفَضْلَ بَیْنَکُمْ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ولْتَنْظُرْ نَفْسٌ ما قَدَّمَتْ لِغَدٍ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یَجْعَلَ اللّهُ لِلکافِرینَ عَلَی الْمُؤمِنینَ سَبیِلاً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بَسَطَ اللّه‌ُ الرِّزْقَ لِعِبادِهِ لَبَغَوْا فِی‌الاَرْضِ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تَری اِذْ وُقِفوُا عَلیَ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تُنفِقُونَ اِلاّ ابْتِغاءَ وَجهِ‌اللّه‌ِ وَ ما تُنفِقُوا مِنْ خَیْرٍ یُوَفَّ اِلَیْکُمْ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ذُرِّیَّتِهِ داوُدَ وَ سُلَیْمانَ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وَعیسی وَاِلْیاسَ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اَقْرَبُ اِلَیْهِ مَنْ حَبْلِ الْوَرید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وَصّی بِها اِبْراهیمُ بَنیهِ ویَعقوبُ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اَنْشَاَکُمْ مِنْ‌الاَرْضِ وَ اسْتَعْمَرَکَمْ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اَیُّهاالَّذین آمَنوُا کُلُوا مِنْ طَیِّباتِ ما رَزَقْناکُمْ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یُوصیکُمُ اللّهُ فِی اَوْلادِکُمْ لِلذَّکَرِ مِثْلُ حَظِّ الاُنْثَیَیْنِ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احادیث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 رَجُلٌ مِنْ دینارِهِ وَ مِنْ دِرْهَمهِ وَ ثَوْبِهِ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الاْصلَ و سَبِّلِ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شِئتَ حَبَّستَ اَصلَها و تَصدَّقتَ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حَبْسَ بعدَ سورةِ 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محمّد بِاِطلاقِ الْحَبسِ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ابنُ آدَمَ انْقَطَع عَمَلُهُ اِلاّ مِنْ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جاریةٌ او علمٌ یُنْتَفَعُ بِهِ اَوْ 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اَحَدٍ مِنْ اَصْحابِ رَسول اللّهِ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وَقَدْ وَقَفَ وَ حَبَسَ اَرْضا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لَیْسَ یَتْبَعُ الرَّجُلَ بَعْدَ مَوْتِهِ مِنَ الاَجْرِ ِالاّ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اَجْراها فی حَیاتِهِ فَهِیَ تَجْری بَعْدَ مَوْتِهِ اِلی یَوْمِ القِیامَة وَ صَدَقَةٌ مَوقُوفَةٌ لا تُورَثُ</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 خِصالٍ یَنْتَفِعُ بِهَا المُؤمِنُ، مِنْ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صالِحٌ یَسْتَغْفِرُ لَهُ وَ مُصْحَفٌ یُقْرأ فیهِ وَ قَلیبٌ یَحْفِرُهُ وَ غَرْسٌ یَغْرِسُهُ وَ صَدَقَةُ ماءٍ یَجْرِیها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 ما یخْلفه الرّجُلُ بَعْدَهُ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 بارٌ یَسْتَغْفِرُ لَهُ وَ سُنَّةُ خیرٍ یُقتدی بِهِ‌فیها وَ صَدَقَةٌ تَجْری 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کانَتْ فی اَیْدینا فَدَکُ مِنْ کُلِّ ما اَظلَّتْهُ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منِّی مَن آذاها فَقَد آذانی وَ مَن آذانی فَقَد آذَی اللّهَ عزّ 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اَوْصَتْ بِهِ فاطِمَةُ بِنْتُ مُحّمدٍ صلی‌الله‌علیه‌و‌آله اَوْصَتْ بِحَوائِطِهَا 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الْعَواف و الدَّلال وَالْبُرقَة وَالْمَیْثَب وَالْحُسْنی وَ الصّافِیَة وَ مالِ اُمِّ اِبْراهیم اِلی عَلیِّ بْنِ اَبِی طالِبٍ فَاِنْ مَضَی فَاِلَی الْحَسَنِ فَاِنْ مَضَی الْحَسَنُ فَاِلَی الْحُسَیْنِ فَاِنْ مَضَی الْحُسَیْنُ فَاِلیَ اْلاَکْبَرِ مِنْ وُلْدی شَهِداللّهُ عَلی ذلِکَ والْمِقْدادُ بْنَ اْلاسْود والزُّبَیْربْنُ الْعَوام وَ کَتَب عَلِیّ علیه‌السلام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یَکُنْ اَحَدٌ مِنْ اَصْحابِ النَّبِی ذُو مَقْدُرَةٍ اِلاّ 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ما اُریدَ بِهِ وَجْهُ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یُباعُ اَصْلُها وَ لایُبتاعُ و لا یوُهَبُ وَ لا یوُرَثُ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حَبْسَ عَنْ فرائضِ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اِبْدأ بِنَفْسِکَ فَتَصَدَّق عَلَیْها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رآه الْمُسْلِمونَ حَسَنا فَهُوَ عِنْدَاللّه‌ِ حَسَنٌ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صَدَقَتُکَ عَلی غَیْرِ رَحِمِکَ صَدَقَةٌ وَ صَدَقَتُکَ عَلی رَحِمِکَ صَدَقَةٌ وَصِلَةٌ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اِبْنایَ هذانِ اِمامانِ قاما اَوْقَعَدا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اِنَّکِ لاِبنَةُ نَبِیٍ وَ اِنَّ عَمَّکِ لَنَبِیّ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 وَاللّهِ اَنَا لَوَلَدُهُ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ابْنی هذا سِیَّدٌ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اِعْدِلُوا بَیْنَ اَبْناءَکُمْ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اْلاَصْلَ وَ سَبِّلِ الثَّمَرَةَ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هِیَ لِمَنْ حَضَرالْبَلَد الَّذی فیهِ 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عَلی حَسَبِ ما یَقِفُها اَهْلُها اِنْ شاءَاللّه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عَلی اَمْوالِهِمْ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اشْتَرَطَ شرطا سِوی کِتابِ اللّهِ فَلا یَجُوزُ ذلِکَ لَهُ وَ لا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 اِلاّ کُلُّ شَرْطٍ خالَفَ کِتابَ‌اللّه‌ِ عَزَّ وَ جَلَّ فَلا یَجُوُزُ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شَرْطٍ خالَفَ کِتابَ‌اللّه‌ِ فَهُوَ مَرْدُودٌ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مَعْروُفٍ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شِراءُالْوَقْفِ وَ لا تَدْخُلُ‌الْغَلَّةُ فی مِلکِکَ ادْفَعْها اِلی ما اَوْقَفْتَ عَلَیْه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یُباعُ اَصْلُها وَ لا یوُهَبُ وَ لا یوُرَثُ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یُباعُ وَ لا یُوهَبُ وَ لا یوُرَثُ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شِراءُالْوَقْفِ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سأَلْتَ اَبَالْحَسَنِ علیه السلام؛ مالِلرَّجُلِ مِنْ مالِهِ عِنْدَ مَوْتِهِ؟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 الثُّلْثُ کَثیرٌ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لا یُرجَعُ فِی الصَّدَقَةِ اِذا ابْتُغِیَ بِها وَجهُ اللّهِ عَزَّ وَ جَلَّ،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اَیُّما رَجُلٍ اَعْمَرَ عُمری لَهُ وَ لِعَقِبِهِ فَاِنَّها لِلَّذی یُعْطاها لا یَرْجِعُ اِلَی الَّذی اَعْطاها اَبَدا لأِنَّهُ اَعْطی عَطاءً وَقَعَتْ فِیهِ‌الْمَواریثُ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جائِزَةٌ لأِهْلِها وَالرقبی جائِزَةٌ لأِهْلِها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اَعْمَرَ عمری فَهِیَ لِمَنْ اَعْمَرَها حَیّا وَ مَیِّتا وَ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اَلْعمری لِمَنْ وَهَبْتَ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تُرْقِبوُا وَ لا تُعْمِروُا فَمَنْ اَرْقَبَ شَیْئا اَوْ اَعْمَرَ شَیْئا فَهُوَ لِوَرَثَتِهِ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رَأَیْتَ الْفَقْرَ مُقْبِلاً فَقُلْ مَرْحَبا بِشِعارِالصّالِحینَ وَ اِذا رَأَیْتَ الْغِنی مُقْبِلاً فَقُلْ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 عَجَّلَتْ عُقوُبَتُهُ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فَخْری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اَزْیَنُ لِلْمُؤْمِنینَ مِنَ الْعِذارِ عَلی خَدِّ الْفَرَسِ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لَمِنْ اَکْثَرِ اَهْلِ الْمَدینَةِ 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یَبْلُغُ اَحَدُکُمْ حَقیقَةَ الاْیمانِ حتّی یَکوُنَ الْفَقْرُ اَحَبَّ اِلَیْهِ مِنَ‌الْغِنی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ماءا وَ تُرابا ثُمَ‌افْتَقَرَ فَاَبْعَدَهُ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عَلی تَقْوَی اللّهِ الْغِنی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مَتْجَرُ اَوْلِیاءِ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اَلدُّنْیا مَزْرَعَةُ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اْلاَکْبَرُ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کادَ اَنْ یَکونَ کُفْرا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الدُّنْیا عَلَی 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الْمُتَّقِینَ ذَهَبُوا بِعاجِلِ‌الدُّنْیا وَ آجِلِ‌الآخِرَةِ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وَجَدَ ماءً وَ تُرابا ثُمَّ افْتَقَرَ فَاَبْعَدَهُ‌اللّه‌ُ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اَعْطَیْتَ فَاَغْنِهِ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عَلِیُّ بْنُ اَبی طالِبٍ، وَ هُوَ حَیٌّ سَوِیٌّ، تَصَدَّقَ بِدارِهِ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ماتَ ابْنُ آدَمَ انْقَطَعَ عَمَلُهُ اِلاّمِنْ ثَلاثٍ، صَدَقةٍ جارِیَةٍ وَ</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تَصَدَّقَ بِهِ عَلِیُّ بْنُ اَبی طالِبٍ، وَ هُوَ حَیٌّ سَوِیٌّ، تَصَدَّقَ بِدارِهِ الَّتی فی بَنی زُرَیْق، صَدَقَةً لا تُباعُ وَ لا تُوهَبُ حتّی یَرِثَهَا اللّهُ الَّذی یَرِثُ السَّمواتِ وَالْاَرْضَ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یَجوُزُ شِراءُالْوَقْفِ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اَوْفوُا بِالْعُقوُدِ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اَحَقُّ بِمالِهِ مادامَ فیهِ الرُّوُحُ، اِذا اَوْصی بِهِ‌کُلِّهِ فَهُوَ جائِزٌ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363</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اِحْتَجْ اِلی مَنْ شِئتَ تَکُنْ اَسیرَهُ، اِسْتَغْنِ عَمَّن شِئْتَ تَکُنْ نَظیرَهُ وَ اَحْسِنْ اِلی مَنْ شِئْتَ تَکُنْ اَمیرَهُ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نامها، مکانها ، فرق</w:t>
      </w:r>
    </w:p>
    <w:p>
      <w:pPr>
        <w:pStyle w:val="BookText"/>
        <w:rPr/>
      </w:pPr>
      <w:r>
        <w:rPr>
          <w:rFonts w:ascii="IRNazanin" w:hAnsi="IRNazanin" w:eastAsia="IRNazanin"/>
          <w:color w:val="111111"/>
          <w:sz w:val="28"/>
          <w:sz w:val="28"/>
          <w:szCs w:val="28"/>
          <w:rtl w:val="true"/>
          <w:lang w:bidi="fa-IR"/>
        </w:rPr>
        <w:t>آ</w:t>
      </w:r>
    </w:p>
    <w:p>
      <w:pPr>
        <w:pStyle w:val="BookText"/>
        <w:rPr/>
      </w:pPr>
      <w:r>
        <w:rPr>
          <w:rFonts w:ascii="IRNazanin" w:hAnsi="IRNazanin" w:eastAsia="IRNazanin"/>
          <w:color w:val="111111"/>
          <w:sz w:val="28"/>
          <w:sz w:val="28"/>
          <w:szCs w:val="28"/>
          <w:rtl w:val="true"/>
          <w:lang w:bidi="fa-IR"/>
        </w:rPr>
        <w:t xml:space="preserve">آبکوه،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آتشکده آذرگشسب بلخ،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آذربایجان،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آریائی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آفریقا،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آلمان،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 xml:space="preserve">آلمانیها،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آمریکا،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آل ابی‌طالب،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آل بویه،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آل رسول‌اللّه، </w:t>
      </w:r>
      <w:r>
        <w:rPr>
          <w:rFonts w:eastAsia="IRNazanin" w:cs="IRNazanin"/>
          <w:color w:val="111111"/>
          <w:sz w:val="28"/>
          <w:szCs w:val="28"/>
          <w:lang w:bidi="fa-IR"/>
        </w:rPr>
        <w:t>198</w:t>
      </w:r>
    </w:p>
    <w:p>
      <w:pPr>
        <w:pStyle w:val="BookText"/>
        <w:rPr/>
      </w:pPr>
      <w:r>
        <w:rPr>
          <w:rFonts w:ascii="Amiri" w:hAnsi="Amiri" w:eastAsia="Amiri" w:cs="Amiri"/>
          <w:color w:val="111111"/>
          <w:sz w:val="28"/>
          <w:sz w:val="28"/>
          <w:szCs w:val="28"/>
          <w:rtl w:val="true"/>
          <w:lang w:bidi="ar-SA"/>
        </w:rPr>
        <w:t xml:space="preserve">آل محمّد، </w:t>
      </w:r>
      <w:r>
        <w:rPr>
          <w:rFonts w:eastAsia="Amiri" w:cs="Amiri" w:ascii="Amiri" w:hAnsi="Amiri"/>
          <w:color w:val="111111"/>
          <w:sz w:val="28"/>
          <w:szCs w:val="28"/>
          <w:lang w:bidi="ar-SA"/>
        </w:rPr>
        <w:t>53</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ائمه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معصوم،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ابراهیم‌بن محمدبن یحیی مدنی،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ابراهیم‌بن موسی‌بن جعفر،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ابن ابی‌الحدید،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ابن ابی لیلی،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 xml:space="preserve">ابن اثیر،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ابن اذینه،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ابن اعرابی، </w:t>
      </w:r>
      <w:r>
        <w:rPr>
          <w:rFonts w:eastAsia="IRNazanin" w:cs="IRNazanin"/>
          <w:color w:val="111111"/>
          <w:sz w:val="28"/>
          <w:szCs w:val="28"/>
          <w:lang w:bidi="fa-IR"/>
        </w:rPr>
        <w:t>188</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براج،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بشرمه،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ابن بطوطه،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ابن تیمیه،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 xml:space="preserve">ابن جنید،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ابن حجر عسقلانی،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ابن حزم اندلسی،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ابن حسام هندی،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ابن حمزه،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ابن خلدون،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ابن دجانه،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ابن زهره،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ابن سنان،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ابن عباس،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ابن عمر،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ابن فهد حلّی حلّی، ابن فهد</w:t>
      </w:r>
    </w:p>
    <w:p>
      <w:pPr>
        <w:pStyle w:val="BookText"/>
        <w:rPr/>
      </w:pPr>
      <w:r>
        <w:rPr>
          <w:rFonts w:ascii="IRNazanin" w:hAnsi="IRNazanin" w:eastAsia="IRNazanin"/>
          <w:color w:val="111111"/>
          <w:sz w:val="28"/>
          <w:sz w:val="28"/>
          <w:szCs w:val="28"/>
          <w:rtl w:val="true"/>
          <w:lang w:bidi="fa-IR"/>
        </w:rPr>
        <w:t xml:space="preserve">ابن فهر،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ابن قاضی الجبل الحنبلی،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ابن قدامه،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ابن قیم جوزیه،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ابن مسعود،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 xml:space="preserve">ابن منیر،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ابن نجیم،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ابن هشام،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ابواسحاق شیرازی،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ابوبصیر،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ابوبکر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ابوبکر اصم،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ابوثور،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ابو جعفر، </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ابو حامد غزالی غزالی، ابو حامد</w:t>
      </w:r>
    </w:p>
    <w:p>
      <w:pPr>
        <w:pStyle w:val="BookText"/>
        <w:rPr/>
      </w:pPr>
      <w:r>
        <w:rPr>
          <w:rFonts w:ascii="IRNazanin" w:hAnsi="IRNazanin" w:eastAsia="IRNazanin"/>
          <w:color w:val="111111"/>
          <w:sz w:val="28"/>
          <w:sz w:val="28"/>
          <w:szCs w:val="28"/>
          <w:rtl w:val="true"/>
          <w:lang w:bidi="fa-IR"/>
        </w:rPr>
        <w:t xml:space="preserve">ابو حنیفه،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ابوحیان نحوی،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ابوذر غفاری،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ابوزهره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ابوزهره</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سعید خدری،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 الصلاح حلبی حلبی، ابو الصلاح</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 طلحه انصاری،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ابو عبید،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ابو معقل،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 xml:space="preserve">ابونصر صباغ،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ابو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شاگرد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ابویعلی،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ابو یوسف،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ابی علی،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ابی‌بن کعب،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ابی الصباغ کنانی،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ابی ولاد،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اتابک،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احد،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احمدبن حنبل،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احمدبن هانی‌بن الاشرم،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اراک،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اردبیل،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اردبیلی، ملااحمد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ارغیانی، رضا،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اسدبن فرات،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اسفراین،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اسکافی،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 xml:space="preserve">اسماعیل‌بن ابراهیم،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اسماعیل‌بن فضل،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اسماعیل‌بن موسی‌بن جعفر،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اسماعیل‌بن یسع کندی،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اسماعیلیه،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اسمیت، آدام،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اشتهاردی، علی پناه،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اشعری،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اصحاب حدیث،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اصفهانی، داود داودبن علی‌بن خلف اصفهانی</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اصفهانی، سیدابوالحسن،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اعواف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افشار، ایرج،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الهی خراسانی،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الجزایر،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الیاس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ام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ماریه قبطیه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امام 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امام حسین‌بن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علی‌بن موسی‌الرضا</w:t>
      </w:r>
    </w:p>
    <w:p>
      <w:pPr>
        <w:pStyle w:val="BookText"/>
        <w:rPr/>
      </w:pPr>
      <w:r>
        <w:rPr>
          <w:rFonts w:ascii="IRNazanin" w:hAnsi="IRNazanin" w:eastAsia="IRNazanin"/>
          <w:color w:val="111111"/>
          <w:sz w:val="28"/>
          <w:sz w:val="28"/>
          <w:szCs w:val="28"/>
          <w:rtl w:val="true"/>
          <w:lang w:bidi="fa-IR"/>
        </w:rPr>
        <w:t>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 xml:space="preserve">امام عسکری،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امیرالمؤنین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علی‌بن موسی‌الرضا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امام موسی‌بن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هفتم امام کاظم</w:t>
      </w:r>
    </w:p>
    <w:p>
      <w:pPr>
        <w:pStyle w:val="BookText"/>
        <w:rPr/>
      </w:pPr>
      <w:r>
        <w:rPr>
          <w:rFonts w:ascii="IRNazanin" w:hAnsi="IRNazanin" w:eastAsia="IRNazanin"/>
          <w:color w:val="111111"/>
          <w:sz w:val="28"/>
          <w:sz w:val="28"/>
          <w:szCs w:val="28"/>
          <w:rtl w:val="true"/>
          <w:lang w:bidi="fa-IR"/>
        </w:rPr>
        <w:t xml:space="preserve">امامی، سیدحسن،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امام یحیی، </w:t>
      </w:r>
      <w:r>
        <w:rPr>
          <w:rFonts w:eastAsia="IRNazanin" w:cs="IRNazanin"/>
          <w:color w:val="111111"/>
          <w:sz w:val="28"/>
          <w:szCs w:val="28"/>
          <w:lang w:bidi="fa-IR"/>
        </w:rPr>
        <w:t>149</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ام ایمن،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انس‌بن مالک،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انس زرقاء،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انصار،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انصاری، ابوطلحه،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انصاری، شیخ مرتضی،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انگلوساکسون،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اهل ذمه،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 xml:space="preserve">اهل سنّت،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ایذه،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ایران،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ایرانیان قدیم،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ایلخانان مغول،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ایوب‌بن عطیه حذاء،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بئررومه،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 xml:space="preserve">بابل،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بازار مدینه،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بافق،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بجنوردی، سیدحسن،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بحرانی، ابن میثم،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بحرانی، شیخ 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حدائق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برزیل،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برقه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بستانی،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بغداد،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بلخ،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بنی امیه،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بنی تمیم، </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 xml:space="preserve">بنی زریق،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بنی عبدالمطلب،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بنی قریظه، </w:t>
      </w:r>
      <w:r>
        <w:rPr>
          <w:rFonts w:eastAsia="IRNazanin" w:cs="IRNazanin"/>
          <w:color w:val="111111"/>
          <w:sz w:val="28"/>
          <w:szCs w:val="28"/>
          <w:lang w:bidi="fa-IR"/>
        </w:rPr>
        <w:t>54</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بنی النجار،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بنی نضیر،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بنی هاشم،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بوشهر،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بویراحمد،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بهائی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بیت‌الحکم،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بیت اللّه الحرام، </w:t>
      </w:r>
      <w:r>
        <w:rPr>
          <w:rFonts w:eastAsia="IRNazanin" w:cs="IRNazanin"/>
          <w:color w:val="111111"/>
          <w:sz w:val="28"/>
          <w:szCs w:val="28"/>
          <w:lang w:bidi="fa-IR"/>
        </w:rPr>
        <w:t>431</w:t>
      </w:r>
    </w:p>
    <w:p>
      <w:pPr>
        <w:pStyle w:val="BookText"/>
        <w:rPr/>
      </w:pPr>
      <w:r>
        <w:rPr>
          <w:rFonts w:ascii="Amiri" w:hAnsi="Amiri" w:eastAsia="Amiri" w:cs="Amiri"/>
          <w:color w:val="111111"/>
          <w:sz w:val="28"/>
          <w:sz w:val="28"/>
          <w:szCs w:val="28"/>
          <w:rtl w:val="true"/>
          <w:lang w:bidi="ar-SA"/>
        </w:rPr>
        <w:t xml:space="preserve">بَیْرُحاء، </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بیمارستان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بیمارستان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تختخوابی دانشگاه امام‌رضا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بیمارستان عضدی،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بیمارستانهای علی‌بن موسی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پهلوان‌زاده، احمد،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 xml:space="preserve">پیرنیا،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تاج‌الدین نسائی،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تربت حیدریه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ترمذی،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تسخیری،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تشیع،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شیعه</w:t>
      </w:r>
    </w:p>
    <w:p>
      <w:pPr>
        <w:pStyle w:val="BookText"/>
        <w:rPr/>
      </w:pPr>
      <w:r>
        <w:rPr>
          <w:rFonts w:ascii="IRNazanin" w:hAnsi="IRNazanin" w:eastAsia="IRNazanin"/>
          <w:color w:val="111111"/>
          <w:sz w:val="28"/>
          <w:sz w:val="28"/>
          <w:szCs w:val="28"/>
          <w:rtl w:val="true"/>
          <w:lang w:bidi="fa-IR"/>
        </w:rPr>
        <w:t xml:space="preserve">تغلب،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تمیمی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تونس،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ث</w:t>
      </w:r>
    </w:p>
    <w:p>
      <w:pPr>
        <w:pStyle w:val="BookText"/>
        <w:rPr/>
      </w:pPr>
      <w:r>
        <w:rPr>
          <w:rFonts w:ascii="IRNazanin" w:hAnsi="IRNazanin" w:eastAsia="IRNazanin"/>
          <w:color w:val="111111"/>
          <w:sz w:val="28"/>
          <w:sz w:val="28"/>
          <w:szCs w:val="28"/>
          <w:rtl w:val="true"/>
          <w:lang w:bidi="fa-IR"/>
        </w:rPr>
        <w:t xml:space="preserve">ثوری،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جابربن عبداللّه،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جارودیه،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جبرائیل‌بن عبیداللّه‌بن بختیشوع،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جرجانی، شریف،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جرجی زیدان،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جعفربن حنان،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جعفربن محمد،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جمال عبدالناصر،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جنگلهای قدس،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جنوب خراسان، </w:t>
      </w:r>
      <w:r>
        <w:rPr>
          <w:rFonts w:eastAsia="IRNazanin" w:cs="IRNazanin"/>
          <w:color w:val="111111"/>
          <w:sz w:val="28"/>
          <w:szCs w:val="28"/>
          <w:lang w:bidi="fa-IR"/>
        </w:rPr>
        <w:t>418</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جواهر کلام، عبدالعزیز،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محمدحسن‌بن محمدباقر 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p>
    <w:p>
      <w:pPr>
        <w:pStyle w:val="BookText"/>
        <w:rPr/>
      </w:pPr>
      <w:r>
        <w:rPr>
          <w:rFonts w:ascii="IRNazanin" w:hAnsi="IRNazanin" w:eastAsia="IRNazanin"/>
          <w:color w:val="111111"/>
          <w:sz w:val="28"/>
          <w:sz w:val="28"/>
          <w:szCs w:val="28"/>
          <w:rtl w:val="true"/>
          <w:lang w:bidi="fa-IR"/>
        </w:rPr>
        <w:t xml:space="preserve">جوهری، احمدبن عبدالعزیز،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جوهری، اسماعیل،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چ</w:t>
      </w:r>
    </w:p>
    <w:p>
      <w:pPr>
        <w:pStyle w:val="BookText"/>
        <w:rPr/>
      </w:pPr>
      <w:r>
        <w:rPr>
          <w:rFonts w:ascii="IRNazanin" w:hAnsi="IRNazanin" w:eastAsia="IRNazanin"/>
          <w:color w:val="111111"/>
          <w:sz w:val="28"/>
          <w:sz w:val="28"/>
          <w:szCs w:val="28"/>
          <w:rtl w:val="true"/>
          <w:lang w:bidi="fa-IR"/>
        </w:rPr>
        <w:t xml:space="preserve">چناران،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چهارمحال بختیاری،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حائری یزدی، محمدحسن،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حجاج،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 xml:space="preserve">حرّ عاملی،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 xml:space="preserve">حسان‌بن ثابت،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حستنیان،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فتوا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حسن زعفرانی،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حسین‌بن نعیم،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حسینیه،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حکیم‌بن ناصر،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حکیم‌بن حزام،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حکیم، سیدمحسن،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حلبی،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حلبی، ابوالصلاح،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 xml:space="preserve">حلّی، ابن ادریس،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حلّی، ابن سعید،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حلّی، ابن فهد،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حلی، جعفربن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حلّی حسن‌بن یوسف‌بن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حلّی، فخرالمحققین،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حمادبن عثمان،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حمران،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حمیری، </w:t>
      </w:r>
      <w:r>
        <w:rPr>
          <w:rFonts w:eastAsia="IRNazanin" w:cs="IRNazanin"/>
          <w:color w:val="111111"/>
          <w:sz w:val="28"/>
          <w:szCs w:val="28"/>
          <w:lang w:bidi="fa-IR"/>
        </w:rPr>
        <w:t>317</w:t>
      </w:r>
    </w:p>
    <w:p>
      <w:pPr>
        <w:pStyle w:val="BookText"/>
        <w:rPr/>
      </w:pPr>
      <w:r>
        <w:rPr>
          <w:rFonts w:ascii="IRNazanin" w:hAnsi="IRNazanin" w:eastAsia="IRNazanin"/>
          <w:color w:val="111111"/>
          <w:sz w:val="28"/>
          <w:sz w:val="28"/>
          <w:szCs w:val="28"/>
          <w:rtl w:val="true"/>
          <w:lang w:bidi="fa-IR"/>
        </w:rPr>
        <w:t>حنابله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حنبلی، حنبلیه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حنفی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حوائط سبعه،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Amiri" w:hAnsi="Amiri" w:eastAsia="Amiri" w:cs="Amiri"/>
          <w:color w:val="111111"/>
          <w:sz w:val="28"/>
          <w:sz w:val="28"/>
          <w:szCs w:val="28"/>
          <w:rtl w:val="true"/>
          <w:lang w:bidi="ar-SA"/>
        </w:rPr>
        <w:t xml:space="preserve">حیّ‌بن اخطب، </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 xml:space="preserve">خراسان،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خرقی، ابوالقاسم،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خزانة الکتب،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خصاف،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خلیل‌بن احمد،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خوئی، سیدابوالقاسم،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خوئی، سیدمحمدتقی، </w:t>
      </w:r>
      <w:r>
        <w:rPr>
          <w:rFonts w:eastAsia="IRNazanin" w:cs="IRNazanin"/>
          <w:color w:val="111111"/>
          <w:sz w:val="28"/>
          <w:szCs w:val="28"/>
          <w:lang w:bidi="fa-IR"/>
        </w:rPr>
        <w:t>247</w:t>
      </w:r>
    </w:p>
    <w:p>
      <w:pPr>
        <w:pStyle w:val="BookText"/>
        <w:rPr/>
      </w:pPr>
      <w:r>
        <w:rPr>
          <w:rFonts w:ascii="IRNazanin" w:hAnsi="IRNazanin" w:eastAsia="IRNazanin"/>
          <w:color w:val="111111"/>
          <w:sz w:val="28"/>
          <w:sz w:val="28"/>
          <w:szCs w:val="28"/>
          <w:rtl w:val="true"/>
          <w:lang w:bidi="fa-IR"/>
        </w:rPr>
        <w:t xml:space="preserve">خوئی، میرزا حبیب اللّه،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خوارزمی، محمّد،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خوانساری، سیداحمد،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خوزستان، </w:t>
      </w:r>
      <w:r>
        <w:rPr>
          <w:rFonts w:eastAsia="IRNazanin" w:cs="IRNazanin"/>
          <w:color w:val="111111"/>
          <w:sz w:val="28"/>
          <w:szCs w:val="28"/>
          <w:lang w:bidi="fa-IR"/>
        </w:rPr>
        <w:t>433</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خیبر،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دانشگاه فردوسی،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دانشگاه لندن،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داودبن علی ظاهری،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دجله،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دلال حوائط،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دهخدا،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راغب اصفهانی،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راوندی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راوندی، مرتضی،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راه آهن مشهد سرخس،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ربع رشیدی،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ربعی‌بن عبداللّه،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ربیعة الرأی،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رشیدالدین فضل اللّه همدانی،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رشید رضا،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رضا شاه،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رضویه،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روم، رومیان،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ریکاردو،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ز</w:t>
      </w:r>
    </w:p>
    <w:p>
      <w:pPr>
        <w:pStyle w:val="BookText"/>
        <w:rPr/>
      </w:pPr>
      <w:r>
        <w:rPr>
          <w:rFonts w:ascii="IRNazanin" w:hAnsi="IRNazanin" w:eastAsia="IRNazanin"/>
          <w:color w:val="111111"/>
          <w:sz w:val="28"/>
          <w:sz w:val="28"/>
          <w:szCs w:val="28"/>
          <w:rtl w:val="true"/>
          <w:lang w:bidi="fa-IR"/>
        </w:rPr>
        <w:t xml:space="preserve">زبیر،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زراره،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زفر،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زنجان،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زوزن،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زهدی یکن،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زهری،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زیادبن ابی زیاد،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زیدبن حارثه،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زیدبن علی‌بن الحسین، </w:t>
      </w:r>
      <w:r>
        <w:rPr>
          <w:rFonts w:eastAsia="IRNazanin" w:cs="IRNazanin"/>
          <w:color w:val="111111"/>
          <w:sz w:val="28"/>
          <w:szCs w:val="28"/>
          <w:lang w:bidi="fa-IR"/>
        </w:rPr>
        <w:t>199</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زیدیه،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زین العابدین،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ساعاتی، یحیی محمود،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سبزواری، محمدباقر،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lang w:bidi="fa-IR"/>
        </w:rPr>
        <w:t>،</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سپنتا، عبدالحسین،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سحنون،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سرخس،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سرخسی، شمس‌الدّین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سعدبن ابی وقاص،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سعیدیه،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سفیان‌بن عیینه،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سلاله،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سلیمی، مصطفی،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سماعه،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سمرقندی، لیث،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سمنان،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سوئیس،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سهروردی، شهاب‌الدین،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سهل‌بن حنیف،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سیدقطب،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سیدمرتضی،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شریف‌المرتضی</w:t>
      </w:r>
    </w:p>
    <w:p>
      <w:pPr>
        <w:pStyle w:val="BookText"/>
        <w:rPr/>
      </w:pPr>
      <w:r>
        <w:rPr>
          <w:rFonts w:ascii="IRNazanin" w:hAnsi="IRNazanin" w:eastAsia="IRNazanin"/>
          <w:color w:val="111111"/>
          <w:sz w:val="28"/>
          <w:sz w:val="28"/>
          <w:szCs w:val="28"/>
          <w:rtl w:val="true"/>
          <w:lang w:bidi="fa-IR"/>
        </w:rPr>
        <w:t xml:space="preserve">سیرجان،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سیستان و بلوچستان،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شاه عباس اول، </w:t>
      </w:r>
      <w:r>
        <w:rPr>
          <w:rFonts w:eastAsia="IRNazanin" w:cs="IRNazanin"/>
          <w:color w:val="111111"/>
          <w:sz w:val="28"/>
          <w:szCs w:val="28"/>
          <w:lang w:bidi="fa-IR"/>
        </w:rPr>
        <w:t>437</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شربینی، محمدالخطیب،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شرق،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شریح،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شریعتمداری، جعفر،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شریف المرتضی،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شعبی،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شفیعیه یزد،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شفیق شماته،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شوکانی، محمدبن علی،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 xml:space="preserve">شهابی، علی اکبر،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شهرستان رشیدی،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 xml:space="preserve">شهرستانی،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شهید اول،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شیبانی، محمدبن حسن،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w:t>
      </w:r>
    </w:p>
    <w:p>
      <w:pPr>
        <w:pStyle w:val="BookText"/>
        <w:rPr/>
      </w:pPr>
      <w:r>
        <w:rPr>
          <w:rFonts w:ascii="IRNazanin" w:hAnsi="IRNazanin" w:eastAsia="IRNazanin"/>
          <w:color w:val="111111"/>
          <w:sz w:val="28"/>
          <w:sz w:val="28"/>
          <w:szCs w:val="28"/>
          <w:rtl w:val="true"/>
          <w:lang w:bidi="fa-IR"/>
        </w:rPr>
        <w:t>حسن شیبانی</w:t>
      </w:r>
    </w:p>
    <w:p>
      <w:pPr>
        <w:pStyle w:val="BookText"/>
        <w:rPr/>
      </w:pPr>
      <w:r>
        <w:rPr>
          <w:rFonts w:ascii="IRNazanin" w:hAnsi="IRNazanin" w:eastAsia="IRNazanin"/>
          <w:color w:val="111111"/>
          <w:sz w:val="28"/>
          <w:sz w:val="28"/>
          <w:szCs w:val="28"/>
          <w:rtl w:val="true"/>
          <w:lang w:bidi="fa-IR"/>
        </w:rPr>
        <w:t>شیخ انصاری انصاری، شیخ مرتضی</w:t>
      </w:r>
    </w:p>
    <w:p>
      <w:pPr>
        <w:pStyle w:val="BookText"/>
        <w:rPr/>
      </w:pPr>
      <w:r>
        <w:rPr>
          <w:rFonts w:ascii="IRNazanin" w:hAnsi="IRNazanin" w:eastAsia="IRNazanin"/>
          <w:color w:val="111111"/>
          <w:sz w:val="28"/>
          <w:sz w:val="28"/>
          <w:szCs w:val="28"/>
          <w:rtl w:val="true"/>
          <w:lang w:bidi="fa-IR"/>
        </w:rPr>
        <w:t xml:space="preserve">شیخ بهائی،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شیرازی، سیدمحمّد،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شیعه،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صائبیه، </w:t>
      </w:r>
      <w:r>
        <w:rPr>
          <w:rFonts w:eastAsia="IRNazanin" w:cs="IRNazanin"/>
          <w:color w:val="111111"/>
          <w:sz w:val="28"/>
          <w:szCs w:val="28"/>
          <w:lang w:bidi="fa-IR"/>
        </w:rPr>
        <w:t>33</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محمدحسن‌بن محمدباقر نجفی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یوسف بحرانی</w:t>
      </w:r>
    </w:p>
    <w:p>
      <w:pPr>
        <w:pStyle w:val="BookText"/>
        <w:rPr/>
      </w:pPr>
      <w:r>
        <w:rPr>
          <w:rFonts w:ascii="IRNazanin" w:hAnsi="IRNazanin" w:eastAsia="IRNazanin"/>
          <w:color w:val="111111"/>
          <w:sz w:val="28"/>
          <w:sz w:val="28"/>
          <w:szCs w:val="28"/>
          <w:rtl w:val="true"/>
          <w:lang w:bidi="fa-IR"/>
        </w:rPr>
        <w:t>بحرانی، شیخ یوسف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روضات،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صاحب ریاض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سیدعلی طباطبائی کربلائی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صاحب الشرح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الدردیر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صاحب عروه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سیدمحمدکاظم 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صاحب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سیدمحمدبن علی موسوی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صاحب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زین‌الدّین‌بن علی، 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صاحب مفاتیح الشرایع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ملامحسن فیض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صاحب مفتاح الکرامة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سیدمحمدجواد حسینی عاملی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صاحب وسیلة،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الصافیة،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حوائط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صالحیه،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الصاوی،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صبحی صالح،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صدر، سیدحسن،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صدر، سیدمحمدباقر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صعصعه‌بن صوحان،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صفار محمدجواد،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صفوان،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 xml:space="preserve">صفویه،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صفیه بنت حی‌بن اخطب،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صنعا،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صنعانی، محمّدبن اسماعیل،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طاووس، </w:t>
      </w:r>
      <w:r>
        <w:rPr>
          <w:rFonts w:eastAsia="IRNazanin" w:cs="IRNazanin"/>
          <w:color w:val="111111"/>
          <w:sz w:val="28"/>
          <w:szCs w:val="28"/>
          <w:lang w:bidi="fa-IR"/>
        </w:rPr>
        <w:t>388</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طباطبائی، سیدمحمدحسین،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طباطبائی، سیدمحمّد کاظم،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صاحب عروه</w:t>
      </w:r>
    </w:p>
    <w:p>
      <w:pPr>
        <w:pStyle w:val="BookText"/>
        <w:rPr/>
      </w:pPr>
      <w:r>
        <w:rPr>
          <w:rFonts w:ascii="IRNazanin" w:hAnsi="IRNazanin" w:eastAsia="IRNazanin"/>
          <w:color w:val="111111"/>
          <w:sz w:val="28"/>
          <w:sz w:val="28"/>
          <w:szCs w:val="28"/>
          <w:rtl w:val="true"/>
          <w:lang w:bidi="fa-IR"/>
        </w:rPr>
        <w:t xml:space="preserve">طباطبائی کربلائی، سیدعلی،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صاحب ریاض</w:t>
      </w:r>
    </w:p>
    <w:p>
      <w:p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طبری محمدبن جریر،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طحاوی، احمدبن محمّد،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طرابلس،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طرق،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طریحی، فخرالدین،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طلحه،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طوسی، ابوجعفر 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ظ ظاهری،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ظاهریه،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عاملی، شیخ حر،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سیدمحمد جوادحسینی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مفتاح الکرامة</w:t>
      </w:r>
    </w:p>
    <w:p>
      <w:pPr>
        <w:pStyle w:val="BookText"/>
        <w:rPr/>
      </w:pP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عباس‌بن موسی‌بن جعفر،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خلفای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عبدالحکم جحمی،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عبدالرحمن‌بن حجاج،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 xml:space="preserve">عبداللّه افطح،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عبداللّه‌بن احمدبن حنبل،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عبداللّه‌بن زید،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عبداللّه‌بن عمر،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عبداللّه‌بن وهب،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عبداللّه جبوری، </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 xml:space="preserve">عبداللّه علی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عبداللهی‌نژاد، عبدالکریم، </w:t>
      </w:r>
      <w:r>
        <w:rPr>
          <w:rFonts w:eastAsia="IRNazanin" w:cs="IRNazanin"/>
          <w:color w:val="111111"/>
          <w:sz w:val="28"/>
          <w:szCs w:val="28"/>
          <w:lang w:bidi="fa-IR"/>
        </w:rPr>
        <w:t>19</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عبدالمطلب‌بن هاشم‌بن عبد مناف،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عبیدبن زرارة،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 xml:space="preserve">عثمان‌بن عفان،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عثمانی،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عجلان،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عراقیهای قدیم،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عرفات،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عروه‌بن زبیر،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العزیز باللّه،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عسکری، سیدمرتضی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عضدالدوله دیلمی،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عطاء،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عطاءبن سائب،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علویه،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امیرمؤنان</w:t>
      </w:r>
    </w:p>
    <w:p>
      <w:pPr>
        <w:pStyle w:val="BookText"/>
        <w:rPr/>
      </w:pPr>
      <w:r>
        <w:rPr>
          <w:rFonts w:ascii="IRNazanin" w:hAnsi="IRNazanin" w:eastAsia="IRNazanin"/>
          <w:color w:val="111111"/>
          <w:sz w:val="28"/>
          <w:sz w:val="28"/>
          <w:szCs w:val="28"/>
          <w:rtl w:val="true"/>
          <w:lang w:bidi="fa-IR"/>
        </w:rPr>
        <w:t xml:space="preserve">علی‌بن ابراهیم‌بن بکس، </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علی‌بن الحسین،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p>
    <w:p>
      <w:pPr>
        <w:pStyle w:val="BookText"/>
        <w:rPr/>
      </w:pPr>
      <w:r>
        <w:rPr>
          <w:rFonts w:ascii="IRNazanin" w:hAnsi="IRNazanin" w:eastAsia="IRNazanin"/>
          <w:color w:val="111111"/>
          <w:sz w:val="28"/>
          <w:sz w:val="28"/>
          <w:szCs w:val="28"/>
          <w:rtl w:val="true"/>
          <w:lang w:bidi="fa-IR"/>
        </w:rPr>
        <w:t xml:space="preserve">علی‌بن راشد،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علی‌بن مهزیار،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 xml:space="preserve">علی‌بن یقطین،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 xml:space="preserve">عماربن موسی،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عمربن خطاب،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عمربن عبد العزیز،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عمروبن عاص،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عواف،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غرب،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غرناطه،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غزالی، ابوحامد محمد،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غزه، </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غلاة، </w:t>
      </w:r>
      <w:r>
        <w:rPr>
          <w:rFonts w:eastAsia="Amiri" w:cs="Amiri" w:ascii="Amiri" w:hAnsi="Amiri"/>
          <w:color w:val="111111"/>
          <w:sz w:val="28"/>
          <w:szCs w:val="28"/>
          <w:lang w:bidi="ar-SA"/>
        </w:rPr>
        <w:t>195</w:t>
      </w:r>
    </w:p>
    <w:p>
      <w:pPr>
        <w:pStyle w:val="BookText"/>
        <w:rPr/>
      </w:pPr>
      <w:r>
        <w:rPr>
          <w:rFonts w:ascii="IRNazanin" w:hAnsi="IRNazanin" w:eastAsia="IRNazanin"/>
          <w:color w:val="111111"/>
          <w:sz w:val="28"/>
          <w:sz w:val="28"/>
          <w:szCs w:val="28"/>
          <w:rtl w:val="true"/>
          <w:lang w:bidi="fa-IR"/>
        </w:rPr>
        <w:t>غیاث‌الدّین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فارس،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فاضل آبی،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مقداد،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فاضل هندی،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فاطمیین،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فخررازی،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فدک،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فراعنه مصر،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فرنگیان،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فسطاط،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فطحی،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فطحیه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افطحیه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فلسطین،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فهرج یزد،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فهمی، عبدالعزیز،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فیروزآباد فارس،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فیض کاشانی،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قائم آل محمد،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قاسم‌بن موسی‌بن جعفر،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قاضی ابن براج ابن براج</w:t>
      </w:r>
    </w:p>
    <w:p>
      <w:pPr>
        <w:pStyle w:val="BookText"/>
        <w:rPr/>
      </w:pPr>
      <w:r>
        <w:rPr>
          <w:rFonts w:ascii="IRNazanin" w:hAnsi="IRNazanin" w:eastAsia="IRNazanin"/>
          <w:color w:val="111111"/>
          <w:sz w:val="28"/>
          <w:sz w:val="28"/>
          <w:szCs w:val="28"/>
          <w:rtl w:val="true"/>
          <w:lang w:bidi="fa-IR"/>
        </w:rPr>
        <w:t xml:space="preserve">قرافی،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 xml:space="preserve">قرطبی،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قریش،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قزوین،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قطب راوندی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قطب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قوام الدوله عمادالدین ابو منصور،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قوام‌الدّین ابوبکر،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قوچان،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کاتوزیان، ناصر،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کاشان،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 xml:space="preserve">کاشف الغطاء، شیخ جعفر،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کاشمر،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کبیسی،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کتابخانه آستان قدس رضوی،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کتابخانه آیة اللّه مرعشی، سیدشهاب‌الدّین،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کتابخانه بزرگ شام،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کتابخانه عبدالحکم جحمی، </w:t>
      </w:r>
      <w:r>
        <w:rPr>
          <w:rFonts w:eastAsia="IRNazanin" w:cs="IRNazanin"/>
          <w:color w:val="111111"/>
          <w:sz w:val="28"/>
          <w:szCs w:val="28"/>
          <w:lang w:bidi="fa-IR"/>
        </w:rPr>
        <w:t>428</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کتابخانه العزیز باللّه،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کتابخانه فیروزآباد فارس،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کتابخانه کاخ سلطنتی اندلس،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کتابخانه ملی تهران،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الروایة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کتیبه،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کدکنی، مصطفی،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کردستان،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کرکی، شیخ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 xml:space="preserve">کرمان،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کرمانشاه،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p>
    <w:p>
      <w:pPr>
        <w:pStyle w:val="BookText"/>
        <w:rPr/>
      </w:pP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کمال‌الدین انباری،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کندی، اسماعیل‌بن یسع اسماعیل‌بن یسع کندی</w:t>
      </w:r>
    </w:p>
    <w:p>
      <w:pPr>
        <w:pStyle w:val="BookText"/>
        <w:rPr/>
      </w:pPr>
      <w:r>
        <w:rPr>
          <w:rFonts w:ascii="IRNazanin" w:hAnsi="IRNazanin" w:eastAsia="IRNazanin"/>
          <w:color w:val="111111"/>
          <w:sz w:val="28"/>
          <w:sz w:val="28"/>
          <w:szCs w:val="28"/>
          <w:rtl w:val="true"/>
          <w:lang w:bidi="fa-IR"/>
        </w:rPr>
        <w:t xml:space="preserve">کنه بیست،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 xml:space="preserve">کوفه،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کویت،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کهکیلویه،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کیسان، کیسانیه،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گ</w:t>
      </w:r>
    </w:p>
    <w:p>
      <w:pPr>
        <w:pStyle w:val="BookText"/>
        <w:rPr/>
      </w:pPr>
      <w:r>
        <w:rPr>
          <w:rFonts w:ascii="IRNazanin" w:hAnsi="IRNazanin" w:eastAsia="IRNazanin"/>
          <w:color w:val="111111"/>
          <w:sz w:val="28"/>
          <w:sz w:val="28"/>
          <w:szCs w:val="28"/>
          <w:rtl w:val="true"/>
          <w:lang w:bidi="fa-IR"/>
        </w:rPr>
        <w:t xml:space="preserve">گلپایگانی، سیدمحمد رضا،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گلستان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گناباد،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گیبون،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گیلان،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لبنان،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لرستان، </w:t>
      </w:r>
      <w:r>
        <w:rPr>
          <w:rFonts w:eastAsia="IRNazanin" w:cs="IRNazanin"/>
          <w:color w:val="111111"/>
          <w:sz w:val="28"/>
          <w:szCs w:val="28"/>
          <w:lang w:bidi="fa-IR"/>
        </w:rPr>
        <w:t>434</w:t>
      </w:r>
    </w:p>
    <w:p>
      <w:pPr>
        <w:pStyle w:val="BookText"/>
        <w:rPr/>
      </w:pPr>
      <w:r>
        <w:rPr>
          <w:rFonts w:ascii="IRNazanin" w:hAnsi="IRNazanin" w:eastAsia="IRNazanin"/>
          <w:color w:val="111111"/>
          <w:sz w:val="28"/>
          <w:sz w:val="28"/>
          <w:szCs w:val="28"/>
          <w:rtl w:val="true"/>
          <w:lang w:bidi="fa-IR"/>
        </w:rPr>
        <w:t xml:space="preserve">لمتون،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لندن،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مأمون عباسی،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ماریه قبطیه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ابراهیم</w:t>
      </w:r>
    </w:p>
    <w:p>
      <w:pPr>
        <w:pStyle w:val="BookText"/>
        <w:rPr/>
      </w:pPr>
      <w:r>
        <w:rPr>
          <w:rFonts w:ascii="IRNazanin" w:hAnsi="IRNazanin" w:eastAsia="IRNazanin"/>
          <w:color w:val="111111"/>
          <w:sz w:val="28"/>
          <w:sz w:val="28"/>
          <w:szCs w:val="28"/>
          <w:rtl w:val="true"/>
          <w:lang w:bidi="fa-IR"/>
        </w:rPr>
        <w:t xml:space="preserve">مازندران،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مافنه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ابومنصور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مالک اشتر، </w:t>
      </w:r>
      <w:r>
        <w:rPr>
          <w:rFonts w:eastAsia="IRNazanin" w:cs="IRNazanin"/>
          <w:color w:val="111111"/>
          <w:sz w:val="28"/>
          <w:szCs w:val="28"/>
          <w:lang w:bidi="fa-IR"/>
        </w:rPr>
        <w:t>409</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مالک‌بن انس،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ماوردی،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مجبره،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مجلسی، محمدتقی،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مجموعه ورزشی آستان قدس،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محقق اول،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 جعفربن‌حسن</w:t>
      </w:r>
    </w:p>
    <w:p>
      <w:pPr>
        <w:pStyle w:val="BookText"/>
        <w:rPr/>
      </w:pPr>
      <w:r>
        <w:rPr>
          <w:rFonts w:ascii="IRNazanin" w:hAnsi="IRNazanin" w:eastAsia="IRNazanin"/>
          <w:color w:val="111111"/>
          <w:sz w:val="28"/>
          <w:sz w:val="28"/>
          <w:szCs w:val="28"/>
          <w:rtl w:val="true"/>
          <w:lang w:bidi="fa-IR"/>
        </w:rPr>
        <w:t xml:space="preserve">محقق ثانی،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کرکی، شیخ علی</w:t>
      </w:r>
    </w:p>
    <w:p>
      <w:pPr>
        <w:pStyle w:val="BookText"/>
        <w:rPr/>
      </w:pPr>
      <w:r>
        <w:rPr>
          <w:rFonts w:ascii="IRNazanin" w:hAnsi="IRNazanin" w:eastAsia="IRNazanin"/>
          <w:color w:val="111111"/>
          <w:sz w:val="28"/>
          <w:sz w:val="28"/>
          <w:szCs w:val="28"/>
          <w:rtl w:val="true"/>
          <w:lang w:bidi="fa-IR"/>
        </w:rPr>
        <w:t xml:space="preserve">محقق داماد، سیدمصطفی،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محله بنی زریق،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محمد ابوزهره،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محمدبن ادریس،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محمدبن اسحاق،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محمدبن حسن شیبانی،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محمدبن حنفیه،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محمدبن مسلم،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محمد عبده،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محمودبن سبکتکین،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مخیریق یهودی،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مدیر شانه‌چی، کاظم،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مدرسه بیهقیه،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مدرسه خواجه نظام الملک نیشابور،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مدرسه سلطانی اصفهان،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مدرسه شفیعیه یزد،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مدرسه نظامیه بغداد،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مدینه،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مرتضوی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نوق استان کرمان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مرعشی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اللّه سیدشهاب‌الدین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مرکز یزدشناسی،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مروان اقطاع، </w:t>
      </w:r>
      <w:r>
        <w:rPr>
          <w:rFonts w:eastAsia="IRNazanin" w:cs="IRNazanin"/>
          <w:color w:val="111111"/>
          <w:sz w:val="28"/>
          <w:szCs w:val="28"/>
          <w:lang w:bidi="fa-IR"/>
        </w:rPr>
        <w:t>59</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مزرعه آستان قدس رضوی،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مزنی،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مسجد الاقصی،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مسجد امیرچخماق،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مسجد جامع فهرج یزد،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مسجد جامع یزد،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مسجد الحرام،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مسجد النبی،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 xml:space="preserve">مسعی،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مسلم‌بن خالد زنجی،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مسلمانان اسلام</w:t>
      </w:r>
    </w:p>
    <w:p>
      <w:pPr>
        <w:pStyle w:val="BookText"/>
        <w:rPr/>
      </w:pPr>
      <w:r>
        <w:rPr>
          <w:rFonts w:ascii="IRNazanin" w:hAnsi="IRNazanin" w:eastAsia="IRNazanin"/>
          <w:color w:val="111111"/>
          <w:sz w:val="28"/>
          <w:sz w:val="28"/>
          <w:szCs w:val="28"/>
          <w:rtl w:val="true"/>
          <w:lang w:bidi="fa-IR"/>
        </w:rPr>
        <w:t xml:space="preserve">مشاهد،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مشربه ام ابراهیم،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مشکینی،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مصباح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مصریان،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مطاف،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مظاهری،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مظفر، محمدحسین،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معادن قدس رضوی،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مغرب،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مغنیه، محمدجواد،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مغول،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مقدادبن اسود،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مقریزی،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مکه،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منصورعلی ناصف،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منی،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موسویه،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 xml:space="preserve">موسی‌بن جعفر،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p>
    <w:p>
      <w:pPr>
        <w:pStyle w:val="BookText"/>
        <w:rPr/>
      </w:pPr>
      <w:r>
        <w:rPr>
          <w:rFonts w:ascii="IRNazanin" w:hAnsi="IRNazanin" w:eastAsia="IRNazanin"/>
          <w:color w:val="111111"/>
          <w:sz w:val="28"/>
          <w:sz w:val="28"/>
          <w:szCs w:val="28"/>
          <w:rtl w:val="true"/>
          <w:lang w:bidi="fa-IR"/>
        </w:rPr>
        <w:t>موسی‌بن‌جعفر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موصل،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موقوفات ملک،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418</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مهاجر،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مهران‌بن محمد،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مهزور،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مسیب،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میثب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حوائط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 xml:space="preserve">مینوی، مجتبی، </w:t>
      </w:r>
      <w:r>
        <w:rPr>
          <w:rFonts w:eastAsia="IRNazanin" w:cs="IRNazanin"/>
          <w:color w:val="111111"/>
          <w:sz w:val="28"/>
          <w:szCs w:val="28"/>
          <w:lang w:bidi="fa-IR"/>
        </w:rPr>
        <w:t>425</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نادرشاه افشار، </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 xml:space="preserve">ناووسیه،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نافع،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نخعی،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نراقی، احمد،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نصارا،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نصربن سبکتکین، </w:t>
      </w:r>
      <w:r>
        <w:rPr>
          <w:rFonts w:eastAsia="IRNazanin" w:cs="IRNazanin"/>
          <w:color w:val="111111"/>
          <w:sz w:val="28"/>
          <w:szCs w:val="28"/>
          <w:lang w:bidi="fa-IR"/>
        </w:rPr>
        <w:t>423</w:t>
      </w:r>
    </w:p>
    <w:p>
      <w:pPr>
        <w:pStyle w:val="BookText"/>
        <w:rPr/>
      </w:pPr>
      <w:r>
        <w:rPr>
          <w:rFonts w:ascii="IRNazanin" w:hAnsi="IRNazanin" w:eastAsia="IRNazanin"/>
          <w:color w:val="111111"/>
          <w:sz w:val="28"/>
          <w:sz w:val="28"/>
          <w:szCs w:val="28"/>
          <w:rtl w:val="true"/>
          <w:lang w:bidi="fa-IR"/>
        </w:rPr>
        <w:t xml:space="preserve">نظام الملک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نظامیه،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 xml:space="preserve">نظامیه بغداد،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نعمان‌بن ثابت،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p>
    <w:p>
      <w:pPr>
        <w:pStyle w:val="BookText"/>
        <w:rPr/>
      </w:pPr>
      <w:r>
        <w:rPr>
          <w:rFonts w:ascii="IRNazanin" w:hAnsi="IRNazanin" w:eastAsia="IRNazanin"/>
          <w:color w:val="111111"/>
          <w:sz w:val="28"/>
          <w:sz w:val="28"/>
          <w:szCs w:val="28"/>
          <w:rtl w:val="true"/>
          <w:lang w:bidi="fa-IR"/>
        </w:rPr>
        <w:t xml:space="preserve">نوفلی، علی‌بن سلیمان،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نوق کرمان،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نیشابور،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وادی القری،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واعظ‌زاده خراسانی، محمد،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واقفی،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واقفیه،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وطیع،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 xml:space="preserve">وهابیها،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وهبة الزحیلی،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هارون الرشید،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هاشم معروف الحسنی،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هاشمی، سیدمحمود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هرات، </w:t>
      </w:r>
      <w:r>
        <w:rPr>
          <w:rFonts w:eastAsia="IRNazanin" w:cs="IRNazanin"/>
          <w:color w:val="111111"/>
          <w:sz w:val="28"/>
          <w:szCs w:val="28"/>
          <w:lang w:bidi="fa-IR"/>
        </w:rPr>
        <w:t>424</w:t>
      </w:r>
    </w:p>
    <w:p>
      <w:pPr>
        <w:pStyle w:val="BookText"/>
        <w:rPr/>
      </w:pPr>
      <w:r>
        <w:rPr>
          <w:rFonts w:ascii="IRNazanin" w:hAnsi="IRNazanin" w:eastAsia="IRNazanin"/>
          <w:color w:val="111111"/>
          <w:sz w:val="28"/>
          <w:sz w:val="28"/>
          <w:szCs w:val="28"/>
          <w:rtl w:val="true"/>
          <w:lang w:bidi="fa-IR"/>
        </w:rPr>
        <w:t xml:space="preserve">هرمزگان، </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 xml:space="preserve">همدان،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همدانی، حاج آقارضا،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هویزه،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هیثم‌بن بشیر،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ی</w:t>
      </w:r>
    </w:p>
    <w:p>
      <w:pPr>
        <w:pStyle w:val="BookText"/>
        <w:rPr/>
      </w:pPr>
      <w:r>
        <w:rPr>
          <w:rFonts w:ascii="IRNazanin" w:hAnsi="IRNazanin" w:eastAsia="IRNazanin"/>
          <w:color w:val="111111"/>
          <w:sz w:val="28"/>
          <w:sz w:val="28"/>
          <w:szCs w:val="28"/>
          <w:rtl w:val="true"/>
          <w:lang w:bidi="fa-IR"/>
        </w:rPr>
        <w:t xml:space="preserve">یاقوت حموی،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یحیی محمود ساعاتی،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یزد،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یزیدبن قیس،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یعقوب‌بن کلس،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یمن،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ینبع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یهود بنی نضیر،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w:t>
      </w:r>
    </w:p>
    <w:p>
      <w:pPr>
        <w:pStyle w:val="BookText"/>
        <w:rPr/>
      </w:pPr>
      <w:r>
        <w:rPr>
          <w:rFonts w:ascii="IRNazanin" w:hAnsi="IRNazanin" w:eastAsia="IRNazanin"/>
          <w:color w:val="111111"/>
          <w:sz w:val="28"/>
          <w:sz w:val="28"/>
          <w:szCs w:val="28"/>
          <w:rtl w:val="true"/>
          <w:lang w:bidi="fa-IR"/>
        </w:rPr>
        <w:t>الف</w:t>
      </w:r>
    </w:p>
    <w:p>
      <w:pPr>
        <w:pStyle w:val="BookText"/>
        <w:rPr/>
      </w:pPr>
      <w:r>
        <w:rPr>
          <w:rFonts w:ascii="IRNazanin" w:hAnsi="IRNazanin" w:eastAsia="IRNazanin"/>
          <w:color w:val="111111"/>
          <w:sz w:val="28"/>
          <w:sz w:val="28"/>
          <w:szCs w:val="28"/>
          <w:rtl w:val="true"/>
          <w:lang w:bidi="fa-IR"/>
        </w:rPr>
        <w:t xml:space="preserve">ابطال الاستحسان،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اجودالتقریرات،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p>
    <w:p>
      <w:pPr>
        <w:pStyle w:val="BookText"/>
        <w:rPr/>
      </w:pPr>
      <w:r>
        <w:rPr>
          <w:rFonts w:ascii="IRNazanin" w:hAnsi="IRNazanin" w:eastAsia="IRNazanin"/>
          <w:color w:val="111111"/>
          <w:sz w:val="28"/>
          <w:sz w:val="28"/>
          <w:szCs w:val="28"/>
          <w:rtl w:val="true"/>
          <w:lang w:bidi="fa-IR"/>
        </w:rPr>
        <w:t xml:space="preserve">احکام السلطانیه، ابویعلی،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احکام السلطانیه، ماوردی،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 xml:space="preserve">الاحکام لاصول الاحکام،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احکام الوقف،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احکام وقف در شریعت اسلام،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اختلاف الفقهاء،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ادوار علم الفقه و اطواره،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 xml:space="preserve">ارشاد الاذهان،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 xml:space="preserve">استبصار،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 xml:space="preserve">اسد الغابه فی معرفة الصحابه،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الاسعاف فی احکام الاوقاف،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اسلام در مبارزه بنیادی با فقر،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اسهل المدارک،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اعلام، زرکلی،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اعلام الموقعین،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اعیان الشیعة،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اقتصاد ما، </w:t>
      </w:r>
      <w:r>
        <w:rPr>
          <w:rFonts w:eastAsia="IRNazanin" w:cs="IRNazanin"/>
          <w:color w:val="111111"/>
          <w:sz w:val="28"/>
          <w:szCs w:val="28"/>
          <w:lang w:bidi="fa-IR"/>
        </w:rPr>
        <w:t>399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الام،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امالی، صدوق،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امالی، طوسی،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امالی محمد فی الفقه،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امام زید،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امام الصادق و المذاهب الاربعه،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اموال، ابوعبید،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انتصار جوامع الفقهیه،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انجیل،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ایضاح الفوائد،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ب</w:t>
      </w:r>
    </w:p>
    <w:p>
      <w:pPr>
        <w:pStyle w:val="BookText"/>
        <w:rPr/>
      </w:pP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بحرالرائق،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 xml:space="preserve">بحرالزخار،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 xml:space="preserve">بدائع،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بدایة النهایة،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بررسی روش اداری و آموزش ربع رشیدی،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 xml:space="preserve">بین الشریعة الاسلامیه و القانون الرومانی،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ت</w:t>
      </w:r>
    </w:p>
    <w:p>
      <w:pPr>
        <w:pStyle w:val="BookText"/>
        <w:rPr/>
      </w:pPr>
      <w:r>
        <w:rPr>
          <w:rFonts w:ascii="IRNazanin" w:hAnsi="IRNazanin" w:eastAsia="IRNazanin"/>
          <w:color w:val="111111"/>
          <w:sz w:val="28"/>
          <w:sz w:val="28"/>
          <w:szCs w:val="28"/>
          <w:rtl w:val="true"/>
          <w:lang w:bidi="fa-IR"/>
        </w:rPr>
        <w:t xml:space="preserve">تأسیس الشیعة،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تاج الجامع للاصول،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تاج المذاهب،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تاریخ ابن خلدون،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تاریخ اجتماعی ایران، </w:t>
      </w:r>
      <w:r>
        <w:rPr>
          <w:rFonts w:eastAsia="IRNazanin" w:cs="IRNazanin"/>
          <w:color w:val="111111"/>
          <w:sz w:val="28"/>
          <w:szCs w:val="28"/>
          <w:lang w:bidi="fa-IR"/>
        </w:rPr>
        <w:t>414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441</w:t>
      </w:r>
    </w:p>
    <w:p>
      <w:pPr>
        <w:pStyle w:val="BookText"/>
        <w:rPr/>
      </w:pPr>
      <w:r>
        <w:rPr>
          <w:rFonts w:ascii="IRNazanin" w:hAnsi="IRNazanin" w:eastAsia="IRNazanin"/>
          <w:color w:val="111111"/>
          <w:sz w:val="28"/>
          <w:sz w:val="28"/>
          <w:szCs w:val="28"/>
          <w:rtl w:val="true"/>
          <w:lang w:bidi="fa-IR"/>
        </w:rPr>
        <w:t xml:space="preserve">تاریخ امپراطوری روم،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تاریخچه اوقاف اصفهان،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تاریخچه اوقاف در اسلام،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 xml:space="preserve">تاریخ تمدن اسلام،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تاریخ الشیعه،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تاریخ القانون،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 xml:space="preserve">تاریخ قانون مصر قدیم،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تاریخ کامل،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 xml:space="preserve">تبصره، علاّمه حلّی،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تبیان فی تفسیر القرآن،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تحریر الاحکام،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تحریر الوسیلة،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تذکره الفقهاء،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تفسیر طبری،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تفسیر قرطبی،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تفسیر الکبیر،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تنقیح الرائع،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توازن الاسلامی بین الدنیا والاخره،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تورات،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تهذیب الاحکام،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تهذیب التذهیب،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جامع عباسی،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جامع المدارک،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جامع لاحکام القرآن تفسیر قرطبی</w:t>
      </w:r>
    </w:p>
    <w:p>
      <w:pPr>
        <w:pStyle w:val="BookText"/>
        <w:rPr/>
      </w:pPr>
      <w:r>
        <w:rPr>
          <w:rFonts w:ascii="IRNazanin" w:hAnsi="IRNazanin" w:eastAsia="IRNazanin"/>
          <w:color w:val="111111"/>
          <w:sz w:val="28"/>
          <w:sz w:val="28"/>
          <w:szCs w:val="28"/>
          <w:rtl w:val="true"/>
          <w:lang w:bidi="fa-IR"/>
        </w:rPr>
        <w:t xml:space="preserve">الجامع للشرایع،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جامع المسانید، </w:t>
      </w:r>
      <w:r>
        <w:rPr>
          <w:rFonts w:eastAsia="IRNazanin" w:cs="IRNazanin"/>
          <w:color w:val="111111"/>
          <w:sz w:val="28"/>
          <w:szCs w:val="28"/>
          <w:lang w:bidi="fa-IR"/>
        </w:rPr>
        <w:t>200</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جامع‌المقاصد،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lang w:bidi="fa-IR"/>
        </w:rPr>
        <w:t>،</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جوامع الفقهیة،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جواهر الاخبار،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جواهر الکلام،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ح</w:t>
      </w:r>
    </w:p>
    <w:p>
      <w:pPr>
        <w:pStyle w:val="BookText"/>
        <w:rPr/>
      </w:pPr>
      <w:r>
        <w:rPr>
          <w:rFonts w:ascii="IRNazanin" w:hAnsi="IRNazanin" w:eastAsia="IRNazanin"/>
          <w:color w:val="111111"/>
          <w:sz w:val="28"/>
          <w:sz w:val="28"/>
          <w:szCs w:val="28"/>
          <w:rtl w:val="true"/>
          <w:lang w:bidi="fa-IR"/>
        </w:rPr>
        <w:t xml:space="preserve">حاشیه الدسوقی،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 xml:space="preserve">حاشیه منهاج الصالحین،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 xml:space="preserve">حدائق الناضره،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حقوق مدنی، امامی،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حقوق مدنی، کاتوزیان،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خ</w:t>
      </w:r>
    </w:p>
    <w:p>
      <w:pPr>
        <w:pStyle w:val="BookText"/>
        <w:rPr/>
      </w:pPr>
      <w:r>
        <w:rPr>
          <w:rFonts w:ascii="IRNazanin" w:hAnsi="IRNazanin" w:eastAsia="IRNazanin"/>
          <w:color w:val="111111"/>
          <w:sz w:val="28"/>
          <w:sz w:val="28"/>
          <w:szCs w:val="28"/>
          <w:rtl w:val="true"/>
          <w:lang w:bidi="fa-IR"/>
        </w:rPr>
        <w:t xml:space="preserve">خلاف، شیخ طوسی،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د</w:t>
      </w:r>
    </w:p>
    <w:p>
      <w:pPr>
        <w:pStyle w:val="BookText"/>
        <w:rPr/>
      </w:pPr>
      <w:r>
        <w:rPr>
          <w:rFonts w:ascii="IRNazanin" w:hAnsi="IRNazanin" w:eastAsia="IRNazanin"/>
          <w:color w:val="111111"/>
          <w:sz w:val="28"/>
          <w:sz w:val="28"/>
          <w:szCs w:val="28"/>
          <w:rtl w:val="true"/>
          <w:lang w:bidi="fa-IR"/>
        </w:rPr>
        <w:t xml:space="preserve">درآمدی بر اقتصاد اسلامی، </w:t>
      </w:r>
      <w:r>
        <w:rPr>
          <w:rFonts w:eastAsia="IRNazanin" w:cs="IRNazanin"/>
          <w:color w:val="111111"/>
          <w:sz w:val="28"/>
          <w:szCs w:val="28"/>
          <w:lang w:bidi="fa-IR"/>
        </w:rPr>
        <w:t>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درسهایی از اقتصاد اسلامی،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الدر المنثور،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الدروس الشرعیه،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دروس فی الاخلاق،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w:t>
      </w:r>
    </w:p>
    <w:p>
      <w:pPr>
        <w:pStyle w:val="BookText"/>
        <w:rPr/>
      </w:pPr>
      <w:r>
        <w:rPr>
          <w:rFonts w:ascii="IRNazanin" w:hAnsi="IRNazanin" w:eastAsia="IRNazanin"/>
          <w:color w:val="111111"/>
          <w:sz w:val="28"/>
          <w:sz w:val="28"/>
          <w:szCs w:val="28"/>
          <w:rtl w:val="true"/>
          <w:lang w:bidi="fa-IR"/>
        </w:rPr>
        <w:t xml:space="preserve">ذخیرة العباد،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ذکری الشیعة،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ر</w:t>
      </w:r>
    </w:p>
    <w:p>
      <w:pPr>
        <w:pStyle w:val="BookText"/>
        <w:rPr/>
      </w:pPr>
      <w:r>
        <w:rPr>
          <w:rFonts w:ascii="IRNazanin" w:hAnsi="IRNazanin" w:eastAsia="IRNazanin"/>
          <w:color w:val="111111"/>
          <w:sz w:val="28"/>
          <w:sz w:val="28"/>
          <w:szCs w:val="28"/>
          <w:rtl w:val="true"/>
          <w:lang w:bidi="fa-IR"/>
        </w:rPr>
        <w:t xml:space="preserve">رد المختار،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روض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الروضة البهیة فی شرح لمعة الدمشقیه،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روضة الطالبین،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روضة المتقین،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ریاض المسائل،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 xml:space="preserve">ریحانة الادب،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س</w:t>
      </w:r>
    </w:p>
    <w:p>
      <w:pPr>
        <w:pStyle w:val="BookText"/>
        <w:rPr/>
      </w:pPr>
      <w:r>
        <w:rPr>
          <w:rFonts w:ascii="IRNazanin" w:hAnsi="IRNazanin" w:eastAsia="IRNazanin"/>
          <w:color w:val="111111"/>
          <w:sz w:val="28"/>
          <w:sz w:val="28"/>
          <w:szCs w:val="28"/>
          <w:rtl w:val="true"/>
          <w:lang w:bidi="fa-IR"/>
        </w:rPr>
        <w:t xml:space="preserve">سالنامه آستان قدس رضوی، </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 xml:space="preserve">سبل‌السلام،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سفرنامه ابن بطوطه،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ascii="IRNazanin" w:hAnsi="IRNazanin" w:eastAsia="IRNazanin"/>
          <w:color w:val="111111"/>
          <w:sz w:val="28"/>
          <w:sz w:val="28"/>
          <w:szCs w:val="28"/>
          <w:rtl w:val="true"/>
          <w:lang w:bidi="fa-IR"/>
        </w:rPr>
        <w:t xml:space="preserve">سفینة البحار،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سیره‌النبویة،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 xml:space="preserve">شخصیت حقوقی،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شذرات الذهب،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شرایع‌الاسلام،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الصغیر و بلغة السالک،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 xml:space="preserve">شرح الکبیر،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 xml:space="preserve">شرح نهج البلاغه، ابن ابی الحدید،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 xml:space="preserve">شرح نهج‌البلاغه، ابن میثم،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شرح نهج‌البلاغه، محمّد عبده،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شروط الصغیر،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ص</w:t>
      </w:r>
    </w:p>
    <w:p>
      <w:pPr>
        <w:pStyle w:val="BookText"/>
        <w:rPr/>
      </w:pPr>
      <w:r>
        <w:rPr>
          <w:rFonts w:ascii="Amiri" w:hAnsi="Amiri" w:eastAsia="Amiri" w:cs="Amiri"/>
          <w:color w:val="111111"/>
          <w:sz w:val="28"/>
          <w:sz w:val="28"/>
          <w:szCs w:val="28"/>
          <w:rtl w:val="true"/>
          <w:lang w:bidi="ar-SA"/>
        </w:rPr>
        <w:t xml:space="preserve">صحاح اللغة،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 xml:space="preserve">صحیح بخاری،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ط</w:t>
      </w:r>
    </w:p>
    <w:p>
      <w:pPr>
        <w:pStyle w:val="BookText"/>
        <w:rPr/>
      </w:pPr>
      <w:r>
        <w:rPr>
          <w:rFonts w:ascii="IRNazanin" w:hAnsi="IRNazanin" w:eastAsia="IRNazanin"/>
          <w:color w:val="111111"/>
          <w:sz w:val="28"/>
          <w:sz w:val="28"/>
          <w:szCs w:val="28"/>
          <w:rtl w:val="true"/>
          <w:lang w:bidi="fa-IR"/>
        </w:rPr>
        <w:t xml:space="preserve">طبقات الکبری،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ع</w:t>
      </w:r>
    </w:p>
    <w:p>
      <w:pPr>
        <w:pStyle w:val="BookText"/>
        <w:rPr/>
      </w:pPr>
      <w:r>
        <w:rPr>
          <w:rFonts w:ascii="IRNazanin" w:hAnsi="IRNazanin" w:eastAsia="IRNazanin"/>
          <w:color w:val="111111"/>
          <w:sz w:val="28"/>
          <w:sz w:val="28"/>
          <w:szCs w:val="28"/>
          <w:rtl w:val="true"/>
          <w:lang w:bidi="fa-IR"/>
        </w:rPr>
        <w:t xml:space="preserve">عروة الوثقی،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 xml:space="preserve">عمدة القاری،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عیون اخبار الرضا،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غ</w:t>
      </w:r>
    </w:p>
    <w:p>
      <w:pPr>
        <w:pStyle w:val="BookText"/>
        <w:rPr/>
      </w:pPr>
      <w:r>
        <w:rPr>
          <w:rFonts w:ascii="IRNazanin" w:hAnsi="IRNazanin" w:eastAsia="IRNazanin"/>
          <w:color w:val="111111"/>
          <w:sz w:val="28"/>
          <w:sz w:val="28"/>
          <w:szCs w:val="28"/>
          <w:rtl w:val="true"/>
          <w:lang w:bidi="fa-IR"/>
        </w:rPr>
        <w:t xml:space="preserve">غایة المراد،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غایة المنتهی،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غررالحکم،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غنیه،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ف</w:t>
      </w:r>
    </w:p>
    <w:p>
      <w:pPr>
        <w:pStyle w:val="BookText"/>
        <w:rPr/>
      </w:pPr>
      <w:r>
        <w:rPr>
          <w:rFonts w:ascii="IRNazanin" w:hAnsi="IRNazanin" w:eastAsia="IRNazanin"/>
          <w:color w:val="111111"/>
          <w:sz w:val="28"/>
          <w:sz w:val="28"/>
          <w:szCs w:val="28"/>
          <w:rtl w:val="true"/>
          <w:lang w:bidi="fa-IR"/>
        </w:rPr>
        <w:t xml:space="preserve">الفتاوی الکبری، </w:t>
      </w: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الفتاوی الهندیة،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فتح الباری،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فتح القدیر،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فتوح البلدان،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فدک فی التاریخ،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فروغ ابدیت،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الفروق،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الفقه، </w:t>
      </w:r>
      <w:r>
        <w:rPr>
          <w:rFonts w:eastAsia="IRNazanin" w:cs="IRNazanin"/>
          <w:color w:val="111111"/>
          <w:sz w:val="28"/>
          <w:szCs w:val="28"/>
          <w:lang w:bidi="fa-IR"/>
        </w:rPr>
        <w:t>301</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الاسلامی و ادلته،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 xml:space="preserve">فقه علی مذاهب الاربعة،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 xml:space="preserve">فقه علی مذاهب الخمسه،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 xml:space="preserve">فقه الامام الاوزاعی،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فقه القرآن،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 xml:space="preserve">فقیه،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فهرست کتابخانه‌های ایران، </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 xml:space="preserve">فی ظلال القرآن،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 xml:space="preserve">قانون اساسی مدنی،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lang w:bidi="fa-IR"/>
        </w:rPr>
        <w:t>،</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قانون مدوّن یوستینیانوس،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قواعد الاحکام،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قواعد فقه، محقق داماد،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قواعد الفقهیة، بجنوردی،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قواعد الفقهیة، مکارم شیرازی،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 xml:space="preserve">القواعد و الفوائد،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 xml:space="preserve">کافی،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 xml:space="preserve">کافی، حلبی،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 xml:space="preserve">کامل، ابن اثیر، </w:t>
      </w:r>
      <w:r>
        <w:rPr>
          <w:rFonts w:eastAsia="IRNazanin" w:cs="IRNazanin"/>
          <w:color w:val="111111"/>
          <w:sz w:val="28"/>
          <w:szCs w:val="28"/>
          <w:lang w:bidi="fa-IR"/>
        </w:rPr>
        <w:t>58</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البیع،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 xml:space="preserve">کتاب الصلوة، همدانی،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کتاب العین،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کتب النوادر،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 xml:space="preserve">کشاف القناع،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کشف الرموز،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کشف الغطاء،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کشف اللثام،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کفایه، سبزواری،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کنز الدقائق،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کنز العرفان،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 xml:space="preserve">کنز العمال،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ل</w:t>
      </w:r>
    </w:p>
    <w:p>
      <w:pPr>
        <w:pStyle w:val="BookText"/>
        <w:rPr/>
      </w:pPr>
      <w:r>
        <w:rPr>
          <w:rFonts w:ascii="IRNazanin" w:hAnsi="IRNazanin" w:eastAsia="IRNazanin"/>
          <w:color w:val="111111"/>
          <w:sz w:val="28"/>
          <w:sz w:val="28"/>
          <w:szCs w:val="28"/>
          <w:rtl w:val="true"/>
          <w:lang w:bidi="fa-IR"/>
        </w:rPr>
        <w:t xml:space="preserve">اللباب،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لغت نامه دهخدا،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 xml:space="preserve">اللمعة الدمشقیة،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 xml:space="preserve">مالک وزارع در ایران، </w:t>
      </w:r>
      <w:r>
        <w:rPr>
          <w:rFonts w:eastAsia="IRNazanin" w:cs="IRNazanin"/>
          <w:color w:val="111111"/>
          <w:sz w:val="28"/>
          <w:szCs w:val="28"/>
          <w:lang w:bidi="fa-IR"/>
        </w:rPr>
        <w:t>437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 xml:space="preserve">مبانی اقتصاد اسلامی،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 xml:space="preserve">مبسوط، سرخسی،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مبسوط، طوسی،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39</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مجمع الفائدة و البرهان،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مجموع فی المناقلة و الاستبدال،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محاضرات فی الوقف،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مجموعه مقالات فارسی،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 xml:space="preserve">محلی،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مختصر طوسی،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مختصر مزنی،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 xml:space="preserve">مختصر النافع،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مختلف الشیعة،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مدارک الاحکام،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مدونة الکبری،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 xml:space="preserve">مراسم،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 xml:space="preserve">مساجد و احکامها،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مسالک الافهام،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مستدرک الوسایل، </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 xml:space="preserve">مستند الشیعه،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 xml:space="preserve">مسند ابویوسف،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مسند احمدبن حنبل،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مسند محمدبن حسن شیبانی،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مصباح الانوار، </w:t>
      </w:r>
      <w:r>
        <w:rPr>
          <w:rFonts w:eastAsia="IRNazanin" w:cs="IRNazanin"/>
          <w:color w:val="111111"/>
          <w:sz w:val="28"/>
          <w:szCs w:val="28"/>
          <w:lang w:bidi="fa-IR"/>
        </w:rPr>
        <w:t>63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مصباح المنیر،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مصطلحات الوقفیة،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مطالب النهی،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مطالعاتی در اقتصاد اسلامی، </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 xml:space="preserve">معالم المدرستین،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 xml:space="preserve">معتبر، </w:t>
      </w:r>
      <w:r>
        <w:rPr>
          <w:rFonts w:eastAsia="IRNazanin" w:cs="IRNazanin"/>
          <w:color w:val="111111"/>
          <w:sz w:val="28"/>
          <w:szCs w:val="28"/>
          <w:lang w:bidi="fa-IR"/>
        </w:rPr>
        <w:t>189</w:t>
      </w:r>
    </w:p>
    <w:p>
      <w:pPr>
        <w:pStyle w:val="BookText"/>
        <w:rPr/>
      </w:pP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 xml:space="preserve">معجم مقائیس اللغة،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معجم الوسیط،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مغازی،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مغنی، ابن قدامه،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lang w:bidi="fa-IR"/>
        </w:rPr>
        <w:t>،</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lang w:bidi="fa-IR"/>
        </w:rPr>
        <w:t>،</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مغنی المحتاج،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 xml:space="preserve">مفاتیح الشرایع،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مفتاح الکرامة،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lang w:bidi="fa-IR"/>
        </w:rPr>
        <w:t>،</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 xml:space="preserve">مفردات راغب،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 xml:space="preserve">مقارنات التشریعیة، </w:t>
      </w:r>
      <w:r>
        <w:rPr>
          <w:rFonts w:eastAsia="IRNazanin" w:cs="IRNazanin"/>
          <w:color w:val="111111"/>
          <w:sz w:val="28"/>
          <w:szCs w:val="28"/>
          <w:lang w:bidi="fa-IR"/>
        </w:rPr>
        <w:t>48</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سیدمحمود هاشمی، </w:t>
      </w:r>
      <w:r>
        <w:rPr>
          <w:rFonts w:eastAsia="IRNazanin" w:cs="IRNazanin"/>
          <w:color w:val="111111"/>
          <w:sz w:val="28"/>
          <w:szCs w:val="28"/>
          <w:lang w:bidi="fa-IR"/>
        </w:rPr>
        <w:t>397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401</w:t>
      </w:r>
      <w:r>
        <w:rPr>
          <w:rFonts w:ascii="IRNazanin" w:hAnsi="IRNazanin" w:eastAsia="IRNazanin"/>
          <w:color w:val="111111"/>
          <w:sz w:val="28"/>
          <w:sz w:val="28"/>
          <w:szCs w:val="28"/>
          <w:rtl w:val="true"/>
          <w:lang w:bidi="fa-IR"/>
        </w:rPr>
        <w:t xml:space="preserve">، </w:t>
      </w:r>
    </w:p>
    <w:p>
      <w:pPr>
        <w:pStyle w:val="BookText"/>
        <w:rPr/>
      </w:pPr>
      <w:r>
        <w:rPr>
          <w:rFonts w:eastAsia="IRNazanin" w:cs="IRNazanin"/>
          <w:color w:val="111111"/>
          <w:sz w:val="28"/>
          <w:szCs w:val="28"/>
          <w:lang w:bidi="fa-IR"/>
        </w:rPr>
        <w:t>402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404</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مصباح،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مقایسه بین سیستمهای اقتصادی، </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 xml:space="preserve">مقنعه،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 xml:space="preserve">مکاسب،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ملحقات العروة،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مناهل،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 xml:space="preserve">منتظم،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منتهی الارادات، </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 xml:space="preserve">منتهی المطلب، </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منجد،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منجزات المریض،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 xml:space="preserve">من لایحضره الفقیه،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منهاج البراعة فی شرح نهج البلاغه،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منهاج الصالحین آیة اللّه حکیم،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منهاج الصالحین، آیه‌اللّه خوئی،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 xml:space="preserve">مواهب الجلیل،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موسوعة الفقه الاسلامی،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 xml:space="preserve">موطا،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 xml:space="preserve">مهذب، ابن براج،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مهذب البارع،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p>
    <w:p>
      <w:pPr>
        <w:pStyle w:val="BookText"/>
        <w:rPr/>
      </w:pPr>
      <w:r>
        <w:rPr>
          <w:rFonts w:ascii="IRNazanin" w:hAnsi="IRNazanin" w:eastAsia="IRNazanin"/>
          <w:color w:val="111111"/>
          <w:sz w:val="28"/>
          <w:sz w:val="28"/>
          <w:szCs w:val="28"/>
          <w:rtl w:val="true"/>
          <w:lang w:bidi="fa-IR"/>
        </w:rPr>
        <w:t xml:space="preserve">المیزان،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ن</w:t>
      </w:r>
    </w:p>
    <w:p>
      <w:pPr>
        <w:pStyle w:val="BookText"/>
        <w:rPr/>
      </w:pPr>
      <w:r>
        <w:rPr>
          <w:rFonts w:ascii="IRNazanin" w:hAnsi="IRNazanin" w:eastAsia="IRNazanin"/>
          <w:color w:val="111111"/>
          <w:sz w:val="28"/>
          <w:sz w:val="28"/>
          <w:szCs w:val="28"/>
          <w:rtl w:val="true"/>
          <w:lang w:bidi="fa-IR"/>
        </w:rPr>
        <w:t xml:space="preserve">ناصریات،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 xml:space="preserve">نظری به نظام اقتصادی اسلام، </w:t>
      </w:r>
      <w:r>
        <w:rPr>
          <w:rFonts w:eastAsia="IRNazanin" w:cs="IRNazanin"/>
          <w:color w:val="111111"/>
          <w:sz w:val="28"/>
          <w:szCs w:val="28"/>
          <w:lang w:bidi="fa-IR"/>
        </w:rPr>
        <w:t>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 xml:space="preserve">نکت النهایة،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النوازل، </w:t>
      </w:r>
      <w:r>
        <w:rPr>
          <w:rFonts w:eastAsia="IRNazanin" w:cs="IRNazanin"/>
          <w:color w:val="111111"/>
          <w:sz w:val="28"/>
          <w:szCs w:val="28"/>
          <w:lang w:bidi="fa-IR"/>
        </w:rPr>
        <w:t>201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وقف و آثار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آن، </w:t>
      </w:r>
      <w:r>
        <w:rPr>
          <w:rFonts w:eastAsia="IRNazanin" w:cs="IRNazanin"/>
          <w:color w:val="111111"/>
          <w:sz w:val="28"/>
          <w:szCs w:val="28"/>
          <w:lang w:bidi="fa-IR"/>
        </w:rPr>
        <w:t>433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نهایة، ابن اثیر،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نهایة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طوسی،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 xml:space="preserve">نهایة الاحکام،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 xml:space="preserve">نهایة المحتاج،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نهج البلاغه، صبحی صالح،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409</w:t>
      </w:r>
    </w:p>
    <w:p>
      <w:pPr>
        <w:pStyle w:val="BookText"/>
        <w:rPr/>
      </w:pPr>
      <w:r>
        <w:rPr>
          <w:rFonts w:ascii="IRNazanin" w:hAnsi="IRNazanin" w:eastAsia="IRNazanin"/>
          <w:color w:val="111111"/>
          <w:sz w:val="28"/>
          <w:sz w:val="28"/>
          <w:szCs w:val="28"/>
          <w:rtl w:val="true"/>
          <w:lang w:bidi="fa-IR"/>
        </w:rPr>
        <w:t xml:space="preserve">نیل الاوطار،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وسائل الشیعة،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lang w:bidi="fa-IR"/>
        </w:rPr>
        <w:t>،</w:t>
      </w:r>
      <w:r>
        <w:rPr>
          <w:rFonts w:eastAsia="IRNazanin" w:cs="IRNazanin"/>
          <w:color w:val="111111"/>
          <w:sz w:val="28"/>
          <w:szCs w:val="28"/>
          <w:lang w:bidi="fa-IR"/>
        </w:rPr>
        <w:t>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394</w:t>
      </w:r>
    </w:p>
    <w:p>
      <w:pPr>
        <w:pStyle w:val="BookText"/>
        <w:rPr/>
      </w:pPr>
      <w:r>
        <w:rPr>
          <w:rFonts w:ascii="IRNazanin" w:hAnsi="IRNazanin" w:eastAsia="IRNazanin"/>
          <w:color w:val="111111"/>
          <w:sz w:val="28"/>
          <w:sz w:val="28"/>
          <w:szCs w:val="28"/>
          <w:rtl w:val="true"/>
          <w:lang w:bidi="fa-IR"/>
        </w:rPr>
        <w:t xml:space="preserve">وسیله ابن حمزه، </w:t>
      </w:r>
      <w:r>
        <w:rPr>
          <w:rFonts w:eastAsia="IRNazanin" w:cs="IRNazanin"/>
          <w:color w:val="111111"/>
          <w:sz w:val="28"/>
          <w:szCs w:val="28"/>
          <w:lang w:bidi="fa-IR"/>
        </w:rPr>
        <w:t>211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وسیلة النجاة،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 xml:space="preserve">وفیات الاعیان،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وصایة والاوقات،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 xml:space="preserve">وقف نامه ربع رشیدی،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میراث جاویدان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 xml:space="preserve">وقف و ساختار کتابخانه‌های اسلامی،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هدایة، صدوق، </w:t>
      </w:r>
      <w:r>
        <w:rPr>
          <w:rFonts w:eastAsia="IRNazanin" w:cs="IRNazanin"/>
          <w:color w:val="111111"/>
          <w:sz w:val="28"/>
          <w:szCs w:val="28"/>
          <w:lang w:bidi="fa-IR"/>
        </w:rPr>
        <w:t>85</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 یادگارهای یزد،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هرگز به‌مقام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 و نیکی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نایل نمی‌شوید مگر آن که از چیزهایی که دوست دارید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راه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انفاق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مقاییس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صدق</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الاحکام </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و بحث پیرامون این عناوین در جای خود خواهد آمد، ان شاءاللّه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بیشتر این مطلب در جای خود خواهد آمد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الشّرح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الفروق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بحثهای مشروعیّت وقف، ملکیّت در وقف و</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4/267</w:t>
      </w:r>
      <w:r>
        <w:rPr>
          <w:rFonts w:ascii="IRNazanin" w:hAnsi="IRNazanin" w:eastAsia="IRNazanin"/>
          <w:b w:val="false"/>
          <w:b w:val="false"/>
          <w:bCs w:val="false"/>
          <w:i w:val="false"/>
          <w:i w:val="false"/>
          <w:iCs w:val="false"/>
          <w:color w:val="333333"/>
          <w:sz w:val="20"/>
          <w:sz w:val="20"/>
          <w:szCs w:val="20"/>
          <w:rtl w:val="true"/>
        </w:rPr>
        <w:t>؛ غایه‌المنتهی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13/234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مختصرالمزنی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بحیره؛ شتری است که گوشش را شکافته آزادش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سائبه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است که با نذر، مطلق‌العنان و آزادش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گوسفندی دوقلو می‌زایید که یکی نر و دیگری ماده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اَوْصَلَتْ اَخاها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آن را برای آلهه ذبح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شتری است که ده‌شکم زاییده و آزادش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فی‌تفسیرالقرآن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مجمع‌البحرین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وصل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همچنین درباره اهمّیّت انفاق و صدقه،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3/344</w:t>
      </w:r>
      <w:r>
        <w:rPr>
          <w:rFonts w:ascii="IRNazanin" w:hAnsi="IRNazanin" w:eastAsia="IRNazanin"/>
          <w:b w:val="false"/>
          <w:b w:val="false"/>
          <w:bCs w:val="false"/>
          <w:i w:val="false"/>
          <w:i w:val="false"/>
          <w:iCs w:val="false"/>
          <w:color w:val="333333"/>
          <w:sz w:val="20"/>
          <w:sz w:val="20"/>
          <w:szCs w:val="20"/>
          <w:rtl w:val="true"/>
        </w:rPr>
        <w:t>؛ رَوْضُ‌الجِنان و رَوْحُ‌الجَنان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ابوالفتوح؛ </w:t>
      </w:r>
      <w:r>
        <w:rPr>
          <w:rFonts w:eastAsia="IRNazanin" w:cs="IRNazanin"/>
          <w:b w:val="false"/>
          <w:bCs w:val="false"/>
          <w:i w:val="false"/>
          <w:iCs w:val="false"/>
          <w:color w:val="333333"/>
          <w:sz w:val="20"/>
          <w:szCs w:val="20"/>
        </w:rPr>
        <w:t>4/426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کنزالدقائق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امالی صدوق؛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103/181</w:t>
      </w:r>
      <w:r>
        <w:rPr>
          <w:rFonts w:ascii="IRNazanin" w:hAnsi="IRNazanin" w:eastAsia="IRNazanin"/>
          <w:b w:val="false"/>
          <w:b w:val="false"/>
          <w:bCs w:val="false"/>
          <w:i w:val="false"/>
          <w:i w:val="false"/>
          <w:iCs w:val="false"/>
          <w:color w:val="333333"/>
          <w:sz w:val="20"/>
          <w:sz w:val="20"/>
          <w:szCs w:val="20"/>
          <w:rtl w:val="true"/>
        </w:rPr>
        <w:t>؛ به نقل از امالی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13/292</w:t>
      </w:r>
      <w:r>
        <w:rPr>
          <w:rFonts w:ascii="IRNazanin" w:hAnsi="IRNazanin" w:eastAsia="IRNazanin"/>
          <w:b w:val="false"/>
          <w:b w:val="false"/>
          <w:bCs w:val="false"/>
          <w:i w:val="false"/>
          <w:i w:val="false"/>
          <w:iCs w:val="false"/>
          <w:color w:val="333333"/>
          <w:sz w:val="20"/>
          <w:sz w:val="20"/>
          <w:szCs w:val="20"/>
          <w:rtl w:val="true"/>
        </w:rPr>
        <w:t>؛ بدایة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103/182</w:t>
      </w:r>
      <w:r>
        <w:rPr>
          <w:rFonts w:ascii="IRNazanin" w:hAnsi="IRNazanin" w:eastAsia="IRNazanin"/>
          <w:b w:val="false"/>
          <w:b w:val="false"/>
          <w:bCs w:val="false"/>
          <w:i w:val="false"/>
          <w:i w:val="false"/>
          <w:iCs w:val="false"/>
          <w:color w:val="333333"/>
          <w:sz w:val="20"/>
          <w:sz w:val="20"/>
          <w:szCs w:val="20"/>
          <w:rtl w:val="true"/>
        </w:rPr>
        <w:t>، به نقل از امالی صدوق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قرطبی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ظلال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8/144</w:t>
      </w:r>
      <w:r>
        <w:rPr>
          <w:rFonts w:ascii="IRNazanin" w:hAnsi="IRNazanin" w:eastAsia="IRNazanin"/>
          <w:b w:val="false"/>
          <w:b w:val="false"/>
          <w:bCs w:val="false"/>
          <w:i w:val="false"/>
          <w:i w:val="false"/>
          <w:iCs w:val="false"/>
          <w:color w:val="333333"/>
          <w:sz w:val="20"/>
          <w:sz w:val="20"/>
          <w:szCs w:val="20"/>
          <w:rtl w:val="true"/>
        </w:rPr>
        <w:t>؛ و نیز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جامع‌البیان تفسیرالطبری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روح‌المعانی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5/148</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6/570</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19973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مدوّن یوستینیانوس، امپراطورشرقی، تعریب عبدالعزیز فهمی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وقف در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مجله وقف 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بخش عطایا، کاتوزیان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حقوق مدنی، بخش عطایا،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از المقارنات التّشریعیّة، سید عبداللّه علی حسین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مجله وقف 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بخش عطایا، ناصر کاتوزیان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مجله وقف 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اموالی که رسول خدا از میان غنایم برای خود بر می‌گزید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السیره‌النبویّة،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المغازی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النّبویّه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فتوح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باب میراث، تَعصیب عبارت است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 میراث به عصبه میّت یعنی خویشان مذکر از طرف پدر، جد، عمو، عموزادگان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مواردی که در میان بازماندگان صاحب فرضی نباشد و یا فریضه صاحب فرض کل ترکه را در بر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عَوْل و تَعصیب،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این که تعصیب در فقه شیعه باطل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ابن‌خلدون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نهج‌البلاغه، ابن ابی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16/286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 به نقل از صحاح ستّه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صحاح اهل سنّت با اندکی تفاوت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البته بامقداری توضیح</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فدک فی التاریخ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ابن‌اثیر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مِنهاج‌البرَاعة فی شرح نهج‌البلاغة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 میثم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السلطانیة،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احکام السلطانیة، ابویَعلی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11/171</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کتاب الوصایا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صدقات النبی صلی‌الله‌علیه‌و‌آله و فاطمه علیهاالسلام و الائمة علیهم‌السلام؛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نهج‌البلاغة، صبحی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تهذیب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نهج‌البلاغة، ابن‌ابی‌الحدید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15/149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مرآة العقول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9/144</w:t>
      </w:r>
      <w:r>
        <w:rPr>
          <w:rFonts w:ascii="IRNazanin" w:hAnsi="IRNazanin" w:eastAsia="IRNazanin"/>
          <w:b w:val="false"/>
          <w:b w:val="false"/>
          <w:bCs w:val="false"/>
          <w:i w:val="false"/>
          <w:i w:val="false"/>
          <w:iCs w:val="false"/>
          <w:color w:val="333333"/>
          <w:sz w:val="20"/>
          <w:sz w:val="20"/>
          <w:szCs w:val="20"/>
          <w:rtl w:val="true"/>
        </w:rPr>
        <w:t>، روضه‌المتّقین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11/163</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مرآه‌العقول از کافی؛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عیون اخبارالرّضا علیه‌السلام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تهذیب‌الاحکام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1632</w:t>
      </w:r>
      <w:r>
        <w:rPr>
          <w:rFonts w:ascii="IRNazanin" w:hAnsi="IRNazanin" w:eastAsia="IRNazanin"/>
          <w:b w:val="false"/>
          <w:b w:val="false"/>
          <w:bCs w:val="false"/>
          <w:i w:val="false"/>
          <w:i w:val="false"/>
          <w:iCs w:val="false"/>
          <w:color w:val="333333"/>
          <w:sz w:val="20"/>
          <w:sz w:val="20"/>
          <w:szCs w:val="20"/>
          <w:rtl w:val="true"/>
        </w:rPr>
        <w:t>، البتّه غالب محدّثان و فقهای اهل سنّت این حدیث و ماجرا را در کتابهای خود آورده‌اند که در مباحث فقهی آینده به برخی از آنها اشاره خواهد شد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الاَموال، ابوعبید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التاج الجامع للاصول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بخاری، مسلم وترمذی</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دیگر منابع</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سُبُل السّلام، ج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منهاج الصّالحین، آیه‌اللّه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العروة 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العُروه‌الوثقی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همین مضمون در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تصریح شده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مبحث تاریخچه وقف مراجعه شود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المصطلحات‌الوقفیّه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رَدّ المحتار علی الدُّر 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eastAsia="IRNazanin" w:cs="IRNazanin"/>
          <w:b w:val="false"/>
          <w:bCs w:val="false"/>
          <w:i w:val="false"/>
          <w:iCs w:val="false"/>
          <w:color w:val="333333"/>
          <w:sz w:val="20"/>
          <w:szCs w:val="20"/>
          <w:rtl w:val="true"/>
        </w:rPr>
        <w:t xml:space="preserve"> ...</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ascii="IRNazanin" w:hAnsi="IRNazanin" w:eastAsia="IRNazanin"/>
          <w:b w:val="false"/>
          <w:b w:val="false"/>
          <w:bCs w:val="false"/>
          <w:i w:val="false"/>
          <w:i w:val="false"/>
          <w:iCs w:val="false"/>
          <w:color w:val="333333"/>
          <w:sz w:val="20"/>
          <w:sz w:val="20"/>
          <w:szCs w:val="20"/>
          <w:rtl w:val="true"/>
        </w:rPr>
        <w:t>؛ 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ماده صوغ؛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النّهایة، ابن اثیر، المنجد و</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از اِعلام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تحریرالاحکام،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ارشادالأذهان،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جامعه مدرسین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ایضاح‌الفوائد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2/137</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ascii="IRNazanin" w:hAnsi="IRNazanin" w:eastAsia="IRNazanin"/>
          <w:b w:val="false"/>
          <w:b w:val="false"/>
          <w:bCs w:val="false"/>
          <w:i w:val="false"/>
          <w:i w:val="false"/>
          <w:iCs w:val="false"/>
          <w:color w:val="333333"/>
          <w:sz w:val="20"/>
          <w:sz w:val="20"/>
          <w:szCs w:val="20"/>
          <w:rtl w:val="true"/>
        </w:rPr>
        <w:t>؛ ملحقات‌العروة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ascii="IRNazanin" w:hAnsi="IRNazanin" w:eastAsia="IRNazanin"/>
          <w:b w:val="false"/>
          <w:b w:val="false"/>
          <w:bCs w:val="false"/>
          <w:i w:val="false"/>
          <w:i w:val="false"/>
          <w:iCs w:val="false"/>
          <w:color w:val="333333"/>
          <w:sz w:val="20"/>
          <w:sz w:val="20"/>
          <w:szCs w:val="20"/>
          <w:rtl w:val="true"/>
        </w:rPr>
        <w:t>؛ المصطلحات‌الوقفیّه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احکام‌الوقف، زهدی یکن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المصطلحات‌الوقفیّه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ردّالمحتار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3/360</w:t>
      </w:r>
      <w:r>
        <w:rPr>
          <w:rFonts w:ascii="IRNazanin" w:hAnsi="IRNazanin" w:eastAsia="IRNazanin"/>
          <w:b w:val="false"/>
          <w:b w:val="false"/>
          <w:bCs w:val="false"/>
          <w:i w:val="false"/>
          <w:i w:val="false"/>
          <w:iCs w:val="false"/>
          <w:color w:val="333333"/>
          <w:sz w:val="20"/>
          <w:sz w:val="20"/>
          <w:szCs w:val="20"/>
          <w:rtl w:val="true"/>
        </w:rPr>
        <w:t>؛ حاشیه‌الدسوقی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کشاف‌القناع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نهایه‌المحتاج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در قواعد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صاحب مفتاح‌الکرامة در همین کتاب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w:t>
      </w:r>
      <w:r>
        <w:rPr>
          <w:rFonts w:ascii="IRNazanin" w:hAnsi="IRNazanin" w:eastAsia="IRNazanin"/>
          <w:b w:val="false"/>
          <w:b w:val="false"/>
          <w:bCs w:val="false"/>
          <w:i w:val="false"/>
          <w:i w:val="false"/>
          <w:iCs w:val="false"/>
          <w:color w:val="333333"/>
          <w:sz w:val="20"/>
          <w:sz w:val="20"/>
          <w:szCs w:val="20"/>
          <w:rtl w:val="true"/>
        </w:rPr>
        <w:t>؛ محقّق ثانی در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2/427</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فقه‌القرآن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9/140</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ایضاح‌الفوائد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ascii="IRNazanin" w:hAnsi="IRNazanin" w:eastAsia="IRNazanin"/>
          <w:b w:val="false"/>
          <w:b w:val="false"/>
          <w:bCs w:val="false"/>
          <w:i w:val="false"/>
          <w:i w:val="false"/>
          <w:iCs w:val="false"/>
          <w:color w:val="333333"/>
          <w:sz w:val="20"/>
          <w:sz w:val="20"/>
          <w:szCs w:val="20"/>
          <w:rtl w:val="true"/>
        </w:rPr>
        <w:t>؛ ریاض‌المسائل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8/154</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ascii="IRNazanin" w:hAnsi="IRNazanin" w:eastAsia="IRNazanin"/>
          <w:b w:val="false"/>
          <w:b w:val="false"/>
          <w:bCs w:val="false"/>
          <w:i w:val="false"/>
          <w:i w:val="false"/>
          <w:iCs w:val="false"/>
          <w:color w:val="333333"/>
          <w:sz w:val="20"/>
          <w:sz w:val="20"/>
          <w:szCs w:val="20"/>
          <w:rtl w:val="true"/>
        </w:rPr>
        <w:t>؛ احکام‌الوقف، زهدی یکن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احکام‌وقف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الوقف، زهدی یکن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المصطلحات‌الوقفیّه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احکام الوقف، زهدی یکن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احکام وقف در</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احکام الوقف، زهدی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الوِصایةُ والاوقاف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5/5150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5/5514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2/382</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8/203</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8/207</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التنفیح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حبس و وقف این است که در وقف ملکیّت واقف بکلی زایل می‌شود، لذا به واقف و ورثه او باز نمی‌گردد و حق دیگرتصرّفات در آن را هم ندارد، امّا در حبس عین بر ملک حابس باقی است و در پایان مدّت حبس، مال محبوس به حابس یا ورثه او باز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علی‌المذاهب الخمسه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ascii="IRNazanin" w:hAnsi="IRNazanin" w:eastAsia="IRNazanin"/>
          <w:b w:val="false"/>
          <w:b w:val="false"/>
          <w:bCs w:val="false"/>
          <w:i w:val="false"/>
          <w:i w:val="false"/>
          <w:iCs w:val="false"/>
          <w:color w:val="333333"/>
          <w:sz w:val="20"/>
          <w:sz w:val="20"/>
          <w:szCs w:val="20"/>
          <w:rtl w:val="true"/>
        </w:rPr>
        <w:t>به نقل از تذکرة الفقهاء</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البدایع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ردّالمحتار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8/199</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3/543</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یاد شده</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9/103</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8/248</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3/549</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مدنی،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سید حسن امامی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5/360</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8/194</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علی‌المذاهب‌الخمسة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البته عبارت شرایع این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یَلْزَمُ اِلاّ باِلاِقباضِ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آن شرطیت برای لزوم استفاده می‌شود نه صحّت</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جامعه مدرّسین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ارشادالاذهان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نینوا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28/64</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13/298</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9/23</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xml:space="preserve">؛ شرایع الاسلام؛ </w:t>
      </w:r>
      <w:r>
        <w:rPr>
          <w:rFonts w:eastAsia="IRNazanin" w:cs="IRNazanin"/>
          <w:b w:val="false"/>
          <w:bCs w:val="false"/>
          <w:i w:val="false"/>
          <w:iCs w:val="false"/>
          <w:color w:val="333333"/>
          <w:sz w:val="20"/>
          <w:szCs w:val="20"/>
        </w:rPr>
        <w:t>2/217</w:t>
      </w:r>
      <w:r>
        <w:rPr>
          <w:rFonts w:ascii="IRNazanin" w:hAnsi="IRNazanin" w:eastAsia="IRNazanin"/>
          <w:b w:val="false"/>
          <w:b w:val="false"/>
          <w:bCs w:val="false"/>
          <w:i w:val="false"/>
          <w:i w:val="false"/>
          <w:iCs w:val="false"/>
          <w:color w:val="333333"/>
          <w:sz w:val="20"/>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28/82</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قانون اساسی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ماده‌های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8/171</w:t>
      </w:r>
      <w:r>
        <w:rPr>
          <w:rFonts w:ascii="IRNazanin" w:hAnsi="IRNazanin" w:eastAsia="IRNazanin"/>
          <w:b w:val="false"/>
          <w:b w:val="false"/>
          <w:bCs w:val="false"/>
          <w:i w:val="false"/>
          <w:i w:val="false"/>
          <w:iCs w:val="false"/>
          <w:color w:val="333333"/>
          <w:sz w:val="20"/>
          <w:sz w:val="20"/>
          <w:szCs w:val="20"/>
          <w:rtl w:val="true"/>
        </w:rPr>
        <w:t>؛ المدوّنه‌الکبری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4/343</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المدوَّنه‌الکُبری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4/347</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عمده‌القاری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14/50</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6/310</w:t>
      </w:r>
      <w:r>
        <w:rPr>
          <w:rFonts w:ascii="IRNazanin" w:hAnsi="IRNazanin" w:eastAsia="IRNazanin"/>
          <w:b w:val="false"/>
          <w:b w:val="false"/>
          <w:bCs w:val="false"/>
          <w:i w:val="false"/>
          <w:i w:val="false"/>
          <w:iCs w:val="false"/>
          <w:color w:val="333333"/>
          <w:sz w:val="20"/>
          <w:sz w:val="20"/>
          <w:szCs w:val="20"/>
          <w:rtl w:val="true"/>
        </w:rPr>
        <w:t>؛ الخلاف،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علاّمه و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4/145</w:t>
      </w:r>
      <w:r>
        <w:rPr>
          <w:rFonts w:ascii="IRNazanin" w:hAnsi="IRNazanin" w:eastAsia="IRNazanin"/>
          <w:b w:val="false"/>
          <w:b w:val="false"/>
          <w:bCs w:val="false"/>
          <w:i w:val="false"/>
          <w:i w:val="false"/>
          <w:iCs w:val="false"/>
          <w:color w:val="333333"/>
          <w:sz w:val="20"/>
          <w:sz w:val="20"/>
          <w:szCs w:val="20"/>
          <w:rtl w:val="true"/>
        </w:rPr>
        <w:t>؛ وسائل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15/325</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غایة 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شرائع‌الاسلام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3/303</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الأفهام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ascii="IRNazanin" w:hAnsi="IRNazanin" w:eastAsia="IRNazanin"/>
          <w:b w:val="false"/>
          <w:b w:val="false"/>
          <w:bCs w:val="false"/>
          <w:i w:val="false"/>
          <w:i w:val="false"/>
          <w:iCs w:val="false"/>
          <w:color w:val="333333"/>
          <w:sz w:val="20"/>
          <w:sz w:val="20"/>
          <w:szCs w:val="20"/>
          <w:rtl w:val="true"/>
        </w:rPr>
        <w:t>؛ امام خمینی در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آیه‌اللّه حکیم در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آیه‌اللّه خویی در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5/150</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الشّرح الصّغیر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اَسْهل المدارک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شرح منتهی الارادات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2/490</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الفقه علی المذاهب الاربعة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حَجْر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8/176</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الشّرح‌الصّغیروبُلغَة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شرح منتهی الارادات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از ردّالمحتار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w:t>
      </w:r>
      <w:r>
        <w:rPr>
          <w:rFonts w:ascii="IRNazanin" w:hAnsi="IRNazanin" w:eastAsia="IRNazanin"/>
          <w:b w:val="false"/>
          <w:b w:val="false"/>
          <w:bCs w:val="false"/>
          <w:i w:val="false"/>
          <w:i w:val="false"/>
          <w:iCs w:val="false"/>
          <w:color w:val="333333"/>
          <w:sz w:val="20"/>
          <w:sz w:val="20"/>
          <w:szCs w:val="20"/>
          <w:rtl w:val="true"/>
        </w:rPr>
        <w:t>؛ الشّرح الکبیر و حاشیة الدّسوقی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الشّرح الصغیروبُلغَة السّالک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4/118</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5/588</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الغُنْیة ابن زهره 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9/458</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3/154</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9/57</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کتابُ الاجارة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مجمع‌الفائدة والبرهان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الوقف، زهدی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8/161</w:t>
      </w:r>
      <w:r>
        <w:rPr>
          <w:rFonts w:ascii="IRNazanin" w:hAnsi="IRNazanin" w:eastAsia="IRNazanin"/>
          <w:b w:val="false"/>
          <w:b w:val="false"/>
          <w:bCs w:val="false"/>
          <w:i w:val="false"/>
          <w:i w:val="false"/>
          <w:iCs w:val="false"/>
          <w:color w:val="333333"/>
          <w:sz w:val="20"/>
          <w:sz w:val="20"/>
          <w:szCs w:val="20"/>
          <w:rtl w:val="true"/>
        </w:rPr>
        <w:t>؛ المصطلحات الوقفیّة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ردّالمحتار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فتح‌القدیر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مواهب الجلیل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ascii="IRNazanin" w:hAnsi="IRNazanin" w:eastAsia="IRNazanin"/>
          <w:b w:val="false"/>
          <w:b w:val="false"/>
          <w:bCs w:val="false"/>
          <w:i w:val="false"/>
          <w:i w:val="false"/>
          <w:iCs w:val="false"/>
          <w:color w:val="333333"/>
          <w:sz w:val="20"/>
          <w:sz w:val="20"/>
          <w:szCs w:val="20"/>
          <w:rtl w:val="true"/>
        </w:rPr>
        <w:t>؛ 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3/100</w:t>
      </w:r>
      <w:r>
        <w:rPr>
          <w:rFonts w:ascii="IRNazanin" w:hAnsi="IRNazanin" w:eastAsia="IRNazanin"/>
          <w:b w:val="false"/>
          <w:b w:val="false"/>
          <w:bCs w:val="false"/>
          <w:i w:val="false"/>
          <w:i w:val="false"/>
          <w:iCs w:val="false"/>
          <w:color w:val="333333"/>
          <w:sz w:val="20"/>
          <w:sz w:val="20"/>
          <w:szCs w:val="20"/>
          <w:rtl w:val="true"/>
        </w:rPr>
        <w:t>؛ المبسوط، سرخسی و</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الوقفیّه؛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3/583</w:t>
      </w:r>
      <w:r>
        <w:rPr>
          <w:rFonts w:ascii="IRNazanin" w:hAnsi="IRNazanin" w:eastAsia="IRNazanin"/>
          <w:b w:val="false"/>
          <w:b w:val="false"/>
          <w:bCs w:val="false"/>
          <w:i w:val="false"/>
          <w:i w:val="false"/>
          <w:iCs w:val="false"/>
          <w:color w:val="333333"/>
          <w:sz w:val="20"/>
          <w:sz w:val="20"/>
          <w:szCs w:val="20"/>
          <w:rtl w:val="true"/>
        </w:rPr>
        <w:t>؛ 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2/377</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6/168</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الرّدالمحتار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السّلطانیة، ماوردی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الاحکام السلطانیة، ابویَعلی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مغنی‌المحتاج </w:t>
      </w:r>
      <w:r>
        <w:rPr>
          <w:rFonts w:eastAsia="IRNazanin" w:cs="IRNazanin"/>
          <w:b w:val="false"/>
          <w:bCs w:val="false"/>
          <w:i w:val="false"/>
          <w:iCs w:val="false"/>
          <w:color w:val="333333"/>
          <w:sz w:val="20"/>
          <w:szCs w:val="20"/>
        </w:rPr>
        <w:t>2/377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5/398</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5/384</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28/17</w:t>
      </w:r>
      <w:r>
        <w:rPr>
          <w:rFonts w:ascii="IRNazanin" w:hAnsi="IRNazanin" w:eastAsia="IRNazanin"/>
          <w:b w:val="false"/>
          <w:b w:val="false"/>
          <w:bCs w:val="false"/>
          <w:i w:val="false"/>
          <w:i w:val="false"/>
          <w:iCs w:val="false"/>
          <w:color w:val="333333"/>
          <w:sz w:val="20"/>
          <w:sz w:val="20"/>
          <w:szCs w:val="20"/>
          <w:rtl w:val="true"/>
        </w:rPr>
        <w:t>؛ 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الفتاوی الکبری، ابن‌تیمیه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 امامی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حاشیه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قانون مدنی نیز وقف بر معدوم، جز به تبع موجود ممنوع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3/299</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9/39</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5/152</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5/373</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المُدَوّنه‌الکبری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5/382</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ابواب احکام الوقف،</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2/148</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2/215</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عَصَبه انسان، پسران و خویشان پدری او هستند و در باب ارث، عصبه، همه کسانی هستند که دارای فرض معیّن نیستند و ترکه ابتدا بین اصحاب فروض توزیع می‌شود و اگر از فروض اضافه آمد به عصبه می‌رسد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آنها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فرزندان و فرزندانشان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آباء، هر چه بالا بروند، آن گاه برادران و سپس عموها؛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شایان ذکر است که این مطلب براساس فقه اهل سنّت است و فقهای مذهب امامیّه آن را قبول ندارند</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2/428</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الشّرایع، </w:t>
      </w:r>
      <w:r>
        <w:rPr>
          <w:rFonts w:eastAsia="IRNazanin" w:cs="IRNazanin"/>
          <w:b w:val="false"/>
          <w:bCs w:val="false"/>
          <w:i w:val="false"/>
          <w:iCs w:val="false"/>
          <w:color w:val="333333"/>
          <w:sz w:val="20"/>
          <w:szCs w:val="20"/>
        </w:rPr>
        <w:t>3/208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مفاتیح‌الشّرایع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ریاض‌المسائل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8/192</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ردّالْمُحتار علی الدُّرّالْمُختار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3/357</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4/246</w:t>
      </w:r>
      <w:r>
        <w:rPr>
          <w:rFonts w:ascii="IRNazanin" w:hAnsi="IRNazanin" w:eastAsia="IRNazanin"/>
          <w:b w:val="false"/>
          <w:b w:val="false"/>
          <w:bCs w:val="false"/>
          <w:i w:val="false"/>
          <w:i w:val="false"/>
          <w:iCs w:val="false"/>
          <w:color w:val="333333"/>
          <w:sz w:val="20"/>
          <w:sz w:val="20"/>
          <w:szCs w:val="20"/>
          <w:rtl w:val="true"/>
        </w:rPr>
        <w:t>؛ منتهی‌الارادات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9/50</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5/385</w:t>
      </w:r>
      <w:r>
        <w:rPr>
          <w:rFonts w:ascii="IRNazanin" w:hAnsi="IRNazanin" w:eastAsia="IRNazanin"/>
          <w:b w:val="false"/>
          <w:b w:val="false"/>
          <w:bCs w:val="false"/>
          <w:i w:val="false"/>
          <w:i w:val="false"/>
          <w:iCs w:val="false"/>
          <w:color w:val="333333"/>
          <w:sz w:val="20"/>
          <w:sz w:val="20"/>
          <w:szCs w:val="20"/>
          <w:rtl w:val="true"/>
        </w:rPr>
        <w:t>؛ 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8/193</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بِیَع جمع بِیعه و کنایس جمع کَنیسه، معابد یهود و نصارا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بیعه را معبد یهود و برخی آن را معبد نصارا دانسته‌اند،امّا به هر حال حکم آنها یکی است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7/321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1/348</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ماده</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حقوق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غایه‌المراد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28/106</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22/248</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xml:space="preserve">، مفتاح الکرامة؛ </w:t>
      </w:r>
      <w:r>
        <w:rPr>
          <w:rFonts w:eastAsia="IRNazanin" w:cs="IRNazanin"/>
          <w:b w:val="false"/>
          <w:bCs w:val="false"/>
          <w:i w:val="false"/>
          <w:iCs w:val="false"/>
          <w:color w:val="333333"/>
          <w:sz w:val="20"/>
          <w:szCs w:val="20"/>
        </w:rPr>
        <w:t>9/109</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22/248</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2/387</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ما همان فرزندان پسرانمان هستند، امّافرزندان دختران ما فرزندان مردان بیگانه‌اند</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المختصرالنافع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xml:space="preserve">؛ الحدائق؛ </w:t>
      </w:r>
      <w:r>
        <w:rPr>
          <w:rFonts w:eastAsia="IRNazanin" w:cs="IRNazanin"/>
          <w:b w:val="false"/>
          <w:bCs w:val="false"/>
          <w:i w:val="false"/>
          <w:iCs w:val="false"/>
          <w:color w:val="333333"/>
          <w:sz w:val="20"/>
          <w:szCs w:val="20"/>
        </w:rPr>
        <w:t>22/242</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ascii="IRNazanin" w:hAnsi="IRNazanin" w:eastAsia="IRNazanin"/>
          <w:b w:val="false"/>
          <w:b w:val="false"/>
          <w:bCs w:val="false"/>
          <w:i w:val="false"/>
          <w:i w:val="false"/>
          <w:iCs w:val="false"/>
          <w:color w:val="333333"/>
          <w:sz w:val="20"/>
          <w:sz w:val="20"/>
          <w:szCs w:val="20"/>
          <w:rtl w:val="true"/>
        </w:rPr>
        <w:t>؛ منهاج‌الصّالحین، حکیم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9/110</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28/103</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المُدوّنه‌الکبری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4/344</w:t>
      </w:r>
      <w:r>
        <w:rPr>
          <w:rFonts w:ascii="IRNazanin" w:hAnsi="IRNazanin" w:eastAsia="IRNazanin"/>
          <w:b w:val="false"/>
          <w:b w:val="false"/>
          <w:bCs w:val="false"/>
          <w:i w:val="false"/>
          <w:i w:val="false"/>
          <w:iCs w:val="false"/>
          <w:color w:val="333333"/>
          <w:sz w:val="20"/>
          <w:sz w:val="20"/>
          <w:szCs w:val="20"/>
          <w:rtl w:val="true"/>
        </w:rPr>
        <w:t>؛ 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8/210</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3/546</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2/299</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2/388</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5/367</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فروع یاد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9/96</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مختلف‌الشیعة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28/105</w:t>
      </w:r>
      <w:r>
        <w:rPr>
          <w:rFonts w:ascii="IRNazanin" w:hAnsi="IRNazanin" w:eastAsia="IRNazanin"/>
          <w:b w:val="false"/>
          <w:b w:val="false"/>
          <w:bCs w:val="false"/>
          <w:i w:val="false"/>
          <w:i w:val="false"/>
          <w:iCs w:val="false"/>
          <w:color w:val="333333"/>
          <w:sz w:val="20"/>
          <w:sz w:val="20"/>
          <w:szCs w:val="20"/>
          <w:rtl w:val="true"/>
        </w:rPr>
        <w:t>به بعد؛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منهاج‌الصّالحین،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منابع غیر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5/155</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9/40</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2/294</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3/161</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الجارود زیادبن ابی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بر خلاف صالحیه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خلافت بلافصل علی علیه‌السلامبعد از رسول خداص اعتقاد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 النِّحَل، شهرستانی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1/157</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به کیسان ازمَوالی علی علیه‌السلام که گفته شده شاگرد محمدبن حنفیّه بوده است منسوبند و فرقه‌های گوناگونی هستند، امّا همگی به امامت محمّدبن حنفیّه اعتقاد دارند و بر این باورند که او نمرده است و دوباره ظهور و مراجعت خواهد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1/147</w:t>
      </w:r>
      <w:r>
        <w:rPr>
          <w:rFonts w:ascii="IRNazanin" w:hAnsi="IRNazanin" w:eastAsia="IRNazanin"/>
          <w:b w:val="false"/>
          <w:b w:val="false"/>
          <w:bCs w:val="false"/>
          <w:i w:val="false"/>
          <w:i w:val="false"/>
          <w:iCs w:val="false"/>
          <w:color w:val="333333"/>
          <w:sz w:val="20"/>
          <w:sz w:val="20"/>
          <w:szCs w:val="20"/>
          <w:rtl w:val="true"/>
        </w:rPr>
        <w:t>؛ الامام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جعفربن محمد را زنده می‌دانند که‌نمی‌میردوظاهرخواهدشدواوقائم آل محمد صلی‌الله‌علیه‌و‌آلهاست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گروه ،بعدازجعفربن محمد به امامت پسر بزرگتر وی ،عبداللّه اَفطح اعتقاددارند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بر امامت امام موسی بن جعفر علیه‌السلامتوقُّف‌کردندوبه امامت امام علی بن موسی علیه‌السلامقایل نشدند</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9/54</w:t>
      </w:r>
      <w:r>
        <w:rPr>
          <w:rFonts w:eastAsia="IRNazanin" w:cs="IRNazanin"/>
          <w:b w:val="false"/>
          <w:bCs w:val="false"/>
          <w:i w:val="false"/>
          <w:iCs w:val="false"/>
          <w:color w:val="333333"/>
          <w:sz w:val="20"/>
          <w:szCs w:val="20"/>
          <w:rtl w:val="true"/>
        </w:rPr>
        <w:t xml:space="preserve"> .</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 مؤن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الرّوضه‌البهیّة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علم الفقه و اَطْوارُهُ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زید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ادوارعلم الفقه واطواره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10/449</w:t>
      </w:r>
      <w:r>
        <w:rPr>
          <w:rFonts w:ascii="IRNazanin" w:hAnsi="IRNazanin" w:eastAsia="IRNazanin"/>
          <w:b w:val="false"/>
          <w:b w:val="false"/>
          <w:bCs w:val="false"/>
          <w:i w:val="false"/>
          <w:i w:val="false"/>
          <w:iCs w:val="false"/>
          <w:color w:val="333333"/>
          <w:sz w:val="20"/>
          <w:sz w:val="20"/>
          <w:szCs w:val="20"/>
          <w:rtl w:val="true"/>
        </w:rPr>
        <w:t>؛ 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5/185</w:t>
      </w:r>
      <w:r>
        <w:rPr>
          <w:rFonts w:ascii="IRNazanin" w:hAnsi="IRNazanin" w:eastAsia="IRNazanin"/>
          <w:b w:val="false"/>
          <w:b w:val="false"/>
          <w:bCs w:val="false"/>
          <w:i w:val="false"/>
          <w:i w:val="false"/>
          <w:iCs w:val="false"/>
          <w:color w:val="333333"/>
          <w:sz w:val="20"/>
          <w:sz w:val="20"/>
          <w:szCs w:val="20"/>
          <w:rtl w:val="true"/>
        </w:rPr>
        <w:t>؛ الاَعلام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5/405</w:t>
      </w:r>
      <w:r>
        <w:rPr>
          <w:rFonts w:ascii="IRNazanin" w:hAnsi="IRNazanin" w:eastAsia="IRNazanin"/>
          <w:b w:val="false"/>
          <w:b w:val="false"/>
          <w:bCs w:val="false"/>
          <w:i w:val="false"/>
          <w:i w:val="false"/>
          <w:iCs w:val="false"/>
          <w:color w:val="333333"/>
          <w:sz w:val="20"/>
          <w:sz w:val="20"/>
          <w:szCs w:val="20"/>
          <w:rtl w:val="true"/>
        </w:rPr>
        <w:t>؛ ریحانه‌الادب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الامام الصادق والمذاهب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ادوارعلم الفقه واطواره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5/426</w:t>
      </w:r>
      <w:r>
        <w:rPr>
          <w:rFonts w:ascii="IRNazanin" w:hAnsi="IRNazanin" w:eastAsia="IRNazanin"/>
          <w:b w:val="false"/>
          <w:b w:val="false"/>
          <w:bCs w:val="false"/>
          <w:i w:val="false"/>
          <w:i w:val="false"/>
          <w:iCs w:val="false"/>
          <w:color w:val="333333"/>
          <w:sz w:val="20"/>
          <w:sz w:val="20"/>
          <w:szCs w:val="20"/>
          <w:rtl w:val="true"/>
        </w:rPr>
        <w:t>؛ الاَعلام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6/128</w:t>
      </w:r>
      <w:r>
        <w:rPr>
          <w:rFonts w:ascii="IRNazanin" w:hAnsi="IRNazanin" w:eastAsia="IRNazanin"/>
          <w:b w:val="false"/>
          <w:b w:val="false"/>
          <w:bCs w:val="false"/>
          <w:i w:val="false"/>
          <w:i w:val="false"/>
          <w:iCs w:val="false"/>
          <w:color w:val="333333"/>
          <w:sz w:val="20"/>
          <w:sz w:val="20"/>
          <w:szCs w:val="20"/>
          <w:rtl w:val="true"/>
        </w:rPr>
        <w:t>؛ وفیات‌الاعیان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4/135</w:t>
      </w:r>
      <w:r>
        <w:rPr>
          <w:rFonts w:ascii="IRNazanin" w:hAnsi="IRNazanin" w:eastAsia="IRNazanin"/>
          <w:b w:val="false"/>
          <w:b w:val="false"/>
          <w:bCs w:val="false"/>
          <w:i w:val="false"/>
          <w:i w:val="false"/>
          <w:iCs w:val="false"/>
          <w:color w:val="333333"/>
          <w:sz w:val="20"/>
          <w:sz w:val="20"/>
          <w:szCs w:val="20"/>
          <w:rtl w:val="true"/>
        </w:rPr>
        <w:t>؛ الامام الصادق والمذاهب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علم الفقه و اطواره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تهذیب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6/137</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4/163</w:t>
      </w:r>
      <w:r>
        <w:rPr>
          <w:rFonts w:ascii="IRNazanin" w:hAnsi="IRNazanin" w:eastAsia="IRNazanin"/>
          <w:b w:val="false"/>
          <w:b w:val="false"/>
          <w:bCs w:val="false"/>
          <w:i w:val="false"/>
          <w:i w:val="false"/>
          <w:iCs w:val="false"/>
          <w:color w:val="333333"/>
          <w:sz w:val="20"/>
          <w:sz w:val="20"/>
          <w:szCs w:val="20"/>
          <w:rtl w:val="true"/>
        </w:rPr>
        <w:t>؛ الاَعلام الزِّرِکْلی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6/294</w:t>
      </w:r>
      <w:r>
        <w:rPr>
          <w:rFonts w:ascii="IRNazanin" w:hAnsi="IRNazanin" w:eastAsia="IRNazanin"/>
          <w:b w:val="false"/>
          <w:b w:val="false"/>
          <w:bCs w:val="false"/>
          <w:i w:val="false"/>
          <w:i w:val="false"/>
          <w:iCs w:val="false"/>
          <w:color w:val="333333"/>
          <w:sz w:val="20"/>
          <w:sz w:val="20"/>
          <w:szCs w:val="20"/>
          <w:rtl w:val="true"/>
        </w:rPr>
        <w:t>؛ ریحانه‌الادب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3/160</w:t>
      </w:r>
      <w:r>
        <w:rPr>
          <w:rFonts w:ascii="IRNazanin" w:hAnsi="IRNazanin" w:eastAsia="IRNazanin"/>
          <w:b w:val="false"/>
          <w:b w:val="false"/>
          <w:bCs w:val="false"/>
          <w:i w:val="false"/>
          <w:i w:val="false"/>
          <w:iCs w:val="false"/>
          <w:color w:val="333333"/>
          <w:sz w:val="20"/>
          <w:sz w:val="20"/>
          <w:szCs w:val="20"/>
          <w:rtl w:val="true"/>
        </w:rPr>
        <w:t>؛ الامام صادق والمذاهب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1/168</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علم الفقه و اطواره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المنتظم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1488</w:t>
      </w:r>
      <w:r>
        <w:rPr>
          <w:rFonts w:ascii="IRNazanin" w:hAnsi="IRNazanin" w:eastAsia="IRNazanin"/>
          <w:b w:val="false"/>
          <w:b w:val="false"/>
          <w:bCs w:val="false"/>
          <w:i w:val="false"/>
          <w:i w:val="false"/>
          <w:iCs w:val="false"/>
          <w:color w:val="333333"/>
          <w:sz w:val="20"/>
          <w:sz w:val="20"/>
          <w:szCs w:val="20"/>
          <w:rtl w:val="true"/>
        </w:rPr>
        <w:t>؛ وفیات الاعیان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ریحانه‌الادب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7/483</w:t>
      </w:r>
      <w:r>
        <w:rPr>
          <w:rFonts w:ascii="IRNazanin" w:hAnsi="IRNazanin" w:eastAsia="IRNazanin"/>
          <w:b w:val="false"/>
          <w:b w:val="false"/>
          <w:bCs w:val="false"/>
          <w:i w:val="false"/>
          <w:i w:val="false"/>
          <w:iCs w:val="false"/>
          <w:color w:val="333333"/>
          <w:sz w:val="20"/>
          <w:sz w:val="20"/>
          <w:szCs w:val="20"/>
          <w:rtl w:val="true"/>
        </w:rPr>
        <w:t>؛ الامام الصادق والمذاهب الاربعة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اَدوار علم الفقه و اَطواره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ریحانه‌الادب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3/294</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2/663</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أدلّته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ascii="IRNazanin" w:hAnsi="IRNazanin" w:eastAsia="IRNazanin"/>
          <w:b w:val="false"/>
          <w:b w:val="false"/>
          <w:bCs w:val="false"/>
          <w:i w:val="false"/>
          <w:i w:val="false"/>
          <w:iCs w:val="false"/>
          <w:color w:val="333333"/>
          <w:sz w:val="20"/>
          <w:sz w:val="20"/>
          <w:szCs w:val="20"/>
          <w:rtl w:val="true"/>
        </w:rPr>
        <w:t>؛ 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5/371</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ارشادالاذهان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9/69</w:t>
      </w:r>
      <w:r>
        <w:rPr>
          <w:rFonts w:ascii="IRNazanin" w:hAnsi="IRNazanin" w:eastAsia="IRNazanin"/>
          <w:b w:val="false"/>
          <w:b w:val="false"/>
          <w:bCs w:val="false"/>
          <w:i w:val="false"/>
          <w:i w:val="false"/>
          <w:iCs w:val="false"/>
          <w:color w:val="333333"/>
          <w:sz w:val="20"/>
          <w:sz w:val="20"/>
          <w:szCs w:val="20"/>
          <w:rtl w:val="true"/>
        </w:rPr>
        <w:t>؛ علاّمه در تذکرة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2/430</w:t>
      </w:r>
      <w:r>
        <w:rPr>
          <w:rFonts w:ascii="IRNazanin" w:hAnsi="IRNazanin" w:eastAsia="IRNazanin"/>
          <w:b w:val="false"/>
          <w:b w:val="false"/>
          <w:bCs w:val="false"/>
          <w:i w:val="false"/>
          <w:i w:val="false"/>
          <w:iCs w:val="false"/>
          <w:color w:val="333333"/>
          <w:sz w:val="20"/>
          <w:sz w:val="20"/>
          <w:szCs w:val="20"/>
          <w:rtl w:val="true"/>
        </w:rPr>
        <w:t>؛ امام خمینی در تحریر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آیه‌اللّه خویی در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2/249</w:t>
      </w:r>
      <w:r>
        <w:rPr>
          <w:rFonts w:ascii="IRNazanin" w:hAnsi="IRNazanin" w:eastAsia="IRNazanin"/>
          <w:b w:val="false"/>
          <w:b w:val="false"/>
          <w:bCs w:val="false"/>
          <w:i w:val="false"/>
          <w:i w:val="false"/>
          <w:iCs w:val="false"/>
          <w:color w:val="333333"/>
          <w:sz w:val="20"/>
          <w:sz w:val="20"/>
          <w:szCs w:val="20"/>
          <w:rtl w:val="true"/>
        </w:rPr>
        <w:t>؛ آیه‌اللّه حکیم در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ابواب احکام الوقف،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 در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28/116</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ascii="IRNazanin" w:hAnsi="IRNazanin" w:eastAsia="IRNazanin"/>
          <w:b w:val="false"/>
          <w:b w:val="false"/>
          <w:bCs w:val="false"/>
          <w:i w:val="false"/>
          <w:i w:val="false"/>
          <w:iCs w:val="false"/>
          <w:color w:val="333333"/>
          <w:sz w:val="20"/>
          <w:sz w:val="20"/>
          <w:szCs w:val="20"/>
          <w:rtl w:val="true"/>
        </w:rPr>
        <w:t>؛ 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8/212</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2/437</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ascii="IRNazanin" w:hAnsi="IRNazanin" w:eastAsia="IRNazanin"/>
          <w:b w:val="false"/>
          <w:b w:val="false"/>
          <w:bCs w:val="false"/>
          <w:i w:val="false"/>
          <w:i w:val="false"/>
          <w:iCs w:val="false"/>
          <w:color w:val="333333"/>
          <w:sz w:val="20"/>
          <w:sz w:val="20"/>
          <w:szCs w:val="20"/>
          <w:rtl w:val="true"/>
        </w:rPr>
        <w:t>؛ التّنقیح‌الرّائع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3/158</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9/66</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2/300</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13/344</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5/166</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8/211</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4/346</w:t>
      </w:r>
      <w:r>
        <w:rPr>
          <w:rFonts w:ascii="IRNazanin" w:hAnsi="IRNazanin" w:eastAsia="IRNazanin"/>
          <w:b w:val="false"/>
          <w:b w:val="false"/>
          <w:bCs w:val="false"/>
          <w:i w:val="false"/>
          <w:i w:val="false"/>
          <w:iCs w:val="false"/>
          <w:color w:val="333333"/>
          <w:sz w:val="20"/>
          <w:sz w:val="20"/>
          <w:szCs w:val="20"/>
          <w:rtl w:val="true"/>
        </w:rPr>
        <w:t>؛ الشّرح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8/217</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فتح‌القدیر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الفروق قرافی و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شهید صدر در پاورقی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2/238</w:t>
      </w:r>
      <w:r>
        <w:rPr>
          <w:rFonts w:ascii="IRNazanin" w:hAnsi="IRNazanin" w:eastAsia="IRNazanin"/>
          <w:b w:val="false"/>
          <w:b w:val="false"/>
          <w:bCs w:val="false"/>
          <w:i w:val="false"/>
          <w:i w:val="false"/>
          <w:iCs w:val="false"/>
          <w:color w:val="333333"/>
          <w:sz w:val="20"/>
          <w:sz w:val="20"/>
          <w:szCs w:val="20"/>
          <w:rtl w:val="true"/>
        </w:rPr>
        <w:t>؛ القواعد والفوائد، 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ارشادالاذهان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ارشادالاَذهان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2/302</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22/234</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الفروق، قرافی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فتح‌القدیر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 الصّغیرو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3/103</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5/358</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ملحقات‌العروة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ملحقات‌العروة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2/397</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ملحقات‌العروة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حاشیه ابن عابدین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ascii="IRNazanin" w:hAnsi="IRNazanin" w:eastAsia="IRNazanin"/>
          <w:b w:val="false"/>
          <w:b w:val="false"/>
          <w:bCs w:val="false"/>
          <w:i w:val="false"/>
          <w:i w:val="false"/>
          <w:iCs w:val="false"/>
          <w:color w:val="333333"/>
          <w:sz w:val="20"/>
          <w:sz w:val="20"/>
          <w:szCs w:val="20"/>
          <w:rtl w:val="true"/>
        </w:rPr>
        <w:t>؛ احکام الوقف، زهدی یکن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ردّالمحتار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روضه‌الطّالبین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5/344</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الوقف، زهدی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حاشیة الدّسوقی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3/552</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حقوقی، صفّار،</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علاقه‌مندان می‌توانند به‌متون حقوقی که به‌این مهمّ پرداخته‌اند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شخصیّت حقوقی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محمدجواد صفّار؛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نوشته امامی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حقوق مدنی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مشارکتها، صلح، عطایا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نوشته کاتوزیان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مبحث وقف، مراجعه کنند</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حقوقی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عبارت اوقاف عام و خاصّ، هر دو، را دربر می‌گیرد</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شخصیّت حقوقی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از متن اللّغة؛ المعجم الوسیط و التّعریفات جرجانی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المفردات،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بدایه‌النّهایة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احکام الوقف، زهدی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2/303</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مکاسب، شیخ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12/393</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4/404</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3/120</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2/296</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9/30</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2/383</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الوقف، زهدی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8/181</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4/251</w:t>
      </w:r>
      <w:r>
        <w:rPr>
          <w:rFonts w:ascii="IRNazanin" w:hAnsi="IRNazanin" w:eastAsia="IRNazanin"/>
          <w:b w:val="false"/>
          <w:b w:val="false"/>
          <w:bCs w:val="false"/>
          <w:i w:val="false"/>
          <w:i w:val="false"/>
          <w:iCs w:val="false"/>
          <w:color w:val="333333"/>
          <w:sz w:val="20"/>
          <w:sz w:val="20"/>
          <w:szCs w:val="20"/>
          <w:rtl w:val="true"/>
        </w:rPr>
        <w:t>؛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9/175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13/297</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الانتصار 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eastAsia="IRNazanin" w:cs="IRNazanin"/>
          <w:b w:val="false"/>
          <w:bCs w:val="false"/>
          <w:i w:val="false"/>
          <w:iCs w:val="false"/>
          <w:color w:val="333333"/>
          <w:sz w:val="20"/>
          <w:szCs w:val="20"/>
          <w:rtl w:val="true"/>
        </w:rPr>
        <w:t xml:space="preserve"> .</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22/167</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28/72</w:t>
      </w:r>
      <w:r>
        <w:rPr>
          <w:rFonts w:ascii="IRNazanin" w:hAnsi="IRNazanin" w:eastAsia="IRNazanin"/>
          <w:b w:val="false"/>
          <w:b w:val="false"/>
          <w:bCs w:val="false"/>
          <w:i w:val="false"/>
          <w:i w:val="false"/>
          <w:iCs w:val="false"/>
          <w:color w:val="333333"/>
          <w:sz w:val="20"/>
          <w:sz w:val="20"/>
          <w:szCs w:val="20"/>
          <w:rtl w:val="true"/>
        </w:rPr>
        <w:t>؛ فیض کاشانی،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9/29</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2/434</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2/217</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 xml:space="preserve"> .</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محقّق ثانی در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شیخ در 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ascii="IRNazanin" w:hAnsi="IRNazanin" w:eastAsia="IRNazanin"/>
          <w:b w:val="false"/>
          <w:b w:val="false"/>
          <w:bCs w:val="false"/>
          <w:i w:val="false"/>
          <w:i w:val="false"/>
          <w:iCs w:val="false"/>
          <w:color w:val="333333"/>
          <w:sz w:val="20"/>
          <w:sz w:val="20"/>
          <w:szCs w:val="20"/>
          <w:rtl w:val="true"/>
        </w:rPr>
        <w:t>؛ 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از الاسعاف، فتح القدیر؛ روضه‌الطّالبین؛ کشّاف القناع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ascii="IRNazanin" w:hAnsi="IRNazanin" w:eastAsia="IRNazanin"/>
          <w:b w:val="false"/>
          <w:b w:val="false"/>
          <w:bCs w:val="false"/>
          <w:i w:val="false"/>
          <w:i w:val="false"/>
          <w:iCs w:val="false"/>
          <w:color w:val="333333"/>
          <w:sz w:val="20"/>
          <w:sz w:val="20"/>
          <w:szCs w:val="20"/>
          <w:rtl w:val="true"/>
        </w:rPr>
        <w:t>؛ محاضراتٌ فی الوقف، ص</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المصطلحات‌الوفقیّه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5/439</w:t>
      </w:r>
      <w:r>
        <w:rPr>
          <w:rFonts w:ascii="IRNazanin" w:hAnsi="IRNazanin" w:eastAsia="IRNazanin"/>
          <w:b w:val="false"/>
          <w:b w:val="false"/>
          <w:bCs w:val="false"/>
          <w:i w:val="false"/>
          <w:i w:val="false"/>
          <w:iCs w:val="false"/>
          <w:color w:val="333333"/>
          <w:sz w:val="20"/>
          <w:sz w:val="20"/>
          <w:szCs w:val="20"/>
          <w:rtl w:val="true"/>
        </w:rPr>
        <w:t>؛ 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4/261</w:t>
      </w:r>
      <w:r>
        <w:rPr>
          <w:rFonts w:ascii="IRNazanin" w:hAnsi="IRNazanin" w:eastAsia="IRNazanin"/>
          <w:b w:val="false"/>
          <w:b w:val="false"/>
          <w:bCs w:val="false"/>
          <w:i w:val="false"/>
          <w:i w:val="false"/>
          <w:iCs w:val="false"/>
          <w:color w:val="333333"/>
          <w:sz w:val="20"/>
          <w:sz w:val="20"/>
          <w:szCs w:val="20"/>
          <w:rtl w:val="true"/>
        </w:rPr>
        <w:t>؛ مطالب النُّهی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فتح‌القدیر؛ ردّالمحتار؛ مغنی‌المحتاج؛ کشّاف‌القناع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 ابوزهره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2/292</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8/209</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متن اللّغة، المصباح المنیر و المعجم الوسیط</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از الدّرالمختار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المختصرالنافع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التّنقیح‌الرائع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22/182</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کشف‌الرّموز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کفایه‌الاحکام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مسالک الافهام، تحریرالوسیله، منهاج‌الصالحین،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2/346</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 xml:space="preserve"> .</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3/301</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شرائع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22/168</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1/300</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و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ماده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ascii="IRNazanin" w:hAnsi="IRNazanin" w:eastAsia="IRNazanin"/>
          <w:b w:val="false"/>
          <w:b w:val="false"/>
          <w:bCs w:val="false"/>
          <w:i w:val="false"/>
          <w:i w:val="false"/>
          <w:iCs w:val="false"/>
          <w:color w:val="333333"/>
          <w:sz w:val="20"/>
          <w:sz w:val="20"/>
          <w:szCs w:val="20"/>
          <w:rtl w:val="true"/>
        </w:rPr>
        <w:t>؛ الشّرح‌الصّغیر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اِعلام المُوَقِّعین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3/288</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12/49</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بقیه متون و مدارک نامبرده در ضمن طرح همین مسأله </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الفقه علی‌المذاهب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8/231</w:t>
      </w:r>
      <w:r>
        <w:rPr>
          <w:rFonts w:ascii="IRNazanin" w:hAnsi="IRNazanin" w:eastAsia="IRNazanin"/>
          <w:b w:val="false"/>
          <w:b w:val="false"/>
          <w:bCs w:val="false"/>
          <w:i w:val="false"/>
          <w:i w:val="false"/>
          <w:iCs w:val="false"/>
          <w:color w:val="333333"/>
          <w:sz w:val="20"/>
          <w:sz w:val="20"/>
          <w:szCs w:val="20"/>
          <w:rtl w:val="true"/>
        </w:rPr>
        <w:t>؛ الفقه علی‌المذاهب‌الخمسة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608</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28/21</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22/184</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2/230</w:t>
      </w:r>
      <w:r>
        <w:rPr>
          <w:rFonts w:ascii="IRNazanin" w:hAnsi="IRNazanin" w:eastAsia="IRNazanin"/>
          <w:b w:val="false"/>
          <w:b w:val="false"/>
          <w:bCs w:val="false"/>
          <w:i w:val="false"/>
          <w:i w:val="false"/>
          <w:iCs w:val="false"/>
          <w:color w:val="333333"/>
          <w:sz w:val="20"/>
          <w:sz w:val="20"/>
          <w:szCs w:val="20"/>
          <w:rtl w:val="true"/>
        </w:rPr>
        <w:t>؛ الفقه علی‌المذاهب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المغنی، ابن قدامه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28/22</w:t>
      </w:r>
      <w:r>
        <w:rPr>
          <w:rFonts w:ascii="IRNazanin" w:hAnsi="IRNazanin" w:eastAsia="IRNazanin"/>
          <w:b w:val="false"/>
          <w:b w:val="false"/>
          <w:bCs w:val="false"/>
          <w:i w:val="false"/>
          <w:i w:val="false"/>
          <w:iCs w:val="false"/>
          <w:color w:val="333333"/>
          <w:sz w:val="20"/>
          <w:sz w:val="20"/>
          <w:szCs w:val="20"/>
          <w:rtl w:val="true"/>
        </w:rPr>
        <w:t>؛ 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22/185</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مغنی‌المحتاج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الفتاوی‌الکبری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الفقه‌الاسلامی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5/165</w:t>
      </w:r>
      <w:r>
        <w:rPr>
          <w:rFonts w:ascii="IRNazanin" w:hAnsi="IRNazanin" w:eastAsia="IRNazanin"/>
          <w:b w:val="false"/>
          <w:b w:val="false"/>
          <w:bCs w:val="false"/>
          <w:i w:val="false"/>
          <w:i w:val="false"/>
          <w:iCs w:val="false"/>
          <w:color w:val="333333"/>
          <w:sz w:val="20"/>
          <w:sz w:val="20"/>
          <w:szCs w:val="20"/>
          <w:rtl w:val="true"/>
        </w:rPr>
        <w:t>؛ اسهل‌المدارک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الشّرح‌الصّغیر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5/386</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احکام الوقف، حدیث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22/188</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الوصایه‌والاوقاف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ascii="IRNazanin" w:hAnsi="IRNazanin" w:eastAsia="IRNazanin"/>
          <w:b w:val="false"/>
          <w:b w:val="false"/>
          <w:bCs w:val="false"/>
          <w:i w:val="false"/>
          <w:i w:val="false"/>
          <w:iCs w:val="false"/>
          <w:color w:val="333333"/>
          <w:sz w:val="20"/>
          <w:sz w:val="20"/>
          <w:szCs w:val="20"/>
          <w:rtl w:val="true"/>
        </w:rPr>
        <w:t>؛ 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وسیله‌النجاة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ascii="IRNazanin" w:hAnsi="IRNazanin" w:eastAsia="IRNazanin"/>
          <w:b w:val="false"/>
          <w:b w:val="false"/>
          <w:bCs w:val="false"/>
          <w:i w:val="false"/>
          <w:i w:val="false"/>
          <w:iCs w:val="false"/>
          <w:color w:val="333333"/>
          <w:sz w:val="20"/>
          <w:sz w:val="20"/>
          <w:szCs w:val="20"/>
          <w:rtl w:val="true"/>
        </w:rPr>
        <w:t>؛ تحریر 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2/246</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2/248</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28/115</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9/115</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4/426</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8/233</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الاسعاف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22/186</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2/442</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1/347</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ascii="IRNazanin" w:hAnsi="IRNazanin" w:eastAsia="IRNazanin"/>
          <w:b w:val="false"/>
          <w:b w:val="false"/>
          <w:bCs w:val="false"/>
          <w:i w:val="false"/>
          <w:i w:val="false"/>
          <w:iCs w:val="false"/>
          <w:color w:val="333333"/>
          <w:sz w:val="20"/>
          <w:sz w:val="20"/>
          <w:szCs w:val="20"/>
          <w:rtl w:val="true"/>
        </w:rPr>
        <w:t>؛ کفایه‌الاحکام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وسیله‌النجاة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2/157</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المسائل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ماده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الفقه علی‌المذاهب‌الخمسة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المصطلحات‌الوقفیّه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ascii="IRNazanin" w:hAnsi="IRNazanin" w:eastAsia="IRNazanin"/>
          <w:b w:val="false"/>
          <w:b w:val="false"/>
          <w:bCs w:val="false"/>
          <w:i w:val="false"/>
          <w:i w:val="false"/>
          <w:iCs w:val="false"/>
          <w:color w:val="333333"/>
          <w:sz w:val="20"/>
          <w:sz w:val="20"/>
          <w:szCs w:val="20"/>
          <w:rtl w:val="true"/>
        </w:rPr>
        <w:t>؛ نهایة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کفایة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کشف اللثام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3/335</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1/303</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3/550</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22/254</w:t>
      </w:r>
      <w:r>
        <w:rPr>
          <w:rFonts w:ascii="IRNazanin" w:hAnsi="IRNazanin" w:eastAsia="IRNazanin"/>
          <w:b w:val="false"/>
          <w:b w:val="false"/>
          <w:bCs w:val="false"/>
          <w:i w:val="false"/>
          <w:i w:val="false"/>
          <w:iCs w:val="false"/>
          <w:color w:val="333333"/>
          <w:sz w:val="20"/>
          <w:sz w:val="20"/>
          <w:szCs w:val="20"/>
          <w:rtl w:val="true"/>
        </w:rPr>
        <w:t>؛ ذکری الشیعة شهید اول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ascii="IRNazanin" w:hAnsi="IRNazanin" w:eastAsia="IRNazanin"/>
          <w:b w:val="false"/>
          <w:b w:val="false"/>
          <w:bCs w:val="false"/>
          <w:i w:val="false"/>
          <w:i w:val="false"/>
          <w:iCs w:val="false"/>
          <w:color w:val="333333"/>
          <w:sz w:val="20"/>
          <w:sz w:val="20"/>
          <w:szCs w:val="20"/>
          <w:rtl w:val="true"/>
        </w:rPr>
        <w:t>؛ کتاب الصّلاة حاج آقا رضا همدانی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28/107</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9/100</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المساجد و احکامها فی التّشریع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المساجد و احکامها فی‌التشریع الاسلامی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المناهل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28/107</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ascii="IRNazanin" w:hAnsi="IRNazanin" w:eastAsia="IRNazanin"/>
          <w:b w:val="false"/>
          <w:b w:val="false"/>
          <w:bCs w:val="false"/>
          <w:i w:val="false"/>
          <w:i w:val="false"/>
          <w:iCs w:val="false"/>
          <w:color w:val="333333"/>
          <w:sz w:val="20"/>
          <w:sz w:val="20"/>
          <w:szCs w:val="20"/>
          <w:rtl w:val="true"/>
        </w:rPr>
        <w:t>؛ الفقه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6/138</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شرایع؛ منتهی المطلب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تحریرالاحکام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ذخیره‌المعاد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4/396</w:t>
      </w:r>
      <w:r>
        <w:rPr>
          <w:rFonts w:eastAsia="IRNazanin" w:cs="IRNazanin"/>
          <w:b w:val="false"/>
          <w:bCs w:val="false"/>
          <w:i w:val="false"/>
          <w:iCs w:val="false"/>
          <w:color w:val="333333"/>
          <w:sz w:val="20"/>
          <w:szCs w:val="20"/>
          <w:rtl w:val="true"/>
        </w:rPr>
        <w:t xml:space="preserve"> .</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منتهی المطلب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1/417</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مدارک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4/398</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9/116</w:t>
      </w:r>
      <w:r>
        <w:rPr>
          <w:rFonts w:ascii="IRNazanin" w:hAnsi="IRNazanin" w:eastAsia="IRNazanin"/>
          <w:b w:val="false"/>
          <w:b w:val="false"/>
          <w:bCs w:val="false"/>
          <w:i w:val="false"/>
          <w:i w:val="false"/>
          <w:iCs w:val="false"/>
          <w:color w:val="333333"/>
          <w:sz w:val="20"/>
          <w:sz w:val="20"/>
          <w:szCs w:val="20"/>
          <w:rtl w:val="true"/>
        </w:rPr>
        <w:t>به نقل از قواعدالاحکام</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اسهل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ردّالمحتار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فتح القدیر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ascii="IRNazanin" w:hAnsi="IRNazanin" w:eastAsia="IRNazanin"/>
          <w:b w:val="false"/>
          <w:b w:val="false"/>
          <w:bCs w:val="false"/>
          <w:i w:val="false"/>
          <w:i w:val="false"/>
          <w:iCs w:val="false"/>
          <w:color w:val="333333"/>
          <w:sz w:val="20"/>
          <w:sz w:val="20"/>
          <w:szCs w:val="20"/>
          <w:rtl w:val="true"/>
        </w:rPr>
        <w:t>؛ مجموعٌ فی المناقلة والاستبدال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5/377</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2/392</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5/379</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3/1255</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9/68</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22/366</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3/300</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9/72</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ascii="IRNazanin" w:hAnsi="IRNazanin" w:eastAsia="IRNazanin"/>
          <w:b w:val="false"/>
          <w:b w:val="false"/>
          <w:bCs w:val="false"/>
          <w:i w:val="false"/>
          <w:i w:val="false"/>
          <w:iCs w:val="false"/>
          <w:color w:val="333333"/>
          <w:sz w:val="20"/>
          <w:sz w:val="20"/>
          <w:szCs w:val="20"/>
          <w:rtl w:val="true"/>
        </w:rPr>
        <w:t>؛ 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13/312</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 قواعدالاحکام</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28/110</w:t>
      </w:r>
      <w:r>
        <w:rPr>
          <w:rFonts w:ascii="IRNazanin" w:hAnsi="IRNazanin" w:eastAsia="IRNazanin"/>
          <w:b w:val="false"/>
          <w:b w:val="false"/>
          <w:bCs w:val="false"/>
          <w:i w:val="false"/>
          <w:i w:val="false"/>
          <w:iCs w:val="false"/>
          <w:color w:val="333333"/>
          <w:sz w:val="20"/>
          <w:sz w:val="20"/>
          <w:szCs w:val="20"/>
          <w:rtl w:val="true"/>
        </w:rPr>
        <w:t>به نقل از شرائع الاسلام</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9/86</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1/290</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2/304</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وسیلة النجاة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2/154</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22/365</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13/305</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13/304</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2/393</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22/391</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شیخ از وقف منقطع در این جا وقف بر افرادی است که منقرض می شوند، نه وقفی که دارای مدّت باشد یعنی وقف موقّت</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صورتی که چنین شرطی را در وقف جایز بدانیم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ascii="IRNazanin" w:hAnsi="IRNazanin" w:eastAsia="IRNazanin"/>
          <w:b w:val="false"/>
          <w:b w:val="false"/>
          <w:bCs w:val="false"/>
          <w:i w:val="false"/>
          <w:i w:val="false"/>
          <w:iCs w:val="false"/>
          <w:color w:val="333333"/>
          <w:sz w:val="20"/>
          <w:sz w:val="20"/>
          <w:szCs w:val="20"/>
          <w:rtl w:val="true"/>
        </w:rPr>
        <w:t>به نقل از انتصار</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9/73</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عبّاسی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المختصر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3/213</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قانون اساسی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مادّه‌های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1/174</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مختلف الشّیعة</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2/330</w:t>
      </w:r>
      <w:r>
        <w:rPr>
          <w:rFonts w:ascii="IRNazanin" w:hAnsi="IRNazanin" w:eastAsia="IRNazanin"/>
          <w:b w:val="false"/>
          <w:b w:val="false"/>
          <w:bCs w:val="false"/>
          <w:i w:val="false"/>
          <w:i w:val="false"/>
          <w:iCs w:val="false"/>
          <w:color w:val="333333"/>
          <w:sz w:val="20"/>
          <w:sz w:val="20"/>
          <w:szCs w:val="20"/>
          <w:rtl w:val="true"/>
        </w:rPr>
        <w:t>؛ 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13/306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المکاسب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البیع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ascii="IRNazanin" w:hAnsi="IRNazanin" w:eastAsia="IRNazanin"/>
          <w:b w:val="false"/>
          <w:b w:val="false"/>
          <w:bCs w:val="false"/>
          <w:i w:val="false"/>
          <w:i w:val="false"/>
          <w:iCs w:val="false"/>
          <w:color w:val="333333"/>
          <w:sz w:val="20"/>
          <w:sz w:val="20"/>
          <w:szCs w:val="20"/>
          <w:rtl w:val="true"/>
        </w:rPr>
        <w:t>،به نقل از قواعدالاحکام 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 فی‌المناقلة و الاستبدال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5/158</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الفقه الاسلامی، جمال عبدالناصر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5/182</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12/44</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موسوعة الفقه الاسلامی، جمال عبد النّاصر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المدوّنة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4/342</w:t>
      </w:r>
      <w:r>
        <w:rPr>
          <w:rFonts w:ascii="IRNazanin" w:hAnsi="IRNazanin" w:eastAsia="IRNazanin"/>
          <w:b w:val="false"/>
          <w:b w:val="false"/>
          <w:bCs w:val="false"/>
          <w:i w:val="false"/>
          <w:i w:val="false"/>
          <w:iCs w:val="false"/>
          <w:color w:val="333333"/>
          <w:sz w:val="20"/>
          <w:sz w:val="20"/>
          <w:szCs w:val="20"/>
          <w:rtl w:val="true"/>
        </w:rPr>
        <w:t>؛ الشّرح 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8/222</w:t>
      </w:r>
      <w:r>
        <w:rPr>
          <w:rFonts w:ascii="IRNazanin" w:hAnsi="IRNazanin" w:eastAsia="IRNazanin"/>
          <w:b w:val="false"/>
          <w:b w:val="false"/>
          <w:bCs w:val="false"/>
          <w:i w:val="false"/>
          <w:i w:val="false"/>
          <w:iCs w:val="false"/>
          <w:color w:val="333333"/>
          <w:sz w:val="20"/>
          <w:sz w:val="20"/>
          <w:szCs w:val="20"/>
          <w:rtl w:val="true"/>
        </w:rPr>
        <w:t>؛ موسوعة جمال عبدالنّاصر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الفقه علی‌المذاهب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موسوعة، جمال عبد النّاصر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5/181</w:t>
      </w:r>
      <w:r>
        <w:rPr>
          <w:rFonts w:ascii="IRNazanin" w:hAnsi="IRNazanin" w:eastAsia="IRNazanin"/>
          <w:b w:val="false"/>
          <w:b w:val="false"/>
          <w:bCs w:val="false"/>
          <w:i w:val="false"/>
          <w:i w:val="false"/>
          <w:iCs w:val="false"/>
          <w:color w:val="333333"/>
          <w:sz w:val="20"/>
          <w:sz w:val="20"/>
          <w:szCs w:val="20"/>
          <w:rtl w:val="true"/>
        </w:rPr>
        <w:t>؛ احکام 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8/225</w:t>
      </w:r>
      <w:r>
        <w:rPr>
          <w:rFonts w:ascii="IRNazanin" w:hAnsi="IRNazanin" w:eastAsia="IRNazanin"/>
          <w:b w:val="false"/>
          <w:b w:val="false"/>
          <w:bCs w:val="false"/>
          <w:i w:val="false"/>
          <w:i w:val="false"/>
          <w:iCs w:val="false"/>
          <w:color w:val="333333"/>
          <w:sz w:val="20"/>
          <w:sz w:val="20"/>
          <w:szCs w:val="20"/>
          <w:rtl w:val="true"/>
        </w:rPr>
        <w:t>؛ 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فی المناقلة والاستبدال بالاوقاف،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فی المناقلة والاستبدال بالاوقاف،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فی المناقلة والاستبدال بالاوقاف، ص</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5/378</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المغنی </w:t>
      </w:r>
      <w:r>
        <w:rPr>
          <w:rFonts w:eastAsia="IRNazanin" w:cs="IRNazanin"/>
          <w:b w:val="false"/>
          <w:bCs w:val="false"/>
          <w:i w:val="false"/>
          <w:iCs w:val="false"/>
          <w:color w:val="333333"/>
          <w:sz w:val="20"/>
          <w:szCs w:val="20"/>
        </w:rPr>
        <w:t>5/378</w:t>
      </w:r>
      <w:r>
        <w:rPr>
          <w:rFonts w:ascii="IRNazanin" w:hAnsi="IRNazanin" w:eastAsia="IRNazanin"/>
          <w:b w:val="false"/>
          <w:b w:val="false"/>
          <w:bCs w:val="false"/>
          <w:i w:val="false"/>
          <w:i w:val="false"/>
          <w:iCs w:val="false"/>
          <w:color w:val="333333"/>
          <w:sz w:val="20"/>
          <w:sz w:val="20"/>
          <w:szCs w:val="20"/>
          <w:rtl w:val="true"/>
        </w:rPr>
        <w:t>؛ الفتاوی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4/341</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8/227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5/195</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الوِصایة والاوقاف، هاشم معروف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البحرالزّخّار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المصطلحات‌الوقفیّة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الاسلامی و ادلّته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8/214</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بُلغَه‌السّالک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الباری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همچنین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المصطلحات الوقفیّه،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ملحقات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اجودالتقریرات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القواعدالفقهیّه بجنوردی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1/199</w:t>
      </w:r>
      <w:r>
        <w:rPr>
          <w:rFonts w:ascii="IRNazanin" w:hAnsi="IRNazanin" w:eastAsia="IRNazanin"/>
          <w:b w:val="false"/>
          <w:b w:val="false"/>
          <w:bCs w:val="false"/>
          <w:i w:val="false"/>
          <w:i w:val="false"/>
          <w:iCs w:val="false"/>
          <w:color w:val="333333"/>
          <w:sz w:val="20"/>
          <w:sz w:val="20"/>
          <w:szCs w:val="20"/>
          <w:rtl w:val="true"/>
        </w:rPr>
        <w:t>؛ اجودالتقریرات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2/457</w:t>
      </w:r>
      <w:r>
        <w:rPr>
          <w:rFonts w:ascii="IRNazanin" w:hAnsi="IRNazanin" w:eastAsia="IRNazanin"/>
          <w:b w:val="false"/>
          <w:b w:val="false"/>
          <w:bCs w:val="false"/>
          <w:i w:val="false"/>
          <w:i w:val="false"/>
          <w:iCs w:val="false"/>
          <w:color w:val="333333"/>
          <w:sz w:val="20"/>
          <w:sz w:val="20"/>
          <w:szCs w:val="20"/>
          <w:rtl w:val="true"/>
        </w:rPr>
        <w:t>؛ قواعد فقه، محقّق داماد، بخش مدنی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القواعد الفقهیّه، آیه‌اللّه مکارم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28/461</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2/529</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المصطلحات الوقفیّه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قواعدالاحکام</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قواعدالاحکام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3/298</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منجّزات المریض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مختلف الشیعه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ایضاح الفوائد، </w:t>
      </w:r>
      <w:r>
        <w:rPr>
          <w:rFonts w:eastAsia="IRNazanin" w:cs="IRNazanin"/>
          <w:b w:val="false"/>
          <w:bCs w:val="false"/>
          <w:i w:val="false"/>
          <w:iCs w:val="false"/>
          <w:color w:val="333333"/>
          <w:sz w:val="20"/>
          <w:szCs w:val="20"/>
        </w:rPr>
        <w:t>2/592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جامع المدارک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4/119</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13/370</w:t>
      </w:r>
      <w:r>
        <w:rPr>
          <w:rFonts w:ascii="IRNazanin" w:hAnsi="IRNazanin" w:eastAsia="IRNazanin"/>
          <w:b w:val="false"/>
          <w:b w:val="false"/>
          <w:bCs w:val="false"/>
          <w:i w:val="false"/>
          <w:i w:val="false"/>
          <w:iCs w:val="false"/>
          <w:color w:val="333333"/>
          <w:sz w:val="20"/>
          <w:sz w:val="20"/>
          <w:szCs w:val="20"/>
          <w:rtl w:val="true"/>
        </w:rPr>
        <w:t>؛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4/149</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الرّموز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ascii="IRNazanin" w:hAnsi="IRNazanin" w:eastAsia="IRNazanin"/>
          <w:b w:val="false"/>
          <w:b w:val="false"/>
          <w:bCs w:val="false"/>
          <w:i w:val="false"/>
          <w:i w:val="false"/>
          <w:iCs w:val="false"/>
          <w:color w:val="333333"/>
          <w:sz w:val="20"/>
          <w:sz w:val="20"/>
          <w:szCs w:val="20"/>
          <w:rtl w:val="true"/>
        </w:rPr>
        <w:t>، منجّزات المریض</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حدیثهای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2/593</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22/602</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22/613</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2/288</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نَیْلُ الاَوْطار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12/102</w:t>
      </w:r>
      <w:r>
        <w:rPr>
          <w:rFonts w:ascii="IRNazanin" w:hAnsi="IRNazanin" w:eastAsia="IRNazanin"/>
          <w:b w:val="false"/>
          <w:b w:val="false"/>
          <w:bCs w:val="false"/>
          <w:i w:val="false"/>
          <w:i w:val="false"/>
          <w:iCs w:val="false"/>
          <w:color w:val="333333"/>
          <w:sz w:val="20"/>
          <w:sz w:val="20"/>
          <w:szCs w:val="20"/>
          <w:rtl w:val="true"/>
        </w:rPr>
        <w:t>؛ محاضرات فی‌الوقف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الفتاوی‌الکبری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الشّرح‌الصّغیر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احکام وقف در شریعت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1/258</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5/374</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فی‌الوقف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9/425</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ایضاح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2/407</w:t>
      </w:r>
      <w:r>
        <w:rPr>
          <w:rFonts w:ascii="IRNazanin" w:hAnsi="IRNazanin" w:eastAsia="IRNazanin"/>
          <w:b w:val="false"/>
          <w:b w:val="false"/>
          <w:bCs w:val="false"/>
          <w:i w:val="false"/>
          <w:i w:val="false"/>
          <w:iCs w:val="false"/>
          <w:color w:val="333333"/>
          <w:sz w:val="20"/>
          <w:sz w:val="20"/>
          <w:szCs w:val="20"/>
          <w:rtl w:val="true"/>
        </w:rPr>
        <w:t>؛ 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تحریرالوسیله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2/306</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28/135</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xml:space="preserve">؛ از تحریرالاحکام، علاّمه ظاهر فاضل مقداد در تنقیح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نیز همین معناست</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28/135</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ascii="IRNazanin" w:hAnsi="IRNazanin" w:eastAsia="IRNazanin"/>
          <w:b w:val="false"/>
          <w:b w:val="false"/>
          <w:bCs w:val="false"/>
          <w:i w:val="false"/>
          <w:i w:val="false"/>
          <w:iCs w:val="false"/>
          <w:color w:val="333333"/>
          <w:sz w:val="20"/>
          <w:sz w:val="20"/>
          <w:szCs w:val="20"/>
          <w:rtl w:val="true"/>
        </w:rPr>
        <w:t>؛ از وسیله ابن حمزه</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28/135</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9/131</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فقه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ascii="IRNazanin" w:hAnsi="IRNazanin" w:eastAsia="IRNazanin"/>
          <w:b w:val="false"/>
          <w:b w:val="false"/>
          <w:bCs w:val="false"/>
          <w:i w:val="false"/>
          <w:i w:val="false"/>
          <w:iCs w:val="false"/>
          <w:color w:val="333333"/>
          <w:sz w:val="20"/>
          <w:sz w:val="20"/>
          <w:szCs w:val="20"/>
          <w:rtl w:val="true"/>
        </w:rPr>
        <w:t>؛ مختلف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28/136</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رقبی از رقبه ملک گرفته شده و یا از ارتقاب به معنای انتظار؛ زیرا در آن مالک انتظار به سر آمدن مدّت را می‌کشد</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تذکره‌الفقهاء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9/118</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3/218</w:t>
      </w:r>
      <w:r>
        <w:rPr>
          <w:rFonts w:ascii="IRNazanin" w:hAnsi="IRNazanin" w:eastAsia="IRNazanin"/>
          <w:b w:val="false"/>
          <w:b w:val="false"/>
          <w:bCs w:val="false"/>
          <w:i w:val="false"/>
          <w:i w:val="false"/>
          <w:iCs w:val="false"/>
          <w:color w:val="333333"/>
          <w:sz w:val="20"/>
          <w:sz w:val="20"/>
          <w:szCs w:val="20"/>
          <w:rtl w:val="true"/>
        </w:rPr>
        <w:t>؛ مسالک‌الافهام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تحریرالوسیلة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جواهرالکلام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22/281</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22/281</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3/558</w:t>
      </w:r>
      <w:r>
        <w:rPr>
          <w:rFonts w:ascii="IRNazanin" w:hAnsi="IRNazanin" w:eastAsia="IRNazanin"/>
          <w:b w:val="false"/>
          <w:b w:val="false"/>
          <w:bCs w:val="false"/>
          <w:i w:val="false"/>
          <w:i w:val="false"/>
          <w:iCs w:val="false"/>
          <w:color w:val="333333"/>
          <w:sz w:val="20"/>
          <w:sz w:val="20"/>
          <w:szCs w:val="20"/>
          <w:rtl w:val="true"/>
        </w:rPr>
        <w:t>؛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28/133</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28/134</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9/130</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9/118</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w:t>
      </w:r>
      <w:r>
        <w:rPr>
          <w:rFonts w:ascii="IRNazanin" w:hAnsi="IRNazanin" w:eastAsia="IRNazanin"/>
          <w:b w:val="false"/>
          <w:b w:val="false"/>
          <w:bCs w:val="false"/>
          <w:i w:val="false"/>
          <w:i w:val="false"/>
          <w:iCs w:val="false"/>
          <w:color w:val="333333"/>
          <w:sz w:val="20"/>
          <w:sz w:val="20"/>
          <w:szCs w:val="20"/>
          <w:rtl w:val="true"/>
        </w:rPr>
        <w:t>؛ 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9/135</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جامع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9/126</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2/272</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2/522</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28/146</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13/325</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3/316</w:t>
      </w:r>
      <w:r>
        <w:rPr>
          <w:rFonts w:ascii="IRNazanin" w:hAnsi="IRNazanin" w:eastAsia="IRNazanin"/>
          <w:b w:val="false"/>
          <w:b w:val="false"/>
          <w:bCs w:val="false"/>
          <w:i w:val="false"/>
          <w:i w:val="false"/>
          <w:iCs w:val="false"/>
          <w:color w:val="333333"/>
          <w:sz w:val="20"/>
          <w:sz w:val="20"/>
          <w:szCs w:val="20"/>
          <w:rtl w:val="true"/>
        </w:rPr>
        <w:t>؛ 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ascii="IRNazanin" w:hAnsi="IRNazanin" w:eastAsia="IRNazanin"/>
          <w:b w:val="false"/>
          <w:b w:val="false"/>
          <w:bCs w:val="false"/>
          <w:i w:val="false"/>
          <w:i w:val="false"/>
          <w:iCs w:val="false"/>
          <w:color w:val="333333"/>
          <w:sz w:val="20"/>
          <w:sz w:val="20"/>
          <w:szCs w:val="20"/>
          <w:rtl w:val="true"/>
        </w:rPr>
        <w:t>؛ الدّروس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2/307</w:t>
      </w:r>
      <w:r>
        <w:rPr>
          <w:rFonts w:ascii="IRNazanin" w:hAnsi="IRNazanin" w:eastAsia="IRNazanin"/>
          <w:b w:val="false"/>
          <w:b w:val="false"/>
          <w:bCs w:val="false"/>
          <w:i w:val="false"/>
          <w:i w:val="false"/>
          <w:iCs w:val="false"/>
          <w:color w:val="333333"/>
          <w:sz w:val="20"/>
          <w:sz w:val="20"/>
          <w:szCs w:val="20"/>
          <w:rtl w:val="true"/>
        </w:rPr>
        <w:t>؛ المسائل النّاصریات الجوامع الفقهیّه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جامع‌المقاصد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الغطاء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الفقه علی المذاهب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3/216</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قواعدالاحکام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2/403</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التّنقیح الرائع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2/337</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مفتاح الکرامة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9/143</w:t>
      </w:r>
      <w:r>
        <w:rPr>
          <w:rFonts w:ascii="IRNazanin" w:hAnsi="IRNazanin" w:eastAsia="IRNazanin"/>
          <w:b w:val="false"/>
          <w:b w:val="false"/>
          <w:bCs w:val="false"/>
          <w:i w:val="false"/>
          <w:i w:val="false"/>
          <w:iCs w:val="false"/>
          <w:color w:val="333333"/>
          <w:sz w:val="20"/>
          <w:sz w:val="20"/>
          <w:szCs w:val="20"/>
          <w:rtl w:val="true"/>
        </w:rPr>
        <w:t>؛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28/152</w:t>
      </w:r>
      <w:r>
        <w:rPr>
          <w:rFonts w:eastAsia="IRNazanin" w:cs="IRNazanin"/>
          <w:b w:val="false"/>
          <w:bCs w:val="false"/>
          <w:i w:val="false"/>
          <w:iCs w:val="false"/>
          <w:color w:val="333333"/>
          <w:sz w:val="20"/>
          <w:szCs w:val="20"/>
          <w:rtl w:val="true"/>
        </w:rPr>
        <w:t xml:space="preserve"> .</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بدایة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شرایع الاسلام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2/225</w:t>
      </w:r>
      <w:r>
        <w:rPr>
          <w:rFonts w:ascii="IRNazanin" w:hAnsi="IRNazanin" w:eastAsia="IRNazanin"/>
          <w:b w:val="false"/>
          <w:b w:val="false"/>
          <w:bCs w:val="false"/>
          <w:i w:val="false"/>
          <w:i w:val="false"/>
          <w:iCs w:val="false"/>
          <w:color w:val="333333"/>
          <w:sz w:val="20"/>
          <w:sz w:val="20"/>
          <w:szCs w:val="20"/>
          <w:rtl w:val="true"/>
        </w:rPr>
        <w:t>؛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2/448</w:t>
      </w:r>
      <w:r>
        <w:rPr>
          <w:rFonts w:ascii="IRNazanin" w:hAnsi="IRNazanin" w:eastAsia="IRNazanin"/>
          <w:b w:val="false"/>
          <w:b w:val="false"/>
          <w:bCs w:val="false"/>
          <w:i w:val="false"/>
          <w:i w:val="false"/>
          <w:iCs w:val="false"/>
          <w:color w:val="333333"/>
          <w:sz w:val="20"/>
          <w:sz w:val="20"/>
          <w:szCs w:val="20"/>
          <w:rtl w:val="true"/>
        </w:rPr>
        <w:t>؛ مفاتیح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3/217</w:t>
      </w:r>
      <w:r>
        <w:rPr>
          <w:rFonts w:ascii="IRNazanin" w:hAnsi="IRNazanin" w:eastAsia="IRNazanin"/>
          <w:b w:val="false"/>
          <w:b w:val="false"/>
          <w:bCs w:val="false"/>
          <w:i w:val="false"/>
          <w:i w:val="false"/>
          <w:iCs w:val="false"/>
          <w:color w:val="333333"/>
          <w:sz w:val="20"/>
          <w:sz w:val="20"/>
          <w:szCs w:val="20"/>
          <w:rtl w:val="true"/>
        </w:rPr>
        <w:t>؛ 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ascii="IRNazanin" w:hAnsi="IRNazanin" w:eastAsia="IRNazanin"/>
          <w:b w:val="false"/>
          <w:b w:val="false"/>
          <w:bCs w:val="false"/>
          <w:i w:val="false"/>
          <w:i w:val="false"/>
          <w:iCs w:val="false"/>
          <w:color w:val="333333"/>
          <w:sz w:val="20"/>
          <w:sz w:val="20"/>
          <w:szCs w:val="20"/>
          <w:rtl w:val="true"/>
        </w:rPr>
        <w:t>؛ مسالک الافهام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تحریر 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منهاج الصّالحین، خویی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منهاج 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منهاج‌الصالحین، حکیم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28/153</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13/328</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ascii="IRNazanin" w:hAnsi="IRNazanin" w:eastAsia="IRNazanin"/>
          <w:b w:val="false"/>
          <w:b w:val="false"/>
          <w:bCs w:val="false"/>
          <w:i w:val="false"/>
          <w:i w:val="false"/>
          <w:iCs w:val="false"/>
          <w:color w:val="333333"/>
          <w:sz w:val="20"/>
          <w:sz w:val="20"/>
          <w:szCs w:val="20"/>
          <w:rtl w:val="true"/>
        </w:rPr>
        <w:t>؛ 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الجوامع الفقهیّه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الخلاف، شیخ 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3/560</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5/409</w:t>
      </w:r>
      <w:r>
        <w:rPr>
          <w:rFonts w:eastAsia="IRNazanin" w:cs="IRNazanin"/>
          <w:b w:val="false"/>
          <w:bCs w:val="false"/>
          <w:i w:val="false"/>
          <w:iCs w:val="false"/>
          <w:color w:val="333333"/>
          <w:sz w:val="20"/>
          <w:szCs w:val="20"/>
          <w:rtl w:val="true"/>
        </w:rPr>
        <w:t xml:space="preserve"> .</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ابوداود و ترمذی</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المُوَطّأ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2/127</w:t>
      </w:r>
      <w:r>
        <w:rPr>
          <w:rFonts w:ascii="IRNazanin" w:hAnsi="IRNazanin" w:eastAsia="IRNazanin"/>
          <w:b w:val="false"/>
          <w:b w:val="false"/>
          <w:bCs w:val="false"/>
          <w:i w:val="false"/>
          <w:i w:val="false"/>
          <w:iCs w:val="false"/>
          <w:color w:val="333333"/>
          <w:sz w:val="20"/>
          <w:sz w:val="20"/>
          <w:szCs w:val="20"/>
          <w:rtl w:val="true"/>
        </w:rPr>
        <w:t>؛ 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2/398</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سرخسی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الشّروط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الصّغیر و بُلغَة السّالک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ascii="IRNazanin" w:hAnsi="IRNazanin" w:eastAsia="IRNazanin"/>
          <w:b w:val="false"/>
          <w:b w:val="false"/>
          <w:bCs w:val="false"/>
          <w:i w:val="false"/>
          <w:i w:val="false"/>
          <w:iCs w:val="false"/>
          <w:color w:val="333333"/>
          <w:sz w:val="20"/>
          <w:sz w:val="20"/>
          <w:szCs w:val="20"/>
          <w:rtl w:val="true"/>
        </w:rPr>
        <w:t>؛ 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مغنی‌المحتاج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5/410</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5/411</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درسهایی از اقتصاد اسلامی، تسخیری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به نظام اقتصادی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6/130</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2/265</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72/28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8/334</w:t>
      </w:r>
      <w:r>
        <w:rPr>
          <w:rFonts w:ascii="IRNazanin" w:hAnsi="IRNazanin" w:eastAsia="IRNazanin"/>
          <w:b w:val="false"/>
          <w:b w:val="false"/>
          <w:bCs w:val="false"/>
          <w:i w:val="false"/>
          <w:i w:val="false"/>
          <w:iCs w:val="false"/>
          <w:color w:val="333333"/>
          <w:sz w:val="20"/>
          <w:sz w:val="20"/>
          <w:szCs w:val="20"/>
          <w:rtl w:val="true"/>
        </w:rPr>
        <w:t>؛ 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72/17</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77/153</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فقر</w:t>
      </w:r>
      <w:r>
        <w:rPr>
          <w:rFonts w:eastAsia="IRNazanin" w:cs="IRNazanin"/>
          <w:b w:val="false"/>
          <w:bCs w:val="false"/>
          <w:i w:val="false"/>
          <w:iCs w:val="false"/>
          <w:color w:val="333333"/>
          <w:sz w:val="20"/>
          <w:szCs w:val="20"/>
          <w:rtl w:val="true"/>
        </w:rPr>
        <w:t>» .</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 حکمت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نبوی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73/148</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التوازن الاسلامی بین الدّنیا و الآخرة؛ اسلام در مبارزه بنیادی با فقر، دروس فی الاخلاق، آیة اللّه مشکینی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نظری به نظام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نظری به نظام اقتصادی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2/574</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فارسی، مقاله استاد واعظ زاده از صحیفه 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مجموعه مقالات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استاد واعظ 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و مقاله آیه‌ا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مقایسه بین سیستمهای اقتصادی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مظاهری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 شهید سیّد محمّد باقر 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مبانی اقتصاد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همکاری حوزه و دانشگاه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درسهایی از اقتصاد اسلامی، تسخیری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درآمدی بر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درسهایی از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مبانی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مجموعه مقالات فارسی، مقاله آیه‌ا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فارسی، مقاله آیه‌ا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سیدمحمود هاشمی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درسهایی از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مطالعاتی در اقتصاد اسلامی،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فارسی، مقاله استاد مصباح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مقاله آیة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محمود هاشمی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؛مقایسه بین سیستمهای اقتصادی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عناوین اصلی و پاره‌ای از توضیحات این قسمت ازکتاب اقتصاد 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مبانی اقتصاد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اقتباس شده است</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39/47</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فروغ ابدیّت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103/65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6/442</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9/377</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ضمیمه سالنامه قدس،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گذشت که، تحقّق عدالت اجتماعی بر دو امر مهمّ فقرزدایی و جلوگیری از تمرکز ثروت مبتنی است</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اقتصاد ما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اَغْنِهِ اِنْ قَدَرْتَ اَنْ تُغنِیَهُ، مرآه‌العقول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16/102</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عبدالحسین سپنتا، یادگارهای یزد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ایرج افشار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ویژه بخش وقف‌نامه‌های مسجد امیر چَقماق و مسجد جامع یزد؛ تاریخچه اوقاف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علی‌اکبر شهابی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کتابهای دیگری که در آنها به مساجد و اوقاف آنها پرداخته شده است</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مصاحبه تلویزیونی مرحوم استاد پیرنیا و اظهارات شفاهی مسؤولان مرکز یزدشناسی</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فرهنگ 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ساختار کتابخانه‌های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تمدن اسلام، </w:t>
      </w:r>
      <w:r>
        <w:rPr>
          <w:rFonts w:eastAsia="IRNazanin" w:cs="IRNazanin"/>
          <w:b w:val="false"/>
          <w:bCs w:val="false"/>
          <w:i w:val="false"/>
          <w:iCs w:val="false"/>
          <w:color w:val="333333"/>
          <w:sz w:val="20"/>
          <w:szCs w:val="20"/>
        </w:rPr>
        <w:t>628</w:t>
      </w:r>
      <w:r>
        <w:rPr>
          <w:rFonts w:ascii="IRNazanin" w:hAnsi="IRNazanin" w:eastAsia="IRNazanin"/>
          <w:b w:val="false"/>
          <w:b w:val="false"/>
          <w:bCs w:val="false"/>
          <w:i w:val="false"/>
          <w:i w:val="false"/>
          <w:iCs w:val="false"/>
          <w:color w:val="333333"/>
          <w:sz w:val="20"/>
          <w:sz w:val="20"/>
          <w:szCs w:val="20"/>
          <w:rtl w:val="true"/>
        </w:rPr>
        <w:t>؛ سفرنامه ابن بطوطه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به فتح را و سکون با به معنای خانه و سرا و محلّه است</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وقف نامه به کوشش مجتبی مینوی و ایرج افشار، هم از روی نسخه اصلی عکس برداری و چاپ شده و هم چاپ حروفی شده است</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وقف‌نامه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روش اداری و آموزشی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مکاتبات رشیدی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مکتوب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روش اداری و آموزشی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وقف نامه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بررسی روش اداری و آموزشی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مجله وقف 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بررسی روش اداری و آموزشی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4/757</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ساختار کتابخانه‌های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بیان جرجی زیدان در مورد تاریخ تدوین علوم اسلامی مربوط به تدوین کتب توسّط اهل سنّت است که در آن مورد نیز اتّفاق نظر وجود ندارد وگر نه علمای امامیّه تاریخ تدوین فقه، حدیث،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همان آغاز و توسّط علی ع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می‌دانند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معالم‌المدرستین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علّامه مرتضی عسکری؛ تأسیس معالم‌الشّیعة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سیّد حسن صدر، مقدّمه مرآه‌العقول، نوشته علامه عسکری ج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ساختار کتابخانه‌های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تمدّن اسلام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ساختار کتابخانه‌های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و ساختار کتابخانه‌های اسلامی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اداره کلّ کتابخانه مرکزی دارای سیزده کتابخانه وابسته در خراسان و سایر استانهاست</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بیشتر از آمار کتابخانه‌های مهمّ ایران،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کتابخانه‌های ایران، تألیف عبدالعزیز جواهر کلام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س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شماره مسلسل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مقدّمه‌ای بر فرهنگ وقف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آل‌بویه</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از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مقدّمه‌ای بر فرهنگ 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وقف در اسلام؛ سفرنامه ابن بطوطه، وقف نامه‌های بازنویسی شده آستان قدس رضوی؛ آمار و موارد ارائه شده توسّط اداره کلّ اوقاف خراسان؛ تاریخچه اوقاف اصفهان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یادگارهای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متصرّفی، اوقاف بدون متولّی هستند که اداره آنهابا اداره اوقاف محلّ است و غیر متصرّفی اوقافی هستند که متولّی دارند</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نگاهی به وقف و آثار اقتصادی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اجتماعی 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کنزالعرفان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فقه‌القرآن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سفرنامه ابن بطوطه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نامه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نامه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نامه ربع رشیدی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و زارع در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وگرنه اگر کسی بخواهد در این مقوله وارد شود قطعا با تدوین دهها مجلّد کتاب نیز نمی‌تواند بخوبی از عهده بر آید </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4/756</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4/759</w:t>
      </w:r>
      <w:r>
        <w:rPr>
          <w:rFonts w:ascii="IRNazanin" w:hAnsi="IRNazanin" w:eastAsia="IRNazanin"/>
          <w:b w:val="false"/>
          <w:b w:val="false"/>
          <w:bCs w:val="false"/>
          <w:i w:val="false"/>
          <w:i w:val="false"/>
          <w:iCs w:val="false"/>
          <w:color w:val="333333"/>
          <w:sz w:val="20"/>
          <w:sz w:val="20"/>
          <w:szCs w:val="20"/>
          <w:rtl w:val="true"/>
        </w:rPr>
        <w:t>؛ تاریخچه اوقاف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و زارع درایران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تاریخچه اوقاف اصفهان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مالک و زارع در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اجتماعی ایران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درکارهای نیک بر یکدیگر پیشی گیرید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مادّه ضوابط نحوه عمران و احداث بنا و میزان عمران واحیا در زمینهای مزروعی و باغها را بیان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وقف میراث جاویدان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 نوشت</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وقف میراث جاویدان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image" Target="media/image2.jpeg"/><Relationship Id="rId501" Type="http://schemas.openxmlformats.org/officeDocument/2006/relationships/image" Target="media/image2.jpeg"/><Relationship Id="rId502" Type="http://schemas.openxmlformats.org/officeDocument/2006/relationships/footer" Target="footer495.xml"/><Relationship Id="rId503" Type="http://schemas.openxmlformats.org/officeDocument/2006/relationships/footnotes" Target="footnotes.xml"/><Relationship Id="rId504" Type="http://schemas.openxmlformats.org/officeDocument/2006/relationships/numbering" Target="numbering.xml"/><Relationship Id="rId505" Type="http://schemas.openxmlformats.org/officeDocument/2006/relationships/fontTable" Target="fontTable.xml"/><Relationship Id="rId506" Type="http://schemas.openxmlformats.org/officeDocument/2006/relationships/settings" Target="settings.xml"/><Relationship Id="rId5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507</Pages>
  <Words>82993</Words>
  <Characters>327066</Characters>
  <CharactersWithSpaces>406627</CharactersWithSpaces>
  <Paragraphs>3713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2026-08-18T11:05:21Z</dcterms:created>
  <dc:creator>ghaemiyeh.com</dc:creator>
  <dc:description/>
  <dc:language>en-US</dc:language>
  <cp:lastModifiedBy/>
  <dcterms:modified xsi:type="dcterms:W3CDTF">2026-08-18T14:35:44Z</dcterms:modified>
  <cp:revision>1</cp:revision>
  <dc:subject/>
  <dc:title>وقف در فقه اسلامی و نقش آن در شکوفایی اقتصاد اسلامی</dc:title>
</cp:coreProperties>
</file>

<file path=docProps/custom.xml><?xml version="1.0" encoding="utf-8"?>
<Properties xmlns="http://schemas.openxmlformats.org/officeDocument/2006/custom-properties" xmlns:vt="http://schemas.openxmlformats.org/officeDocument/2006/docPropsVTypes"/>
</file>