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4</w:t>
      </w:r>
      <w:r>
        <w:rPr>
          <w:rtl w:val="true"/>
        </w:rPr>
        <w:t xml:space="preserve"> </w:t>
      </w:r>
      <w:r>
        <w:rPr>
          <w:rtl w:val="true"/>
        </w:rPr>
        <w:t>آیت الله سیدمهدی روحانی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8112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28114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28116_2749589250">
            <w:r>
              <w:rPr>
                <w:webHidden/>
                <w:rStyle w:val="IndexLink"/>
                <w:rtl w:val="true"/>
              </w:rPr>
              <w:t>گاه شمار زندگی</w:t>
            </w:r>
            <w:r>
              <w:rPr>
                <w:rStyle w:val="IndexLink"/>
                <w:rtl w:val="true"/>
              </w:rPr>
              <w:tab/>
            </w:r>
            <w:r>
              <w:rPr>
                <w:rStyle w:val="IndexLink"/>
              </w:rPr>
              <w:t>6</w:t>
            </w:r>
          </w:hyperlink>
        </w:p>
        <w:p>
          <w:pPr>
            <w:pStyle w:val="Contents2"/>
            <w:tabs>
              <w:tab w:val="clear" w:pos="8743"/>
              <w:tab w:val="right" w:pos="9026" w:leader="dot"/>
            </w:tabs>
            <w:rPr/>
          </w:pPr>
          <w:hyperlink w:anchor="__RefHeading___Toc3528118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528120_2749589250">
            <w:r>
              <w:rPr>
                <w:webHidden/>
                <w:rStyle w:val="IndexLink"/>
                <w:rtl w:val="true"/>
              </w:rPr>
              <w:t>تولد</w:t>
            </w:r>
            <w:r>
              <w:rPr>
                <w:rStyle w:val="IndexLink"/>
                <w:rtl w:val="true"/>
              </w:rPr>
              <w:tab/>
            </w:r>
            <w:r>
              <w:rPr>
                <w:rStyle w:val="IndexLink"/>
              </w:rPr>
              <w:t>8</w:t>
            </w:r>
          </w:hyperlink>
        </w:p>
        <w:p>
          <w:pPr>
            <w:pStyle w:val="Contents2"/>
            <w:tabs>
              <w:tab w:val="clear" w:pos="8743"/>
              <w:tab w:val="right" w:pos="9026" w:leader="dot"/>
            </w:tabs>
            <w:rPr/>
          </w:pPr>
          <w:hyperlink w:anchor="__RefHeading___Toc3528122_2749589250">
            <w:r>
              <w:rPr>
                <w:webHidden/>
                <w:rStyle w:val="IndexLink"/>
                <w:rtl w:val="true"/>
              </w:rPr>
              <w:t>تبار پاک</w:t>
            </w:r>
            <w:r>
              <w:rPr>
                <w:rStyle w:val="IndexLink"/>
                <w:rtl w:val="true"/>
              </w:rPr>
              <w:tab/>
            </w:r>
            <w:r>
              <w:rPr>
                <w:rStyle w:val="IndexLink"/>
              </w:rPr>
              <w:t>11</w:t>
            </w:r>
          </w:hyperlink>
        </w:p>
        <w:p>
          <w:pPr>
            <w:pStyle w:val="Contents2"/>
            <w:tabs>
              <w:tab w:val="clear" w:pos="8743"/>
              <w:tab w:val="right" w:pos="9026" w:leader="dot"/>
            </w:tabs>
            <w:rPr/>
          </w:pPr>
          <w:hyperlink w:anchor="__RefHeading___Toc3528124_2749589250">
            <w:r>
              <w:rPr>
                <w:webHidden/>
                <w:rStyle w:val="IndexLink"/>
                <w:rtl w:val="true"/>
              </w:rPr>
              <w:t>جاده سبز فردا</w:t>
            </w:r>
            <w:r>
              <w:rPr>
                <w:rStyle w:val="IndexLink"/>
                <w:rtl w:val="true"/>
              </w:rPr>
              <w:tab/>
            </w:r>
            <w:r>
              <w:rPr>
                <w:rStyle w:val="IndexLink"/>
              </w:rPr>
              <w:t>12</w:t>
            </w:r>
          </w:hyperlink>
        </w:p>
        <w:p>
          <w:pPr>
            <w:pStyle w:val="Contents2"/>
            <w:tabs>
              <w:tab w:val="clear" w:pos="8743"/>
              <w:tab w:val="right" w:pos="9026" w:leader="dot"/>
            </w:tabs>
            <w:rPr/>
          </w:pPr>
          <w:hyperlink w:anchor="__RefHeading___Toc3528126_2749589250">
            <w:r>
              <w:rPr>
                <w:webHidden/>
                <w:rStyle w:val="IndexLink"/>
                <w:rtl w:val="true"/>
              </w:rPr>
              <w:t>هجرت</w:t>
            </w:r>
            <w:r>
              <w:rPr>
                <w:rStyle w:val="IndexLink"/>
                <w:rtl w:val="true"/>
              </w:rPr>
              <w:tab/>
            </w:r>
            <w:r>
              <w:rPr>
                <w:rStyle w:val="IndexLink"/>
              </w:rPr>
              <w:t>14</w:t>
            </w:r>
          </w:hyperlink>
        </w:p>
        <w:p>
          <w:pPr>
            <w:pStyle w:val="Contents2"/>
            <w:tabs>
              <w:tab w:val="clear" w:pos="8743"/>
              <w:tab w:val="right" w:pos="9026" w:leader="dot"/>
            </w:tabs>
            <w:rPr/>
          </w:pPr>
          <w:hyperlink w:anchor="__RefHeading___Toc3528128_2749589250">
            <w:r>
              <w:rPr>
                <w:webHidden/>
                <w:rStyle w:val="IndexLink"/>
                <w:rtl w:val="true"/>
              </w:rPr>
              <w:t>استادان</w:t>
            </w:r>
            <w:r>
              <w:rPr>
                <w:rStyle w:val="IndexLink"/>
                <w:rtl w:val="true"/>
              </w:rPr>
              <w:tab/>
            </w:r>
            <w:r>
              <w:rPr>
                <w:rStyle w:val="IndexLink"/>
              </w:rPr>
              <w:t>17</w:t>
            </w:r>
          </w:hyperlink>
        </w:p>
        <w:p>
          <w:pPr>
            <w:pStyle w:val="Contents2"/>
            <w:tabs>
              <w:tab w:val="clear" w:pos="8743"/>
              <w:tab w:val="right" w:pos="9026" w:leader="dot"/>
            </w:tabs>
            <w:rPr/>
          </w:pPr>
          <w:hyperlink w:anchor="__RefHeading___Toc3528130_2749589250">
            <w:r>
              <w:rPr>
                <w:webHidden/>
                <w:rStyle w:val="IndexLink"/>
                <w:rtl w:val="true"/>
              </w:rPr>
              <w:t>هم دوره ها</w:t>
            </w:r>
            <w:r>
              <w:rPr>
                <w:rStyle w:val="IndexLink"/>
                <w:rtl w:val="true"/>
              </w:rPr>
              <w:tab/>
            </w:r>
            <w:r>
              <w:rPr>
                <w:rStyle w:val="IndexLink"/>
              </w:rPr>
              <w:t>18</w:t>
            </w:r>
          </w:hyperlink>
        </w:p>
        <w:p>
          <w:pPr>
            <w:pStyle w:val="Contents2"/>
            <w:tabs>
              <w:tab w:val="clear" w:pos="8743"/>
              <w:tab w:val="right" w:pos="9026" w:leader="dot"/>
            </w:tabs>
            <w:rPr/>
          </w:pPr>
          <w:hyperlink w:anchor="__RefHeading___Toc3528132_2749589250">
            <w:r>
              <w:rPr>
                <w:webHidden/>
                <w:rStyle w:val="IndexLink"/>
                <w:rtl w:val="true"/>
              </w:rPr>
              <w:t>فعالیت های سیاسی ـ اجتماعی</w:t>
            </w:r>
            <w:r>
              <w:rPr>
                <w:rStyle w:val="IndexLink"/>
                <w:rtl w:val="true"/>
              </w:rPr>
              <w:tab/>
            </w:r>
            <w:r>
              <w:rPr>
                <w:rStyle w:val="IndexLink"/>
              </w:rPr>
              <w:t>19</w:t>
            </w:r>
          </w:hyperlink>
        </w:p>
        <w:p>
          <w:pPr>
            <w:pStyle w:val="Contents2"/>
            <w:tabs>
              <w:tab w:val="clear" w:pos="8743"/>
              <w:tab w:val="right" w:pos="9026" w:leader="dot"/>
            </w:tabs>
            <w:rPr/>
          </w:pPr>
          <w:hyperlink w:anchor="__RefHeading___Toc3528134_2749589250">
            <w:r>
              <w:rPr>
                <w:webHidden/>
                <w:rStyle w:val="IndexLink"/>
                <w:rtl w:val="true"/>
              </w:rPr>
              <w:t>آثار</w:t>
            </w:r>
            <w:r>
              <w:rPr>
                <w:rStyle w:val="IndexLink"/>
                <w:rtl w:val="true"/>
              </w:rPr>
              <w:tab/>
            </w:r>
            <w:r>
              <w:rPr>
                <w:rStyle w:val="IndexLink"/>
              </w:rPr>
              <w:t>20</w:t>
            </w:r>
          </w:hyperlink>
        </w:p>
        <w:p>
          <w:pPr>
            <w:pStyle w:val="Contents3"/>
            <w:tabs>
              <w:tab w:val="clear" w:pos="8459"/>
              <w:tab w:val="right" w:pos="9026" w:leader="dot"/>
            </w:tabs>
            <w:rPr/>
          </w:pPr>
          <w:hyperlink w:anchor="__RefHeading___Toc3528136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528138_2749589250">
            <w:r>
              <w:rPr>
                <w:webHidden/>
                <w:rStyle w:val="IndexLink"/>
                <w:rtl w:val="true"/>
              </w:rPr>
              <w:t>کتاب ها</w:t>
            </w:r>
            <w:r>
              <w:rPr>
                <w:rStyle w:val="IndexLink"/>
                <w:rtl w:val="true"/>
              </w:rPr>
              <w:tab/>
            </w:r>
            <w:r>
              <w:rPr>
                <w:rStyle w:val="IndexLink"/>
              </w:rPr>
              <w:t>21</w:t>
            </w:r>
          </w:hyperlink>
        </w:p>
        <w:p>
          <w:pPr>
            <w:pStyle w:val="Contents3"/>
            <w:tabs>
              <w:tab w:val="clear" w:pos="8459"/>
              <w:tab w:val="right" w:pos="9026" w:leader="dot"/>
            </w:tabs>
            <w:rPr/>
          </w:pPr>
          <w:hyperlink w:anchor="__RefHeading___Toc3528140_2749589250">
            <w:r>
              <w:rPr>
                <w:webHidden/>
                <w:rStyle w:val="IndexLink"/>
                <w:rtl w:val="true"/>
              </w:rPr>
              <w:t>مقاله ها</w:t>
            </w:r>
            <w:r>
              <w:rPr>
                <w:rStyle w:val="IndexLink"/>
                <w:rtl w:val="true"/>
              </w:rPr>
              <w:tab/>
            </w:r>
            <w:r>
              <w:rPr>
                <w:rStyle w:val="IndexLink"/>
              </w:rPr>
              <w:t>21</w:t>
            </w:r>
          </w:hyperlink>
        </w:p>
        <w:p>
          <w:pPr>
            <w:pStyle w:val="Contents2"/>
            <w:tabs>
              <w:tab w:val="clear" w:pos="8743"/>
              <w:tab w:val="right" w:pos="9026" w:leader="dot"/>
            </w:tabs>
            <w:rPr/>
          </w:pPr>
          <w:hyperlink w:anchor="__RefHeading___Toc3528142_2749589250">
            <w:r>
              <w:rPr>
                <w:webHidden/>
                <w:rStyle w:val="IndexLink"/>
                <w:rtl w:val="true"/>
              </w:rPr>
              <w:t>ابتکار علمی</w:t>
            </w:r>
            <w:r>
              <w:rPr>
                <w:rStyle w:val="IndexLink"/>
                <w:rtl w:val="true"/>
              </w:rPr>
              <w:tab/>
            </w:r>
            <w:r>
              <w:rPr>
                <w:rStyle w:val="IndexLink"/>
              </w:rPr>
              <w:t>22</w:t>
            </w:r>
          </w:hyperlink>
        </w:p>
        <w:p>
          <w:pPr>
            <w:pStyle w:val="Contents2"/>
            <w:tabs>
              <w:tab w:val="clear" w:pos="8743"/>
              <w:tab w:val="right" w:pos="9026" w:leader="dot"/>
            </w:tabs>
            <w:rPr/>
          </w:pPr>
          <w:hyperlink w:anchor="__RefHeading___Toc3528144_2749589250">
            <w:r>
              <w:rPr>
                <w:webHidden/>
                <w:rStyle w:val="IndexLink"/>
                <w:rtl w:val="true"/>
              </w:rPr>
              <w:t>ویژگی های فردی</w:t>
            </w:r>
            <w:r>
              <w:rPr>
                <w:rStyle w:val="IndexLink"/>
                <w:rtl w:val="true"/>
              </w:rPr>
              <w:tab/>
            </w:r>
            <w:r>
              <w:rPr>
                <w:rStyle w:val="IndexLink"/>
              </w:rPr>
              <w:t>24</w:t>
            </w:r>
          </w:hyperlink>
        </w:p>
        <w:p>
          <w:pPr>
            <w:pStyle w:val="Contents3"/>
            <w:tabs>
              <w:tab w:val="clear" w:pos="8459"/>
              <w:tab w:val="right" w:pos="9026" w:leader="dot"/>
            </w:tabs>
            <w:rPr/>
          </w:pPr>
          <w:hyperlink w:anchor="__RefHeading___Toc3528146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528148_2749589250">
            <w:r>
              <w:rPr>
                <w:webHidden/>
                <w:rStyle w:val="IndexLink"/>
                <w:rtl w:val="true"/>
              </w:rPr>
              <w:t>ساده زیستی</w:t>
            </w:r>
            <w:r>
              <w:rPr>
                <w:rStyle w:val="IndexLink"/>
                <w:rtl w:val="true"/>
              </w:rPr>
              <w:tab/>
            </w:r>
            <w:r>
              <w:rPr>
                <w:rStyle w:val="IndexLink"/>
              </w:rPr>
              <w:t>24</w:t>
            </w:r>
          </w:hyperlink>
        </w:p>
        <w:p>
          <w:pPr>
            <w:pStyle w:val="Contents3"/>
            <w:tabs>
              <w:tab w:val="clear" w:pos="8459"/>
              <w:tab w:val="right" w:pos="9026" w:leader="dot"/>
            </w:tabs>
            <w:rPr/>
          </w:pPr>
          <w:hyperlink w:anchor="__RefHeading___Toc3528150_2749589250">
            <w:r>
              <w:rPr>
                <w:webHidden/>
                <w:rStyle w:val="IndexLink"/>
                <w:rtl w:val="true"/>
              </w:rPr>
              <w:t>قناعت در عین توانگری</w:t>
            </w:r>
            <w:r>
              <w:rPr>
                <w:rStyle w:val="IndexLink"/>
                <w:rtl w:val="true"/>
              </w:rPr>
              <w:tab/>
            </w:r>
            <w:r>
              <w:rPr>
                <w:rStyle w:val="IndexLink"/>
              </w:rPr>
              <w:t>25</w:t>
            </w:r>
          </w:hyperlink>
        </w:p>
        <w:p>
          <w:pPr>
            <w:pStyle w:val="Contents3"/>
            <w:tabs>
              <w:tab w:val="clear" w:pos="8459"/>
              <w:tab w:val="right" w:pos="9026" w:leader="dot"/>
            </w:tabs>
            <w:rPr/>
          </w:pPr>
          <w:hyperlink w:anchor="__RefHeading___Toc3528152_2749589250">
            <w:r>
              <w:rPr>
                <w:webHidden/>
                <w:rStyle w:val="IndexLink"/>
                <w:rtl w:val="true"/>
              </w:rPr>
              <w:t>اهتمام به امور سیاسی</w:t>
            </w:r>
            <w:r>
              <w:rPr>
                <w:rStyle w:val="IndexLink"/>
                <w:rtl w:val="true"/>
              </w:rPr>
              <w:tab/>
            </w:r>
            <w:r>
              <w:rPr>
                <w:rStyle w:val="IndexLink"/>
              </w:rPr>
              <w:t>26</w:t>
            </w:r>
          </w:hyperlink>
        </w:p>
        <w:p>
          <w:pPr>
            <w:pStyle w:val="Contents3"/>
            <w:tabs>
              <w:tab w:val="clear" w:pos="8459"/>
              <w:tab w:val="right" w:pos="9026" w:leader="dot"/>
            </w:tabs>
            <w:rPr/>
          </w:pPr>
          <w:hyperlink w:anchor="__RefHeading___Toc3528154_2749589250">
            <w:r>
              <w:rPr>
                <w:webHidden/>
                <w:rStyle w:val="IndexLink"/>
                <w:rtl w:val="true"/>
              </w:rPr>
              <w:t>راضی بودن به قضای الهی</w:t>
            </w:r>
            <w:r>
              <w:rPr>
                <w:rStyle w:val="IndexLink"/>
                <w:rtl w:val="true"/>
              </w:rPr>
              <w:tab/>
            </w:r>
            <w:r>
              <w:rPr>
                <w:rStyle w:val="IndexLink"/>
              </w:rPr>
              <w:t>26</w:t>
            </w:r>
          </w:hyperlink>
        </w:p>
        <w:p>
          <w:pPr>
            <w:pStyle w:val="Contents3"/>
            <w:tabs>
              <w:tab w:val="clear" w:pos="8459"/>
              <w:tab w:val="right" w:pos="9026" w:leader="dot"/>
            </w:tabs>
            <w:rPr/>
          </w:pPr>
          <w:hyperlink w:anchor="__RefHeading___Toc3528156_2749589250">
            <w:r>
              <w:rPr>
                <w:webHidden/>
                <w:rStyle w:val="IndexLink"/>
                <w:rtl w:val="true"/>
              </w:rPr>
              <w:t>اهتمام به نماز جماعت</w:t>
            </w:r>
            <w:r>
              <w:rPr>
                <w:rStyle w:val="IndexLink"/>
                <w:rtl w:val="true"/>
              </w:rPr>
              <w:tab/>
            </w:r>
            <w:r>
              <w:rPr>
                <w:rStyle w:val="IndexLink"/>
              </w:rPr>
              <w:t>27</w:t>
            </w:r>
          </w:hyperlink>
        </w:p>
        <w:p>
          <w:pPr>
            <w:pStyle w:val="Contents3"/>
            <w:tabs>
              <w:tab w:val="clear" w:pos="8459"/>
              <w:tab w:val="right" w:pos="9026" w:leader="dot"/>
            </w:tabs>
            <w:rPr/>
          </w:pPr>
          <w:hyperlink w:anchor="__RefHeading___Toc3528158_2749589250">
            <w:r>
              <w:rPr>
                <w:webHidden/>
                <w:rStyle w:val="IndexLink"/>
                <w:rtl w:val="true"/>
              </w:rPr>
              <w:t>تعامل مستقیم با مردم</w:t>
            </w:r>
            <w:r>
              <w:rPr>
                <w:rStyle w:val="IndexLink"/>
                <w:rtl w:val="true"/>
              </w:rPr>
              <w:tab/>
            </w:r>
            <w:r>
              <w:rPr>
                <w:rStyle w:val="IndexLink"/>
              </w:rPr>
              <w:t>27</w:t>
            </w:r>
          </w:hyperlink>
        </w:p>
        <w:p>
          <w:pPr>
            <w:pStyle w:val="Contents2"/>
            <w:tabs>
              <w:tab w:val="clear" w:pos="8743"/>
              <w:tab w:val="right" w:pos="9026" w:leader="dot"/>
            </w:tabs>
            <w:rPr/>
          </w:pPr>
          <w:hyperlink w:anchor="__RefHeading___Toc3528160_2749589250">
            <w:r>
              <w:rPr>
                <w:webHidden/>
                <w:rStyle w:val="IndexLink"/>
                <w:rtl w:val="true"/>
              </w:rPr>
              <w:t>مسئولیت در نظام</w:t>
            </w:r>
            <w:r>
              <w:rPr>
                <w:rStyle w:val="IndexLink"/>
                <w:rtl w:val="true"/>
              </w:rPr>
              <w:tab/>
            </w:r>
            <w:r>
              <w:rPr>
                <w:rStyle w:val="IndexLink"/>
              </w:rPr>
              <w:t>28</w:t>
            </w:r>
          </w:hyperlink>
        </w:p>
        <w:p>
          <w:pPr>
            <w:pStyle w:val="Contents2"/>
            <w:tabs>
              <w:tab w:val="clear" w:pos="8743"/>
              <w:tab w:val="right" w:pos="9026" w:leader="dot"/>
            </w:tabs>
            <w:rPr/>
          </w:pPr>
          <w:hyperlink w:anchor="__RefHeading___Toc3528162_2749589250">
            <w:r>
              <w:rPr>
                <w:webHidden/>
                <w:rStyle w:val="IndexLink"/>
                <w:rtl w:val="true"/>
              </w:rPr>
              <w:t>از نگاه دیگران</w:t>
            </w:r>
            <w:r>
              <w:rPr>
                <w:rStyle w:val="IndexLink"/>
                <w:rtl w:val="true"/>
              </w:rPr>
              <w:tab/>
            </w:r>
            <w:r>
              <w:rPr>
                <w:rStyle w:val="IndexLink"/>
              </w:rPr>
              <w:t>29</w:t>
            </w:r>
          </w:hyperlink>
        </w:p>
        <w:p>
          <w:pPr>
            <w:pStyle w:val="Contents2"/>
            <w:tabs>
              <w:tab w:val="clear" w:pos="8743"/>
              <w:tab w:val="right" w:pos="9026" w:leader="dot"/>
            </w:tabs>
            <w:rPr/>
          </w:pPr>
          <w:hyperlink w:anchor="__RefHeading___Toc3528164_2749589250">
            <w:r>
              <w:rPr>
                <w:webHidden/>
                <w:rStyle w:val="IndexLink"/>
                <w:rtl w:val="true"/>
              </w:rPr>
              <w:t>نصیحتی از یک پدر</w:t>
            </w:r>
            <w:r>
              <w:rPr>
                <w:rStyle w:val="IndexLink"/>
                <w:rtl w:val="true"/>
              </w:rPr>
              <w:tab/>
            </w:r>
            <w:r>
              <w:rPr>
                <w:rStyle w:val="IndexLink"/>
              </w:rPr>
              <w:t>32</w:t>
            </w:r>
          </w:hyperlink>
        </w:p>
        <w:p>
          <w:pPr>
            <w:pStyle w:val="Contents2"/>
            <w:tabs>
              <w:tab w:val="clear" w:pos="8743"/>
              <w:tab w:val="right" w:pos="9026" w:leader="dot"/>
            </w:tabs>
            <w:rPr/>
          </w:pPr>
          <w:hyperlink w:anchor="__RefHeading___Toc3528166_2749589250">
            <w:r>
              <w:rPr>
                <w:webHidden/>
                <w:rStyle w:val="IndexLink"/>
                <w:rtl w:val="true"/>
              </w:rPr>
              <w:t>وفات</w:t>
            </w:r>
            <w:r>
              <w:rPr>
                <w:rStyle w:val="IndexLink"/>
                <w:rtl w:val="true"/>
              </w:rPr>
              <w:tab/>
            </w:r>
            <w:r>
              <w:rPr>
                <w:rStyle w:val="IndexLink"/>
              </w:rPr>
              <w:t>33</w:t>
            </w:r>
          </w:hyperlink>
        </w:p>
        <w:p>
          <w:pPr>
            <w:pStyle w:val="Contents2"/>
            <w:tabs>
              <w:tab w:val="clear" w:pos="8743"/>
              <w:tab w:val="right" w:pos="9026" w:leader="dot"/>
            </w:tabs>
            <w:rPr/>
          </w:pPr>
          <w:hyperlink w:anchor="__RefHeading___Toc3528168_2749589250">
            <w:r>
              <w:rPr>
                <w:webHidden/>
                <w:rStyle w:val="IndexLink"/>
                <w:rtl w:val="true"/>
              </w:rPr>
              <w:t>تصاویر</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93_37812"/>
      <w:bookmarkStart w:id="1" w:name="pg3493_37812"/>
      <w:bookmarkEnd w:id="1"/>
    </w:p>
    <w:p>
      <w:pPr>
        <w:pStyle w:val="Heading2"/>
        <w:numPr>
          <w:ilvl w:val="1"/>
          <w:numId w:val="1"/>
        </w:numPr>
        <w:rPr/>
      </w:pPr>
      <w:bookmarkStart w:id="2" w:name="pg3493_37812"/>
      <w:bookmarkStart w:id="3" w:name="__RefHeading___Toc352811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محدثی، مهدی،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آیت‌الله سیدمهدی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 تهیه‌کننده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978-964-514-100-2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سیدمهدی،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ـ ـ 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 ـ ـ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lang w:val="en-US" w:bidi="en-US"/>
        </w:rPr>
        <w:t>BP 998/297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811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سیدمهدی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eastAsia="Times New Roman" w:cs="Times New Roman" w:ascii="Times New Roman" w:hAnsi="Times New Roman"/>
          <w:color w:val="111111"/>
          <w:sz w:val="28"/>
          <w:szCs w:val="28"/>
          <w:lang w:val="en-US" w:bidi="en-US"/>
        </w:rPr>
        <w:t>www. irc.ir info@irc.ir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978-964-514-100-2</w:t>
      </w:r>
      <w:r>
        <w:rPr>
          <w:rFonts w:eastAsia="Times New Roman" w:cs="Times New Roman" w:ascii="Times New Roman" w:hAnsi="Times New Roman"/>
          <w:color w:val="111111"/>
          <w:sz w:val="28"/>
          <w:szCs w:val="28"/>
          <w:rtl w:val="true"/>
          <w:lang w:val="en-US" w:bidi="en-US"/>
        </w:rPr>
        <w:t xml:space="preserve"> </w:t>
      </w:r>
      <w:bookmarkStart w:id="7" w:name="pg3493_37814"/>
    </w:p>
    <w:p>
      <w:pPr>
        <w:pStyle w:val="Heading2"/>
        <w:numPr>
          <w:ilvl w:val="1"/>
          <w:numId w:val="1"/>
        </w:numPr>
        <w:rPr/>
      </w:pPr>
      <w:bookmarkStart w:id="8" w:name="__RefHeading___Toc3528116_2749589250"/>
      <w:bookmarkStart w:id="9" w:name="_Toc3"/>
      <w:bookmarkEnd w:id="7"/>
      <w:bookmarkEnd w:id="8"/>
      <w:r>
        <w:rPr>
          <w:rtl w:val="true"/>
        </w:rPr>
        <w:t>گاه شمار زندگی</w:t>
      </w:r>
      <w:bookmarkEnd w:id="9"/>
    </w:p>
    <w:p>
      <w:pPr>
        <w:pStyle w:val="BookText"/>
        <w:rPr/>
      </w:pPr>
      <w:r>
        <w:rPr>
          <w:rFonts w:ascii="IRNazanin" w:hAnsi="IRNazanin" w:eastAsia="IRNazanin"/>
          <w:color w:val="111111"/>
          <w:sz w:val="28"/>
          <w:sz w:val="28"/>
          <w:szCs w:val="28"/>
          <w:rtl w:val="true"/>
          <w:lang w:bidi="fa-IR"/>
        </w:rPr>
        <w:t>گاه شمار زندگی</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بازگشت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3/9/1379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0" w:name="pg3493_37815"/>
    </w:p>
    <w:p>
      <w:pPr>
        <w:pStyle w:val="Heading2"/>
        <w:numPr>
          <w:ilvl w:val="1"/>
          <w:numId w:val="1"/>
        </w:numPr>
        <w:rPr/>
      </w:pPr>
      <w:bookmarkStart w:id="11" w:name="__RefHeading___Toc3528118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493_37816"/>
    </w:p>
    <w:p>
      <w:pPr>
        <w:pStyle w:val="Heading2"/>
        <w:numPr>
          <w:ilvl w:val="1"/>
          <w:numId w:val="1"/>
        </w:numPr>
        <w:rPr/>
      </w:pPr>
      <w:bookmarkStart w:id="14" w:name="__RefHeading___Toc3528120_2749589250"/>
      <w:bookmarkStart w:id="15" w:name="_Toc5"/>
      <w:bookmarkEnd w:id="13"/>
      <w:bookmarkEnd w:id="14"/>
      <w:r>
        <w:rPr>
          <w:rtl w:val="true"/>
        </w:rPr>
        <w:t>تولد</w:t>
      </w:r>
      <w:bookmarkEnd w:id="15"/>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در کوچه پس کوچه های قدیمی قم، خانه ای خشتی و بسیار قدیمی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با آجرهای مربع شکلی فرش شده بود و وسط حیاط حوض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عکس پنجرة اتاق ها در آب حوض می افتاد، منظره جالبی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های یاس و درختان انگور، انار و انجیر جلوه ای زیبا به خانه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باور می کرد که این خانه، در خطه ای کویری از ایران باشد که بارزترین مشخصه اش، تابستان های گرم و سوزان و زمستان های سرد و خشک باشد؛ همه اینها حکایت از آن داشت که صاحب خانه، چقدر اهل ذوق بود و با چه حوصله و پشتکاری در پرورش آن بوته ها و درختان زحمت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متعلق به سید میرزا ابوالحسن، از سلاله سادات و از نسل پاک ذریه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وارسته، دانشمند و امام جماعت مسجد بود که در حوزه علمیه نیز تدریس می کرد و شاگردانی چند، از دانش گسترده آن سید والامقام، غنچه های دانش می چیدند و روزهای عمر خود را با آن شکوفه ها عطرآگین می کردند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هوای قم، مانند تنوری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میرزا ابوالحسن به حیاط آمد، نخست آب پاش حلبی را </w:t>
      </w:r>
    </w:p>
    <w:p>
      <w:pPr>
        <w:pStyle w:val="BookText"/>
        <w:rPr/>
      </w:pPr>
      <w:r>
        <w:rPr>
          <w:rFonts w:ascii="IRNazanin" w:hAnsi="IRNazanin" w:eastAsia="IRNazanin"/>
          <w:color w:val="111111"/>
          <w:sz w:val="28"/>
          <w:sz w:val="28"/>
          <w:szCs w:val="28"/>
          <w:rtl w:val="true"/>
          <w:lang w:bidi="fa-IR"/>
        </w:rPr>
        <w:t>از آب حوض پر کرد و گل ها و درختان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دقت خاصی وضو گرفت و به داخل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آراسته، پاکیزه و خوش بو به حیاط بازگشت و ذکرگویان به سوی مسجد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بوی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در حیاط خانه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مسجد رسید، مؤذن فرازهای پایانی اذان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فرصت نکرد تا مثل همیشه نماز نافله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ایستاد و نماز مغرب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جوانی نزد سید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استخاره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که استخاره های بسیار دقیق و درستی می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را از روی تاقچه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قرآن را آورد و با احترام، به سید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حمد و سوره ای خواند و از خدا طلب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را گشود و خطاب به آن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نیّتت هر چه هست، خوب است، ولی متحمل سختی می شوی، با توکل به خدا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تشکر کرد، سپس به جمعیت پیوست تا نماز عشا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غروب گذشته بود که سر راه هندوانه فروشی را دید، هندوانه ای خرید و به سوی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رسید، هنوز وارد خانه نشده بود که فقیری صدایش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فقیرم،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پولی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بچه هایت را حفظ کند آقا، خدا عوضت بدهد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لبخندی زد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داند که من هنوز بچه ندارم، ولی همین روزهاست که پدر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خانه شد، هندوانه را داخل حوض انداخت تا خنک شود و خود به درون اتاق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همسرش پس از سلام و احوال پرسی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چی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 است، هندوانه هم داریم؛ شام خوشمزه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میرزا ساعتی مطالعه کرد، آن گاه به بستر رفت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برخاست و به سوی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نماز شب خود را به فریضه صبح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تازه روشن شده بود که از حرم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خانه اش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او، کوکب خانم، همسایه دیوار به دیوارشان از اتاق بیرون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جواب سلامش 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خانمتان دردشان گرفته، فکر کنم به زودی فرزندتان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لازم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میرزا،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تا از زن های همسایه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از خانه بیرون آمد و به سوی حرم به راه افتاد تا برای سلامتی همسر و فرزندش دعا کند و پس از آن نیز به مجلس درس و بحث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که میرزا به خانه آمد، صدای گریه نوزاد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به طرف اتاق رفت و در کنار همسرش نشست، فرزندش را در آغوش گرفت، چشم به چهره او دوخت؛ آینده درخشانی در چهره اش دید و آرزو کرد که این کودک راه او را ادامه دهد و مرد بزرگی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زمان نام گذاری کودک فرا رسید، از آن جا که میرزا علاقه بسیاری به امام زمان داشت و در توسلات و راز و نیازهای خود، آن حضرت را بین خود و خدا واسطه قرار می داد، پس از خواندن اذان و اقامه در گوش </w:t>
      </w:r>
      <w:bookmarkStart w:id="16" w:name="pg3493_37819"/>
    </w:p>
    <w:p>
      <w:pPr>
        <w:pStyle w:val="BookText"/>
        <w:rPr/>
      </w:pPr>
      <w:bookmarkEnd w:id="16"/>
      <w:r>
        <w:rPr>
          <w:rFonts w:ascii="IRNazanin" w:hAnsi="IRNazanin" w:eastAsia="IRNazanin"/>
          <w:color w:val="111111"/>
          <w:sz w:val="28"/>
          <w:sz w:val="28"/>
          <w:szCs w:val="28"/>
          <w:rtl w:val="true"/>
          <w:lang w:bidi="fa-IR"/>
        </w:rPr>
        <w:t>فرزندش، نام زیبای مهدی را برای او برگزید؛ به این امید که در آینده، سربازی فداکار برای حضرت صاحب الامر باشد و با عشق به آن حضرت، دین اسلام را یاری رساند</w:t>
      </w:r>
      <w:r>
        <w:rPr>
          <w:rFonts w:eastAsia="IRNazanin" w:cs="IRNazanin"/>
          <w:color w:val="111111"/>
          <w:sz w:val="28"/>
          <w:szCs w:val="28"/>
          <w:rtl w:val="true"/>
          <w:lang w:bidi="fa-IR"/>
        </w:rPr>
        <w:t>.</w:t>
      </w:r>
    </w:p>
    <w:p>
      <w:pPr>
        <w:pStyle w:val="Heading2"/>
        <w:numPr>
          <w:ilvl w:val="1"/>
          <w:numId w:val="1"/>
        </w:numPr>
        <w:rPr/>
      </w:pPr>
      <w:bookmarkStart w:id="17" w:name="__RefHeading___Toc3528122_2749589250"/>
      <w:bookmarkStart w:id="18" w:name="_Toc6"/>
      <w:bookmarkEnd w:id="17"/>
      <w:r>
        <w:rPr>
          <w:rtl w:val="true"/>
        </w:rPr>
        <w:t>تبار پاک</w:t>
      </w:r>
      <w:bookmarkEnd w:id="18"/>
    </w:p>
    <w:p>
      <w:pPr>
        <w:pStyle w:val="BookText"/>
        <w:rPr/>
      </w:pPr>
      <w:r>
        <w:rPr>
          <w:rFonts w:ascii="IRNazanin" w:hAnsi="IRNazanin" w:eastAsia="IRNazanin"/>
          <w:color w:val="111111"/>
          <w:sz w:val="28"/>
          <w:sz w:val="28"/>
          <w:szCs w:val="28"/>
          <w:rtl w:val="true"/>
          <w:lang w:bidi="fa-IR"/>
        </w:rPr>
        <w:t>تبار پاک</w:t>
      </w:r>
    </w:p>
    <w:p>
      <w:pPr>
        <w:pStyle w:val="BookText"/>
        <w:rPr/>
      </w:pPr>
      <w:r>
        <w:rPr>
          <w:rFonts w:ascii="IRNazanin" w:hAnsi="IRNazanin" w:eastAsia="IRNazanin"/>
          <w:color w:val="111111"/>
          <w:sz w:val="28"/>
          <w:sz w:val="28"/>
          <w:szCs w:val="28"/>
          <w:rtl w:val="true"/>
          <w:lang w:bidi="fa-IR"/>
        </w:rPr>
        <w:t xml:space="preserve">کودک قصه ما، سیدمهدی، روزبه روز بزرگ و بزرگ تر می شد، رشد می کرد و می بالید تا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در حیاط زیبای خانه شان نشسته بود و با تکه چوبی، خاک باغچه را زیر و رو می کرد که سید ابوالحسن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تا پدرش را دید، دوان دوان به استقبال پدر رفت و در آغوش پرمهر او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مقدمه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پدر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رفته پیش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مرده و او را زیر خاک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کنجکاو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خاک باغچه؟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قبرستان، زیر خروارها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پدربزرگت انسان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سیدمهدی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چقدر بزرگ بود، اندازه درخت انجیر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یعنی مرد باعظمتی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خودش نمی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با شنیدن این سخن، دوان دوان به سراغ مادرش رفت و از مادرش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جست وجوگر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کی بود، او هم الآن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 شنیدن این جمله، قطره اشکی فشاند و به یاد پدر گرامی اش افتاد و </w:t>
      </w:r>
      <w:bookmarkStart w:id="19" w:name="pg3493_37820"/>
    </w:p>
    <w:p>
      <w:pPr>
        <w:pStyle w:val="BookText"/>
        <w:rPr/>
      </w:pPr>
      <w:bookmarkEnd w:id="1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سیدفخرالدین سیدی قمی بود که نسبش به آیت الله میرزای قمی می رسید؛ همان که کتاب قوانین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سال ها پیش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حرف های مادرش چیز زیادی نفهمیده بود، به آغوش مادر رفت و اشک هایش را با دست های کوچکش پاک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مهربانی های پدرم افتادم، کاش بود و تو را می دید</w:t>
      </w:r>
      <w:r>
        <w:rPr>
          <w:rFonts w:eastAsia="IRNazanin" w:cs="IRNazanin"/>
          <w:color w:val="111111"/>
          <w:sz w:val="28"/>
          <w:szCs w:val="28"/>
          <w:rtl w:val="true"/>
          <w:lang w:bidi="fa-IR"/>
        </w:rPr>
        <w:t>!»</w:t>
      </w:r>
    </w:p>
    <w:p>
      <w:pPr>
        <w:pStyle w:val="Heading2"/>
        <w:numPr>
          <w:ilvl w:val="1"/>
          <w:numId w:val="1"/>
        </w:numPr>
        <w:rPr/>
      </w:pPr>
      <w:bookmarkStart w:id="20" w:name="__RefHeading___Toc3528124_2749589250"/>
      <w:bookmarkStart w:id="21" w:name="_Toc7"/>
      <w:bookmarkEnd w:id="20"/>
      <w:r>
        <w:rPr>
          <w:rtl w:val="true"/>
        </w:rPr>
        <w:t>جاده سبز فردا</w:t>
      </w:r>
      <w:bookmarkEnd w:id="21"/>
    </w:p>
    <w:p>
      <w:pPr>
        <w:pStyle w:val="BookText"/>
        <w:rPr/>
      </w:pPr>
      <w:r>
        <w:rPr>
          <w:rFonts w:ascii="IRNazanin" w:hAnsi="IRNazanin" w:eastAsia="IRNazanin"/>
          <w:color w:val="111111"/>
          <w:sz w:val="28"/>
          <w:sz w:val="28"/>
          <w:szCs w:val="28"/>
          <w:rtl w:val="true"/>
          <w:lang w:bidi="fa-IR"/>
        </w:rPr>
        <w:t>جاده سبز فردا</w:t>
      </w:r>
    </w:p>
    <w:p>
      <w:pPr>
        <w:pStyle w:val="BookText"/>
        <w:rPr/>
      </w:pPr>
      <w:r>
        <w:rPr>
          <w:rFonts w:ascii="IRNazanin" w:hAnsi="IRNazanin" w:eastAsia="IRNazanin"/>
          <w:color w:val="111111"/>
          <w:sz w:val="28"/>
          <w:sz w:val="28"/>
          <w:szCs w:val="28"/>
          <w:rtl w:val="true"/>
          <w:lang w:bidi="fa-IR"/>
        </w:rPr>
        <w:t>سیدمهدی، از حدود هفت سالگی تحت سرپرستی پدر بزرگوارش به آموختن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از هیچ تلاشی برای آموزش او دریغ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روز صبح که از درس و بحث حوزه فارغ می شد، فرزندش را کنار خود می نشاند و همان گونه که در مکتب خانه ها به شاگردان درس می دادند، به وی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سیدمهدی الفبا را آموخت و به خواندن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هرجا کتاب یا نوشته ای می دید، می کوشید آن را بخواند و حس کنجکاوی خود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که این علاقه را در فرزندش دید، وی را به خواندن کتاب گلستان سعدی تشویق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هفت سالگی می خوانی و در هفتادسالگی معنی آن را می فهمی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آموزش، به خواندن و نوشتن منحصر نشد و سید مهدی روخوانی قرآن را از سوره های کوچک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خواندن قرآن را به خوبی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وقت آن رسیده بود که پدرش مقدمات علوم دینی را نیز به او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روزی او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w:t>
      </w:r>
    </w:p>
    <w:p>
      <w:pPr>
        <w:pStyle w:val="BookText"/>
        <w:rPr/>
      </w:pPr>
      <w:r>
        <w:rPr>
          <w:rFonts w:ascii="IRNazanin" w:hAnsi="IRNazanin" w:eastAsia="IRNazanin"/>
          <w:color w:val="111111"/>
          <w:sz w:val="28"/>
          <w:sz w:val="28"/>
          <w:szCs w:val="28"/>
          <w:rtl w:val="true"/>
          <w:lang w:bidi="fa-IR"/>
        </w:rPr>
        <w:t>انتخاب آینده ات آزاد می گذارم و به کاری مجبورت نمی کنم، ولی دوست دارم راه من و اجدادت را ادامه دهی و در آینده از علمای بزرگ و برجسته شوی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تو خوب می دانی رژیم شاهنشاهی، محیط مناسبی برای تحصیل علوم دینی فراهم نمی کند و هرچه بتواند، مانع امثال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نظرت چیست و چه برنامه ای برای آینده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که در آستانه دوازده سالگی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به کسوت شما درآیم و درس دین بخوانم، ولی نمی دانم تا چه اندازه بتوانم با مشکلات زمانه دست وپنجه نرم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عزم و اراده جدی پسرش را دید، در برنامه ای منظم و حساب شده، مقدمات علوم دینی و عربی را به او آموخت تا وقتی سیدمهدی رسماً به حوزه پای نهد، از اطلاعات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طول کشید و سیدمهدی به علوم پایه کاملاً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بود که وی برای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شفیقی بیابد و در شاه راهی پای نهد که با وجود سختی ها و ناملایمات بسیار، پایانی خوش و روشن داشته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اوج استبداد رضاخانی بود و خطر بزرگی کیان حوزه های علمیه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کمتر کسی باتوجه به شرایط جامعه به طلبگی رغبت نشان می داد؛ اما سیدمهدی از جمله کسانی بود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و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هر کاری با تمام </w:t>
      </w:r>
      <w:bookmarkStart w:id="22" w:name="pg3493_37822"/>
    </w:p>
    <w:p>
      <w:pPr>
        <w:pStyle w:val="BookText"/>
        <w:rPr/>
      </w:pPr>
      <w:bookmarkEnd w:id="22"/>
      <w:r>
        <w:rPr>
          <w:rFonts w:ascii="IRNazanin" w:hAnsi="IRNazanin" w:eastAsia="IRNazanin"/>
          <w:color w:val="111111"/>
          <w:sz w:val="28"/>
          <w:sz w:val="28"/>
          <w:szCs w:val="28"/>
          <w:rtl w:val="true"/>
          <w:lang w:bidi="fa-IR"/>
        </w:rPr>
        <w:t>وجود به پروردگار توکل می کرد و در برابر مشکلات هراسی به دل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فراگیری مقدمات نزد پدرش، در درس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علوی فریدونی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صبوری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 و طولی نکشید در زمره شاگردان زبده، کارآمد و تراز اول آنان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درس های حوزه علمیه به گستردگی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چند کتاب را می خواندند و امتحان می دادند تا اجازه شرکت در پایه های بالاتر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همه آن دروس را به خوبی فراگرفت و کم کم زمان آن فرارسید که به غور در دریای بی کران علم و فقاهت بپردازد و بر اندوخته های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گذاردن در این راه، تنها با دوری از شهر و دیار و خانه و خانواده؛ یعنی هجرت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هجرت، زمینه ساز رشد و تعالی انسان هاست و کمتر کسی است که برای علم آموزی از شهر و دیار خود هجرت کند و به موفقیت و کام یابی دست نیابد</w:t>
      </w:r>
      <w:r>
        <w:rPr>
          <w:rFonts w:eastAsia="IRNazanin" w:cs="IRNazanin"/>
          <w:color w:val="111111"/>
          <w:sz w:val="28"/>
          <w:szCs w:val="28"/>
          <w:rtl w:val="true"/>
          <w:lang w:bidi="fa-IR"/>
        </w:rPr>
        <w:t>.</w:t>
      </w:r>
    </w:p>
    <w:p>
      <w:pPr>
        <w:pStyle w:val="Heading2"/>
        <w:numPr>
          <w:ilvl w:val="1"/>
          <w:numId w:val="1"/>
        </w:numPr>
        <w:rPr/>
      </w:pPr>
      <w:bookmarkStart w:id="23" w:name="__RefHeading___Toc3528126_2749589250"/>
      <w:bookmarkStart w:id="24" w:name="_Toc8"/>
      <w:bookmarkEnd w:id="23"/>
      <w:r>
        <w:rPr>
          <w:rtl w:val="true"/>
        </w:rPr>
        <w:t>هجرت</w:t>
      </w:r>
      <w:bookmarkEnd w:id="24"/>
    </w:p>
    <w:p>
      <w:pPr>
        <w:pStyle w:val="BookText"/>
        <w:rPr/>
      </w:pPr>
      <w:r>
        <w:rPr>
          <w:rFonts w:ascii="IRNazanin" w:hAnsi="IRNazanin" w:eastAsia="IRNazanin"/>
          <w:color w:val="111111"/>
          <w:sz w:val="28"/>
          <w:sz w:val="28"/>
          <w:szCs w:val="28"/>
          <w:rtl w:val="true"/>
          <w:lang w:bidi="fa-IR"/>
        </w:rPr>
        <w:t>هجرت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سیدمهدی نوزده بهار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اینکه تحصیلات خود را ادامه دهد و از محضر بزرگان عراق و درس و بحث هایشان استفاده کند، به هجرتی سرنوشت ساز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تصمیم، نخست به حرم مطهر کریمه اهل بیت،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زیارت، با آن حضرت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حجره و به سراغ دوستانش رفت تا برای بار آخر آنان را ببیند و با آنها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دانست؟ شاید این رفتن، دیگر بازگشتی در پی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سیدمهدی بار و بنه خود را جمع کرد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اتوبوسی قدیمی تا خرم 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بروجرد تا خرمشهر را نیز با اتوبوسی دیگر طی کرد و پس از دو روز راه پیمودن، به خرمشهر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بسیار دیدنی بود و درختان خرمای فراوان و شطّ، زیبایی خاصی به این شهر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مانند دیگر مسافران از اتوبوس پیاده شد و یکی از کارگرانی را که برای حمل بار ایستاده بودند صدا کرد تا در حمل وسایلش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شطّ رسیدند، سیدمهدی ایستاد و در انتظار رسیدن قایق، به آب خروشان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دیگر باید از این آب ها می گذشتند و به بصره وارد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قایقی بزرگ از راه رسید و پس از سوار شدن مسافران،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قایق را پیش برد و طولی نکشید که در آن سوی رودخانه، قایق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در حال پیاده شدن از قایق بودند که ناگهان مأموری عراقی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قایق با سیدمهدی دوست شده بود، وقتی بهت سید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تا بوده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جواز می خواهند، اما همین که مقداری پول کف دستشان می گذاری، همان پول، جواز ورود و اقامتت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ترتیبی بود، سیدمهدی و دیگر مسافران از آن به اصطلاح 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 و به سوی ایستگاه قطار به راه افتادند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نجف نصف روز راه بود و باید این مسافت را با قطار طی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و هم سفرانش سوار قطار شدند و قطار در میان دشت ها و تپه ها به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خسته راه بودند و برای هیچ کس رمقی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کمی استراحت، سیدمهدی سفره کوچک خود را باز کرد و نان و پنیری که به همراه داشت، وسط 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به تبعیت از سید، هرچه داشتند آوردند و با همدیگر خوردند و سپس به خوابی خوش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مسئول قطار، مسافران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پس از پیاده شدن از قطار، با پرس وجو به مدرسه علوم دینیه موردنظر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غسل کرد و به زیارت حرم مطهر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زیارت، به مدرسه علوم دینی بازگشت و نزد مدیر آنجا رفت و از وضعیت تحصیل خود در قم و قصد ادامه تحصیل در نجف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سیدمهدی را شناخت، از حال پدرش پرسید و به او خوشامد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سید در کلاس های درس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ای گذشت، روزی مدیر مدرسه که گاه گاهی به طلاب سر می زد، به حجره او آمد و از وضعیت تحصیل و کم وکسری هایش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مقداری دینار عراقی به وی داد، تا آنچه را لازم دارد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سیدمهدی به شکرانه توفیق هم جواری با حرم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پیش از نماز صبح، به زیارت حرم مطهر آن حضرت می رفت و پس از نماز صبح، به مدرسه بازمی گشت و به درس و بحث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بعضی عصرها نیز برای زیارت اهل قبور به قبرستان وادی السلام می 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طی چند سالی که در نجف اشرف بود، بخش عمده کفایه، رسائل و مکاسب را خواند و پس از اینکه این دروس را به پایان رساند، کم کم به فکر بازگشت به ایران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دوستان سیدمهدی تصمیم گرفته بودند در نجف بمانند و در همان جا تشکیل خانواده بدهند، ولی او تردید داشت؛ از یک </w:t>
      </w:r>
      <w:bookmarkStart w:id="25" w:name="pg3493_37825"/>
    </w:p>
    <w:p>
      <w:pPr>
        <w:pStyle w:val="BookText"/>
        <w:rPr/>
      </w:pPr>
      <w:bookmarkEnd w:id="25"/>
      <w:r>
        <w:rPr>
          <w:rFonts w:ascii="IRNazanin" w:hAnsi="IRNazanin" w:eastAsia="IRNazanin"/>
          <w:color w:val="111111"/>
          <w:sz w:val="28"/>
          <w:sz w:val="28"/>
          <w:szCs w:val="28"/>
          <w:rtl w:val="true"/>
          <w:lang w:bidi="fa-IR"/>
        </w:rPr>
        <w:t>سو عراق و جاذبه های زیارتی اش چون نجف، کربلا و کاظمین که سید با آنها مأنوس شده بود، رفتن را برای او دشوار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دیگرسو دلتنگ پدر و مادر و زادگاهش بود که این دلتنگی، سرانجام او را بر آن داشت تا به ایران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سیدمهدی پیش از راهی شدن، نخست به کربلا رفت و با سرور شهیدان پیمان بست که در راه اعتلای پرچم اسلام لحظه ای آرام ننشیند، سپس از ابوالفضل العباس مدد خواست و پس از وداع با آنان، به نجف بازگشت و از آنجا به سوی ایران حرکت کرد</w:t>
      </w:r>
      <w:r>
        <w:rPr>
          <w:rFonts w:eastAsia="IRNazanin" w:cs="IRNazanin"/>
          <w:color w:val="111111"/>
          <w:sz w:val="28"/>
          <w:szCs w:val="28"/>
          <w:rtl w:val="true"/>
          <w:lang w:bidi="fa-IR"/>
        </w:rPr>
        <w:t>.</w:t>
      </w:r>
    </w:p>
    <w:p>
      <w:pPr>
        <w:pStyle w:val="Heading2"/>
        <w:numPr>
          <w:ilvl w:val="1"/>
          <w:numId w:val="1"/>
        </w:numPr>
        <w:rPr/>
      </w:pPr>
      <w:bookmarkStart w:id="26" w:name="__RefHeading___Toc3528128_2749589250"/>
      <w:bookmarkStart w:id="27" w:name="_Toc9"/>
      <w:bookmarkEnd w:id="26"/>
      <w:r>
        <w:rPr>
          <w:rtl w:val="true"/>
        </w:rPr>
        <w:t>استادان</w:t>
      </w:r>
      <w:bookmarkEnd w:id="27"/>
    </w:p>
    <w:p>
      <w:pPr>
        <w:pStyle w:val="BookText"/>
        <w:rPr/>
      </w:pPr>
      <w:r>
        <w:rPr>
          <w:rFonts w:ascii="IRNazanin" w:hAnsi="IRNazanin" w:eastAsia="IRNazanin"/>
          <w:color w:val="111111"/>
          <w:sz w:val="28"/>
          <w:sz w:val="28"/>
          <w:szCs w:val="28"/>
          <w:rtl w:val="true"/>
          <w:lang w:bidi="fa-IR"/>
        </w:rPr>
        <w:t>استادان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سیدمهدی روحانی، از همان کودکی از آموزه های استادانی گران قدر بهره برد و با بهره گیری از دانش آنها بر معلوماتش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درس و بحث گرفته، تا اخلاق و رفتار استادان خود را سرلوحه زندگی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نجابت، ورع، جدیّت در کارها، روحیه خستگی ناپذیری، همه از آموزه هایی بود که از استادانش به یادگار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 و رفتار اساتید بزرگوار، چنان تحولی در او به وجود آورده بود که سعی می کرد در هر کاری، حتی سلام کردن و نشستن و برخاستن، رویه آنان را در پیش گیرد و صد البته در این مسیر، بسیار موفق بود و با این شیوه، به دل ها به راحتی راه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اوّلین استاد او بود که مقدمات علوم دینی و عربی 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حاشیه و شرح شمسیه را نزد حاج سید مرتضی علوی فریدونی، مطول را در محضر میرزا محمدعلی ادیب تهرانی و سیوطی تا شرح لمعه را از آقایان حاج شیخ جعفر صبوری قمی و حاج شیخ عبدالرزاق قاینی آموخت</w:t>
      </w:r>
      <w:r>
        <w:rPr>
          <w:rFonts w:eastAsia="IRNazanin" w:cs="IRNazanin"/>
          <w:color w:val="111111"/>
          <w:sz w:val="28"/>
          <w:szCs w:val="28"/>
          <w:rtl w:val="true"/>
          <w:lang w:bidi="fa-IR"/>
        </w:rPr>
        <w:t xml:space="preserve">. </w:t>
      </w:r>
      <w:bookmarkStart w:id="28" w:name="pg3493_37826"/>
    </w:p>
    <w:p>
      <w:pPr>
        <w:pStyle w:val="BookText"/>
        <w:rPr/>
      </w:pPr>
      <w:bookmarkEnd w:id="28"/>
      <w:r>
        <w:rPr>
          <w:rFonts w:ascii="IRNazanin" w:hAnsi="IRNazanin" w:eastAsia="IRNazanin"/>
          <w:color w:val="111111"/>
          <w:sz w:val="28"/>
          <w:sz w:val="28"/>
          <w:szCs w:val="28"/>
          <w:rtl w:val="true"/>
          <w:lang w:bidi="fa-IR"/>
        </w:rPr>
        <w:t>سیدمهدی هر مطلب جدیدی را که می آموخت، درباره آن با شیخ محمدحسین قاینی به مباحثه می پرداخت تا از این طریق، هم آموخته های خود را محک بزند و هم از نظر دوست و هم مباحثه اش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نجف اشرف نیز بیشترین بهره را از استادان خود می برد و با اشتیاق در درس آنان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سطوح عالی حوزه را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یحیی مدرسی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باقر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قم بازگشت و قسمت های باقی مانده رسائل، بحث برائت و اشتغال را در محضر امام راحل رحمه الله و باقی مانده مکاسب را نزد آیت الله قاینی و نیز بخشی از جلد اول کفایه را نزد آیت الله حاج شیخ محمدعلی حائری کرمانی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بازگشت به قم نیز از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سید محمدحسین طباطبایی، صاحب تفسیرالمیزان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در فقه و اصول، فلسفه و کلام و تفسیر بهره های فراوانی از محضر آنان برد و مبانی علمی خود را استوارتر ساخت</w:t>
      </w:r>
      <w:r>
        <w:rPr>
          <w:rFonts w:eastAsia="IRNazanin" w:cs="IRNazanin"/>
          <w:color w:val="111111"/>
          <w:sz w:val="28"/>
          <w:szCs w:val="28"/>
          <w:rtl w:val="true"/>
          <w:lang w:bidi="fa-IR"/>
        </w:rPr>
        <w:t>.</w:t>
      </w:r>
    </w:p>
    <w:p>
      <w:pPr>
        <w:pStyle w:val="Heading2"/>
        <w:numPr>
          <w:ilvl w:val="1"/>
          <w:numId w:val="1"/>
        </w:numPr>
        <w:rPr/>
      </w:pPr>
      <w:bookmarkStart w:id="29" w:name="__RefHeading___Toc3528130_2749589250"/>
      <w:bookmarkStart w:id="30" w:name="_Toc10"/>
      <w:bookmarkEnd w:id="29"/>
      <w:r>
        <w:rPr>
          <w:rtl w:val="true"/>
        </w:rPr>
        <w:t>هم دوره ها</w:t>
      </w:r>
      <w:bookmarkEnd w:id="30"/>
    </w:p>
    <w:p>
      <w:pPr>
        <w:pStyle w:val="BookText"/>
        <w:rPr/>
      </w:pPr>
      <w:r>
        <w:rPr>
          <w:rFonts w:ascii="IRNazanin" w:hAnsi="IRNazanin" w:eastAsia="IRNazanin"/>
          <w:color w:val="111111"/>
          <w:sz w:val="28"/>
          <w:sz w:val="28"/>
          <w:szCs w:val="28"/>
          <w:rtl w:val="true"/>
          <w:lang w:bidi="fa-IR"/>
        </w:rPr>
        <w:t>هم دوره 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سیدمهدی روحانی، افزون بر شرکت در درس اساتید گوناگون، خود نیز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با هم درسی های خود، آیات عظام شبیری زنجانی، میرمحمدی، احمدی میانجی، آذری قمی و گاه نیز با شهید گران قدر </w:t>
      </w:r>
      <w:bookmarkStart w:id="31" w:name="pg3493_37827"/>
    </w:p>
    <w:p>
      <w:pPr>
        <w:pStyle w:val="BookText"/>
        <w:rPr/>
      </w:pPr>
      <w:bookmarkEnd w:id="31"/>
      <w:r>
        <w:rPr>
          <w:rFonts w:ascii="IRNazanin" w:hAnsi="IRNazanin" w:eastAsia="IRNazanin"/>
          <w:color w:val="111111"/>
          <w:sz w:val="28"/>
          <w:sz w:val="28"/>
          <w:szCs w:val="28"/>
          <w:rtl w:val="true"/>
          <w:lang w:bidi="fa-IR"/>
        </w:rPr>
        <w:t>بهشتی و نیز سید موسی صدر و موسوی اردبیلی هم مباحثه می شد و با آن بزرگان بیشتر به بحث درباره فقه و تفسیر می پرداخت</w:t>
      </w:r>
      <w:r>
        <w:rPr>
          <w:rFonts w:eastAsia="IRNazanin" w:cs="IRNazanin"/>
          <w:color w:val="111111"/>
          <w:sz w:val="28"/>
          <w:szCs w:val="28"/>
          <w:rtl w:val="true"/>
          <w:lang w:bidi="fa-IR"/>
        </w:rPr>
        <w:t>.</w:t>
      </w:r>
    </w:p>
    <w:p>
      <w:pPr>
        <w:pStyle w:val="Heading2"/>
        <w:numPr>
          <w:ilvl w:val="1"/>
          <w:numId w:val="1"/>
        </w:numPr>
        <w:rPr/>
      </w:pPr>
      <w:bookmarkStart w:id="32" w:name="__RefHeading___Toc3528132_2749589250"/>
      <w:bookmarkStart w:id="33" w:name="_Toc11"/>
      <w:bookmarkEnd w:id="32"/>
      <w:r>
        <w:rPr>
          <w:rtl w:val="true"/>
        </w:rPr>
        <w:t>فعالیت های سیاسی ـ اجتماعی</w:t>
      </w:r>
      <w:bookmarkEnd w:id="33"/>
    </w:p>
    <w:p>
      <w:pPr>
        <w:pStyle w:val="BookText"/>
        <w:rPr/>
      </w:pPr>
      <w:r>
        <w:rPr>
          <w:rFonts w:ascii="IRNazanin" w:hAnsi="IRNazanin" w:eastAsia="IRNazanin"/>
          <w:color w:val="111111"/>
          <w:sz w:val="28"/>
          <w:sz w:val="28"/>
          <w:szCs w:val="28"/>
          <w:rtl w:val="true"/>
          <w:lang w:bidi="fa-IR"/>
        </w:rPr>
        <w:t>فعالیت های سیاسی ـ اجتماعی</w:t>
      </w:r>
    </w:p>
    <w:p>
      <w:pPr>
        <w:pStyle w:val="BookText"/>
        <w:rPr/>
      </w:pPr>
      <w:r>
        <w:rPr>
          <w:rFonts w:ascii="IRNazanin" w:hAnsi="IRNazanin" w:eastAsia="IRNazanin"/>
          <w:color w:val="111111"/>
          <w:sz w:val="28"/>
          <w:sz w:val="28"/>
          <w:szCs w:val="28"/>
          <w:rtl w:val="true"/>
          <w:lang w:bidi="fa-IR"/>
        </w:rPr>
        <w:t>آیت الله روحانی، با همکاری چند نفر از شخصیت های برجسته حوزوی ـ که شهید مطهری نیز در میان آنان بود ـ جلساتی تشکیل می دادند و راهکارهای خود را به صورت پیشنهادی تدوین شده، برای آیت الله بروجردی می فرستادند که ایشان برخی موارد را می پذیرفتند و برخی را نیز 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آقای روحانی افراد عضو جلسه را جمع کرد تا درباره مسائل مربوط به حوزه و اقدامات مثبت آیت الله بروجردی در سر و سامان دادن به پیشنهادهای مطرح شده،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اعضای جلسه خواست برنامه ای منظم و مدون برای شرکت در جلسات داشته باشند و از این پس، با عزمی راسخ تر مسائل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بود تا این ایده عملی شود و سبب هم بستگی و پیدایش تفاهم و همکاری بیشتری در میان اعضا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اساسنامه ای تنظیم شد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جامعه مدرسین فعالیت های خود را وسعت بخشید و به چاپ و انتشار اعلامیه های علما پرداخت و در رأس نیروهای انقلابی در مبارزه علیه شاه و ایادی او قرار گرفت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علمای مبارز به شکل های گوناگون از جمله تبلیغ، تدریس و سخنرانی، برضد رژیم طاغوت مبارزه می کردند که در این میان، بسیاری نیز گرفتار زندان ها و شکنجه های ساواک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جامعه مدرسین نیز با </w:t>
      </w:r>
      <w:bookmarkStart w:id="34" w:name="pg3493_37828"/>
    </w:p>
    <w:p>
      <w:pPr>
        <w:pStyle w:val="BookText"/>
        <w:rPr/>
      </w:pPr>
      <w:bookmarkEnd w:id="34"/>
      <w:r>
        <w:rPr>
          <w:rFonts w:ascii="IRNazanin" w:hAnsi="IRNazanin" w:eastAsia="IRNazanin"/>
          <w:color w:val="111111"/>
          <w:sz w:val="28"/>
          <w:sz w:val="28"/>
          <w:szCs w:val="28"/>
          <w:rtl w:val="true"/>
          <w:lang w:bidi="fa-IR"/>
        </w:rPr>
        <w:t>انتشار بیانیه و محکوم کردن اقدامات شاه، نقش بسزایی در روشن ساختن افکار مردم جامعه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شاه خائن، مهم ترین کار جامعه مدرسین در آن برهه حساس انقلاب بود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بیشتر اعلامیه های این نهاد مقدس، نام و امضای سیدمهدی روحانی می درخشید</w:t>
      </w:r>
      <w:r>
        <w:rPr>
          <w:rFonts w:eastAsia="IRNazanin" w:cs="IRNazanin"/>
          <w:color w:val="111111"/>
          <w:sz w:val="28"/>
          <w:szCs w:val="28"/>
          <w:rtl w:val="true"/>
          <w:lang w:bidi="fa-IR"/>
        </w:rPr>
        <w:t>.</w:t>
      </w:r>
    </w:p>
    <w:p>
      <w:pPr>
        <w:pStyle w:val="Heading2"/>
        <w:numPr>
          <w:ilvl w:val="1"/>
          <w:numId w:val="1"/>
        </w:numPr>
        <w:rPr/>
      </w:pPr>
      <w:bookmarkStart w:id="35" w:name="__RefHeading___Toc3528134_2749589250"/>
      <w:bookmarkStart w:id="36" w:name="_Toc12"/>
      <w:bookmarkEnd w:id="35"/>
      <w:r>
        <w:rPr>
          <w:rtl w:val="true"/>
        </w:rPr>
        <w:t>آثار</w:t>
      </w:r>
      <w:bookmarkEnd w:id="36"/>
    </w:p>
    <w:p>
      <w:pPr>
        <w:pStyle w:val="Heading3"/>
        <w:numPr>
          <w:ilvl w:val="2"/>
          <w:numId w:val="1"/>
        </w:numPr>
        <w:rPr/>
      </w:pPr>
      <w:bookmarkStart w:id="37" w:name="__RefHeading___Toc3528136_274958925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آیت الله سیدمهدی روحانی، در کنار مطالعات رایج حوزه 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پژوهش در علوم تفسیر، حدیث، تاریخ، کلام و مذاهب اسلامی پرداخت و یکی از صاحب نظران برجسته علوم اسلامی در حوزه علمیه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مقارنه و تطبیق کتاب 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مجید، نقاط افتراق و اشتراک آنها را روشن کرد و یادداشت های بسیاری در شناخت فرقه های گوناگون اسلام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گسترده آیت الله سیدمهدی روحانی بر تاریخ، فقه و عقاید فرقه های گوناگون، موجب شد وی از معروفیتی جهانی برخوردار شود و چند بار به نمایندگی از سوی جمهوری اسلامی ایران و حوزه علمیه قم، به ترکیه، عربستان، ژاپن و کشورهای دیگر سفر و از عقاید برحق شیعه دفاع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وجود داشتن مسئولیت هایی در نظام، منصب امامت جماعت در مسجدش و رتق و فتق امور مردم، به نگارش نیز می پرداخت که نتیجه تحقیقات او به صورت کتاب ها و مقاله های متعددی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فقیه فرزانه، آثاری چند در تفسیر، حدیث و کلام به جای مانده که عبارتند از</w:t>
      </w:r>
      <w:r>
        <w:rPr>
          <w:rFonts w:eastAsia="IRNazanin" w:cs="IRNazanin"/>
          <w:color w:val="111111"/>
          <w:sz w:val="28"/>
          <w:szCs w:val="28"/>
          <w:rtl w:val="true"/>
          <w:lang w:bidi="fa-IR"/>
        </w:rPr>
        <w:t xml:space="preserve">: </w:t>
      </w:r>
      <w:bookmarkStart w:id="39" w:name="pg3493_37829"/>
    </w:p>
    <w:p>
      <w:pPr>
        <w:pStyle w:val="Heading3"/>
        <w:numPr>
          <w:ilvl w:val="2"/>
          <w:numId w:val="1"/>
        </w:numPr>
        <w:rPr/>
      </w:pPr>
      <w:bookmarkStart w:id="40" w:name="__RefHeading___Toc3528138_2749589250"/>
      <w:bookmarkStart w:id="41" w:name="_Toc14"/>
      <w:bookmarkEnd w:id="39"/>
      <w:bookmarkEnd w:id="40"/>
      <w:r>
        <w:rPr>
          <w:rtl w:val="true"/>
        </w:rPr>
        <w:t>کتاب ها</w:t>
      </w:r>
      <w:bookmarkEnd w:id="41"/>
    </w:p>
    <w:p>
      <w:pPr>
        <w:pStyle w:val="BookText"/>
        <w:rPr/>
      </w:pPr>
      <w:r>
        <w:rPr>
          <w:rFonts w:ascii="IRNazanin" w:hAnsi="IRNazanin" w:eastAsia="IRNazanin"/>
          <w:color w:val="111111"/>
          <w:sz w:val="28"/>
          <w:sz w:val="28"/>
          <w:szCs w:val="28"/>
          <w:rtl w:val="true"/>
          <w:lang w:bidi="fa-IR"/>
        </w:rPr>
        <w:t>کتاب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فرقة السلفیه و تطوراتها فی التاریخ؛ این کتاب درباره پیدایش فرقه سلفیه و فراز و نشیب های آن است که در کنفرانس علوم اسلامی ژاپن، به عربی و انگلیسی ترجمه شد و پس از آن، در مجله نور علم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مع اهل السنة و السلفیة؛ موضوع این کتاب درباره اهل سنت و عقاید وهابیت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الوتر ثلاث رکعات؛ کتابی درباره نماز وتر است که همراه با نظرهای ارزشمند آیت الله سیدموسی شبیری زنجانی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طرق اهل السنة؛ در این کتاب، احادیثی درباره فضایل اهل بیت از کتاب های اهل سنت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با همکاری مرحوم آیت الله احمدی میانجی استخراج شد و به زیور طبع آراسته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جوامع الجامع، تفسیر سوره حمد، تفسیر سوره فجر و تاریخ فرق و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آثار آیت الله روحانی است که هنوز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مقاله های بسیاری نیز نگاشته که در مجله های گوناگون داخلی و خارجی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آنها عبارتند از</w:t>
      </w:r>
      <w:r>
        <w:rPr>
          <w:rFonts w:eastAsia="IRNazanin" w:cs="IRNazanin"/>
          <w:color w:val="111111"/>
          <w:sz w:val="28"/>
          <w:szCs w:val="28"/>
          <w:rtl w:val="true"/>
          <w:lang w:bidi="fa-IR"/>
        </w:rPr>
        <w:t>:</w:t>
      </w:r>
    </w:p>
    <w:p>
      <w:pPr>
        <w:pStyle w:val="Heading3"/>
        <w:numPr>
          <w:ilvl w:val="2"/>
          <w:numId w:val="1"/>
        </w:numPr>
        <w:rPr/>
      </w:pPr>
      <w:bookmarkStart w:id="42" w:name="__RefHeading___Toc3528140_2749589250"/>
      <w:bookmarkStart w:id="43" w:name="_Toc15"/>
      <w:bookmarkEnd w:id="42"/>
      <w:r>
        <w:rPr>
          <w:rtl w:val="true"/>
        </w:rPr>
        <w:t>مقاله ها</w:t>
      </w:r>
      <w:bookmarkEnd w:id="43"/>
    </w:p>
    <w:p>
      <w:pPr>
        <w:pStyle w:val="BookText"/>
        <w:rPr/>
      </w:pPr>
      <w:r>
        <w:rPr>
          <w:rFonts w:ascii="IRNazanin" w:hAnsi="IRNazanin" w:eastAsia="IRNazanin"/>
          <w:color w:val="111111"/>
          <w:sz w:val="28"/>
          <w:sz w:val="28"/>
          <w:szCs w:val="28"/>
          <w:rtl w:val="true"/>
          <w:lang w:bidi="fa-IR"/>
        </w:rPr>
        <w:t>مقاله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مکتب اسلام، خرداد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مکتب اسلام، تیر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مکتب اسلام، مرداد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w:t>
      </w:r>
      <w:bookmarkStart w:id="44" w:name="pg3493_37830"/>
    </w:p>
    <w:p>
      <w:pPr>
        <w:pStyle w:val="BookText"/>
        <w:rPr/>
      </w:pPr>
      <w:bookmarkEnd w:id="4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مکتب اسلام، شهریور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 برای تعیین خط دقیق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نور علم، بهمن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پیرامون مسائل حوزه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نور علم، بهمن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النظرات الفقهیة و الاصولیة للشیخ البهایی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الثقافة الاسلامیه، دمشق،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تاریخ؛ هجری یا 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مقاله آقای تقی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سیمای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بر کتاب سرالسعادة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مرحوم حاج احمد آقا روحانی؛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تجوید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w:t>
      </w:r>
      <w:r>
        <w:rPr>
          <w:rFonts w:eastAsia="IRNazanin" w:cs="IRNazanin"/>
          <w:color w:val="111111"/>
          <w:sz w:val="28"/>
          <w:szCs w:val="28"/>
          <w:rtl w:val="true"/>
          <w:lang w:bidi="fa-IR"/>
        </w:rPr>
        <w:t>.</w:t>
      </w:r>
    </w:p>
    <w:p>
      <w:pPr>
        <w:pStyle w:val="Heading2"/>
        <w:numPr>
          <w:ilvl w:val="1"/>
          <w:numId w:val="1"/>
        </w:numPr>
        <w:rPr/>
      </w:pPr>
      <w:bookmarkStart w:id="45" w:name="__RefHeading___Toc3528142_2749589250"/>
      <w:bookmarkStart w:id="46" w:name="_Toc16"/>
      <w:bookmarkEnd w:id="45"/>
      <w:r>
        <w:rPr>
          <w:rtl w:val="true"/>
        </w:rPr>
        <w:t>ابتکار علمی</w:t>
      </w:r>
      <w:bookmarkEnd w:id="46"/>
    </w:p>
    <w:p>
      <w:pPr>
        <w:pStyle w:val="BookText"/>
        <w:rPr/>
      </w:pPr>
      <w:r>
        <w:rPr>
          <w:rFonts w:ascii="IRNazanin" w:hAnsi="IRNazanin" w:eastAsia="IRNazanin"/>
          <w:color w:val="111111"/>
          <w:sz w:val="28"/>
          <w:sz w:val="28"/>
          <w:szCs w:val="28"/>
          <w:rtl w:val="true"/>
          <w:lang w:bidi="fa-IR"/>
        </w:rPr>
        <w:t>ابتکار علمی</w:t>
      </w:r>
    </w:p>
    <w:p>
      <w:pPr>
        <w:pStyle w:val="BookText"/>
        <w:rPr/>
      </w:pPr>
      <w:r>
        <w:rPr>
          <w:rFonts w:ascii="IRNazanin" w:hAnsi="IRNazanin" w:eastAsia="IRNazanin"/>
          <w:color w:val="111111"/>
          <w:sz w:val="28"/>
          <w:sz w:val="28"/>
          <w:szCs w:val="28"/>
          <w:rtl w:val="true"/>
          <w:lang w:bidi="fa-IR"/>
        </w:rPr>
        <w:t>سیدمهدی از همان دوران نوجوانی، همواره به این می اندیشید که چرا نماز خواندن، ذبح حیوانات و رو به قبله گذاشتن میت در قبر، در اسلام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 به قبله نشستن و خوابیدن و بسیاری مستحبات دیگر بر این امر تأکید دارد که همه مسلمانان باید به سمت وسویی واحد روکنند و این مسئله ذهن سیدمهدی را به خود مشغول کرده بود، به گونه ای که وی در پی تشخیص دقیق قبله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انجام محاسباتی دریافت که قبله نماهای موجود خیلی دقیق نیستند و تحت امواج مغناطیسی و مصالحی که در بنای ساختمان ها به کار رفته، کمی انحراف پیدا می کنند و این زاویه انحراف تا به مقصد برسد، کیلومتر ها منحرف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نظم و ترتیب صف های نماز جماعت در مکه، حاج سیدمهدی روحانی را مصمم تر کرد تا پس از بازگشت، تحقیقات خود را کامل و نتیجه آن را اعلام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کار به سراغ دانشمندان علم هیئت رفت و پس از مشاوره های بسیار، دریافت که دو روز از سال، در ساعت مشخصی آفتاب بر کعبه عمود می تابد و هیچ سایه ای ندارد؛ بنابراین، یک فرد اگر در آن لحظه در هرجای جهان رو به خورشید بایستد، در حقیقت رو به سوی کعبه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روز عبارت بودند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روحانی پس از انجام محاسباتی توانست ظهر شرعی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لحظه ای که آفتاب هیچ سایه ای از کعبه ایجاد نمی کند و به طور کامل بر آن عمود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شرعی مکه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ساعت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تهران و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یک ساعت و یک دقیقه پس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اساس محاسبه های سیدمهدی روحانی، هر کس می تواند در حیاط خانه خود، حیاط مسجد، قبرستان مسلمانان و یا در هر جای دنیا که باشد، شاخصی عمود بر زمین نصب کند و هنگام ظهر شرعی مکه، سایه آن را ببیند که خلاف جهت سایه شاخص، مسیر دقیق قبله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سیدمهدی روحانی، نتیجه تحقیقات خود در این زمینه را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پیشنهاد برای تعیین دقیق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که با استقبال بی نظیری روبه رو شد؛ زیرا هم به قطب نما و قبله نما که دقیق نبودند، نیاز نداشت و هم ساده ترین راهی بود که افراد می توانستند از آن برای یافتن محل دقیق خط قبله استفاده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روزنامه ها و دیگر رسانه ها، چند روز قبل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این مسئله را یادآور می شوند و به خوبی دراین باره اطلاع رسانی می کنند که این کار، </w:t>
      </w:r>
      <w:bookmarkStart w:id="47" w:name="pg3493_37832"/>
    </w:p>
    <w:p>
      <w:pPr>
        <w:pStyle w:val="BookText"/>
        <w:rPr/>
      </w:pPr>
      <w:bookmarkEnd w:id="47"/>
      <w:r>
        <w:rPr>
          <w:rFonts w:ascii="IRNazanin" w:hAnsi="IRNazanin" w:eastAsia="IRNazanin"/>
          <w:color w:val="111111"/>
          <w:sz w:val="28"/>
          <w:sz w:val="28"/>
          <w:szCs w:val="28"/>
          <w:rtl w:val="true"/>
          <w:lang w:bidi="fa-IR"/>
        </w:rPr>
        <w:t xml:space="preserve">مرهون تلاش پی گیر و مستمر بزرگ مردی است که با الهام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فَلَنُوَلِّیَنّکَ قِبْلَةً تَرْضاها فَوَلّ ِ وَجْهَکَ شَطْرَ الْمَسْجِدِ الْحَرامِ وَ حَیْثُ ما کُنْتُمْ فَوَلّوا وُجُوهَکُمْ شَطْرَهُ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توانست مسئله تعیین قبله را که از مسائل اساسی و مهم جامعه اسلامی است از بسیاری شبهه ها و پرسش ها پاک کند</w:t>
      </w:r>
      <w:r>
        <w:rPr>
          <w:rFonts w:eastAsia="IRNazanin" w:cs="IRNazanin"/>
          <w:color w:val="111111"/>
          <w:sz w:val="28"/>
          <w:szCs w:val="28"/>
          <w:rtl w:val="true"/>
          <w:lang w:bidi="fa-IR"/>
        </w:rPr>
        <w:t>.</w:t>
      </w:r>
    </w:p>
    <w:p>
      <w:pPr>
        <w:pStyle w:val="Heading2"/>
        <w:numPr>
          <w:ilvl w:val="1"/>
          <w:numId w:val="1"/>
        </w:numPr>
        <w:rPr/>
      </w:pPr>
      <w:bookmarkStart w:id="48" w:name="__RefHeading___Toc3528144_2749589250"/>
      <w:bookmarkStart w:id="49" w:name="_Toc17"/>
      <w:bookmarkEnd w:id="48"/>
      <w:r>
        <w:rPr>
          <w:rtl w:val="true"/>
        </w:rPr>
        <w:t>ویژگی های فردی</w:t>
      </w:r>
      <w:bookmarkEnd w:id="49"/>
    </w:p>
    <w:p>
      <w:pPr>
        <w:pStyle w:val="Heading3"/>
        <w:numPr>
          <w:ilvl w:val="2"/>
          <w:numId w:val="1"/>
        </w:numPr>
        <w:rPr/>
      </w:pPr>
      <w:bookmarkStart w:id="50" w:name="__RefHeading___Toc3528146_274958925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ویژگی های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قناعت در عین توانگری</w:t>
      </w:r>
    </w:p>
    <w:p>
      <w:pPr>
        <w:pStyle w:val="BookText"/>
        <w:rPr/>
      </w:pPr>
      <w:r>
        <w:rPr>
          <w:rFonts w:ascii="IRNazanin" w:hAnsi="IRNazanin" w:eastAsia="IRNazanin"/>
          <w:color w:val="111111"/>
          <w:sz w:val="28"/>
          <w:sz w:val="28"/>
          <w:szCs w:val="28"/>
          <w:rtl w:val="true"/>
          <w:lang w:bidi="fa-IR"/>
        </w:rPr>
        <w:t>اهتمام به امور سیاسی</w:t>
      </w:r>
    </w:p>
    <w:p>
      <w:pPr>
        <w:pStyle w:val="BookText"/>
        <w:rPr/>
      </w:pPr>
      <w:r>
        <w:rPr>
          <w:rFonts w:ascii="IRNazanin" w:hAnsi="IRNazanin" w:eastAsia="IRNazanin"/>
          <w:color w:val="111111"/>
          <w:sz w:val="28"/>
          <w:sz w:val="28"/>
          <w:szCs w:val="28"/>
          <w:rtl w:val="true"/>
          <w:lang w:bidi="fa-IR"/>
        </w:rPr>
        <w:t>راضی بودن به قضای الهی</w:t>
      </w:r>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ascii="IRNazanin" w:hAnsi="IRNazanin" w:eastAsia="IRNazanin"/>
          <w:color w:val="111111"/>
          <w:sz w:val="28"/>
          <w:sz w:val="28"/>
          <w:szCs w:val="28"/>
          <w:rtl w:val="true"/>
          <w:lang w:bidi="fa-IR"/>
        </w:rPr>
        <w:t>تعامل مستقیم با مردم</w:t>
      </w:r>
    </w:p>
    <w:p>
      <w:pPr>
        <w:pStyle w:val="Heading3"/>
        <w:numPr>
          <w:ilvl w:val="2"/>
          <w:numId w:val="1"/>
        </w:numPr>
        <w:rPr/>
      </w:pPr>
      <w:bookmarkStart w:id="52" w:name="__RefHeading___Toc3528148_2749589250"/>
      <w:bookmarkStart w:id="53" w:name="_Toc19"/>
      <w:bookmarkEnd w:id="52"/>
      <w:r>
        <w:rPr>
          <w:rtl w:val="true"/>
        </w:rPr>
        <w:t>ساده زیستی</w:t>
      </w:r>
      <w:bookmarkEnd w:id="53"/>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آیت الله روحانی در کمال زهد و سادگی و در همان خانه خشتی و قدیمی پدرش می زیست؛ خانه ای که انسان در آن از هیاهوی دنیای مدرن و تشریفات بی روح و زرق و برق های بی محتوا دور می شد و روحش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کوچه و خانه ساده گلی، یادآور کوچه های بنی هاشم و ساده زیستی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ساده زیستی و پرهیز از تجملات او، ذکر این نکته خالی از لطف نیست که در برهه ای از زمان، برای تعمیر منزل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چوبی خانه را موریانه خورده بود، آن را تعویض نکرد و با بتونه و رنگ به ترمیم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آجرهای سنگفرش حیاط را می کندند، از معمار خواست تا از طرفِ دیگر آجرها ـ که از حوادث طبیعی در امان مانده بودند ـ استفاده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نگاه نخست چنین به نظر آید که وی علاقه ای به هزینه کردن نداشت و یا اینکه مایل بود خانه پدری اش با همان ترکیب قدیمی، </w:t>
      </w:r>
      <w:bookmarkStart w:id="54" w:name="pg3493_37833"/>
    </w:p>
    <w:p>
      <w:pPr>
        <w:pStyle w:val="BookText"/>
        <w:rPr/>
      </w:pPr>
      <w:bookmarkEnd w:id="54"/>
      <w:r>
        <w:rPr>
          <w:rFonts w:ascii="IRNazanin" w:hAnsi="IRNazanin" w:eastAsia="IRNazanin"/>
          <w:color w:val="111111"/>
          <w:sz w:val="28"/>
          <w:sz w:val="28"/>
          <w:szCs w:val="28"/>
          <w:rtl w:val="true"/>
          <w:lang w:bidi="fa-IR"/>
        </w:rPr>
        <w:t>دست نخورده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مطلب این بود که او با این کار، می خواست به نسل امروز بفهماند که تجملات، نه تنها نقشی در زندگی ندارند، بلکه پرداختن به آنها روز به روز انسان را از انسانیت دور می سازد؛ چرا که یکی از معضلات جامعه مدرن امروزی، چشم و هم چشمی و نادیده گرفتن سخنان پیشوایان بزرگ دین درباره ساده زیستی است</w:t>
      </w:r>
      <w:r>
        <w:rPr>
          <w:rFonts w:eastAsia="IRNazanin" w:cs="IRNazanin"/>
          <w:color w:val="111111"/>
          <w:sz w:val="28"/>
          <w:szCs w:val="28"/>
          <w:rtl w:val="true"/>
          <w:lang w:bidi="fa-IR"/>
        </w:rPr>
        <w:t>.</w:t>
      </w:r>
    </w:p>
    <w:p>
      <w:pPr>
        <w:pStyle w:val="Heading3"/>
        <w:numPr>
          <w:ilvl w:val="2"/>
          <w:numId w:val="1"/>
        </w:numPr>
        <w:rPr/>
      </w:pPr>
      <w:bookmarkStart w:id="55" w:name="__RefHeading___Toc3528150_2749589250"/>
      <w:bookmarkStart w:id="56" w:name="_Toc20"/>
      <w:bookmarkEnd w:id="55"/>
      <w:r>
        <w:rPr>
          <w:rtl w:val="true"/>
        </w:rPr>
        <w:t>قناعت در عین توانگری</w:t>
      </w:r>
      <w:bookmarkEnd w:id="56"/>
    </w:p>
    <w:p>
      <w:pPr>
        <w:pStyle w:val="BookText"/>
        <w:rPr/>
      </w:pPr>
      <w:r>
        <w:rPr>
          <w:rFonts w:ascii="IRNazanin" w:hAnsi="IRNazanin" w:eastAsia="IRNazanin"/>
          <w:color w:val="111111"/>
          <w:sz w:val="28"/>
          <w:sz w:val="28"/>
          <w:szCs w:val="28"/>
          <w:rtl w:val="true"/>
          <w:lang w:bidi="fa-IR"/>
        </w:rPr>
        <w:t>قناعت در عین توانگری</w:t>
      </w:r>
    </w:p>
    <w:p>
      <w:pPr>
        <w:pStyle w:val="BookText"/>
        <w:rPr/>
      </w:pPr>
      <w:r>
        <w:rPr>
          <w:rFonts w:ascii="IRNazanin" w:hAnsi="IRNazanin" w:eastAsia="IRNazanin"/>
          <w:color w:val="111111"/>
          <w:sz w:val="28"/>
          <w:sz w:val="28"/>
          <w:szCs w:val="28"/>
          <w:rtl w:val="true"/>
          <w:lang w:bidi="fa-IR"/>
        </w:rPr>
        <w:t>آیت الله روحانی مردی قانع بود و هرگز گرفتار زرق و برق و مظاهر فریبنده دنیای مادی نشد، همواره به کمترین چیزها قناعت می کرد و اسراف را گناهی بسیار بزرگ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ایزدی دراین باره می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مسئول خرید حاج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اول از همه، از قیمت جنس سؤال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فقرا چه می خرند و چه می خورند، شما هم از همان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غیرقابل مصرف بودن آب قم، آب آشامیدنی شیرین می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ها را چند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تانکرها می خریم و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های کارتی که در خیابان هاست،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ها بخرید، ما که از فقیرها بالاتر نیستیم، هرچه آنها می خرند، شما هم از همان بخرید</w:t>
      </w:r>
      <w:r>
        <w:rPr>
          <w:rFonts w:eastAsia="IRNazanin" w:cs="IRNazanin"/>
          <w:color w:val="111111"/>
          <w:sz w:val="28"/>
          <w:szCs w:val="28"/>
          <w:rtl w:val="true"/>
          <w:lang w:bidi="fa-IR"/>
        </w:rPr>
        <w:t xml:space="preserve">...!» </w:t>
      </w:r>
      <w:bookmarkStart w:id="57" w:name="pg3493_37834"/>
    </w:p>
    <w:p>
      <w:pPr>
        <w:pStyle w:val="Heading3"/>
        <w:numPr>
          <w:ilvl w:val="2"/>
          <w:numId w:val="1"/>
        </w:numPr>
        <w:rPr/>
      </w:pPr>
      <w:bookmarkStart w:id="58" w:name="__RefHeading___Toc3528152_2749589250"/>
      <w:bookmarkStart w:id="59" w:name="_Toc21"/>
      <w:bookmarkEnd w:id="57"/>
      <w:bookmarkEnd w:id="58"/>
      <w:r>
        <w:rPr>
          <w:rtl w:val="true"/>
        </w:rPr>
        <w:t>اهتمام به امور سیاسی</w:t>
      </w:r>
      <w:bookmarkEnd w:id="59"/>
    </w:p>
    <w:p>
      <w:pPr>
        <w:pStyle w:val="BookText"/>
        <w:rPr/>
      </w:pPr>
      <w:r>
        <w:rPr>
          <w:rFonts w:ascii="IRNazanin" w:hAnsi="IRNazanin" w:eastAsia="IRNazanin"/>
          <w:color w:val="111111"/>
          <w:sz w:val="28"/>
          <w:sz w:val="28"/>
          <w:szCs w:val="28"/>
          <w:rtl w:val="true"/>
          <w:lang w:bidi="fa-IR"/>
        </w:rPr>
        <w:t>اهتمام به امور سیاسی</w:t>
      </w:r>
    </w:p>
    <w:p>
      <w:pPr>
        <w:pStyle w:val="BookText"/>
        <w:rPr/>
      </w:pPr>
      <w:r>
        <w:rPr>
          <w:rFonts w:ascii="IRNazanin" w:hAnsi="IRNazanin" w:eastAsia="IRNazanin"/>
          <w:color w:val="111111"/>
          <w:sz w:val="28"/>
          <w:sz w:val="28"/>
          <w:szCs w:val="28"/>
          <w:rtl w:val="true"/>
          <w:lang w:bidi="fa-IR"/>
        </w:rPr>
        <w:t>آیت الله سیدمهدی روحانی به امور سیاسی و مسائل مهم و حساس مملکتی توجهی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یاوران امام خمینی رحمه الله، از دوستان رهبر معظم انقلاب و از طرف داران راستین جمهوری اسلامی بود و مخالفت با نظام اسلامی را به هیچ وجه جایز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این عقیده، فرزند برومند خود، شهید حجت الاسلام سیدعلی روحانی را تقدیم انقلاب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هرگز از کج اندیشی ها و تندروی ها غافل نبود و هرگاه مشکلی بر سر راه اهداف متعالی انقلاب می دید، با ایستادگی و شجاعت، مردانه و استوار پا به میدان می گذاشت و برای حل آن مشکل، به موقع اقدام می کرد</w:t>
      </w:r>
      <w:r>
        <w:rPr>
          <w:rFonts w:eastAsia="IRNazanin" w:cs="IRNazanin"/>
          <w:color w:val="111111"/>
          <w:sz w:val="28"/>
          <w:szCs w:val="28"/>
          <w:rtl w:val="true"/>
          <w:lang w:bidi="fa-IR"/>
        </w:rPr>
        <w:t>.</w:t>
      </w:r>
    </w:p>
    <w:p>
      <w:pPr>
        <w:pStyle w:val="Heading3"/>
        <w:numPr>
          <w:ilvl w:val="2"/>
          <w:numId w:val="1"/>
        </w:numPr>
        <w:rPr/>
      </w:pPr>
      <w:bookmarkStart w:id="60" w:name="__RefHeading___Toc3528154_2749589250"/>
      <w:bookmarkStart w:id="61" w:name="_Toc22"/>
      <w:bookmarkEnd w:id="60"/>
      <w:r>
        <w:rPr>
          <w:rtl w:val="true"/>
        </w:rPr>
        <w:t>راضی بودن به قضای الهی</w:t>
      </w:r>
      <w:bookmarkEnd w:id="61"/>
    </w:p>
    <w:p>
      <w:pPr>
        <w:pStyle w:val="BookText"/>
        <w:rPr/>
      </w:pPr>
      <w:r>
        <w:rPr>
          <w:rFonts w:ascii="IRNazanin" w:hAnsi="IRNazanin" w:eastAsia="IRNazanin"/>
          <w:color w:val="111111"/>
          <w:sz w:val="28"/>
          <w:sz w:val="28"/>
          <w:szCs w:val="28"/>
          <w:rtl w:val="true"/>
          <w:lang w:bidi="fa-IR"/>
        </w:rPr>
        <w:t>راضی بودن به قضای الهی</w:t>
      </w:r>
    </w:p>
    <w:p>
      <w:pPr>
        <w:pStyle w:val="BookText"/>
        <w:rPr/>
      </w:pPr>
      <w:r>
        <w:rPr>
          <w:rFonts w:ascii="IRNazanin" w:hAnsi="IRNazanin" w:eastAsia="IRNazanin"/>
          <w:color w:val="111111"/>
          <w:sz w:val="28"/>
          <w:sz w:val="28"/>
          <w:szCs w:val="28"/>
          <w:rtl w:val="true"/>
          <w:lang w:bidi="fa-IR"/>
        </w:rPr>
        <w:t>سیدمهدی روحانی اراده و خواست الهی را بر همه چیز حاکم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مشکلات خم به ابرو نمی آورد و چونان کوهی استوار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فرزندش حجت الاسلام سیدعلی روحانی نیز هیچ خللی در اراده محکم و پولادین او وارد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تأسی از امام خمینی رحمه الله، شهادت فرزندش را از الطاف خفیه الهی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هنوز یک سال از درگذشت برادر کوچک سیدمهدی، مرحوم حجت الاسلام والمسلمین سیدهادی روحانی نگذشته بود که خواهرش 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دو سال، خواهر دیگر و خواهرزاده اش نیز از دنیا رفتند، ولی وی با صبر و ایستادگی این غم ها را تحمل کرد و قضای الهی را با رضایت پذیرفت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سیدمهدی روحانی با ذکاوت و درایتی که داشت، در همان روزهای اول بیماری اش، فهمید که سرطان دارد و بیماری او درمان ناپذیر است؛ با این </w:t>
      </w:r>
      <w:bookmarkStart w:id="62" w:name="pg3493_37835"/>
    </w:p>
    <w:p>
      <w:pPr>
        <w:pStyle w:val="BookText"/>
        <w:rPr/>
      </w:pPr>
      <w:bookmarkEnd w:id="62"/>
      <w:r>
        <w:rPr>
          <w:rFonts w:ascii="IRNazanin" w:hAnsi="IRNazanin" w:eastAsia="IRNazanin"/>
          <w:color w:val="111111"/>
          <w:sz w:val="28"/>
          <w:sz w:val="28"/>
          <w:szCs w:val="28"/>
          <w:rtl w:val="true"/>
          <w:lang w:bidi="fa-IR"/>
        </w:rPr>
        <w:t>حال، همواره نزدیکان و دوستان خود را دلداری می داد و با دیدن نگرانی آنها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عمرم را گذرانده ام، مالی هم ندارم که نگران از دست دادن آن باشم، اگر خدا این گونه می خواهد، من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و هر چه را جانان برایش پسندیده بود، می پسندید</w:t>
      </w:r>
      <w:r>
        <w:rPr>
          <w:rFonts w:eastAsia="IRNazanin" w:cs="IRNazanin"/>
          <w:color w:val="111111"/>
          <w:sz w:val="28"/>
          <w:szCs w:val="28"/>
          <w:rtl w:val="true"/>
          <w:lang w:bidi="fa-IR"/>
        </w:rPr>
        <w:t>.</w:t>
      </w:r>
    </w:p>
    <w:p>
      <w:pPr>
        <w:pStyle w:val="Heading3"/>
        <w:numPr>
          <w:ilvl w:val="2"/>
          <w:numId w:val="1"/>
        </w:numPr>
        <w:rPr/>
      </w:pPr>
      <w:bookmarkStart w:id="63" w:name="__RefHeading___Toc3528156_2749589250"/>
      <w:bookmarkStart w:id="64" w:name="_Toc23"/>
      <w:bookmarkEnd w:id="63"/>
      <w:r>
        <w:rPr>
          <w:rtl w:val="true"/>
        </w:rPr>
        <w:t>اهتمام به نماز جماعت</w:t>
      </w:r>
      <w:bookmarkEnd w:id="64"/>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ascii="IRNazanin" w:hAnsi="IRNazanin" w:eastAsia="IRNazanin"/>
          <w:color w:val="111111"/>
          <w:sz w:val="28"/>
          <w:sz w:val="28"/>
          <w:szCs w:val="28"/>
          <w:rtl w:val="true"/>
          <w:lang w:bidi="fa-IR"/>
        </w:rPr>
        <w:t>آیت الله سیدمهدی روحانی، به دلیل موقعیت خانوادگی ممتاز و برجستگی شخصیت در بین مردم و مسئولان نظام، از جایگاهی والا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سه نوبت در مسجدش نماز جماعت اقامه می کرد، آن گاه پس از نماز جماعت، در مسجد می نشست و به مشکلات مردم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او کانون اجتماع مردم متدین قم بود و از فقیر و نیازمند گرفته تا جوانانی که پرسش های شرعی داشتند، به او مراجعه می کردند و با دست پر بازمی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سیدمهدی روحانی، با همه برخوردی خوب و نیکو داشت و حتی با افراد غریبه به گونه ای احوال پرسی می کرد که گویی از سال ها پیش با آنها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نیک سبب می شد تا افراد، بدون تکلف و شرم، مسائل و مشکلاتشان را با او در میان بگذارند و با دیدن او و اخلاق اسلامی اش، به یاد برخوردهای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بیفتند</w:t>
      </w:r>
      <w:r>
        <w:rPr>
          <w:rFonts w:eastAsia="IRNazanin" w:cs="IRNazanin"/>
          <w:color w:val="111111"/>
          <w:sz w:val="28"/>
          <w:szCs w:val="28"/>
          <w:rtl w:val="true"/>
          <w:lang w:bidi="fa-IR"/>
        </w:rPr>
        <w:t>.</w:t>
      </w:r>
    </w:p>
    <w:p>
      <w:pPr>
        <w:pStyle w:val="Heading3"/>
        <w:numPr>
          <w:ilvl w:val="2"/>
          <w:numId w:val="1"/>
        </w:numPr>
        <w:rPr/>
      </w:pPr>
      <w:bookmarkStart w:id="65" w:name="__RefHeading___Toc3528158_2749589250"/>
      <w:bookmarkStart w:id="66" w:name="_Toc24"/>
      <w:bookmarkEnd w:id="65"/>
      <w:r>
        <w:rPr>
          <w:rtl w:val="true"/>
        </w:rPr>
        <w:t>تعامل مستقیم با مردم</w:t>
      </w:r>
      <w:bookmarkEnd w:id="66"/>
    </w:p>
    <w:p>
      <w:pPr>
        <w:pStyle w:val="BookText"/>
        <w:rPr/>
      </w:pPr>
      <w:r>
        <w:rPr>
          <w:rFonts w:ascii="IRNazanin" w:hAnsi="IRNazanin" w:eastAsia="IRNazanin"/>
          <w:color w:val="111111"/>
          <w:sz w:val="28"/>
          <w:sz w:val="28"/>
          <w:szCs w:val="28"/>
          <w:rtl w:val="true"/>
          <w:lang w:bidi="fa-IR"/>
        </w:rPr>
        <w:t>تعامل مستقیم با مردم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روحانی، همواره در تعامل مستقیم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از تشریفات اداری پرهیز می کرد؛ همواره با مردم روابطی صمیمانه داشت و درِ خانه قدیمی اش به روی همه؛ فقیر و غنی، روحانی و غیرروحانی، مردم عادی و مسئولان مملکتی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وی حال مساعدی نداشت، دوستان </w:t>
      </w:r>
      <w:bookmarkStart w:id="67" w:name="pg3493_37836"/>
    </w:p>
    <w:p>
      <w:pPr>
        <w:pStyle w:val="BookText"/>
        <w:rPr/>
      </w:pPr>
      <w:bookmarkEnd w:id="67"/>
      <w:r>
        <w:rPr>
          <w:rFonts w:ascii="IRNazanin" w:hAnsi="IRNazanin" w:eastAsia="IRNazanin"/>
          <w:color w:val="111111"/>
          <w:sz w:val="28"/>
          <w:sz w:val="28"/>
          <w:szCs w:val="28"/>
          <w:rtl w:val="true"/>
          <w:lang w:bidi="fa-IR"/>
        </w:rPr>
        <w:t>پیشنهاد کردند فقط ساعت خاصی افراد را به حضور بپذیرد، ولی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خجالت می کشم درِ خانه ام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مشکل دارند و مشکل مردم، شب و روز نمی شناسد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68" w:name="__RefHeading___Toc3528160_2749589250"/>
      <w:bookmarkStart w:id="69" w:name="_Toc25"/>
      <w:bookmarkEnd w:id="68"/>
      <w:r>
        <w:rPr>
          <w:rtl w:val="true"/>
        </w:rPr>
        <w:t>مسئولیت در نظام</w:t>
      </w:r>
      <w:bookmarkEnd w:id="69"/>
    </w:p>
    <w:p>
      <w:pPr>
        <w:pStyle w:val="BookText"/>
        <w:rPr/>
      </w:pPr>
      <w:r>
        <w:rPr>
          <w:rFonts w:ascii="IRNazanin" w:hAnsi="IRNazanin" w:eastAsia="IRNazanin"/>
          <w:color w:val="111111"/>
          <w:sz w:val="28"/>
          <w:sz w:val="28"/>
          <w:szCs w:val="28"/>
          <w:rtl w:val="true"/>
          <w:lang w:bidi="fa-IR"/>
        </w:rPr>
        <w:t>مسئولیت در نظام</w:t>
      </w:r>
    </w:p>
    <w:p>
      <w:pPr>
        <w:pStyle w:val="BookText"/>
        <w:rPr/>
      </w:pPr>
      <w:r>
        <w:rPr>
          <w:rFonts w:ascii="IRNazanin" w:hAnsi="IRNazanin" w:eastAsia="IRNazanin"/>
          <w:color w:val="111111"/>
          <w:sz w:val="28"/>
          <w:sz w:val="28"/>
          <w:szCs w:val="28"/>
          <w:rtl w:val="true"/>
          <w:lang w:bidi="fa-IR"/>
        </w:rPr>
        <w:t>آیت الله روحانی، پس از بازگشت از نجف اشرف به قم، همواره دغدغه مسائل و مشکلات حوزه علمیه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ذهنی همان گونه که پیش تر نیز اشاره شد، به برپایی جلساتی غیرمنظم با حضور آیت الله احمدی میانجی رحمه الله، آیت الله مکارم شیرازی و گاه شهید بهشتی و سید موسی صدر و صدور لایحه های پیشنهادی می انجامید که این لایحه ها برای آیت الله العظمی بروجردی فرستاده می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نیز به فراخور مقتضیات زمانی و مکانی، برای بهبود وضع حوزه ها و حل مشکلات آن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جلسات، شکل منظمی به خود گرفت و اساس نامه ای تنظیم و ثبت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به طور رسمی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آیت الله روحانی را می توان از مؤسسان جامعه مدرسین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پایان عمر گران قدرش نیز عضو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آغاز به کار مجلس خبرگان رهبری، دو دوره پیاپی به عنوان نماینده مجلس خبرگان از استان مرکزی و در دوره سوم نیز به نمایندگی از سوی مردم استان قم به این مجلس راه یافت</w:t>
      </w:r>
      <w:r>
        <w:rPr>
          <w:rFonts w:eastAsia="IRNazanin" w:cs="IRNazanin"/>
          <w:color w:val="111111"/>
          <w:sz w:val="28"/>
          <w:szCs w:val="28"/>
          <w:rtl w:val="true"/>
          <w:lang w:bidi="fa-IR"/>
        </w:rPr>
        <w:t xml:space="preserve">. </w:t>
      </w:r>
      <w:bookmarkStart w:id="70" w:name="pg3493_37837"/>
    </w:p>
    <w:p>
      <w:pPr>
        <w:pStyle w:val="BookText"/>
        <w:rPr/>
      </w:pPr>
      <w:bookmarkEnd w:id="70"/>
      <w:r>
        <w:rPr>
          <w:rFonts w:ascii="IRNazanin" w:hAnsi="IRNazanin" w:eastAsia="IRNazanin"/>
          <w:color w:val="111111"/>
          <w:sz w:val="28"/>
          <w:sz w:val="28"/>
          <w:szCs w:val="28"/>
          <w:rtl w:val="true"/>
          <w:lang w:bidi="fa-IR"/>
        </w:rPr>
        <w:t xml:space="preserve">وی همچنین، از اعضای هیئت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ناصحین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مذهبی وظیفه خطیر امر به معروف و نهی از منکر را در جامعه اسلامی، به ویژه در شهر قم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سیدمهدی روحانی در این نهاد با آیت الله احمدی میانجی همکاری صمیمانه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نیز با نیروی انتظامی و دادگستری استان تعاملی تنگاتنگ برقرار کرده بود و نقش بسزایی در راهنمایی، ارشاد و جلوگیری از فساد در شهر مقدس قم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روحانی، عضو هیئت امنای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خیریه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هم اکنون در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مقابل بیمارستان کامکار قرار دارد و رسیدگی به افراد بی سرپرست، تهیه جهیزیه برای دخترانِ دم بخت و اموری مانند آن از جمله فعالیت های این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عضو هیئت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مجمع، از نظرها و راهکارهای روشنگر ایشان استفاده می شد</w:t>
      </w:r>
      <w:r>
        <w:rPr>
          <w:rFonts w:eastAsia="IRNazanin" w:cs="IRNazanin"/>
          <w:color w:val="111111"/>
          <w:sz w:val="28"/>
          <w:szCs w:val="28"/>
          <w:rtl w:val="true"/>
          <w:lang w:bidi="fa-IR"/>
        </w:rPr>
        <w:t>.</w:t>
      </w:r>
    </w:p>
    <w:p>
      <w:pPr>
        <w:pStyle w:val="Heading2"/>
        <w:numPr>
          <w:ilvl w:val="1"/>
          <w:numId w:val="1"/>
        </w:numPr>
        <w:rPr/>
      </w:pPr>
      <w:bookmarkStart w:id="71" w:name="__RefHeading___Toc3528162_2749589250"/>
      <w:bookmarkStart w:id="72" w:name="_Toc26"/>
      <w:bookmarkEnd w:id="71"/>
      <w:r>
        <w:rPr>
          <w:rtl w:val="true"/>
        </w:rPr>
        <w:t>از نگاه دیگران</w:t>
      </w:r>
      <w:bookmarkEnd w:id="72"/>
    </w:p>
    <w:p>
      <w:pPr>
        <w:pStyle w:val="BookText"/>
        <w:rPr/>
      </w:pPr>
      <w:r>
        <w:rPr>
          <w:rFonts w:ascii="IRNazanin" w:hAnsi="IRNazanin" w:eastAsia="IRNazanin"/>
          <w:color w:val="111111"/>
          <w:sz w:val="28"/>
          <w:sz w:val="28"/>
          <w:szCs w:val="28"/>
          <w:rtl w:val="true"/>
          <w:lang w:bidi="fa-IR"/>
        </w:rPr>
        <w:t>از نگاه دیگران</w:t>
      </w:r>
    </w:p>
    <w:p>
      <w:pPr>
        <w:pStyle w:val="BookText"/>
        <w:rPr/>
      </w:pPr>
      <w:r>
        <w:rPr>
          <w:rFonts w:ascii="IRNazanin" w:hAnsi="IRNazanin" w:eastAsia="IRNazanin"/>
          <w:color w:val="111111"/>
          <w:sz w:val="28"/>
          <w:sz w:val="28"/>
          <w:szCs w:val="28"/>
          <w:rtl w:val="true"/>
          <w:lang w:bidi="fa-IR"/>
        </w:rPr>
        <w:t xml:space="preserve">آیت الله حاج سید ابوالفضل میرمحمدی،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درس آیت الله داماد با آیت الله روحانی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علمی و فضایل اخلاقی آیت الله روحانی سبب شد تا بین این دو بزرگوار ارتباطی عمیق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میرمحمدی درباره ایشان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روحانی فقیه بود، فقه را خوب می دانست و اندوخته های علمی خود را در درس ها مطرح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فقهی اش علاوه بر منابع شیعی، به منابع اهل سنت هم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بارز ایشان، کمک به </w:t>
      </w:r>
    </w:p>
    <w:p>
      <w:pPr>
        <w:pStyle w:val="BookText"/>
        <w:rPr/>
      </w:pPr>
      <w:r>
        <w:rPr>
          <w:rFonts w:ascii="IRNazanin" w:hAnsi="IRNazanin" w:eastAsia="IRNazanin"/>
          <w:color w:val="111111"/>
          <w:sz w:val="28"/>
          <w:sz w:val="28"/>
          <w:szCs w:val="28"/>
          <w:rtl w:val="true"/>
          <w:lang w:bidi="fa-IR"/>
        </w:rPr>
        <w:t>تألیفات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کتاب هایی می نوشتند و ایشان با نظرات خود، نویسنده را در هر چه بهتر و متقن شدن تألیف یاری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نظام انتقاد نمی کرد و حاضر به تضعیف نظام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اهل قبور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های متوقع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مؤمن نیز در گفت وگویی درباره آیت الله روحانی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اوّلین کسانی بودند که در ایام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های سنگین را امضا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جامعه مدرسین در منزل اعضای جامعه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اعلامیه ها اعلامیه ای بود که در منزل آیت الله جنتی تشکیل شد و ما در آن استدلال کردیم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ایران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رژیم شاه مشروعیت ندارد و دولت های خارجی باید رابطه خود را با این رژیم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جعفر سبحانی در سفری به همراه آیت الله روحانی به ترکیه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سفر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سفری به ترکیه داشتیم که ایشان خوش درخشید؛ در آنجا دو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مقالات خودشان را چاپ کردند، ولی مقالات ما را که در ردّ آنها نوشته شده بود، چاپ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شناخت شیعه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زبان عربی فصیح آرام آرام سخنرانی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رسول جعفریان، از پژوهشگران معاصر تاریخ نیز از افرادی بود که با آیت الله روحانی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روحانی به طور عمده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کار کرده بود و بیش از چهل سال با دوستان خود، به ویژه آیت الله احمدی میانجی و آیت الله شبیری زنجانی مباحثه روزانه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 سال ها رفت و آمد بنده نزد ایشان، هر بار که مطلبی درباره یکی از فرقه ها می پرسیدم، با پاسخ های جدیدی آشنا می شدم که ناشی از دقت نظر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روحانی به دلیل اشتغال به کارهای مردمی، آن چنان که همه شاهد بودند، کمتر فرصت مطالعه داشتند، اما همین مقدار را هم که می خواندند، درست می فهمیدند؛ به عکس کسانی که زیاد می خوانند و زیاد می نویسند، اما قدرت دریافت نکات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رضا مختاری، از نویسندگان و فضلای حوزه علمیه قم،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روحانی، نیاز امروز و فردای حوزه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باصفا بود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ای از علم و آگاهی که بودی، به راحتی می توانستی مشکلت را با او درمیان بگذاری، پاسخ بشنوی و چاره کار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آلایشی، فروتنی، صدق و صفا و صراحت، پارسایی و دل سوزی و غم خواری مردم از سیمای او می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که دنیا به برخی از روحانیون رو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هیچ تغییری نداد و همچنان در محله ای فقیرنشین و در منزلی قدیمی و کهنه که هر چند بی رونق بود، اما خیلی صفا داشت، به زندگی ادامه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نام و نان نبود، با آن علم سرشار و تخصص و تتبع بسیار، های وهوی و ادعایی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مسلماً از بسیاری از صاحبان رساله معاصر، اعلم بود، به نشر رساله دست نیازید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اخذ و پرداخت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دام حیل شرعی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قبال اخذ وجوه شرعی رسید نمی داد، ولی بسیاری از متدینین ترجیح می دادند وجوه خود را به او بپردازند و معتقد بودند که بهتر به مصرف واقعی می رسد</w:t>
      </w:r>
      <w:r>
        <w:rPr>
          <w:rFonts w:eastAsia="IRNazanin" w:cs="IRNazanin"/>
          <w:color w:val="111111"/>
          <w:sz w:val="28"/>
          <w:szCs w:val="28"/>
          <w:rtl w:val="true"/>
          <w:lang w:bidi="fa-IR"/>
        </w:rPr>
        <w:t>.</w:t>
      </w:r>
      <w:r>
        <w:rPr>
          <w:rStyle w:val="FootnoteAnchor"/>
          <w:rtl w:val="true"/>
        </w:rPr>
        <w:footnoteReference w:id="7"/>
      </w:r>
      <w:bookmarkStart w:id="73" w:name="pg3493_37840"/>
    </w:p>
    <w:p>
      <w:pPr>
        <w:pStyle w:val="Heading2"/>
        <w:numPr>
          <w:ilvl w:val="1"/>
          <w:numId w:val="1"/>
        </w:numPr>
        <w:rPr/>
      </w:pPr>
      <w:bookmarkStart w:id="74" w:name="__RefHeading___Toc3528164_2749589250"/>
      <w:bookmarkStart w:id="75" w:name="_Toc27"/>
      <w:bookmarkEnd w:id="73"/>
      <w:bookmarkEnd w:id="74"/>
      <w:r>
        <w:rPr>
          <w:rtl w:val="true"/>
        </w:rPr>
        <w:t>نصیحتی از یک پدر</w:t>
      </w:r>
      <w:bookmarkEnd w:id="75"/>
    </w:p>
    <w:p>
      <w:pPr>
        <w:pStyle w:val="BookText"/>
        <w:rPr/>
      </w:pPr>
      <w:r>
        <w:rPr>
          <w:rFonts w:ascii="IRNazanin" w:hAnsi="IRNazanin" w:eastAsia="IRNazanin"/>
          <w:color w:val="111111"/>
          <w:sz w:val="28"/>
          <w:sz w:val="28"/>
          <w:szCs w:val="28"/>
          <w:rtl w:val="true"/>
          <w:lang w:bidi="fa-IR"/>
        </w:rPr>
        <w:t>نصیحتی از یک پدر</w:t>
      </w:r>
    </w:p>
    <w:p>
      <w:pPr>
        <w:pStyle w:val="BookText"/>
        <w:rPr/>
      </w:pPr>
      <w:r>
        <w:rPr>
          <w:rFonts w:ascii="IRNazanin" w:hAnsi="IRNazanin" w:eastAsia="IRNazanin"/>
          <w:color w:val="111111"/>
          <w:sz w:val="28"/>
          <w:sz w:val="28"/>
          <w:szCs w:val="28"/>
          <w:rtl w:val="true"/>
          <w:lang w:bidi="fa-IR"/>
        </w:rPr>
        <w:t>آیت الله سیدمهدی روحانی، هم برای حوزه های علمیه و هم برای تک تک افراد جامعه، معلمی دل سوز، مرشدی آگاه و پدری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نصیحتی به روحانیون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خدمت آقایانی که در شهرستان ها تشریف دارند و به اصطلاح، روحانی محل هستند، عرض می کنم؛ گرچه خودم واجد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شهرستان ها باید گرفتاری مردم محل خود را در نظر داشته، تا آنجا که برایشان مقدور است، در رفع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باشند که اساس پیدایش رابطه اصولی و مستقیم بین روحانیون و مردم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راه انداختن کارهای مشروع مردم، مورد نظر آفریدگار و یکی از وظایف الهی روحانیت است؛ مخصوصاً این روزها که مردم می گویند دوران، دوران روحانی هاست و الآن زمام تمام کارها در دست آقایان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مردم باید متوجه باشند که روحانیونی مثل بنده، اگر چه با مسئولان اداره کشور روابطی داریم، ولی چنین نیست که هرگونه درخواست و تحمیلی بر آنان ممکن باشد؛ مثلاً بنده بتوانم هر مشکلی که در این زمینه پیش می آید،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روحانیت باید دردهای مردم را درک و لمس کرده، در رفع آنها در حد توان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دیگر من این است که روحانیون مستقر در شهرستان ها، متوجه جهات مالی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روحانی بسیار زننده است که توجه خود را معطوف به مال اندوزی و زرق و برق و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زیرا نه از آنان چنین توقعی هست و نه برای آنان چنین وضعیتی مطلوب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از مردم انتظار دارم در حدی شایسته، گرفتاری های علمای خود را در نظر داشته، به هر بهانه ای عیب جویی از علمای خود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bookmarkStart w:id="76" w:name="pg3493_37841"/>
    </w:p>
    <w:p>
      <w:pPr>
        <w:pStyle w:val="BookText"/>
        <w:rPr/>
      </w:pPr>
      <w:bookmarkEnd w:id="76"/>
      <w:r>
        <w:rPr>
          <w:rFonts w:ascii="IRNazanin" w:hAnsi="IRNazanin" w:eastAsia="IRNazanin"/>
          <w:color w:val="111111"/>
          <w:sz w:val="28"/>
          <w:sz w:val="28"/>
          <w:szCs w:val="28"/>
          <w:rtl w:val="true"/>
          <w:lang w:bidi="fa-IR"/>
        </w:rPr>
        <w:t>روحانیون باید از توجه به مادیات بپرهیزند و مردم نیز درباره علمای خود، دنبال بهانه و دست آویز نباشند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77" w:name="__RefHeading___Toc3528166_2749589250"/>
      <w:bookmarkStart w:id="78" w:name="_Toc28"/>
      <w:bookmarkEnd w:id="77"/>
      <w:r>
        <w:rPr>
          <w:rtl w:val="true"/>
        </w:rPr>
        <w:t>وفات</w:t>
      </w:r>
      <w:bookmarkEnd w:id="78"/>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آیت الله روحانی، عالمی ربانی، فقیهی پارسا از سلاله پاک سادات بود و همچون اجداد طاهرینش همواره برای تعالی و پیشرفت اسلام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سالی پر از غم و اندوه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دست دادن تنها برادرش حاج سید هادی روحانی، از علما و ائمه جماعات تهران و خواهرانش بر دوشش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سید مهدی به قضای الهی رضا داده بود، ولی شدت غم و مصیبت، دلش را می آزرد و هنوز از این غم های جانکاه فارغ نشده بود که ناگهان تندباد اجل، رفیق قدیمی و یار باوفایش آیت الله احمدی میانجی را نیز از کَفَش ربود؛ دوست دانشمندی که بیش از نیم قرن با یکدیگر هم درس و هم بحث بودند و هیچ گاه از یکدیگر جدا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نیز بر غم های وی افزود و سرانجام، این همه تألمات روحی، او را به بیماری سختی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چند ماه وجود نازنین آیت الله را آزرد و آن بزرگوار در روز 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مصادف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 و به اجداد پاکش پیوسته، به آرامش ابدی 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اعلام خبر درگذشت آن عالم بزرگ، شهر قم را اندوهی عظیم فراگرفت؛ پرچم های عزا در گوشه و کنار شهر و کشور نصب شد و در </w:t>
      </w:r>
    </w:p>
    <w:p>
      <w:pPr>
        <w:pStyle w:val="BookText"/>
        <w:rPr/>
      </w:pPr>
      <w:r>
        <w:rPr>
          <w:rFonts w:ascii="IRNazanin" w:hAnsi="IRNazanin" w:eastAsia="IRNazanin"/>
          <w:color w:val="111111"/>
          <w:sz w:val="28"/>
          <w:sz w:val="28"/>
          <w:szCs w:val="28"/>
          <w:rtl w:val="true"/>
          <w:lang w:bidi="fa-IR"/>
        </w:rPr>
        <w:t>ایران عزای عمومی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هزار نفر از مردم عزادار قم، روحانیون و شاگردان وی، پیکر پاکش را تا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کردند و حضرت آیت الله بهجت بر جسم مطهر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ایشان در میان عزاداری و اندوه مردم حق شناس قم، در ضلع شمالی مسجد بالاسر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مرقد آیت الله احمدی میانجی به خاک سپرده شد؛ گویی این دو دوست با هم عهد کرده بودند که هم در این دنیا و هم در عالم برزخ در کنار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خاک سپاری آن فقیه فرزانه، جهانی از علم و تقوا به زیر خاک رفت و گریه ها و ناله های مردم عزادار،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ضایعه اسفناک، رهبر معظم انقلاب، مراجع تقلید، مقامات دینی، علمی و کشوری پیام های تسلیتی به ملت شریف ایران و بیت معظم له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تسلیت رهبر معظم انقلاب، حضرت آیت الله خامنه ای در سوگ این فقیه بزرگوار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تأسف فراوان اطلاع یافتیم که عالم ربانی و فقیه متکلم عالی مقام، آیت الله آقای حاج سید مهدی روحانی، پس از گذراندن دوران بیماری پررنج و دشوار، زندگی را بدرود گفته و حوزه علمیه قم و دوستان و ارادتمندان بی شمار خود را به فقدان دردناک دچار ساخته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فقیه و متکلمی سرآمد و یکی از استوانه های علم و تقوا در حوزه علمیه قم و نمونه و اسوه ای در پارسایی و پرهیزکاری و صدق و صراحت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رفیع و اصیل و منش زهد و تواضع و رفتار مردمی و فروتنانه در </w:t>
      </w:r>
    </w:p>
    <w:p>
      <w:pPr>
        <w:pStyle w:val="BookText"/>
        <w:rPr/>
      </w:pPr>
      <w:r>
        <w:rPr>
          <w:rFonts w:ascii="IRNazanin" w:hAnsi="IRNazanin" w:eastAsia="IRNazanin"/>
          <w:color w:val="111111"/>
          <w:sz w:val="28"/>
          <w:sz w:val="28"/>
          <w:szCs w:val="28"/>
          <w:rtl w:val="true"/>
          <w:lang w:bidi="fa-IR"/>
        </w:rPr>
        <w:t>کنار برجستگی علمی و تحقیقی، از ایشان شخصیتی کم نظیر پدید آورده بود که ارادت و تکریم دل های بی شماری را به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روحانی برجسته و جلیل القدر، در آزمون های بزرگ دوران مبارزات و از آغاز تشکیل نظام جمهوری اسلامی تاکنون، در ردیف مدافعان صمیمی و صادق انقلاب قرار داشت و شهادت فرزند رشید و عزیز ایشان در جبهه های جنگ تحمیلی، آزمونی بزرگ دراین باره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این شخصیت ممتاز، فقدانی خسارت بار برای حوزه های علمیه قم و دوستان و ارادتمندان ایشان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این مصیبت را به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های علمیه و خاندان محترم و فرزندان و بازماندگان مکرم ایشان تسلیت عرض می کنم و علوّ درجات ملکوتی ایشان را از خداوند رحیم مسئلت می نمایم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eastAsia="Times New Roman" w:cs="Times New Roman" w:ascii="Times New Roman" w:hAnsi="Times New Roman"/>
          <w:color w:val="111111"/>
          <w:sz w:val="28"/>
          <w:szCs w:val="28"/>
          <w:lang w:val="en-US" w:bidi="en-US"/>
        </w:rPr>
        <w:t>3/9/79</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bookmarkStart w:id="79" w:name="pg3493_37844"/>
    </w:p>
    <w:p>
      <w:pPr>
        <w:pStyle w:val="Heading2"/>
        <w:numPr>
          <w:ilvl w:val="1"/>
          <w:numId w:val="1"/>
        </w:numPr>
        <w:rPr/>
      </w:pPr>
      <w:bookmarkStart w:id="80" w:name="__RefHeading___Toc3528168_2749589250"/>
      <w:bookmarkStart w:id="81" w:name="_Toc29"/>
      <w:bookmarkEnd w:id="79"/>
      <w:bookmarkEnd w:id="80"/>
      <w:r>
        <w:rPr>
          <w:rtl w:val="true"/>
        </w:rPr>
        <w:t>تصاویر</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30600" cy="499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3530520" cy="4991040"/>
                        </a:xfrm>
                        <a:prstGeom prst="rect">
                          <a:avLst/>
                        </a:prstGeom>
                        <a:ln w="0">
                          <a:noFill/>
                        </a:ln>
                      </pic:spPr>
                    </pic:pic>
                  </a:graphicData>
                </a:graphic>
              </wp:inline>
            </w:drawing>
          </mc:Choice>
          <mc:Fallback>
            <w:pict>
              <v:shape id="shape_0" stroked="f" o:allowincell="f" style="position:absolute;margin-left:0pt;margin-top:-393.05pt;width:277.95pt;height:392.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5372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3809880" cy="5372280"/>
                        </a:xfrm>
                        <a:prstGeom prst="rect">
                          <a:avLst/>
                        </a:prstGeom>
                        <a:ln w="0">
                          <a:noFill/>
                        </a:ln>
                      </pic:spPr>
                    </pic:pic>
                  </a:graphicData>
                </a:graphic>
              </wp:inline>
            </w:drawing>
          </mc:Choice>
          <mc:Fallback>
            <w:pict>
              <v:shape id="shape_0" stroked="f" o:allowincell="f" style="position:absolute;margin-left:0pt;margin-top:-423.05pt;width:299.95pt;height:422.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238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1"/>
                        <a:stretch/>
                      </pic:blipFill>
                      <pic:spPr>
                        <a:xfrm>
                          <a:off x="0" y="0"/>
                          <a:ext cx="3657600" cy="2387520"/>
                        </a:xfrm>
                        <a:prstGeom prst="rect">
                          <a:avLst/>
                        </a:prstGeom>
                        <a:ln w="0">
                          <a:noFill/>
                        </a:ln>
                      </pic:spPr>
                    </pic:pic>
                  </a:graphicData>
                </a:graphic>
              </wp:inline>
            </w:drawing>
          </mc:Choice>
          <mc:Fallback>
            <w:pict>
              <v:shape id="shape_0" stroked="f" o:allowincell="f" style="position:absolute;margin-left:0pt;margin-top:-188.05pt;width:287.95pt;height:187.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2489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
                        <a:stretch/>
                      </pic:blipFill>
                      <pic:spPr>
                        <a:xfrm>
                          <a:off x="0" y="0"/>
                          <a:ext cx="3657600" cy="2489040"/>
                        </a:xfrm>
                        <a:prstGeom prst="rect">
                          <a:avLst/>
                        </a:prstGeom>
                        <a:ln w="0">
                          <a:noFill/>
                        </a:ln>
                      </pic:spPr>
                    </pic:pic>
                  </a:graphicData>
                </a:graphic>
              </wp:inline>
            </w:drawing>
          </mc:Choice>
          <mc:Fallback>
            <w:pict>
              <v:shape id="shape_0" stroked="f" o:allowincell="f" style="position:absolute;margin-left:0pt;margin-top:-196.05pt;width:287.95pt;height:195.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08400" cy="2755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3708360" cy="2755800"/>
                        </a:xfrm>
                        <a:prstGeom prst="rect">
                          <a:avLst/>
                        </a:prstGeom>
                        <a:ln w="0">
                          <a:noFill/>
                        </a:ln>
                      </pic:spPr>
                    </pic:pic>
                  </a:graphicData>
                </a:graphic>
              </wp:inline>
            </w:drawing>
          </mc:Choice>
          <mc:Fallback>
            <w:pict>
              <v:shape id="shape_0" stroked="f" o:allowincell="f" style="position:absolute;margin-left:0pt;margin-top:-217.05pt;width:291.95pt;height:216.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79800" cy="2425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
                        <a:stretch/>
                      </pic:blipFill>
                      <pic:spPr>
                        <a:xfrm>
                          <a:off x="0" y="0"/>
                          <a:ext cx="3479760" cy="2425680"/>
                        </a:xfrm>
                        <a:prstGeom prst="rect">
                          <a:avLst/>
                        </a:prstGeom>
                        <a:ln w="0">
                          <a:noFill/>
                        </a:ln>
                      </pic:spPr>
                    </pic:pic>
                  </a:graphicData>
                </a:graphic>
              </wp:inline>
            </w:drawing>
          </mc:Choice>
          <mc:Fallback>
            <w:pict>
              <v:shape id="shape_0" stroked="f" o:allowincell="f" style="position:absolute;margin-left:0pt;margin-top:-191.05pt;width:273.95pt;height:190.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48100" cy="2717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
                        <a:stretch/>
                      </pic:blipFill>
                      <pic:spPr>
                        <a:xfrm>
                          <a:off x="0" y="0"/>
                          <a:ext cx="3848040" cy="2717640"/>
                        </a:xfrm>
                        <a:prstGeom prst="rect">
                          <a:avLst/>
                        </a:prstGeom>
                        <a:ln w="0">
                          <a:noFill/>
                        </a:ln>
                      </pic:spPr>
                    </pic:pic>
                  </a:graphicData>
                </a:graphic>
              </wp:inline>
            </w:drawing>
          </mc:Choice>
          <mc:Fallback>
            <w:pict>
              <v:shape id="shape_0" stroked="f" o:allowincell="f" style="position:absolute;margin-left:0pt;margin-top:-214.05pt;width:302.95pt;height:213.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048000" cy="4330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6"/>
                        <a:stretch/>
                      </pic:blipFill>
                      <pic:spPr>
                        <a:xfrm>
                          <a:off x="0" y="0"/>
                          <a:ext cx="3048120" cy="4330800"/>
                        </a:xfrm>
                        <a:prstGeom prst="rect">
                          <a:avLst/>
                        </a:prstGeom>
                        <a:ln w="0">
                          <a:noFill/>
                        </a:ln>
                      </pic:spPr>
                    </pic:pic>
                  </a:graphicData>
                </a:graphic>
              </wp:inline>
            </w:drawing>
          </mc:Choice>
          <mc:Fallback>
            <w:pict>
              <v:shape id="shape_0" stroked="f" o:allowincell="f" style="position:absolute;margin-left:0pt;margin-top:-341.05pt;width:239.95pt;height:340.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68700" cy="241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9"/>
                        <a:stretch/>
                      </pic:blipFill>
                      <pic:spPr>
                        <a:xfrm>
                          <a:off x="0" y="0"/>
                          <a:ext cx="3568680" cy="2413080"/>
                        </a:xfrm>
                        <a:prstGeom prst="rect">
                          <a:avLst/>
                        </a:prstGeom>
                        <a:ln w="0">
                          <a:noFill/>
                        </a:ln>
                      </pic:spPr>
                    </pic:pic>
                  </a:graphicData>
                </a:graphic>
              </wp:inline>
            </w:drawing>
          </mc:Choice>
          <mc:Fallback>
            <w:pict>
              <v:shape id="shape_0" stroked="f" o:allowincell="f" style="position:absolute;margin-left:0pt;margin-top:-190.05pt;width:280.95pt;height:18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83000" cy="2603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2"/>
                        <a:stretch/>
                      </pic:blipFill>
                      <pic:spPr>
                        <a:xfrm>
                          <a:off x="0" y="0"/>
                          <a:ext cx="3683160" cy="2603520"/>
                        </a:xfrm>
                        <a:prstGeom prst="rect">
                          <a:avLst/>
                        </a:prstGeom>
                        <a:ln w="0">
                          <a:noFill/>
                        </a:ln>
                      </pic:spPr>
                    </pic:pic>
                  </a:graphicData>
                </a:graphic>
              </wp:inline>
            </w:drawing>
          </mc:Choice>
          <mc:Fallback>
            <w:pict>
              <v:shape id="shape_0" stroked="f" o:allowincell="f" style="position:absolute;margin-left:0pt;margin-top:-205.05pt;width:289.95pt;height:204.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سیدمهدی روحانی علاوه بر چاپ نوشته حاضر، تعداد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ضبط کرده و در آرشیو خود اطلاعات مکتوب و همین طور در بانک عکس، تعداد قابل توجه عکس از این شخصیت را دارا می باشد و هرگونه تقاضا از طرف محققین، برنامه سازان و علاقمندان را پاسخ گوست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جدّ سیدمهدی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نجف درس خواند و مجتهدی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افتخار شاگردی شیخ انصاری، میرزای شیرازی و میرزا حبیب‌الله رشتی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قم بازگشت، مرجعی بزرگ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حاکم شرع قم شد و پس از مدتی نیز کتاب الزکاة را نوشت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متن مصاحبه با آن مرحوم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ساعت، با محاسبه ساعت رسمی کشور است که در شش ماهه اول سال تغییر می‌کند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یادنامه آیت‌الله حاج سید مهدی روحانی، با دخل و 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یادنامه آیت‌الله حاج سید مهدی روحانیصص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دفتر دوم،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ویژه ارتحال آیت‌الله سید مهدی روحانی،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3.png"/><Relationship Id="rId40" Type="http://schemas.openxmlformats.org/officeDocument/2006/relationships/image" Target="media/image3.png"/><Relationship Id="rId41" Type="http://schemas.openxmlformats.org/officeDocument/2006/relationships/footer" Target="footer34.xml"/><Relationship Id="rId42" Type="http://schemas.openxmlformats.org/officeDocument/2006/relationships/image" Target="media/image4.png"/><Relationship Id="rId43" Type="http://schemas.openxmlformats.org/officeDocument/2006/relationships/image" Target="media/image4.png"/><Relationship Id="rId44" Type="http://schemas.openxmlformats.org/officeDocument/2006/relationships/footer" Target="footer35.xml"/><Relationship Id="rId45" Type="http://schemas.openxmlformats.org/officeDocument/2006/relationships/image" Target="media/image5.png"/><Relationship Id="rId46" Type="http://schemas.openxmlformats.org/officeDocument/2006/relationships/image" Target="media/image5.png"/><Relationship Id="rId47" Type="http://schemas.openxmlformats.org/officeDocument/2006/relationships/footer" Target="footer36.xml"/><Relationship Id="rId48" Type="http://schemas.openxmlformats.org/officeDocument/2006/relationships/image" Target="media/image6.png"/><Relationship Id="rId49" Type="http://schemas.openxmlformats.org/officeDocument/2006/relationships/image" Target="media/image6.png"/><Relationship Id="rId50" Type="http://schemas.openxmlformats.org/officeDocument/2006/relationships/footer" Target="footer37.xml"/><Relationship Id="rId51" Type="http://schemas.openxmlformats.org/officeDocument/2006/relationships/image" Target="media/image7.png"/><Relationship Id="rId52" Type="http://schemas.openxmlformats.org/officeDocument/2006/relationships/image" Target="media/image7.png"/><Relationship Id="rId53" Type="http://schemas.openxmlformats.org/officeDocument/2006/relationships/footer" Target="footer38.xml"/><Relationship Id="rId54" Type="http://schemas.openxmlformats.org/officeDocument/2006/relationships/image" Target="media/image8.png"/><Relationship Id="rId55" Type="http://schemas.openxmlformats.org/officeDocument/2006/relationships/image" Target="media/image8.png"/><Relationship Id="rId56" Type="http://schemas.openxmlformats.org/officeDocument/2006/relationships/footer" Target="footer39.xml"/><Relationship Id="rId57" Type="http://schemas.openxmlformats.org/officeDocument/2006/relationships/image" Target="media/image9.png"/><Relationship Id="rId58" Type="http://schemas.openxmlformats.org/officeDocument/2006/relationships/image" Target="media/image9.png"/><Relationship Id="rId59" Type="http://schemas.openxmlformats.org/officeDocument/2006/relationships/footer" Target="footer40.xml"/><Relationship Id="rId60" Type="http://schemas.openxmlformats.org/officeDocument/2006/relationships/image" Target="media/image10.png"/><Relationship Id="rId61" Type="http://schemas.openxmlformats.org/officeDocument/2006/relationships/image" Target="media/image10.png"/><Relationship Id="rId62" Type="http://schemas.openxmlformats.org/officeDocument/2006/relationships/footer" Target="footer41.xml"/><Relationship Id="rId63" Type="http://schemas.openxmlformats.org/officeDocument/2006/relationships/image" Target="media/image11.png"/><Relationship Id="rId64" Type="http://schemas.openxmlformats.org/officeDocument/2006/relationships/image" Target="media/image11.png"/><Relationship Id="rId65" Type="http://schemas.openxmlformats.org/officeDocument/2006/relationships/footer" Target="footer42.xml"/><Relationship Id="rId66" Type="http://schemas.openxmlformats.org/officeDocument/2006/relationships/image" Target="media/image12.png"/><Relationship Id="rId67" Type="http://schemas.openxmlformats.org/officeDocument/2006/relationships/image" Target="media/image12.png"/><Relationship Id="rId68" Type="http://schemas.openxmlformats.org/officeDocument/2006/relationships/footer" Target="footer43.xml"/><Relationship Id="rId69" Type="http://schemas.openxmlformats.org/officeDocument/2006/relationships/image" Target="media/image13.png"/><Relationship Id="rId70" Type="http://schemas.openxmlformats.org/officeDocument/2006/relationships/image" Target="media/image13.png"/><Relationship Id="rId71" Type="http://schemas.openxmlformats.org/officeDocument/2006/relationships/footer" Target="footer44.xml"/><Relationship Id="rId72" Type="http://schemas.openxmlformats.org/officeDocument/2006/relationships/image" Target="media/image14.png"/><Relationship Id="rId73" Type="http://schemas.openxmlformats.org/officeDocument/2006/relationships/image" Target="media/image14.png"/><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47.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7865</Words>
  <Characters>29811</Characters>
  <CharactersWithSpaces>37403</CharactersWithSpaces>
  <Paragraphs>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2026-08-18T00:19:50Z</dcterms:created>
  <dc:creator>ghaemiyeh.com</dc:creator>
  <dc:description/>
  <dc:language>en-US</dc:language>
  <cp:lastModifiedBy/>
  <dcterms:modified xsi:type="dcterms:W3CDTF">2026-08-18T03:49:53Z</dcterms:modified>
  <cp:revision>1</cp:revision>
  <dc:subject/>
  <dc:title>حیات نیکان 4 آیت الله سیدمهدی روحانی</dc:title>
</cp:coreProperties>
</file>

<file path=docProps/custom.xml><?xml version="1.0" encoding="utf-8"?>
<Properties xmlns="http://schemas.openxmlformats.org/officeDocument/2006/custom-properties" xmlns:vt="http://schemas.openxmlformats.org/officeDocument/2006/docPropsVTypes"/>
</file>