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10.png" ContentType="image/png"/>
  <Override PartName="/word/media/image6.png" ContentType="image/png"/>
  <Override PartName="/word/media/image11.png" ContentType="image/png"/>
  <Override PartName="/word/media/image7.png" ContentType="image/png"/>
  <Override PartName="/word/media/image8.png" ContentType="image/png"/>
  <Override PartName="/word/media/image9.png" ContentType="image/pn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3</w:t>
      </w:r>
      <w:r>
        <w:rPr>
          <w:rtl w:val="true"/>
        </w:rPr>
        <w:t xml:space="preserve"> </w:t>
      </w:r>
      <w:r>
        <w:rPr>
          <w:rtl w:val="true"/>
        </w:rPr>
        <w:t>آیت الله محمدهادی معرفت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69666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469668_274958925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469670_2749589250">
            <w:r>
              <w:rPr>
                <w:webHidden/>
                <w:rStyle w:val="IndexLink"/>
                <w:rtl w:val="true"/>
              </w:rPr>
              <w:t>گاهشمار زندگی</w:t>
            </w:r>
            <w:r>
              <w:rPr>
                <w:rStyle w:val="IndexLink"/>
                <w:rtl w:val="true"/>
              </w:rPr>
              <w:tab/>
            </w:r>
            <w:r>
              <w:rPr>
                <w:rStyle w:val="IndexLink"/>
              </w:rPr>
              <w:t>6</w:t>
            </w:r>
          </w:hyperlink>
        </w:p>
        <w:p>
          <w:pPr>
            <w:pStyle w:val="Contents2"/>
            <w:tabs>
              <w:tab w:val="clear" w:pos="8743"/>
              <w:tab w:val="right" w:pos="9026" w:leader="dot"/>
            </w:tabs>
            <w:rPr/>
          </w:pPr>
          <w:hyperlink w:anchor="__RefHeading___Toc3469672_2749589250">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3469674_2749589250">
            <w:r>
              <w:rPr>
                <w:webHidden/>
                <w:rStyle w:val="IndexLink"/>
                <w:rtl w:val="true"/>
              </w:rPr>
              <w:t>کعبه دل ها</w:t>
            </w:r>
            <w:r>
              <w:rPr>
                <w:rStyle w:val="IndexLink"/>
                <w:rtl w:val="true"/>
              </w:rPr>
              <w:tab/>
            </w:r>
            <w:r>
              <w:rPr>
                <w:rStyle w:val="IndexLink"/>
              </w:rPr>
              <w:t>8</w:t>
            </w:r>
          </w:hyperlink>
        </w:p>
        <w:p>
          <w:pPr>
            <w:pStyle w:val="Contents2"/>
            <w:tabs>
              <w:tab w:val="clear" w:pos="8743"/>
              <w:tab w:val="right" w:pos="9026" w:leader="dot"/>
            </w:tabs>
            <w:rPr/>
          </w:pPr>
          <w:hyperlink w:anchor="__RefHeading___Toc3469676_2749589250">
            <w:r>
              <w:rPr>
                <w:webHidden/>
                <w:rStyle w:val="IndexLink"/>
                <w:rtl w:val="true"/>
              </w:rPr>
              <w:t>تبار پاک</w:t>
            </w:r>
            <w:r>
              <w:rPr>
                <w:rStyle w:val="IndexLink"/>
                <w:rtl w:val="true"/>
              </w:rPr>
              <w:tab/>
            </w:r>
            <w:r>
              <w:rPr>
                <w:rStyle w:val="IndexLink"/>
              </w:rPr>
              <w:t>10</w:t>
            </w:r>
          </w:hyperlink>
        </w:p>
        <w:p>
          <w:pPr>
            <w:pStyle w:val="Contents2"/>
            <w:tabs>
              <w:tab w:val="clear" w:pos="8743"/>
              <w:tab w:val="right" w:pos="9026" w:leader="dot"/>
            </w:tabs>
            <w:rPr/>
          </w:pPr>
          <w:hyperlink w:anchor="__RefHeading___Toc3469678_2749589250">
            <w:r>
              <w:rPr>
                <w:webHidden/>
                <w:rStyle w:val="IndexLink"/>
                <w:rtl w:val="true"/>
              </w:rPr>
              <w:t>میلاد</w:t>
            </w:r>
            <w:r>
              <w:rPr>
                <w:rStyle w:val="IndexLink"/>
                <w:rtl w:val="true"/>
              </w:rPr>
              <w:tab/>
            </w:r>
            <w:r>
              <w:rPr>
                <w:rStyle w:val="IndexLink"/>
              </w:rPr>
              <w:t>12</w:t>
            </w:r>
          </w:hyperlink>
        </w:p>
        <w:p>
          <w:pPr>
            <w:pStyle w:val="Contents2"/>
            <w:tabs>
              <w:tab w:val="clear" w:pos="8743"/>
              <w:tab w:val="right" w:pos="9026" w:leader="dot"/>
            </w:tabs>
            <w:rPr/>
          </w:pPr>
          <w:hyperlink w:anchor="__RefHeading___Toc3469680_2749589250">
            <w:r>
              <w:rPr>
                <w:webHidden/>
                <w:rStyle w:val="IndexLink"/>
                <w:rtl w:val="true"/>
              </w:rPr>
              <w:t>در مسیر کمال</w:t>
            </w:r>
            <w:r>
              <w:rPr>
                <w:rStyle w:val="IndexLink"/>
                <w:rtl w:val="true"/>
              </w:rPr>
              <w:tab/>
            </w:r>
            <w:r>
              <w:rPr>
                <w:rStyle w:val="IndexLink"/>
              </w:rPr>
              <w:t>15</w:t>
            </w:r>
          </w:hyperlink>
        </w:p>
        <w:p>
          <w:pPr>
            <w:pStyle w:val="Contents2"/>
            <w:tabs>
              <w:tab w:val="clear" w:pos="8743"/>
              <w:tab w:val="right" w:pos="9026" w:leader="dot"/>
            </w:tabs>
            <w:rPr/>
          </w:pPr>
          <w:hyperlink w:anchor="__RefHeading___Toc3469682_2749589250">
            <w:r>
              <w:rPr>
                <w:webHidden/>
                <w:rStyle w:val="IndexLink"/>
                <w:rtl w:val="true"/>
              </w:rPr>
              <w:t>استادان</w:t>
            </w:r>
            <w:r>
              <w:rPr>
                <w:rStyle w:val="IndexLink"/>
                <w:rtl w:val="true"/>
              </w:rPr>
              <w:tab/>
            </w:r>
            <w:r>
              <w:rPr>
                <w:rStyle w:val="IndexLink"/>
              </w:rPr>
              <w:t>17</w:t>
            </w:r>
          </w:hyperlink>
        </w:p>
        <w:p>
          <w:pPr>
            <w:pStyle w:val="Contents2"/>
            <w:tabs>
              <w:tab w:val="clear" w:pos="8743"/>
              <w:tab w:val="right" w:pos="9026" w:leader="dot"/>
            </w:tabs>
            <w:rPr/>
          </w:pPr>
          <w:hyperlink w:anchor="__RefHeading___Toc3469684_2749589250">
            <w:r>
              <w:rPr>
                <w:webHidden/>
                <w:rStyle w:val="IndexLink"/>
                <w:rtl w:val="true"/>
              </w:rPr>
              <w:t>هجرت به دریای دانش</w:t>
            </w:r>
            <w:r>
              <w:rPr>
                <w:rStyle w:val="IndexLink"/>
                <w:rtl w:val="true"/>
              </w:rPr>
              <w:tab/>
            </w:r>
            <w:r>
              <w:rPr>
                <w:rStyle w:val="IndexLink"/>
              </w:rPr>
              <w:t>19</w:t>
            </w:r>
          </w:hyperlink>
        </w:p>
        <w:p>
          <w:pPr>
            <w:pStyle w:val="Contents2"/>
            <w:tabs>
              <w:tab w:val="clear" w:pos="8743"/>
              <w:tab w:val="right" w:pos="9026" w:leader="dot"/>
            </w:tabs>
            <w:rPr/>
          </w:pPr>
          <w:hyperlink w:anchor="__RefHeading___Toc3469686_2749589250">
            <w:r>
              <w:rPr>
                <w:webHidden/>
                <w:rStyle w:val="IndexLink"/>
                <w:rtl w:val="true"/>
              </w:rPr>
              <w:t>ویژگی های اخلاقی</w:t>
            </w:r>
            <w:r>
              <w:rPr>
                <w:rStyle w:val="IndexLink"/>
                <w:rtl w:val="true"/>
              </w:rPr>
              <w:tab/>
            </w:r>
            <w:r>
              <w:rPr>
                <w:rStyle w:val="IndexLink"/>
              </w:rPr>
              <w:t>22</w:t>
            </w:r>
          </w:hyperlink>
        </w:p>
        <w:p>
          <w:pPr>
            <w:pStyle w:val="Contents2"/>
            <w:tabs>
              <w:tab w:val="clear" w:pos="8743"/>
              <w:tab w:val="right" w:pos="9026" w:leader="dot"/>
            </w:tabs>
            <w:rPr/>
          </w:pPr>
          <w:hyperlink w:anchor="__RefHeading___Toc3469688_2749589250">
            <w:r>
              <w:rPr>
                <w:webHidden/>
                <w:rStyle w:val="IndexLink"/>
                <w:rtl w:val="true"/>
              </w:rPr>
              <w:t>فعالیت های علمی</w:t>
            </w:r>
            <w:r>
              <w:rPr>
                <w:rStyle w:val="IndexLink"/>
                <w:rtl w:val="true"/>
              </w:rPr>
              <w:tab/>
            </w:r>
            <w:r>
              <w:rPr>
                <w:rStyle w:val="IndexLink"/>
              </w:rPr>
              <w:t>26</w:t>
            </w:r>
          </w:hyperlink>
        </w:p>
        <w:p>
          <w:pPr>
            <w:pStyle w:val="Contents2"/>
            <w:tabs>
              <w:tab w:val="clear" w:pos="8743"/>
              <w:tab w:val="right" w:pos="9026" w:leader="dot"/>
            </w:tabs>
            <w:rPr/>
          </w:pPr>
          <w:hyperlink w:anchor="__RefHeading___Toc3469690_2749589250">
            <w:r>
              <w:rPr>
                <w:webHidden/>
                <w:rStyle w:val="IndexLink"/>
                <w:rtl w:val="true"/>
              </w:rPr>
              <w:t>فعالیت های سیاسی ـ فرهنگی</w:t>
            </w:r>
            <w:r>
              <w:rPr>
                <w:rStyle w:val="IndexLink"/>
                <w:rtl w:val="true"/>
              </w:rPr>
              <w:tab/>
            </w:r>
            <w:r>
              <w:rPr>
                <w:rStyle w:val="IndexLink"/>
              </w:rPr>
              <w:t>28</w:t>
            </w:r>
          </w:hyperlink>
        </w:p>
        <w:p>
          <w:pPr>
            <w:pStyle w:val="Contents2"/>
            <w:tabs>
              <w:tab w:val="clear" w:pos="8743"/>
              <w:tab w:val="right" w:pos="9026" w:leader="dot"/>
            </w:tabs>
            <w:rPr/>
          </w:pPr>
          <w:hyperlink w:anchor="__RefHeading___Toc3469692_2749589250">
            <w:r>
              <w:rPr>
                <w:webHidden/>
                <w:rStyle w:val="IndexLink"/>
                <w:rtl w:val="true"/>
              </w:rPr>
              <w:t>بازگشت به آغوش وطن</w:t>
            </w:r>
            <w:r>
              <w:rPr>
                <w:rStyle w:val="IndexLink"/>
                <w:rtl w:val="true"/>
              </w:rPr>
              <w:tab/>
            </w:r>
            <w:r>
              <w:rPr>
                <w:rStyle w:val="IndexLink"/>
              </w:rPr>
              <w:t>29</w:t>
            </w:r>
          </w:hyperlink>
        </w:p>
        <w:p>
          <w:pPr>
            <w:pStyle w:val="Contents2"/>
            <w:tabs>
              <w:tab w:val="clear" w:pos="8743"/>
              <w:tab w:val="right" w:pos="9026" w:leader="dot"/>
            </w:tabs>
            <w:rPr/>
          </w:pPr>
          <w:hyperlink w:anchor="__RefHeading___Toc3469694_2749589250">
            <w:r>
              <w:rPr>
                <w:webHidden/>
                <w:rStyle w:val="IndexLink"/>
                <w:rtl w:val="true"/>
              </w:rPr>
              <w:t>باقیات صالحات</w:t>
            </w:r>
            <w:r>
              <w:rPr>
                <w:rStyle w:val="IndexLink"/>
                <w:rtl w:val="true"/>
              </w:rPr>
              <w:tab/>
            </w:r>
            <w:r>
              <w:rPr>
                <w:rStyle w:val="IndexLink"/>
              </w:rPr>
              <w:t>31</w:t>
            </w:r>
          </w:hyperlink>
        </w:p>
        <w:p>
          <w:pPr>
            <w:pStyle w:val="Contents2"/>
            <w:tabs>
              <w:tab w:val="clear" w:pos="8743"/>
              <w:tab w:val="right" w:pos="9026" w:leader="dot"/>
            </w:tabs>
            <w:rPr/>
          </w:pPr>
          <w:hyperlink w:anchor="__RefHeading___Toc3469696_2749589250">
            <w:r>
              <w:rPr>
                <w:webHidden/>
                <w:rStyle w:val="IndexLink"/>
                <w:rtl w:val="true"/>
              </w:rPr>
              <w:t>آثار قرآنی</w:t>
            </w:r>
            <w:r>
              <w:rPr>
                <w:rStyle w:val="IndexLink"/>
                <w:rtl w:val="true"/>
              </w:rPr>
              <w:tab/>
            </w:r>
            <w:r>
              <w:rPr>
                <w:rStyle w:val="IndexLink"/>
              </w:rPr>
              <w:t>32</w:t>
            </w:r>
          </w:hyperlink>
        </w:p>
        <w:p>
          <w:pPr>
            <w:pStyle w:val="Contents2"/>
            <w:tabs>
              <w:tab w:val="clear" w:pos="8743"/>
              <w:tab w:val="right" w:pos="9026" w:leader="dot"/>
            </w:tabs>
            <w:rPr/>
          </w:pPr>
          <w:hyperlink w:anchor="__RefHeading___Toc3469698_2749589250">
            <w:r>
              <w:rPr>
                <w:webHidden/>
                <w:rStyle w:val="IndexLink"/>
                <w:rtl w:val="true"/>
              </w:rPr>
              <w:t>آثار فقهی</w:t>
            </w:r>
            <w:r>
              <w:rPr>
                <w:rStyle w:val="IndexLink"/>
                <w:rtl w:val="true"/>
              </w:rPr>
              <w:tab/>
            </w:r>
            <w:r>
              <w:rPr>
                <w:rStyle w:val="IndexLink"/>
              </w:rPr>
              <w:t>35</w:t>
            </w:r>
          </w:hyperlink>
        </w:p>
        <w:p>
          <w:pPr>
            <w:pStyle w:val="Contents2"/>
            <w:tabs>
              <w:tab w:val="clear" w:pos="8743"/>
              <w:tab w:val="right" w:pos="9026" w:leader="dot"/>
            </w:tabs>
            <w:rPr/>
          </w:pPr>
          <w:hyperlink w:anchor="__RefHeading___Toc3469700_2749589250">
            <w:r>
              <w:rPr>
                <w:webHidden/>
                <w:rStyle w:val="IndexLink"/>
                <w:rtl w:val="true"/>
              </w:rPr>
              <w:t>آثار دیگر</w:t>
            </w:r>
            <w:r>
              <w:rPr>
                <w:rStyle w:val="IndexLink"/>
                <w:rtl w:val="true"/>
              </w:rPr>
              <w:tab/>
            </w:r>
            <w:r>
              <w:rPr>
                <w:rStyle w:val="IndexLink"/>
              </w:rPr>
              <w:t>36</w:t>
            </w:r>
          </w:hyperlink>
        </w:p>
        <w:p>
          <w:pPr>
            <w:pStyle w:val="Contents2"/>
            <w:tabs>
              <w:tab w:val="clear" w:pos="8743"/>
              <w:tab w:val="right" w:pos="9026" w:leader="dot"/>
            </w:tabs>
            <w:rPr/>
          </w:pPr>
          <w:hyperlink w:anchor="__RefHeading___Toc3469702_2749589250">
            <w:r>
              <w:rPr>
                <w:webHidden/>
                <w:rStyle w:val="IndexLink"/>
                <w:rtl w:val="true"/>
              </w:rPr>
              <w:t>بر بستر خاک</w:t>
            </w:r>
            <w:r>
              <w:rPr>
                <w:rStyle w:val="IndexLink"/>
                <w:rtl w:val="true"/>
              </w:rPr>
              <w:tab/>
            </w:r>
            <w:r>
              <w:rPr>
                <w:rStyle w:val="IndexLink"/>
              </w:rPr>
              <w:t>36</w:t>
            </w:r>
          </w:hyperlink>
        </w:p>
        <w:p>
          <w:pPr>
            <w:pStyle w:val="Contents2"/>
            <w:tabs>
              <w:tab w:val="clear" w:pos="8743"/>
              <w:tab w:val="right" w:pos="9026" w:leader="dot"/>
            </w:tabs>
            <w:rPr/>
          </w:pPr>
          <w:hyperlink w:anchor="__RefHeading___Toc3469704_2749589250">
            <w:r>
              <w:rPr>
                <w:webHidden/>
                <w:rStyle w:val="IndexLink"/>
                <w:rtl w:val="true"/>
              </w:rPr>
              <w:t>پیام تسلیت</w:t>
            </w:r>
            <w:r>
              <w:rPr>
                <w:rStyle w:val="IndexLink"/>
                <w:rtl w:val="true"/>
              </w:rPr>
              <w:tab/>
            </w:r>
            <w:r>
              <w:rPr>
                <w:rStyle w:val="IndexLink"/>
              </w:rPr>
              <w:t>37</w:t>
            </w:r>
          </w:hyperlink>
        </w:p>
        <w:p>
          <w:pPr>
            <w:pStyle w:val="Contents2"/>
            <w:tabs>
              <w:tab w:val="clear" w:pos="8743"/>
              <w:tab w:val="right" w:pos="9026" w:leader="dot"/>
            </w:tabs>
            <w:rPr/>
          </w:pPr>
          <w:hyperlink w:anchor="__RefHeading___Toc3469706_2749589250">
            <w:r>
              <w:rPr>
                <w:webHidden/>
                <w:rStyle w:val="IndexLink"/>
                <w:rtl w:val="true"/>
              </w:rPr>
              <w:t>تصاویر</w:t>
            </w:r>
            <w:r>
              <w:rPr>
                <w:rStyle w:val="IndexLink"/>
                <w:rtl w:val="true"/>
              </w:rPr>
              <w:tab/>
            </w:r>
            <w:r>
              <w:rPr>
                <w:rStyle w:val="IndexLink"/>
              </w:rPr>
              <w:t>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486_19075"/>
      <w:bookmarkStart w:id="1" w:name="pg3486_19075"/>
      <w:bookmarkEnd w:id="1"/>
    </w:p>
    <w:p>
      <w:pPr>
        <w:pStyle w:val="Heading2"/>
        <w:numPr>
          <w:ilvl w:val="1"/>
          <w:numId w:val="1"/>
        </w:numPr>
        <w:rPr/>
      </w:pPr>
      <w:bookmarkStart w:id="2" w:name="pg3486_19075"/>
      <w:bookmarkStart w:id="3" w:name="__RefHeading___Toc346966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محدثی، مهدی،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p>
    <w:p>
      <w:pPr>
        <w:pStyle w:val="BookText"/>
        <w:rPr/>
      </w:pPr>
      <w:r>
        <w:rPr>
          <w:rFonts w:ascii="IRNazanin" w:hAnsi="IRNazanin" w:eastAsia="IRNazanin"/>
          <w:color w:val="111111"/>
          <w:sz w:val="28"/>
          <w:sz w:val="28"/>
          <w:szCs w:val="28"/>
          <w:rtl w:val="true"/>
          <w:lang w:bidi="fa-IR"/>
        </w:rPr>
        <w:t xml:space="preserve">آیت‌الله محمد هادی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 تهیه‌کننده 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خدمات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قم،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Times New Roman" w:cs="Times New Roman" w:ascii="Times New Roman" w:hAnsi="Times New Roman"/>
          <w:color w:val="111111"/>
          <w:sz w:val="28"/>
          <w:szCs w:val="28"/>
          <w:lang w:val="en-US" w:bidi="en-US"/>
        </w:rPr>
        <w:t>ISBN:978-964-514-060-9</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محمدهادی،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سرگذشتنامه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ـ ـ سرگذشتنامه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Times New Roman" w:cs="Times New Roman" w:ascii="Times New Roman" w:hAnsi="Times New Roman"/>
          <w:color w:val="111111"/>
          <w:sz w:val="28"/>
          <w:szCs w:val="28"/>
          <w:lang w:val="en-US" w:bidi="en-US"/>
        </w:rPr>
        <w:t>BP 998/297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6966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محمدهادی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محدثی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حاجی‌رمضانعلی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eastAsia="Times New Roman" w:cs="Times New Roman" w:ascii="Times New Roman" w:hAnsi="Times New Roman"/>
          <w:color w:val="111111"/>
          <w:sz w:val="28"/>
          <w:szCs w:val="28"/>
          <w:lang w:val="en-US" w:bidi="en-US"/>
        </w:rPr>
        <w:t>www. irc.ir info@irc.ir</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060</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978-964-514-060-9</w:t>
      </w:r>
      <w:r>
        <w:rPr>
          <w:rFonts w:eastAsia="Times New Roman" w:cs="Times New Roman" w:ascii="Times New Roman" w:hAnsi="Times New Roman"/>
          <w:color w:val="111111"/>
          <w:sz w:val="28"/>
          <w:szCs w:val="28"/>
          <w:rtl w:val="true"/>
          <w:lang w:val="en-US" w:bidi="en-US"/>
        </w:rPr>
        <w:t xml:space="preserve"> </w:t>
      </w:r>
      <w:bookmarkStart w:id="7" w:name="pg3486_19077"/>
    </w:p>
    <w:p>
      <w:pPr>
        <w:pStyle w:val="Heading2"/>
        <w:numPr>
          <w:ilvl w:val="1"/>
          <w:numId w:val="1"/>
        </w:numPr>
        <w:rPr/>
      </w:pPr>
      <w:bookmarkStart w:id="8" w:name="__RefHeading___Toc3469670_2749589250"/>
      <w:bookmarkStart w:id="9" w:name="_Toc3"/>
      <w:bookmarkEnd w:id="7"/>
      <w:bookmarkEnd w:id="8"/>
      <w:r>
        <w:rPr>
          <w:rtl w:val="true"/>
        </w:rPr>
        <w:t>گاهشمار زندگی</w:t>
      </w:r>
      <w:bookmarkEnd w:id="9"/>
    </w:p>
    <w:p>
      <w:pPr>
        <w:pStyle w:val="BookText"/>
        <w:rPr/>
      </w:pPr>
      <w:r>
        <w:rPr>
          <w:rFonts w:ascii="IRNazanin" w:hAnsi="IRNazanin" w:eastAsia="IRNazanin"/>
          <w:color w:val="111111"/>
          <w:sz w:val="28"/>
          <w:sz w:val="28"/>
          <w:szCs w:val="28"/>
          <w:rtl w:val="true"/>
          <w:lang w:bidi="fa-IR"/>
        </w:rPr>
        <w:t>گاهشمار زندگی</w:t>
      </w:r>
    </w:p>
    <w:p>
      <w:pPr>
        <w:pStyle w:val="BookText"/>
        <w:rPr/>
      </w:pPr>
      <w:r>
        <w:rPr>
          <w:rFonts w:ascii="IRNazanin" w:hAnsi="IRNazanin" w:eastAsia="IRNazanin"/>
          <w:color w:val="111111"/>
          <w:sz w:val="28"/>
          <w:sz w:val="28"/>
          <w:szCs w:val="28"/>
          <w:rtl w:val="true"/>
          <w:lang w:bidi="fa-IR"/>
        </w:rPr>
        <w:t>ـ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معرفت</w:t>
      </w:r>
    </w:p>
    <w:p>
      <w:pPr>
        <w:pStyle w:val="BookText"/>
        <w:rPr/>
      </w:pPr>
      <w:r>
        <w:rPr>
          <w:rFonts w:ascii="IRNazanin" w:hAnsi="IRNazanin" w:eastAsia="IRNazanin"/>
          <w:color w:val="111111"/>
          <w:sz w:val="28"/>
          <w:sz w:val="28"/>
          <w:szCs w:val="28"/>
          <w:rtl w:val="true"/>
          <w:lang w:bidi="fa-IR"/>
        </w:rPr>
        <w:t>ـ 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ش</w:t>
      </w:r>
    </w:p>
    <w:p>
      <w:pPr>
        <w:pStyle w:val="BookText"/>
        <w:rPr/>
      </w:pPr>
      <w:r>
        <w:rPr>
          <w:rFonts w:ascii="IRNazanin" w:hAnsi="IRNazanin" w:eastAsia="IRNazanin"/>
          <w:color w:val="111111"/>
          <w:sz w:val="28"/>
          <w:sz w:val="28"/>
          <w:szCs w:val="28"/>
          <w:rtl w:val="true"/>
          <w:lang w:bidi="fa-IR"/>
        </w:rPr>
        <w:t>ـ 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ـ 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عتبات عالیات</w:t>
      </w:r>
    </w:p>
    <w:p>
      <w:pPr>
        <w:pStyle w:val="BookText"/>
        <w:rPr/>
      </w:pPr>
      <w:r>
        <w:rPr>
          <w:rFonts w:ascii="IRNazanin" w:hAnsi="IRNazanin" w:eastAsia="IRNazanin"/>
          <w:color w:val="111111"/>
          <w:sz w:val="28"/>
          <w:sz w:val="28"/>
          <w:szCs w:val="28"/>
          <w:rtl w:val="true"/>
          <w:lang w:bidi="fa-IR"/>
        </w:rPr>
        <w:t>ـ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w:t>
      </w:r>
    </w:p>
    <w:p>
      <w:pPr>
        <w:pStyle w:val="BookText"/>
        <w:rPr/>
      </w:pPr>
      <w:r>
        <w:rPr>
          <w:rFonts w:ascii="IRNazanin" w:hAnsi="IRNazanin" w:eastAsia="IRNazanin"/>
          <w:color w:val="111111"/>
          <w:sz w:val="28"/>
          <w:sz w:val="28"/>
          <w:szCs w:val="28"/>
          <w:rtl w:val="true"/>
          <w:lang w:bidi="fa-IR"/>
        </w:rPr>
        <w:t>ـ 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ـ وفات</w:t>
      </w:r>
      <w:r>
        <w:rPr>
          <w:rFonts w:eastAsia="IRNazanin" w:cs="IRNazanin"/>
          <w:color w:val="111111"/>
          <w:sz w:val="28"/>
          <w:szCs w:val="28"/>
          <w:rtl w:val="true"/>
          <w:lang w:bidi="fa-IR"/>
        </w:rPr>
        <w:t xml:space="preserve">: </w:t>
      </w:r>
      <w:r>
        <w:rPr>
          <w:rFonts w:eastAsia="IRNazanin" w:cs="IRNazanin"/>
          <w:color w:val="111111"/>
          <w:sz w:val="28"/>
          <w:szCs w:val="28"/>
          <w:lang w:bidi="fa-IR"/>
        </w:rPr>
        <w:t>30/10/1385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مقدس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bookmarkStart w:id="10" w:name="pg3486_19078"/>
    </w:p>
    <w:p>
      <w:pPr>
        <w:pStyle w:val="Heading2"/>
        <w:numPr>
          <w:ilvl w:val="1"/>
          <w:numId w:val="1"/>
        </w:numPr>
        <w:rPr/>
      </w:pPr>
      <w:bookmarkStart w:id="11" w:name="__RefHeading___Toc3469672_274958925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شامل زندگی فردی و مرور اجمالی به حیات پربار فرزانگان شیعه این پهن دشت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با ترسیم چهره علمی و معنوی این بزرگان الگوهای درستی از رفتار، کردار و سلوک علمی و عملی انسان های موفق و متعالی در اختیار جوانان و علاقمندان قرار گیرد و در عین حال نسل کنونی هر چند به اختصار با خدمات عالمان بزرگ شیعه آشنا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همین طور عوامل چاپ و نشر مرکز قدردانی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486_19079"/>
    </w:p>
    <w:p>
      <w:pPr>
        <w:pStyle w:val="Heading2"/>
        <w:numPr>
          <w:ilvl w:val="1"/>
          <w:numId w:val="1"/>
        </w:numPr>
        <w:rPr/>
      </w:pPr>
      <w:bookmarkStart w:id="14" w:name="__RefHeading___Toc3469674_2749589250"/>
      <w:bookmarkStart w:id="15" w:name="_Toc5"/>
      <w:bookmarkEnd w:id="13"/>
      <w:bookmarkEnd w:id="14"/>
      <w:r>
        <w:rPr>
          <w:rtl w:val="true"/>
        </w:rPr>
        <w:t>کعبه دل ها</w:t>
      </w:r>
      <w:bookmarkEnd w:id="15"/>
    </w:p>
    <w:p>
      <w:pPr>
        <w:pStyle w:val="BookText"/>
        <w:rPr/>
      </w:pPr>
      <w:r>
        <w:rPr>
          <w:rFonts w:ascii="IRNazanin" w:hAnsi="IRNazanin" w:eastAsia="IRNazanin"/>
          <w:color w:val="111111"/>
          <w:sz w:val="28"/>
          <w:sz w:val="28"/>
          <w:szCs w:val="28"/>
          <w:rtl w:val="true"/>
          <w:lang w:bidi="fa-IR"/>
        </w:rPr>
        <w:t>کعبه دل ها</w:t>
      </w:r>
    </w:p>
    <w:p>
      <w:pPr>
        <w:pStyle w:val="BookText"/>
        <w:rPr/>
      </w:pPr>
      <w:r>
        <w:rPr>
          <w:rFonts w:ascii="IRNazanin" w:hAnsi="IRNazanin" w:eastAsia="IRNazanin"/>
          <w:color w:val="111111"/>
          <w:sz w:val="28"/>
          <w:sz w:val="28"/>
          <w:szCs w:val="28"/>
          <w:rtl w:val="true"/>
          <w:lang w:bidi="fa-IR"/>
        </w:rPr>
        <w:t>شیعه ای نیست که آرزوی زیارت قبر شش گوشه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شهر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نامش، کوله باری از غم و اندوه بر پهن دشت سینه ها آوار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قبله و کعبه دل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کعبه دل هاست خدا می داند</w:t>
      </w:r>
    </w:p>
    <w:p>
      <w:pPr>
        <w:pStyle w:val="BookText"/>
        <w:rPr/>
      </w:pPr>
      <w:r>
        <w:rPr>
          <w:rFonts w:ascii="IRNazanin" w:hAnsi="IRNazanin" w:eastAsia="IRNazanin"/>
          <w:color w:val="111111"/>
          <w:sz w:val="28"/>
          <w:sz w:val="28"/>
          <w:szCs w:val="28"/>
          <w:rtl w:val="true"/>
          <w:lang w:bidi="fa-IR"/>
        </w:rPr>
        <w:t>دیدنش آروزی ماست، خدا می داند</w:t>
      </w:r>
    </w:p>
    <w:p>
      <w:pPr>
        <w:pStyle w:val="BookText"/>
        <w:rPr/>
      </w:pPr>
      <w:r>
        <w:rPr>
          <w:rFonts w:ascii="IRNazanin" w:hAnsi="IRNazanin" w:eastAsia="IRNazanin"/>
          <w:color w:val="111111"/>
          <w:sz w:val="28"/>
          <w:sz w:val="28"/>
          <w:szCs w:val="28"/>
          <w:rtl w:val="true"/>
          <w:lang w:bidi="fa-IR"/>
        </w:rPr>
        <w:t>این سرزمین، قطعه ای از بهشت است؛ گسترده بر روی کره خاکی که مدفونانِ در آن، بدون حساب به بهشت پای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انسان به وجود آید، سرزمین کربلا آفریده شد و گذر ایام و گردش روزگار، آن را عزیز و محترم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 کتاب های تاریخی برمی آید، این سرزمین نام های متعددی داشته است؛ از جمله نینوا، کرب وبلا و</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می دانیم که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دلیل بیعت نکردن با یزید، برای حفظ حرمت کعبه و جلوگیری از خون و خونریزی در حرم امن الهی، حج خود را زودتر به پایان رساند و به همراه خانواده و اصحاب و یارانش، از سرزمین مکه خارج شد تا دعوت مردم کوفه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w:t>
      </w:r>
    </w:p>
    <w:p>
      <w:pPr>
        <w:pStyle w:val="BookText"/>
        <w:rPr/>
      </w:pPr>
      <w:r>
        <w:rPr>
          <w:rFonts w:ascii="IRNazanin" w:hAnsi="IRNazanin" w:eastAsia="IRNazanin"/>
          <w:color w:val="111111"/>
          <w:sz w:val="28"/>
          <w:sz w:val="28"/>
          <w:szCs w:val="28"/>
          <w:rtl w:val="true"/>
          <w:lang w:bidi="fa-IR"/>
        </w:rPr>
        <w:t>بیش از بیست هزارنامه از آنان دریافت کرده بود که در آن نامه ها، مردم تقاضا کرده بودند تا وی بدانجا رفته، احکام اسلام را جاری سازد و دین جدّش رسول گرامی اسلام صلی الله علیه و آله را که در حال فراموشی بود،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زر و زور، کوفیان را در تصمیم شان متزلزل کرد و دست از یاری فرزند رسول خدا برداشتند و حرامیان، راه را بر آن حضرت و همراهانش بسته، و او را بین کشته شدن یا تسلیم شدن مختار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نیز با آزادگی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بنی امیه با به شهادت رساندن آن ذریه پاک رسول خدا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بهترین یاوران اسلام، تا ابد، لکه ننگینی بر دامن حکومت خود و سند افتخاری برای تشیع ثبت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بنی عباس، که کربلا به کانون زیارت و محل اجتماع شیفتگان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این بار نیز از ترس اینکه مبادا پایه های حکومت بنی عباس در اثر توجه مردم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شود، بارها این حرم مطهّر آن حضرت تخریب و چون زمین کشاورزی، به محل کشت و زرع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خون شهید، آن هم شهیدی از سلاله پاک رسول خدا صلی الله علیه و آله، جوشید و خروشید و تا قیام قیامت، حرم او قبله عارفان و عاشقان حریّت و آزادگی خواهد بود ـ ان شاء الله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پیشینه ای کهن و عظمتی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کتب تاریخی، بزرگان بسیاری در کربلا می زیسته اند و همواره چون پروانه ای، بر گِرد مزار </w:t>
      </w:r>
      <w:bookmarkStart w:id="16" w:name="pg3486_19081"/>
    </w:p>
    <w:p>
      <w:pPr>
        <w:pStyle w:val="BookText"/>
        <w:rPr/>
      </w:pPr>
      <w:bookmarkEnd w:id="16"/>
      <w:r>
        <w:rPr>
          <w:rFonts w:ascii="IRNazanin" w:hAnsi="IRNazanin" w:eastAsia="IRNazanin"/>
          <w:color w:val="111111"/>
          <w:sz w:val="28"/>
          <w:sz w:val="28"/>
          <w:szCs w:val="28"/>
          <w:rtl w:val="true"/>
          <w:lang w:bidi="fa-IR"/>
        </w:rPr>
        <w:t>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جمع می شدند و حوزه های درسی و علمی به راه می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چنین می توان گفت که حوزه علمیه عراق؛ نخست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سامرا و از آنجا نیز به نجف اشرف منتقل شد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آنچه امروزه اهمیت به سزایی دارد، زیارتی بودن شهر کربلاست که پیکر پاک حسین بن علی و ابوالفضل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جای داده و مردم، دسته دسته و گروه گروه، برای زیارت به آنجا رفته، خود را از معنویت آن دیار سیراب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پیش رو دارید، مختصری از زندگانی سراسر خدمت علامه محمد هادی معرفت رحمه الله است که در جوار حرم مطهر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عرصه وجود گذاشت و به برکت وجود سید و سالار شهیدان، به مقام علمی و معنوی بالایی دست یافت</w:t>
      </w:r>
      <w:r>
        <w:rPr>
          <w:rFonts w:eastAsia="IRNazanin" w:cs="IRNazanin"/>
          <w:color w:val="111111"/>
          <w:sz w:val="28"/>
          <w:szCs w:val="28"/>
          <w:rtl w:val="true"/>
          <w:lang w:bidi="fa-IR"/>
        </w:rPr>
        <w:t>.</w:t>
      </w:r>
    </w:p>
    <w:p>
      <w:pPr>
        <w:pStyle w:val="Heading2"/>
        <w:numPr>
          <w:ilvl w:val="1"/>
          <w:numId w:val="1"/>
        </w:numPr>
        <w:rPr/>
      </w:pPr>
      <w:bookmarkStart w:id="17" w:name="__RefHeading___Toc3469676_2749589250"/>
      <w:bookmarkStart w:id="18" w:name="_Toc6"/>
      <w:bookmarkEnd w:id="17"/>
      <w:r>
        <w:rPr>
          <w:rtl w:val="true"/>
        </w:rPr>
        <w:t>تبار پاک</w:t>
      </w:r>
      <w:bookmarkEnd w:id="18"/>
    </w:p>
    <w:p>
      <w:pPr>
        <w:pStyle w:val="BookText"/>
        <w:rPr/>
      </w:pPr>
      <w:r>
        <w:rPr>
          <w:rFonts w:ascii="IRNazanin" w:hAnsi="IRNazanin" w:eastAsia="IRNazanin"/>
          <w:color w:val="111111"/>
          <w:sz w:val="28"/>
          <w:sz w:val="28"/>
          <w:szCs w:val="28"/>
          <w:rtl w:val="true"/>
          <w:lang w:bidi="fa-IR"/>
        </w:rPr>
        <w:t>تبار پاک</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سیصد سال پیش،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روستای میس جبل عامل، به همراه خانواده و طایفه خود به اصفهان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شیخ عبدالعالی میسی، صاحب رساله میسیّه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پدر و عموهایش، همه از خانواده اهل علم بودند و مردم منطقه جبل عامل و روستای میس، ارادت خاصی به آنان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چرا شیخ علی ترک وطن نمود و به اصفهان مهاجرت کرد، به درستی معلوم نیست؛ ولی ممکن است به این دلیل بوده </w:t>
      </w:r>
    </w:p>
    <w:p>
      <w:pPr>
        <w:pStyle w:val="BookText"/>
        <w:rPr/>
      </w:pPr>
      <w:r>
        <w:rPr>
          <w:rFonts w:ascii="IRNazanin" w:hAnsi="IRNazanin" w:eastAsia="IRNazanin"/>
          <w:color w:val="111111"/>
          <w:sz w:val="28"/>
          <w:sz w:val="28"/>
          <w:szCs w:val="28"/>
          <w:rtl w:val="true"/>
          <w:lang w:bidi="fa-IR"/>
        </w:rPr>
        <w:t>باشد که به عنوان یک شیعه، بتواند در آسایش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آن زمان، اصفهان مرکز تشیع و مذهب رسمی کشور ایران،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چند سال، اقامت در اصفهان میرزا محمدعلی به همراه خانواده اش، درحالی که پدر محمدهادی؛ یعنی شیخ علی پانزده سال داشت،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سده اصفهان به کربلا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در همان جا تشکیل خانواده داد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در کربلا، در ایوانِ پشت بارگاه حضرت 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محمدهادی، سیده زهرا، نیز دختر سید هاشم تاجر رشتی بود که در کربلا چشم به جهان گشود و رشد و نمو یافت، تشکیل خانواده داد و سرانجام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کربلا از دنیا رفت و همانجا دفن شد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ثمره ازدواج شیخ علی با سیده زهرا، چند فرزند بود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احمد که در تهران از منبری های مشهور به شمار می رفت، میرزا محمود که در قم و در کسوت روحانیت است و محمدهادی که شرح حال وی و خدماتش به اسلام و قرآن از نظر خوانندگان خواهد گذشت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خلاصه ای بود از سرگذشت تبار پاک آیت الله محمدهادی معرفت که به حق، از پرچم داران تشیع و پیروان راستین مذهب شیعه بود</w:t>
      </w:r>
      <w:r>
        <w:rPr>
          <w:rFonts w:eastAsia="IRNazanin" w:cs="IRNazanin"/>
          <w:color w:val="111111"/>
          <w:sz w:val="28"/>
          <w:szCs w:val="28"/>
          <w:rtl w:val="true"/>
          <w:lang w:bidi="fa-IR"/>
        </w:rPr>
        <w:t xml:space="preserve">. </w:t>
      </w:r>
      <w:bookmarkStart w:id="19" w:name="pg3486_19083"/>
    </w:p>
    <w:p>
      <w:pPr>
        <w:pStyle w:val="Heading2"/>
        <w:numPr>
          <w:ilvl w:val="1"/>
          <w:numId w:val="1"/>
        </w:numPr>
        <w:rPr/>
      </w:pPr>
      <w:bookmarkStart w:id="20" w:name="__RefHeading___Toc3469678_2749589250"/>
      <w:bookmarkStart w:id="21" w:name="_Toc7"/>
      <w:bookmarkEnd w:id="19"/>
      <w:bookmarkEnd w:id="20"/>
      <w:r>
        <w:rPr>
          <w:rtl w:val="true"/>
        </w:rPr>
        <w:t>میلاد</w:t>
      </w:r>
      <w:bookmarkEnd w:id="21"/>
    </w:p>
    <w:p>
      <w:pPr>
        <w:pStyle w:val="BookText"/>
        <w:rPr/>
      </w:pPr>
      <w:r>
        <w:rPr>
          <w:rFonts w:ascii="IRNazanin" w:hAnsi="IRNazanin" w:eastAsia="IRNazanin"/>
          <w:color w:val="111111"/>
          <w:sz w:val="28"/>
          <w:sz w:val="28"/>
          <w:szCs w:val="28"/>
          <w:rtl w:val="true"/>
          <w:lang w:bidi="fa-IR"/>
        </w:rPr>
        <w:t>میلاد</w:t>
      </w:r>
    </w:p>
    <w:p>
      <w:pPr>
        <w:pStyle w:val="BookText"/>
        <w:rPr/>
      </w:pPr>
      <w:r>
        <w:rPr>
          <w:rFonts w:ascii="IRNazanin" w:hAnsi="IRNazanin" w:eastAsia="IRNazanin"/>
          <w:color w:val="111111"/>
          <w:sz w:val="28"/>
          <w:sz w:val="28"/>
          <w:szCs w:val="28"/>
          <w:rtl w:val="true"/>
          <w:lang w:bidi="fa-IR"/>
        </w:rPr>
        <w:t>شیخ علی، پس از زیارت، چند قرص نان خرید و به سوی منزل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 اش راه زیادی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کوچه فاصله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کوچه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احمد را دید که منتظر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دیدن پدرش به سوی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از دستش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پدرجان، یک خبر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صاحب یک برادر دیگر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برادر کوچولو و ناز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با شنیدن این خبر خوشحالی خود را پنهان نکرد، دستی به سر فرزندش کشید، سپس دست هایش را به سوی آسمان بلند کرد و خدا را سپاس گفته، به سرعت به طرف خانه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کمی آهسته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به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شیخ علی که نگران حال همسرش بود، توجهی نکرد 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حیاط خانه شد، هنوز صدای گریه نوزاد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ـ دو تا از زن ها نیز در حال شست وشو و مرتب کردن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خود را به بالین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قدم نورسیده اش را تبریک گفت و از همسرش احوال پرسی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مطمئن شد حال هر دو خوب است، اتاق را ترک کرد تا همسرش استراحت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بود و چیزی تا محرم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به کتابخانه اش رفت و مشغول مطالعه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مثل هر سال، منبرهای خوب و مفیدی داشته باشد و در ایام محرم، نکته های تاریخی و آموزنده ای از </w:t>
      </w:r>
    </w:p>
    <w:p>
      <w:pPr>
        <w:pStyle w:val="BookText"/>
        <w:rPr/>
      </w:pPr>
      <w:r>
        <w:rPr>
          <w:rFonts w:ascii="IRNazanin" w:hAnsi="IRNazanin" w:eastAsia="IRNazanin"/>
          <w:color w:val="111111"/>
          <w:sz w:val="28"/>
          <w:sz w:val="28"/>
          <w:szCs w:val="28"/>
          <w:rtl w:val="true"/>
          <w:lang w:bidi="fa-IR"/>
        </w:rPr>
        <w:t>زوایای زندگی و قیام امام حسین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مردم کربلا بازگو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از تولد نوزاد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بایست برای او نامی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شبی سیده زهرا از شیخ علی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نامش را چه می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زهرا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انتخاب نام بر شما پیش دستی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هم مثل نام های دیگر فرزندانمان شما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ـ برادر بزرگ تر ـ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 گویم محمد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هم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نگاهی به احمد و محمود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اسمی انتخاب می کنیم که همه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کودک را در آغوش گرفت و پس از خواندن اذان و اقامه در گوشش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برگزید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محمدهادی روز به روز بزرگ تر، شیرین تر و بازی های کودکانه اش بیشتر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هرگاه از بازی خسته می شد، به اتاق پدر می رفت و به ورق زدن کتاب هایی می پرداخت که چیزی از آنها سر درنمی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دید پدرش به سختی غرق مطالعه است، وی نیز به تقلید از پدر، کتاب ها را ورق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از این علاقه شدید فرزندش به کتاب، دریافته بود که آینده </w:t>
      </w:r>
    </w:p>
    <w:p>
      <w:pPr>
        <w:pStyle w:val="BookText"/>
        <w:rPr/>
      </w:pPr>
      <w:r>
        <w:rPr>
          <w:rFonts w:ascii="IRNazanin" w:hAnsi="IRNazanin" w:eastAsia="IRNazanin"/>
          <w:color w:val="111111"/>
          <w:sz w:val="28"/>
          <w:sz w:val="28"/>
          <w:szCs w:val="28"/>
          <w:rtl w:val="true"/>
          <w:lang w:bidi="fa-IR"/>
        </w:rPr>
        <w:t>درخشانی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هرگز او را از رفتن به سوی کتاب هایش باز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محمدهادی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شیخ علی او را به مکتب خانه سپرد تا خواندن و نوشتن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خانه ای که محمدهادی در آن به آموختن مشغول شد، کمی با مکتب خانه های دیگر تفاوت داشت و سرپرستی آن را فردی به نام شیخ باقر بر عهده داشت که از اصفهان به کربلا مهاجرت و نظام و قاعده جدیدی تأسیس کرده بود و بر اساس آن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محمدهادی با جدیت به فراگیری درس پرداخت، به گونه ای که میان وی و هم کلاسی هایش رقابت ایجاد شد و او گوی سبقت را از دیگران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استعداد و شوق محمدهادی، علاقه و توجه شیخ باقر، استاد مکتب خانه را به او روز به روز بیشتر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عموهای محمدهادی از خطبای برجسته کربلا بودند و نمازهای جماعت در حرم مطهر، به امامت آنان برگزار می شد که این امر نیز به اهتمام بیشتر استاد مکتب خانه در تعلیم و تربیت محمدهادی انجامید و تمام همّ خود را در آموزش و تربیت بهینه محمدهادی مصروف داشت تا او را به سوی آینده ای درخشان رهنمون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محمدهادی خواندن، نوشتن و خطاطی آموخت، به گونه ای که کم کم می توانست کتاب های پدرش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این کتاب ها سؤال هایی برایش پیش می آمد که شیخ علی با حوصله تمام و به فراخور سنّ و سال او به آنها پاسخ می داد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محمدهادی با کودکان دیگر فرق داشت؛ کمتر بازی می کرد و بیشتر در گوشه ای می نشست و یا راه می رفت و با خود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بود تا مطلبی </w:t>
      </w:r>
      <w:bookmarkStart w:id="22" w:name="pg3486_19086"/>
    </w:p>
    <w:p>
      <w:pPr>
        <w:pStyle w:val="BookText"/>
        <w:rPr/>
      </w:pPr>
      <w:bookmarkEnd w:id="22"/>
      <w:r>
        <w:rPr>
          <w:rFonts w:ascii="IRNazanin" w:hAnsi="IRNazanin" w:eastAsia="IRNazanin"/>
          <w:color w:val="111111"/>
          <w:sz w:val="28"/>
          <w:sz w:val="28"/>
          <w:szCs w:val="28"/>
          <w:rtl w:val="true"/>
          <w:lang w:bidi="fa-IR"/>
        </w:rPr>
        <w:t>را در جایی بخواند و یا از زبان استاد مکتب خانه بشنود، گاه می شد که چند روز درباره آن مطلب فکر می کرد، از این و آن می پرسید و تا پاسخی قانع کننده برای ذهن جست وجوگر خود نمی یافت، آن را رها نمی کرد</w:t>
      </w:r>
      <w:r>
        <w:rPr>
          <w:rFonts w:eastAsia="IRNazanin" w:cs="IRNazanin"/>
          <w:color w:val="111111"/>
          <w:sz w:val="28"/>
          <w:szCs w:val="28"/>
          <w:rtl w:val="true"/>
          <w:lang w:bidi="fa-IR"/>
        </w:rPr>
        <w:t>.</w:t>
      </w:r>
    </w:p>
    <w:p>
      <w:pPr>
        <w:pStyle w:val="Heading2"/>
        <w:numPr>
          <w:ilvl w:val="1"/>
          <w:numId w:val="1"/>
        </w:numPr>
        <w:rPr/>
      </w:pPr>
      <w:bookmarkStart w:id="23" w:name="__RefHeading___Toc3469680_2749589250"/>
      <w:bookmarkStart w:id="24" w:name="_Toc8"/>
      <w:bookmarkEnd w:id="23"/>
      <w:r>
        <w:rPr>
          <w:rtl w:val="true"/>
        </w:rPr>
        <w:t>در مسیر کمال</w:t>
      </w:r>
      <w:bookmarkEnd w:id="24"/>
    </w:p>
    <w:p>
      <w:pPr>
        <w:pStyle w:val="BookText"/>
        <w:rPr/>
      </w:pPr>
      <w:r>
        <w:rPr>
          <w:rFonts w:ascii="IRNazanin" w:hAnsi="IRNazanin" w:eastAsia="IRNazanin"/>
          <w:color w:val="111111"/>
          <w:sz w:val="28"/>
          <w:sz w:val="28"/>
          <w:szCs w:val="28"/>
          <w:rtl w:val="true"/>
          <w:lang w:bidi="fa-IR"/>
        </w:rPr>
        <w:t>در مسیر کمال</w:t>
      </w:r>
    </w:p>
    <w:p>
      <w:pPr>
        <w:pStyle w:val="BookText"/>
        <w:rPr/>
      </w:pPr>
      <w:r>
        <w:rPr>
          <w:rFonts w:ascii="IRNazanin" w:hAnsi="IRNazanin" w:eastAsia="IRNazanin"/>
          <w:color w:val="111111"/>
          <w:sz w:val="28"/>
          <w:sz w:val="28"/>
          <w:szCs w:val="28"/>
          <w:rtl w:val="true"/>
          <w:lang w:bidi="fa-IR"/>
        </w:rPr>
        <w:t>راه پر فراز و نشیب کمال، جاده ای صعب و پرپیچ و خم دارد که فقط افراد مقاوم آن را به پایان می رسانند و رهروان سست اراده، در این جاده راه به جایی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گذشت، با اینکه محمدهادی پنج سال بیشتر نداشت، پدرش که اراده مصمم و استوار وی را دریافته بود، او را برای فراگیری خواندن و نوشتن به مکتب خانه سپرد؛ مکتب خانه ای متفاوت با مکتب خانه های دیگر که شیخ باقر، آن را به شیوه ای خاص اداره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محمدهادی پرسشی از شیخ باقر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نتوانست در آن لحظه به آن پاسخ دهد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پاسخ سؤالت را فردا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پس از پایان کلاس، شیخ محمدهادی را نزد خود نشاند و با بیان مقدمه ای، وارد بحثی عمیق شد و موشکافانه، مسئله را برای این کودک تیزهوش حلاجی و او را قانع کرد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محمدهادی به خانه رفت، استاد با خود اندیشید که این کودک آینده ای درخشانی خواهد داشت و چه سرچشمه فیضی برای نسل آینده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نزد شیخ علی رفت و ماجرای پرسش محمدهادی را برای وی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نیز دریافته بود که محمدهادی، ذهنی جست وجوگر </w:t>
      </w:r>
    </w:p>
    <w:p>
      <w:pPr>
        <w:pStyle w:val="BookText"/>
        <w:rPr/>
      </w:pPr>
      <w:r>
        <w:rPr>
          <w:rFonts w:ascii="IRNazanin" w:hAnsi="IRNazanin" w:eastAsia="IRNazanin"/>
          <w:color w:val="111111"/>
          <w:sz w:val="28"/>
          <w:sz w:val="28"/>
          <w:szCs w:val="28"/>
          <w:rtl w:val="true"/>
          <w:lang w:bidi="fa-IR"/>
        </w:rPr>
        <w:t>و هوشی سرشار دارد، ولی با توجه به مقتضیات سن او، باید آهسته آهسته، پیمودن راه را به وی نشان می داد تا گذشت زمان، او را به بلوغ و رشد فکری بیشتری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به سرعت خواندن، نوشتن و قرائت قرآن را فرا گرفت، به گونه ای که حتی سوره های بلند قرآن را برای پدرش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مطالب کتاب های پدرش را می خواند، ولی نه به شیوایی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 آن رسید که محمدهادی نیز مانند دو برادر دیگرش به حوزه علمیه راه یابد و درس دین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مسئله را با پدرش مطرح کرد، شیخ علی او را تشویق و آمادگی خود را برای فرستادن وی به بحر مواج علوم دینی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تصمیم، محمدهادی به سوی اقیانوسی روانه شد تا پس از درک حقیقت دین اسلام، فانوس هدایتی برای ره گم کردگان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محمدهادی را برای تحصیل مقدمات، نزد استاد حاج شیخ علی اکبر نائینی فرستاد و وی نبوغ خود را در اندک زمانی به منصه ظهور رساند و مقدمات علوم حوزوی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برای تکمیل بحث مقدمات، نزد پدر خود زانوی شاگردی بر زمین زد و صرف و نحو و مقدمات را به طور کامل آموخت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کمتر استادی در حوزه دینی شهر مقدس کربلا بود که محمدهادی از خرمن دانش او خوشه نچیده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هر فرصتی استفاده می کرد و به اندوخته های علمی خویش می افزود تا در آینده ای نه چندان دور، از آنها استفاده </w:t>
      </w:r>
      <w:bookmarkStart w:id="25" w:name="pg3486_19088"/>
    </w:p>
    <w:p>
      <w:pPr>
        <w:pStyle w:val="BookText"/>
        <w:rPr/>
      </w:pPr>
      <w:bookmarkEnd w:id="2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توان به علومی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منطق، علوم فلکی و ریاضی اشاره کرد</w:t>
      </w:r>
      <w:r>
        <w:rPr>
          <w:rFonts w:eastAsia="IRNazanin" w:cs="IRNazanin"/>
          <w:color w:val="111111"/>
          <w:sz w:val="28"/>
          <w:szCs w:val="28"/>
          <w:rtl w:val="true"/>
          <w:lang w:bidi="fa-IR"/>
        </w:rPr>
        <w:t>.</w:t>
      </w:r>
    </w:p>
    <w:p>
      <w:pPr>
        <w:pStyle w:val="Heading2"/>
        <w:numPr>
          <w:ilvl w:val="1"/>
          <w:numId w:val="1"/>
        </w:numPr>
        <w:rPr/>
      </w:pPr>
      <w:bookmarkStart w:id="26" w:name="__RefHeading___Toc3469682_2749589250"/>
      <w:bookmarkStart w:id="27" w:name="_Toc9"/>
      <w:bookmarkEnd w:id="26"/>
      <w:r>
        <w:rPr>
          <w:rtl w:val="true"/>
        </w:rPr>
        <w:t>استادان</w:t>
      </w:r>
      <w:bookmarkEnd w:id="27"/>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در مسیر تکامل محمدهادی و پیمودن پله های کمال، بزرگانی چند، همچون چراغی فروزان، به مسیر او روشنی بخشیدند و وی را به سرمنزل مقصود رهنمون شدند، که هر یک از آنان، نقش به سزایی در رشد معنوی و تحصیلی این نوجوان نابغه و بااستعداد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استادان،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شیخ باقر؛ استاد مکتب خانه ای بود که خواندن و نوشتن و قرآن را به محمدهادی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شیخ علی؛ پدر محمدهادی که مقدمات علوم دینی را به وی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شیخ علی اکبر نائینی؛ استاد صرف و نحو و مقدمات 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سیدسعید تنکابنی؛ در ادبیات عرب متخصص بود و نقش عمده ای در فراگیری مقدمات علوم حوزوی برای محمدهادی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آیت الله سید محمد شیرازی؛</w:t>
      </w:r>
    </w:p>
    <w:p>
      <w:pPr>
        <w:pStyle w:val="BookText"/>
        <w:rPr/>
      </w:pPr>
      <w:r>
        <w:rPr>
          <w:rFonts w:ascii="IRNazanin" w:hAnsi="IRNazanin" w:eastAsia="IRNazanin"/>
          <w:color w:val="111111"/>
          <w:sz w:val="28"/>
          <w:sz w:val="28"/>
          <w:szCs w:val="28"/>
          <w:rtl w:val="true"/>
          <w:lang w:bidi="fa-IR"/>
        </w:rPr>
        <w:t>ـ شیخ محمد حسین مازندرانی؛</w:t>
      </w:r>
    </w:p>
    <w:p>
      <w:pPr>
        <w:pStyle w:val="BookText"/>
        <w:rPr/>
      </w:pPr>
      <w:r>
        <w:rPr>
          <w:rFonts w:ascii="IRNazanin" w:hAnsi="IRNazanin" w:eastAsia="IRNazanin"/>
          <w:color w:val="111111"/>
          <w:sz w:val="28"/>
          <w:sz w:val="28"/>
          <w:szCs w:val="28"/>
          <w:rtl w:val="true"/>
          <w:lang w:bidi="fa-IR"/>
        </w:rPr>
        <w:t>ـ سید مرتضی قزوینی؛</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محمدهادی در مرحله حساس زندگی؛ یعنی جوانی، علاوه بر استفاده از پدرش از محضر استادان دیگری نیز بهره برد و فقه و اصول و مبادی فلسفه را در محضر دانشمندانی بزرگ آموخت؛ بزرگانی چون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ـ شیخ محمد کلباسی؛ شیخ محمد خطیب؛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علمای بزرگ و مرجع تقلید در حوزه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سیدحسن آقا میرقزوینی؛ که از علمای صاحب نظر در حوزه و از شاگردان آخوند خراسانی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شیخ محمدرضا جرقویی اصفهانی؛ وی از علمای بزرگ و جامع و معقول و منقول و از شاگردان شیخ هادی تهرانی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هادی کابلی؛ محمدهادی مقداری از قوانین الاصول را در محضر وی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شیخ یوسف بیارجمندی خراسانی؛ وی از شاگردان بزرگ مرحوم نائینی بود که شیخ محمدهادی از تبحرش در زمینه فقه و اصول 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کتاب فصول، رسائل، و مکاسب و یک دوره اصول خارج و نیز مقدار زیادی خارج فقه را نزد او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استادانی که از آنها نام برده شد، در سال های پیش از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در کربلا بودند و در زمینه رشد علمی و هدایت محمدهادی نقش آفرینی کردند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محمدهادی معرفت، بسیاری مواقع به هجرت می اندیشید، ولی دل کندن از تعلقات و گذاشتن آنها در کربلا برای وی دشوار بود؛ تعلقاتی چون حرم مطهر اباعبدالله الحسین و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مادر، برادران، استادان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ماندن او در کربلا موجب رکود علمی اش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بر سر دو راهی ماندن یا رفتن بود، روزی با پدر گرامی اش در این باره مشورت کرد</w:t>
      </w:r>
      <w:r>
        <w:rPr>
          <w:rFonts w:eastAsia="IRNazanin" w:cs="IRNazanin"/>
          <w:color w:val="111111"/>
          <w:sz w:val="28"/>
          <w:szCs w:val="28"/>
          <w:rtl w:val="true"/>
          <w:lang w:bidi="fa-IR"/>
        </w:rPr>
        <w:t xml:space="preserve">. </w:t>
      </w:r>
      <w:bookmarkStart w:id="28" w:name="pg3486_19090"/>
    </w:p>
    <w:p>
      <w:pPr>
        <w:pStyle w:val="BookText"/>
        <w:rPr/>
      </w:pPr>
      <w:bookmarkEnd w:id="28"/>
      <w:r>
        <w:rPr>
          <w:rFonts w:ascii="IRNazanin" w:hAnsi="IRNazanin" w:eastAsia="IRNazanin"/>
          <w:color w:val="111111"/>
          <w:sz w:val="28"/>
          <w:sz w:val="28"/>
          <w:szCs w:val="28"/>
          <w:rtl w:val="true"/>
          <w:lang w:bidi="fa-IR"/>
        </w:rPr>
        <w:t>پدر با هجرت وی موافقت کرد، ولی خود محمدهادی، دوست داشت تا زمانی که پدرش زنده است، به وی خدمت کند و عصای دست او باشد؛ چرا که می دانست خدمت به والدین و احسان به آنها، افزون بر اینکه از آموزه های دین و سفارش کتاب آسمانی است، موجب برکات فراوانی نیز در زندگی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 زمانی که پدرش در قید حیات بود، در خدمت گزاری به او لحظه ای کوتاهی نکرد و در کربلا ماند و فکر هجرت را موقتاً از سرش بیرون کرد</w:t>
      </w:r>
      <w:r>
        <w:rPr>
          <w:rFonts w:eastAsia="IRNazanin" w:cs="IRNazanin"/>
          <w:color w:val="111111"/>
          <w:sz w:val="28"/>
          <w:szCs w:val="28"/>
          <w:rtl w:val="true"/>
          <w:lang w:bidi="fa-IR"/>
        </w:rPr>
        <w:t>.</w:t>
      </w:r>
    </w:p>
    <w:p>
      <w:pPr>
        <w:pStyle w:val="Heading2"/>
        <w:numPr>
          <w:ilvl w:val="1"/>
          <w:numId w:val="1"/>
        </w:numPr>
        <w:rPr/>
      </w:pPr>
      <w:bookmarkStart w:id="29" w:name="__RefHeading___Toc3469684_2749589250"/>
      <w:bookmarkStart w:id="30" w:name="_Toc10"/>
      <w:bookmarkEnd w:id="29"/>
      <w:r>
        <w:rPr>
          <w:rtl w:val="true"/>
        </w:rPr>
        <w:t>هجرت به دریای دانش</w:t>
      </w:r>
      <w:bookmarkEnd w:id="30"/>
    </w:p>
    <w:p>
      <w:pPr>
        <w:pStyle w:val="BookText"/>
        <w:rPr/>
      </w:pPr>
      <w:r>
        <w:rPr>
          <w:rFonts w:ascii="IRNazanin" w:hAnsi="IRNazanin" w:eastAsia="IRNazanin"/>
          <w:color w:val="111111"/>
          <w:sz w:val="28"/>
          <w:sz w:val="28"/>
          <w:szCs w:val="28"/>
          <w:rtl w:val="true"/>
          <w:lang w:bidi="fa-IR"/>
        </w:rPr>
        <w:t>هجرت به دریای دانش</w:t>
      </w:r>
    </w:p>
    <w:p>
      <w:pPr>
        <w:pStyle w:val="BookText"/>
        <w:rPr/>
      </w:pPr>
      <w:r>
        <w:rPr>
          <w:rFonts w:ascii="IRNazanin" w:hAnsi="IRNazanin" w:eastAsia="IRNazanin"/>
          <w:color w:val="111111"/>
          <w:sz w:val="28"/>
          <w:sz w:val="28"/>
          <w:szCs w:val="28"/>
          <w:rtl w:val="true"/>
          <w:lang w:bidi="fa-IR"/>
        </w:rPr>
        <w:t>تا هنگامی که شیخ علی، پدر محمدهادی در قید حیات بود، وی چون پروانه ای بر گرد شمع وجود پدر می گشت، عاشقانه از او پرتو می گرفت و با رهنمود های ارزشمند پدر، بسیاری از مشکلات و حتی مسائل علمی خود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نیز که به مشکلی برمی خورد، به حرم سیدالشهدا مشرف می شد و با زیارت سالار شهیدان به او توسل می جست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شیخ علی بیمار شد و بر اثر همین بیماری نیز از دنیا رفت و به سرای ابدی کوچ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شیخ محمدهادی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همراه خانواده اش به سوی نجف اشرف ره سپار شد تا با این هجرت سرنوشت ساز، تحصیلاتش را تکمیل کرده، دانش خود را ارتقا بخشد و از دریای دانش بزرگان نجف و مرزبانان اندیشه پاک تشیع، مرواریدها صید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با انگیزه شرکت در مجالس درسی استادان و فرهیختگان علم و فقاهت پا به نجف گذاشت و از حوزه درسی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حکیم؛ سیدابوالقاسم خویی؛ میرزا باقر زنجانی؛ شیخ حسین حلّی؛ سید علی فانی اصفهانی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های فراوان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محمدهادی در درس هر کسی شرکت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او اساتید خود را گزینش کرده، آن گاه در درس آنان حضور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شد که او سر کلاس عالمی می نشست و با دقت به حرف های او گوش می داد و تشخیص می داد که آنچه آن استاد می گوید، در بالا بردن سطح دانش و آگاهی وی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استادی را در مرتبه اخلاص و پاکی نمی دید و نشستن در پای درس و بحث او را تلف کردن وقت 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محمدهادی استادان خود را گلچین کرده، آن گاه متواضعانه زانوی ادب، ارادت و شاگردی در برابرشان بر زمین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گزینش مجالس درس و مباحث علمی این بزرگان، مواردی را مدنظر داشت که در گفته هایش به آنها چنین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حکیم، در طرح و بررسی آرای فقها، مهارت و دقت فراوانی داشت و درس ایشان از این لحاظ دارای امتیازی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آرای فقهای سلف همان عنایت و دقت را می داشتند که به اقوال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در قوت بیان و قدرت و استدلال و در ضمن رسایی و ساده گویی ولی عمیق، سرآمد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بحث فقه و اصول را در اندک مدت، ولی با حجمی تناور از مطالب مطرح می ساخت و از این جهت بی نظیر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آقای زنجانی در شرح و بسط مطالب و روشن ساختن ابعاد مسئله با بیانی شیوا و رسا و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حلّی در طرح اقوال مختلف در هر مسئله و بررسی دلایل و جرح و تعدیل آنها مهارت بسزایی داشت و در مباحث فقهی، نوآوری های فراوانی از خود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وی محدود، ولی از ممتازان افاضل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شیوه تدریس خاصی داشت، معمولاً نظر خود را بیان نمی کرد،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لابلای نظرات دیگران، بدون شاخصه مطرح می کرد و هرگاه از ایشان درخواست می شد که در این مورد نظر و رأی خود را ابراز کند،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صلاح شما نیست؛ زیرا هر چه باشد، شاگرد به استاد خود یک نوع گرایش دارد که احیاناً نظر او را ارجح می داند، در حالی که این گرایش گمراه کننده است و او را از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اینچنین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شاگردانی نیرومند و آزادمنش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آرای بزرگان و گسترش نقد و بررسی آن ویژگی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 این باور بودند و چنین هم تربیت کردند که قداست، تنها از آنِ اقوال معصومان است و اقوال بزرگان احترام دارد، نه 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آن است که به نقد و بررسی آن پرداخته شود، نه آنکه تعبداً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از سؤال و جواب و نقد شاگردان استقبال می نمود و در این راه، شاگردانی نقاد و روشنگر تربیت نمود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روزگاری که شیخ محمدهادی معرفت در نجف بود، مقداری از فلسفه و حکمت متعالیه را نزد فاضل ارجمند آقای رضوانی آموخت و در کنار تحصیل در این مرکز علمی پربار، به تدریس نیز پرداخت؛ بدین گونه که صبح ها به تحصیل و تدریس و عصرها فقط به تدریس مشغول بود</w:t>
      </w:r>
      <w:r>
        <w:rPr>
          <w:rFonts w:eastAsia="IRNazanin" w:cs="IRNazanin"/>
          <w:color w:val="111111"/>
          <w:sz w:val="28"/>
          <w:szCs w:val="28"/>
          <w:rtl w:val="true"/>
          <w:lang w:bidi="fa-IR"/>
        </w:rPr>
        <w:t xml:space="preserve">. </w:t>
      </w:r>
      <w:bookmarkStart w:id="31" w:name="pg3486_19093"/>
    </w:p>
    <w:p>
      <w:pPr>
        <w:pStyle w:val="Heading2"/>
        <w:numPr>
          <w:ilvl w:val="1"/>
          <w:numId w:val="1"/>
        </w:numPr>
        <w:rPr/>
      </w:pPr>
      <w:bookmarkStart w:id="32" w:name="__RefHeading___Toc3469686_2749589250"/>
      <w:bookmarkStart w:id="33" w:name="_Toc11"/>
      <w:bookmarkEnd w:id="31"/>
      <w:bookmarkEnd w:id="32"/>
      <w:r>
        <w:rPr>
          <w:rtl w:val="true"/>
        </w:rPr>
        <w:t>ویژگی های اخلاقی</w:t>
      </w:r>
      <w:bookmarkEnd w:id="33"/>
    </w:p>
    <w:p>
      <w:pPr>
        <w:pStyle w:val="BookText"/>
        <w:rPr/>
      </w:pPr>
      <w:r>
        <w:rPr>
          <w:rFonts w:ascii="IRNazanin" w:hAnsi="IRNazanin" w:eastAsia="IRNazanin"/>
          <w:color w:val="111111"/>
          <w:sz w:val="28"/>
          <w:sz w:val="28"/>
          <w:szCs w:val="28"/>
          <w:rtl w:val="true"/>
          <w:lang w:bidi="fa-IR"/>
        </w:rPr>
        <w:t>ویژگی های اخلاقی</w:t>
      </w:r>
    </w:p>
    <w:p>
      <w:pPr>
        <w:pStyle w:val="BookText"/>
        <w:rPr/>
      </w:pPr>
      <w:r>
        <w:rPr>
          <w:rFonts w:ascii="IRNazanin" w:hAnsi="IRNazanin" w:eastAsia="IRNazanin"/>
          <w:color w:val="111111"/>
          <w:sz w:val="28"/>
          <w:sz w:val="28"/>
          <w:szCs w:val="28"/>
          <w:rtl w:val="true"/>
          <w:lang w:bidi="fa-IR"/>
        </w:rPr>
        <w:t>آیت الله معرفت مصداق کامل اخلاق اسلامی بود؛ می کوشید تا آنجا که ممکن است، دستورهای حیات بخش اسلام را در زندگی فردی و اجتماعی اش جاری و ساری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اهل تهجد و شب زنده داری بود، رازونیازهای شبانه وتوکل و اطمینانی محکم به الطاف الهی داشت، اگر انجام کاری را به صلاح می دید، با وجود مخالفت ها و بدگویی ها آن را ادامه می داد و به سرانجام می رساند، در برخورد بامخالفان سعه صدر را پیشه خود ساخته بود و به زندگی و محیط پیرامون خود خوش بین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معرفت فرزند برومند ایشان، درباره جنبه های مختلف زندگی پدر، به مواردی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سحرخیزی پدر؛ آیت الله معرفت، ساعتی پیش از اذان صبح برمی خاست و به نمازشب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افزون بر انجام فرائض وعبادات شبانه به مطالعه و سحرخیزی اهتمام ویژه ای داشت و عبادت شبانه خود را به فریضه صبح پیوند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کار فکری و مطالعه معظم له در سحرگاهان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آراستگی ظاهر و پاکیزگی؛ وی به آراستگی لباس و کفش بسیار اهمیت می داد و همواره لباس های پاکیزه و مرتب به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قم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حضرت آیت الله در مسجد بازار پیش نماز بود؛ من از دیدن جوراب های سفید و تمیز ایشان لذت می بردم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در زندگی؛ علامه معرفت در زندگی خود، شیوه اعتدال را برگزیده بود واز افراط و تفریط در هرکاری دوری می کرد؛ چراکه این سخن مولای متقیان،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راه زندگی خود قرار داده بود که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خیرالأمور اوسطها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فرزندان خود را در انتخاب راه و شغل آینده مجبور نمی کرد و رفتارهای نامعقول و غلوّآمیز را موجب وهن اسلام برمی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در خرید کتاب؛ آیت الله معرفت، از ابتدای طلبگی اش، همواره به کتاب فروشی ها سر می زد و در خرید کتابی که لازم داشت، سخاوت به خرج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این نکته اعتقاد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الکتب بساتین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ها بوستان های دانشمندان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اش هر نوع کتاب دینی و فلسفی که می خواستی، یافت می شد؛ از کتاب های فقه و اصول گرفته تا کتب مرجع و تراجم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با نظم خاصی داخل قفسه ها چیده بود و به محض این که به مسئله ای برمی خورد و سؤالی برایش پیش می آمد، از لابه لای انبوه کتاب های خود، پاسخ آن را استخراج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دیده نشد که کتاب هایش را پس از مطالعه، به حال خود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آنها را با همان نظم و ترتیب سرجای خودشان می گذاشت تا در مراجعه بعدی، دچار سردرگمی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 که نمایشگاه بین المللی کتاب برگزار می شد، ایشان در آن شرکت و چند بار از این نمایشگاه بازدید می کرد کتاب های بسیاری درباره مسائل گوناگون می خرید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فعال در جلسه های درس امام خمینی رحمه الله ؛ هنگامی که امام خمینی رحمه الله به نجف تبعید شد، آیت الله معرفت در مجالس درس استادان متعددی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علاقه ای که برای حضور در درس امام خمینی داشت، جهت تغییر برنامه درسی خود و حضور در درس امام با قرآن استخاره کرد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تیأسوا من روح الله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مسیر زندگی اش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درس امام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مجالس متعدد بیت امام نیز حضوری فعال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امور بیرون از خانه؛ آیت الله معرفت، خدمت کاری نداشت و ترجیح می داد کارهای بیرون از خانه را خود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خرید نان و سبزی و میوه گرفته تا تأمین دیگر نیازهای زندگی را خود بر عهده داشت، در صف نانوایی رعایت نوبت افراد عادی را می کرد و هرگز راضی نمی شد حق دیگری ضایع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که آیت الله معرفت در صف نانوایی ایستاده بود، یکی از مشتریان تازه وارد، وی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شاطر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خوش نمی آید این آقا با این تواضع در صف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او دریایی از علم ودانش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 با شنیدن این سخن، بدون نوبت، چند قرص نان به آقای معرفت داد، ولی وی نپذیرفت و آن قدر ایستاد تا نوبتش رسید و نانش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آقای معرفت به نانوایی رفت، شاطر که ایشان را شناخته بود، به وی احترام بسیاری گذاشت و همین رفتارش موجب شد که آقای معرفت از آن پس، به نانوایی مزبور نرود و نان مورد نیاز خانواده اش را از نانوایی دیگری ـ که البته کمی نیز دور بود ـ تهیه 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سعه صدر؛ آیت الله معرفت، همواره با همه، از قوم و خویش گرفته تا طلبه و مردم کوچه و بازار، با سعهصدر برخورد می کرد و از هیچ کس انتظار نداشت </w:t>
      </w:r>
    </w:p>
    <w:p>
      <w:pPr>
        <w:pStyle w:val="BookText"/>
        <w:rPr/>
      </w:pPr>
      <w:r>
        <w:rPr>
          <w:rFonts w:ascii="IRNazanin" w:hAnsi="IRNazanin" w:eastAsia="IRNazanin"/>
          <w:color w:val="111111"/>
          <w:sz w:val="28"/>
          <w:sz w:val="28"/>
          <w:szCs w:val="28"/>
          <w:rtl w:val="true"/>
          <w:lang w:bidi="fa-IR"/>
        </w:rPr>
        <w:t>محبتش را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هیچ گاه حتی از بدخواهان خود کدورتی به دل نمی گرفت؛ تا چه رسد به دوستدارانش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خواهید در زندگی راحت باشید، از کسی توقع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فرزندان به کسب علم؛ آیت الله معرفت، فرزندان ونزدیکان خود را به آموختن دانش تشویق می کرد و از آنان می خواست علم آموزی را تا سطوح بالا ادامه دهند و خبره آن علم گردند؛ نه این که از هر علمی آگاهی نسبی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اغلب در نشست های خانوادگی، مسائل علمی را با ترفتندهایی چون شوخی مطرح می کرد تا از خشکی و ملال دور باشد؛ از این رو، همه بستگان ایشان تحت تأثیر فرهنگ اسلامی و علمی ایشان قرار می گرفتند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با همسایگان بی بضاعت و سرکشی به فقرا و دستگیری از آنها، دعا در حق والدین، برگزاری مجالس تفسیر قرآن برای مردم عادی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 های ارزنده این مرد خدا بود</w:t>
      </w:r>
      <w:r>
        <w:rPr>
          <w:rFonts w:eastAsia="IRNazanin" w:cs="IRNazanin"/>
          <w:color w:val="111111"/>
          <w:sz w:val="28"/>
          <w:szCs w:val="28"/>
          <w:rtl w:val="true"/>
          <w:lang w:bidi="fa-IR"/>
        </w:rPr>
        <w:t xml:space="preserve">. </w:t>
      </w:r>
      <w:bookmarkStart w:id="34" w:name="pg3486_19097"/>
    </w:p>
    <w:p>
      <w:pPr>
        <w:pStyle w:val="Heading2"/>
        <w:numPr>
          <w:ilvl w:val="1"/>
          <w:numId w:val="1"/>
        </w:numPr>
        <w:rPr/>
      </w:pPr>
      <w:bookmarkStart w:id="35" w:name="__RefHeading___Toc3469688_2749589250"/>
      <w:bookmarkStart w:id="36" w:name="_Toc12"/>
      <w:bookmarkEnd w:id="34"/>
      <w:bookmarkEnd w:id="35"/>
      <w:r>
        <w:rPr>
          <w:rtl w:val="true"/>
        </w:rPr>
        <w:t>فعالیت های علمی</w:t>
      </w:r>
      <w:bookmarkEnd w:id="36"/>
    </w:p>
    <w:p>
      <w:pPr>
        <w:pStyle w:val="BookText"/>
        <w:rPr/>
      </w:pPr>
      <w:r>
        <w:rPr>
          <w:rFonts w:ascii="IRNazanin" w:hAnsi="IRNazanin" w:eastAsia="IRNazanin"/>
          <w:color w:val="111111"/>
          <w:sz w:val="28"/>
          <w:sz w:val="28"/>
          <w:szCs w:val="28"/>
          <w:rtl w:val="true"/>
          <w:lang w:bidi="fa-IR"/>
        </w:rPr>
        <w:t>فعالیت های علمی</w:t>
      </w:r>
    </w:p>
    <w:p>
      <w:pPr>
        <w:pStyle w:val="BookText"/>
        <w:rPr/>
      </w:pPr>
      <w:r>
        <w:rPr>
          <w:rFonts w:ascii="IRNazanin" w:hAnsi="IRNazanin" w:eastAsia="IRNazanin"/>
          <w:color w:val="111111"/>
          <w:sz w:val="28"/>
          <w:sz w:val="28"/>
          <w:szCs w:val="28"/>
          <w:rtl w:val="true"/>
          <w:lang w:bidi="fa-IR"/>
        </w:rPr>
        <w:t>آیت الله معرفت، همواره به نقل از استادان خود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ای موفق است که به محض فراگرفتن یک سری دروس، بتواند آن را برای دیگران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ایشان در کنار تحصیل، به تدریس و تحقیق می پرداخت تا هم از این طریق اندوخته های علمی اش را مرور کند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خود را که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برای طلبه های پایه های پایین تر، در رشته های ادبی و علمی تدریس می کرد و دانش خود را در اختیار طلبه های جوان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هفته ای یک بار با حضور جوانان، جلسه هایی برگزار می کرد و به پرسش های اعتقادی و مذهبی آنان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ها با استقبال گسترده ای رو به رو شد و جوانان بسیاری در محضر ایشان تربیت و به تهذیب نفس و افزودن بار علمی خویش موفق شدند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همین جلسه ها جوانی خواست مسئله ای از ایشان بپرسد، ولی سؤال خود را در لفافه مطرح کرد، گویی نمی خواست آن را در جمع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جلسه پرسش و پاسخ تمام شد، شیخ از جوان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می خواستی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چرا نپرسیدی؟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راستش شرم و حیا مانع از آن شد که سؤالم را در جمع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معرفت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 شود برایتان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که راحتی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شب شیخ محمدهادی تا پاسی از شب با خود می اندیشید چرا باید جوانی از گفتن مسئله خود شرم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بود که جرقه ای در ذهن شیخ زده شد و کم کم این جرقه به نوری کم سو و سپس به مشعلی فرزوان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اندیشه بسیار و بررسی همه جوانب، دریافت که بهترین راه پاسخ گویی به مسائل جوانان و دیگر افراد، چه در عراق و چه در دیگر نقاط دنیا مکاتبه است، اما چگونه؟ چگونه می توانست پرسش و پاسخ را از طریق مکاتبه رواج دهد؟</w:t>
      </w:r>
    </w:p>
    <w:p>
      <w:pPr>
        <w:pStyle w:val="BookText"/>
        <w:rPr/>
      </w:pPr>
      <w:r>
        <w:rPr>
          <w:rFonts w:ascii="IRNazanin" w:hAnsi="IRNazanin" w:eastAsia="IRNazanin"/>
          <w:color w:val="111111"/>
          <w:sz w:val="28"/>
          <w:sz w:val="28"/>
          <w:szCs w:val="28"/>
          <w:rtl w:val="true"/>
          <w:lang w:bidi="fa-IR"/>
        </w:rPr>
        <w:t>چند روز گذشت و شیخ محمدهادی بیشتر درباره طرح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هم فکری و مشورت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شیرازی، سید عبدالرضا شهرستانی، سیدمحمدعلی بحرانی، و شیخ محمدباقر محمودی، ماهنامه ای به چاپ رساند و آن را اجوبة المسائل الدینیه نامید و هدف و رسالت این ماهنامه را پاسخ گویی به مسائل دینی اقشار گوناگون جامعه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انتشار این نشریه بازتاب گسترده ای در جای جای عراق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ماهنامه با هدف پاسخ گویی به پرسش های دینی عموم مردم، اعم از قشر تحصیل کرده مردم و کوچه و بازار، به چاپ رسید و در دسترس همه علاقه مندان قرار گرفت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سیل نامه هایی که حاوی پرسش هایی دینی بود، به دفتر نشریه ارسال می شد و شیخ محمدهادی معرفت با همکاری دوستان و استادانی که از آنها یاد شد، با جدیت، به پاسخ گویی به انبوه پرسش های مردم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این ماهنامه به برخی دانشگاه های خارج از عراق نیز راه یافت و با </w:t>
      </w:r>
      <w:bookmarkStart w:id="37" w:name="pg3486_19099"/>
    </w:p>
    <w:p>
      <w:pPr>
        <w:pStyle w:val="BookText"/>
        <w:rPr/>
      </w:pPr>
      <w:bookmarkEnd w:id="37"/>
      <w:r>
        <w:rPr>
          <w:rFonts w:ascii="IRNazanin" w:hAnsi="IRNazanin" w:eastAsia="IRNazanin"/>
          <w:color w:val="111111"/>
          <w:sz w:val="28"/>
          <w:sz w:val="28"/>
          <w:szCs w:val="28"/>
          <w:rtl w:val="true"/>
          <w:lang w:bidi="fa-IR"/>
        </w:rPr>
        <w:t>استقبال کم نظیر دانشجویان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مقاله ها و پاسخ های این گروه، ترجمه و به خارج از کشور عراق نیز ارسال می شد تا این موج پرسش و پاسخ از مرزها فراتر رود و گستردگی دانش آل محمد صلی الله علیه و آله در پاسخ گویی به هر مسئله، برهمگان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منظور، مقاله ها و نوشته های علمی و دینی فراوانی منتشر شد که برخی از این نوشته ها به دلیل اهمیت موضوع، بعدها به صورت کتاب یا رساله تدوین و منتشر شد که در بخش آثار علمی به آنها اشاره خواهیم کرد</w:t>
      </w:r>
      <w:r>
        <w:rPr>
          <w:rFonts w:eastAsia="IRNazanin" w:cs="IRNazanin"/>
          <w:color w:val="111111"/>
          <w:sz w:val="28"/>
          <w:szCs w:val="28"/>
          <w:rtl w:val="true"/>
          <w:lang w:bidi="fa-IR"/>
        </w:rPr>
        <w:t>.</w:t>
      </w:r>
    </w:p>
    <w:p>
      <w:pPr>
        <w:pStyle w:val="Heading2"/>
        <w:numPr>
          <w:ilvl w:val="1"/>
          <w:numId w:val="1"/>
        </w:numPr>
        <w:rPr/>
      </w:pPr>
      <w:bookmarkStart w:id="38" w:name="__RefHeading___Toc3469690_2749589250"/>
      <w:bookmarkStart w:id="39" w:name="_Toc13"/>
      <w:bookmarkEnd w:id="38"/>
      <w:r>
        <w:rPr>
          <w:rtl w:val="true"/>
        </w:rPr>
        <w:t>فعالیت های سیاسی ـ فرهنگی</w:t>
      </w:r>
      <w:bookmarkEnd w:id="39"/>
    </w:p>
    <w:p>
      <w:pPr>
        <w:pStyle w:val="BookText"/>
        <w:rPr/>
      </w:pPr>
      <w:r>
        <w:rPr>
          <w:rFonts w:ascii="IRNazanin" w:hAnsi="IRNazanin" w:eastAsia="IRNazanin"/>
          <w:color w:val="111111"/>
          <w:sz w:val="28"/>
          <w:sz w:val="28"/>
          <w:szCs w:val="28"/>
          <w:rtl w:val="true"/>
          <w:lang w:bidi="fa-IR"/>
        </w:rPr>
        <w:t>فعالیت های سیاسی ـ فرهنگی</w:t>
      </w:r>
    </w:p>
    <w:p>
      <w:pPr>
        <w:pStyle w:val="BookText"/>
        <w:rPr/>
      </w:pPr>
      <w:r>
        <w:rPr>
          <w:rFonts w:ascii="IRNazanin" w:hAnsi="IRNazanin" w:eastAsia="IRNazanin"/>
          <w:color w:val="111111"/>
          <w:sz w:val="28"/>
          <w:sz w:val="28"/>
          <w:szCs w:val="28"/>
          <w:rtl w:val="true"/>
          <w:lang w:bidi="fa-IR"/>
        </w:rPr>
        <w:t>آیت الله معرفت، در دوران طلبگی خود، خطر نفوذ کمونیسم و افکار انحرافی آنان را در عراق حس می کرد؛ ازاین رو، با نوشتن مقاله و درج آن در نشریه ها و نیز بیان خطرهای جبران ناپذیر کمونیسم، در مبارزه با این جریان به اصطلاح روشن فکری، نقش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نوشتن کتاب حقوق المرأة فی الاسلام و پخش آن در بغداد و دیگر شهرهای عراق، در برابر این اندیشه التقاطی ایستاد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حربه ای در دست کمونیست بود، تبیین کرد و این گونه استعمار و اهداف شوم آن ـ که انحطاط اخلاقی خانواده ها و استفاده ابزاری از زن بود ـ را به خاک مذلت نشاند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معرفت، بعدها نیز در هجرت سرنوشت ساز خود به ایران، با تدریس مبانی قرآنی و دیگر آموزه های دینی، نقش به سزایی در آزاداندیشی و ظلم ستیزی قشر روحانی داشت</w:t>
      </w:r>
      <w:r>
        <w:rPr>
          <w:rFonts w:eastAsia="IRNazanin" w:cs="IRNazanin"/>
          <w:color w:val="111111"/>
          <w:sz w:val="28"/>
          <w:szCs w:val="28"/>
          <w:rtl w:val="true"/>
          <w:lang w:bidi="fa-IR"/>
        </w:rPr>
        <w:t xml:space="preserve">. </w:t>
      </w:r>
      <w:bookmarkStart w:id="40" w:name="pg3486_19100"/>
    </w:p>
    <w:p>
      <w:pPr>
        <w:pStyle w:val="BookText"/>
        <w:rPr/>
      </w:pPr>
      <w:bookmarkEnd w:id="40"/>
      <w:r>
        <w:rPr>
          <w:rFonts w:ascii="IRNazanin" w:hAnsi="IRNazanin" w:eastAsia="IRNazanin"/>
          <w:color w:val="111111"/>
          <w:sz w:val="28"/>
          <w:sz w:val="28"/>
          <w:szCs w:val="28"/>
          <w:rtl w:val="true"/>
          <w:lang w:bidi="fa-IR"/>
        </w:rPr>
        <w:t xml:space="preserve">ایشان از استادان برجسته حوزه علمیه بود و افزون بر تدریس، در سمینارهای مختلف داخلی و خارجی شرکت می کرد،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مدرسین حوزه علمیه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سنگر امامت جماعت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وظیفه حفظ و پاس داشت دست آوردهای اسلام و انقلاب را به خوبی ایفا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آکادمی علمی ـ فرهنگی و تربیتی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کراچی پاکستان، زیر نظر و با درایت ایشان اداره می شد</w:t>
      </w:r>
      <w:r>
        <w:rPr>
          <w:rFonts w:eastAsia="IRNazanin" w:cs="IRNazanin"/>
          <w:color w:val="111111"/>
          <w:sz w:val="28"/>
          <w:szCs w:val="28"/>
          <w:rtl w:val="true"/>
          <w:lang w:bidi="fa-IR"/>
        </w:rPr>
        <w:t>.</w:t>
      </w:r>
    </w:p>
    <w:p>
      <w:pPr>
        <w:pStyle w:val="Heading2"/>
        <w:numPr>
          <w:ilvl w:val="1"/>
          <w:numId w:val="1"/>
        </w:numPr>
        <w:rPr/>
      </w:pPr>
      <w:bookmarkStart w:id="41" w:name="__RefHeading___Toc3469692_2749589250"/>
      <w:bookmarkStart w:id="42" w:name="_Toc14"/>
      <w:bookmarkEnd w:id="41"/>
      <w:r>
        <w:rPr>
          <w:rtl w:val="true"/>
        </w:rPr>
        <w:t>بازگشت به آغوش وطن</w:t>
      </w:r>
      <w:bookmarkEnd w:id="42"/>
    </w:p>
    <w:p>
      <w:pPr>
        <w:pStyle w:val="BookText"/>
        <w:rPr/>
      </w:pPr>
      <w:r>
        <w:rPr>
          <w:rFonts w:ascii="IRNazanin" w:hAnsi="IRNazanin" w:eastAsia="IRNazanin"/>
          <w:color w:val="111111"/>
          <w:sz w:val="28"/>
          <w:sz w:val="28"/>
          <w:szCs w:val="28"/>
          <w:rtl w:val="true"/>
          <w:lang w:bidi="fa-IR"/>
        </w:rPr>
        <w:t>بازگشت به آغوش وطن</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حکومت بعث عراق از ادامه حضور ایرانیان در عراق ممانعت به عمل آورد و به دنبال آن، دستور مهاجرت آنها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مقیم کربلا و نجف خوب می دانستند که اگر به ماندن و اقامت خود ادامه دهند، با بی حرمتی از آنجا اخراج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بسیاری از آنها عراق را ترک کردند و رهسپار ایران شدند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محمدهادی معرفت از جمله کسانی بود که دل کندن از مرقد پاک وصی رسول خدا صلی الله علیه و آله برایش بسیار سخت بود، ولی به ناچار، به اتفاق همسر و فرزندانش نجف اشرف را ترک کرد و تصمیم گرفت به آشیانه آل محمد صلی الله علیه و آله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ایران ره سپار قم شد تا همه دانش و معارفی را که کسب کرده بود، نثار مردم تشنه علم و حقیقت وطنش، ایران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آیت الله معرفت، در قم نیز همان شیوه و روشی را که در حوزه علمیه کربلا و نجف داشت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ادامه تحصیل و تکمیل اندوخته های علمی خویش در جلسه درس اصول میرزا هاشم آملی حضور یافت و بقیه اوقات گرانبهایش را به تدریس و پژوهش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فقیه وارسته، کرسی تدریس رسائل، مکاسب، کفایه و سپس درس خارج فقه و اصول را در حوزه علمیه قم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دعوت مدیر مدرسه عالی شهید حقانی ـ که آن زمان به سرپرستی آیت الله قدوسی اداره می شد ـ مسائل قرآنی را تدریس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شاگردان آیت الله معرفت، امروزه افرادی شایسته و از مشاهیر و نام آوران دین و دانش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این شاگردان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سیدعلیرضا صدر حسینی، سیدمحمدباقر مصباح موسوی، جواد محدثی، مصطفی پورمحمدی، سیداحمد زرگر، روح الله حسینیان اژه ای، محمود مهدی پور، شهید ذبیح الله کرمی، شهیدحسن مهدوی، دکتر عبدالکریم بهجت پور، شیخ عباس بحرینی، حمید ملکی، دکتر علی نصیری، دکتر محمدعلی رضایی، داود دهداری، دکتر مهدی رستم نژاد، زهرا اخوان صراف، سیدمرتضی تقوی، شبیر حسن میثمی، سیدمجتبی برهانی و</w:t>
      </w:r>
      <w:r>
        <w:rPr>
          <w:rFonts w:eastAsia="IRNazanin" w:cs="IRNazanin"/>
          <w:color w:val="111111"/>
          <w:sz w:val="28"/>
          <w:szCs w:val="28"/>
          <w:rtl w:val="true"/>
          <w:lang w:bidi="fa-IR"/>
        </w:rPr>
        <w:t>...</w:t>
      </w:r>
      <w:r>
        <w:rPr>
          <w:rStyle w:val="FootnoteAnchor"/>
          <w:rtl w:val="true"/>
        </w:rPr>
        <w:footnoteReference w:id="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معرفت پس از اندک زمانی، علاوه بر تفسیر و علوم قرآنی، تدریس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عهده دار شد و در تربیت شاگردانی زبده و کارآمد در قم، موفق تر از نجف اشرف درخشید؛ روح او تشنه تحقیق و پژوهش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موجی بود که آسودگی اش، عدم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تصمیم گرفت کم کم به نوشته ها وتحقیقات خود </w:t>
      </w:r>
      <w:bookmarkStart w:id="43" w:name="pg3486_19102"/>
    </w:p>
    <w:p>
      <w:pPr>
        <w:pStyle w:val="BookText"/>
        <w:rPr/>
      </w:pPr>
      <w:bookmarkEnd w:id="43"/>
      <w:r>
        <w:rPr>
          <w:rFonts w:ascii="IRNazanin" w:hAnsi="IRNazanin" w:eastAsia="IRNazanin"/>
          <w:color w:val="111111"/>
          <w:sz w:val="28"/>
          <w:sz w:val="28"/>
          <w:szCs w:val="28"/>
          <w:rtl w:val="true"/>
          <w:lang w:bidi="fa-IR"/>
        </w:rPr>
        <w:t>سروسامانی ببخشد تا آیندگان نیز ازآن همه مطالب مفید و سودمند ـ که حاصل تلاش های چند ساله اش بود ـ بی بهره نمانند</w:t>
      </w:r>
      <w:r>
        <w:rPr>
          <w:rFonts w:eastAsia="IRNazanin" w:cs="IRNazanin"/>
          <w:color w:val="111111"/>
          <w:sz w:val="28"/>
          <w:szCs w:val="28"/>
          <w:rtl w:val="true"/>
          <w:lang w:bidi="fa-IR"/>
        </w:rPr>
        <w:t>.</w:t>
      </w:r>
    </w:p>
    <w:p>
      <w:pPr>
        <w:pStyle w:val="Heading2"/>
        <w:numPr>
          <w:ilvl w:val="1"/>
          <w:numId w:val="1"/>
        </w:numPr>
        <w:rPr/>
      </w:pPr>
      <w:bookmarkStart w:id="44" w:name="__RefHeading___Toc3469694_2749589250"/>
      <w:bookmarkStart w:id="45" w:name="_Toc15"/>
      <w:bookmarkEnd w:id="44"/>
      <w:r>
        <w:rPr>
          <w:rtl w:val="true"/>
        </w:rPr>
        <w:t>باقیات صالحات</w:t>
      </w:r>
      <w:bookmarkEnd w:id="45"/>
    </w:p>
    <w:p>
      <w:pPr>
        <w:pStyle w:val="BookText"/>
        <w:rPr/>
      </w:pPr>
      <w:r>
        <w:rPr>
          <w:rFonts w:ascii="IRNazanin" w:hAnsi="IRNazanin" w:eastAsia="IRNazanin"/>
          <w:color w:val="111111"/>
          <w:sz w:val="28"/>
          <w:sz w:val="28"/>
          <w:szCs w:val="28"/>
          <w:rtl w:val="true"/>
          <w:lang w:bidi="fa-IR"/>
        </w:rPr>
        <w:t>باقیات صالحات</w:t>
      </w:r>
    </w:p>
    <w:p>
      <w:pPr>
        <w:pStyle w:val="BookText"/>
        <w:rPr/>
      </w:pPr>
      <w:r>
        <w:rPr>
          <w:rFonts w:ascii="IRNazanin" w:hAnsi="IRNazanin" w:eastAsia="IRNazanin"/>
          <w:color w:val="111111"/>
          <w:sz w:val="28"/>
          <w:sz w:val="28"/>
          <w:szCs w:val="28"/>
          <w:rtl w:val="true"/>
          <w:lang w:bidi="fa-IR"/>
        </w:rPr>
        <w:t>آیت الله معرفت همواره به کار تحقیق و پژوهش درباره مسائل دینی علاقه مند و در این زمینه فعال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پیش تر اشاره شد، ایشان در زمان اقامتش در کربلا، دست به انتشار ماهنامه اجوبة المسائل الدینیه زد و در این ماهنامه، پرسش های دینی بسیاری را با غور در کلام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نجف نیز با گروهی از برجستگان حوزه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جمال الدین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برومند آیت الله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عبدالعزیز طباطبایی، سید محمد نوری، شیخ محمدرضا جعفری اشکوری و دکتر محمد صادقی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های هفتگی تشکیل می دادند و درباره مباحث و موضوع های گوناگون به بحث و پژوهش می پرداختند و هر یک از این بزرگواران، تحقیق و پژوهش در رشته ای را دنبال می کردند که آقای معرفت تحقیق و پژوهش در رشته علوم قرآنی را برگزیده بود و در آن زمینه قلم می زد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 رسائل و مقاله های آیت الله معرفت به سه بخش عمده آثار قرآنی، آثار فقهی و آثار دیگر تقسیم می شود و عبارتند از</w:t>
      </w:r>
      <w:r>
        <w:rPr>
          <w:rFonts w:eastAsia="IRNazanin" w:cs="IRNazanin"/>
          <w:color w:val="111111"/>
          <w:sz w:val="28"/>
          <w:szCs w:val="28"/>
          <w:rtl w:val="true"/>
          <w:lang w:bidi="fa-IR"/>
        </w:rPr>
        <w:t xml:space="preserve">: </w:t>
      </w:r>
      <w:bookmarkStart w:id="46" w:name="pg3486_19103"/>
    </w:p>
    <w:p>
      <w:pPr>
        <w:pStyle w:val="Heading2"/>
        <w:numPr>
          <w:ilvl w:val="1"/>
          <w:numId w:val="1"/>
        </w:numPr>
        <w:rPr/>
      </w:pPr>
      <w:bookmarkStart w:id="47" w:name="__RefHeading___Toc3469696_2749589250"/>
      <w:bookmarkStart w:id="48" w:name="_Toc16"/>
      <w:bookmarkEnd w:id="46"/>
      <w:bookmarkEnd w:id="47"/>
      <w:r>
        <w:rPr>
          <w:rtl w:val="true"/>
        </w:rPr>
        <w:t>آثار قرآنی</w:t>
      </w:r>
      <w:bookmarkEnd w:id="48"/>
    </w:p>
    <w:p>
      <w:pPr>
        <w:pStyle w:val="BookText"/>
        <w:rPr/>
      </w:pPr>
      <w:r>
        <w:rPr>
          <w:rFonts w:ascii="IRNazanin" w:hAnsi="IRNazanin" w:eastAsia="IRNazanin"/>
          <w:color w:val="111111"/>
          <w:sz w:val="28"/>
          <w:sz w:val="28"/>
          <w:szCs w:val="28"/>
          <w:rtl w:val="true"/>
          <w:lang w:bidi="fa-IR"/>
        </w:rPr>
        <w:t>آثار قرآنی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فی علوم القرآن؛ این کتاب در موضوع علوم قرآنی و در شش جلد چاپ و منتشر شده است که در جلد اوّل، علاوه بر پرداختن به پدیده وحی و نزول قرآن، به بررسی دوران جمع آوری قرآن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بررسی قرائات و نسخ و موضوع جلد سوم این کتاب را محکم و متشابه قران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اعجاز قرآن و مباحثی چون واژه شناسی اعجاز، سه اعجاز قرآن و آرا و نظرهای دانشمندان درباره قرآن و مقایسه ای عالمانه میان برخی تعابیر زیبای قرآن و اشعار عربی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معرفت در جلد پنجم، در ادامه بحث اعجاز، به اعجاز بیانی قرآن پرداخته و فصاحت و شیوایی کلام خداوند متعال را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جلد ششم التمهید نیز درباره اعجاز علمی و اعجاز تشریعی قرآن است که نویسنده، در آن به مقایسه ای محققانه میان عقیده اسطوره ای یونان و تورات و قوانین روم از یک طرف، و محتوای تشریعی قرآن از سوی دیگر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صیانة القرآن من التحریف؛ این کتاب در یک مقدمه و دوازده فصل نگاشته شده و استاد معرفت در این اثر، علاوه بر دفاع از سلامت قرآن، به استناد ادله محکم روایی و قرآنی، با شدت هرچه بیشتر به قائلان به تحریف قرآن هجوم آورده و با وجود آیات و روایات صریح و ادله محکم، جایی برای تردید در سلامت قرآن از تحریف باقی نگذارده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و المفسرون فی ثوبة القشیب؛ این کتاب پس از مقدمه ای کوتاه در سه بخش تنظیم شده است که بخش اوّل به مفهوم شناسی در مورد واژه </w:t>
      </w:r>
    </w:p>
    <w:p>
      <w:pPr>
        <w:pStyle w:val="BookText"/>
        <w:rPr/>
      </w:pPr>
      <w:r>
        <w:rPr>
          <w:rFonts w:ascii="IRNazanin" w:hAnsi="IRNazanin" w:eastAsia="IRNazanin"/>
          <w:color w:val="111111"/>
          <w:sz w:val="28"/>
          <w:sz w:val="28"/>
          <w:szCs w:val="28"/>
          <w:rtl w:val="true"/>
          <w:lang w:bidi="fa-IR"/>
        </w:rPr>
        <w:t>تفسیر و مباحثی درباره آن، بخش دوم به مراحل پنج گانه تفسیر و بخش سوم به روش های تفسیری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شبهات و ردود حول القرآن الکریم؛ این کتاب پس از مقدمه ای کوتاه، در پنج بخش تنظیم شده که موضوع آنها عبارت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مصادر قرآن؛</w:t>
      </w:r>
    </w:p>
    <w:p>
      <w:pPr>
        <w:pStyle w:val="BookText"/>
        <w:rPr/>
      </w:pPr>
      <w:r>
        <w:rPr>
          <w:rFonts w:ascii="IRNazanin" w:hAnsi="IRNazanin" w:eastAsia="IRNazanin"/>
          <w:color w:val="111111"/>
          <w:sz w:val="28"/>
          <w:sz w:val="28"/>
          <w:szCs w:val="28"/>
          <w:rtl w:val="true"/>
          <w:lang w:bidi="fa-IR"/>
        </w:rPr>
        <w:t>ـ قرآن و فرهنگ های معاصر نزول؛</w:t>
      </w:r>
    </w:p>
    <w:p>
      <w:pPr>
        <w:pStyle w:val="BookText"/>
        <w:rPr/>
      </w:pPr>
      <w:r>
        <w:rPr>
          <w:rFonts w:ascii="IRNazanin" w:hAnsi="IRNazanin" w:eastAsia="IRNazanin"/>
          <w:color w:val="111111"/>
          <w:sz w:val="28"/>
          <w:sz w:val="28"/>
          <w:szCs w:val="28"/>
          <w:rtl w:val="true"/>
          <w:lang w:bidi="fa-IR"/>
        </w:rPr>
        <w:t>ـ توهم اختلاف و تناقض؛</w:t>
      </w:r>
    </w:p>
    <w:p>
      <w:pPr>
        <w:pStyle w:val="BookText"/>
        <w:rPr/>
      </w:pPr>
      <w:r>
        <w:rPr>
          <w:rFonts w:ascii="IRNazanin" w:hAnsi="IRNazanin" w:eastAsia="IRNazanin"/>
          <w:color w:val="111111"/>
          <w:sz w:val="28"/>
          <w:sz w:val="28"/>
          <w:szCs w:val="28"/>
          <w:rtl w:val="true"/>
          <w:lang w:bidi="fa-IR"/>
        </w:rPr>
        <w:t>ـ آیا در قرآن مطالب مخالف علم، تاریخ یا ادبیات وجود دارد؛</w:t>
      </w:r>
    </w:p>
    <w:p>
      <w:pPr>
        <w:pStyle w:val="BookText"/>
        <w:rPr/>
      </w:pPr>
      <w:r>
        <w:rPr>
          <w:rFonts w:ascii="IRNazanin" w:hAnsi="IRNazanin" w:eastAsia="IRNazanin"/>
          <w:color w:val="111111"/>
          <w:sz w:val="28"/>
          <w:sz w:val="28"/>
          <w:szCs w:val="28"/>
          <w:rtl w:val="true"/>
          <w:lang w:bidi="fa-IR"/>
        </w:rPr>
        <w:t>ـ قصه های 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می توان این کتاب را جلد هفتم التمهید دانست که اخیراً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شبهات پیرامون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در این اثر که شامل مقدمه و تفسیر سوره حمد است، در مقدمه، مباحثی چون فضائل قرآن، تفسیر و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سلامت قرآن از تحریف، تفسیر اثری در مراحل اوّلیه، آفات تفسیر، حروف مقطعه و مانند آن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کتاب نیز سرفصل های زیر 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 سوره حمد؛</w:t>
      </w:r>
    </w:p>
    <w:p>
      <w:pPr>
        <w:pStyle w:val="BookText"/>
        <w:rPr/>
      </w:pPr>
      <w:r>
        <w:rPr>
          <w:rFonts w:ascii="IRNazanin" w:hAnsi="IRNazanin" w:eastAsia="IRNazanin"/>
          <w:color w:val="111111"/>
          <w:sz w:val="28"/>
          <w:sz w:val="28"/>
          <w:szCs w:val="28"/>
          <w:rtl w:val="true"/>
          <w:lang w:bidi="fa-IR"/>
        </w:rPr>
        <w:t>روایت هایی از گذشتگان درباره قرائت سوره حمد؛</w:t>
      </w:r>
    </w:p>
    <w:p>
      <w:pPr>
        <w:pStyle w:val="BookText"/>
        <w:rPr/>
      </w:pPr>
      <w:r>
        <w:rPr>
          <w:rFonts w:ascii="IRNazanin" w:hAnsi="IRNazanin" w:eastAsia="IRNazanin"/>
          <w:color w:val="111111"/>
          <w:sz w:val="28"/>
          <w:sz w:val="28"/>
          <w:szCs w:val="28"/>
          <w:rtl w:val="true"/>
          <w:lang w:bidi="fa-IR"/>
        </w:rPr>
        <w:t>نظم بدیع سوره؛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استعاذه؛ </w:t>
      </w:r>
    </w:p>
    <w:p>
      <w:pPr>
        <w:pStyle w:val="BookText"/>
        <w:rPr/>
      </w:pPr>
      <w:r>
        <w:rPr>
          <w:rFonts w:ascii="IRNazanin" w:hAnsi="IRNazanin" w:eastAsia="IRNazanin"/>
          <w:color w:val="111111"/>
          <w:sz w:val="28"/>
          <w:sz w:val="28"/>
          <w:szCs w:val="28"/>
          <w:rtl w:val="true"/>
          <w:lang w:bidi="fa-IR"/>
        </w:rPr>
        <w:t>بسمله؛</w:t>
      </w:r>
    </w:p>
    <w:p>
      <w:pPr>
        <w:pStyle w:val="BookText"/>
        <w:rPr/>
      </w:pPr>
      <w:r>
        <w:rPr>
          <w:rFonts w:ascii="IRNazanin" w:hAnsi="IRNazanin" w:eastAsia="IRNazanin"/>
          <w:color w:val="111111"/>
          <w:sz w:val="28"/>
          <w:sz w:val="28"/>
          <w:szCs w:val="28"/>
          <w:rtl w:val="true"/>
          <w:lang w:bidi="fa-IR"/>
        </w:rPr>
        <w:t>تفسیر سوره حمد و ذکر آمین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و مفسران؛ این کتاب ترجمه کتاب التفسیر و المفسرون فی ثوبة القشیب است که دو تن از شاگردان فاضل ایشان آن را به فارسی ترجمه کرده آند و مطالب مختصری به آن افزوده شده که در دو جلد، با چهارده عنوان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منابع، نقل قول های محققانه دیگران، نوآوری و ابتکار، نقش اهل بیت در تفسیر قران و بهره مندی از یک دوره کامل دانش و مکاتب مختلف، از ویژگی های منحصربه فرد این دو جلد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تنزیه انبیاء؛ همان گونه که از نام این کتاب برمی آید، موضوع این کتاب بررسی آیات قرآن درباره پیامبران الهی و عصمت آنان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علوم قرآنی؛ این کتاب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بررسی مباحث علوم قرآن می پردازد که عناوین عمده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وحی؛ نزول قرآن، جمع و تألیف قرآن؛ قراء و قرائات سبع؛ نسخ در قرآن؛ محکم و متشابه؛ وجوه و نظایر در قرآن؛ اعجاز قرآن و دفع شبهه تحریف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معارفی از قرآن؛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آیات؛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علوم قرآنی؛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القرآن الکریم؛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سوره الحجرات؛ </w:t>
      </w:r>
      <w:bookmarkStart w:id="49" w:name="pg3486_19106"/>
    </w:p>
    <w:p>
      <w:pPr>
        <w:pStyle w:val="Heading2"/>
        <w:numPr>
          <w:ilvl w:val="1"/>
          <w:numId w:val="1"/>
        </w:numPr>
        <w:rPr/>
      </w:pPr>
      <w:bookmarkStart w:id="50" w:name="__RefHeading___Toc3469698_2749589250"/>
      <w:bookmarkStart w:id="51" w:name="_Toc17"/>
      <w:bookmarkEnd w:id="49"/>
      <w:bookmarkEnd w:id="50"/>
      <w:r>
        <w:rPr>
          <w:rtl w:val="true"/>
        </w:rPr>
        <w:t>آثار فقهی</w:t>
      </w:r>
      <w:bookmarkEnd w:id="51"/>
    </w:p>
    <w:p>
      <w:pPr>
        <w:pStyle w:val="BookText"/>
        <w:rPr/>
      </w:pPr>
      <w:r>
        <w:rPr>
          <w:rFonts w:ascii="IRNazanin" w:hAnsi="IRNazanin" w:eastAsia="IRNazanin"/>
          <w:color w:val="111111"/>
          <w:sz w:val="28"/>
          <w:sz w:val="28"/>
          <w:szCs w:val="28"/>
          <w:rtl w:val="true"/>
          <w:lang w:bidi="fa-IR"/>
        </w:rPr>
        <w:t>آثار فقهی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تمهید القواعد؛ این کتاب در یک مقدمه عمومی و بیست مقدمه اصولی،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فقهی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از فروعات قضای عبادات فوت شده از طرف میّت،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حدیث لاتعاد؛ این کتاب شامل سه رساله است؛ دو رساله از استاد معرفت با نام های حدیث لاتعاد و حدیث من زاد فی صلاته و یک رساله از حدیث لاتعاد به قلم علامه فشارکی که استاد معرفت از رساله مرحوم فشارکی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اقتباس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ولایة الفقیه ابعادها و حدودها؛ این کتاب خاصی است دو مقصد دارد؛ مقدص اول شامل چهار فصل درباره اثبات ولایت مطلقه فقیه است و مقصد دوم نیز در چهار فصل، نظام حکومت اسلامی را بررسی می کند و در آغازین سال های پس از پیروزی انقلاب اسلامی نگاشته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مالکیة الارض؛ با هدف پاسخ گویی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احیاگر زمین مالک آن می 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نگاشه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شرعی؛ این کتاب در چهار بخش طهارت، عبادات، معاملات و مسائل جدید و نوظهور تنظیم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فقیه؛ این کتاب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ارتحال حضرت امام رحمه الله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هجوم به پایه های اساسی حکومت اسلامی و در رأس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ولایت مطلقه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اوج رسید، این </w:t>
      </w:r>
      <w:bookmarkStart w:id="52" w:name="pg3486_19107"/>
    </w:p>
    <w:p>
      <w:pPr>
        <w:pStyle w:val="BookText"/>
        <w:rPr/>
      </w:pPr>
      <w:bookmarkEnd w:id="52"/>
      <w:r>
        <w:rPr>
          <w:rFonts w:ascii="IRNazanin" w:hAnsi="IRNazanin" w:eastAsia="IRNazanin"/>
          <w:color w:val="111111"/>
          <w:sz w:val="28"/>
          <w:sz w:val="28"/>
          <w:szCs w:val="28"/>
          <w:rtl w:val="true"/>
          <w:lang w:bidi="fa-IR"/>
        </w:rPr>
        <w:t>پاسدار دین با هوشیاری تمام و احساس خطر از روند تحولات روشن فکران، این اثرا را به زبان فارسی نگاشت</w:t>
      </w:r>
      <w:r>
        <w:rPr>
          <w:rFonts w:eastAsia="IRNazanin" w:cs="IRNazanin"/>
          <w:color w:val="111111"/>
          <w:sz w:val="28"/>
          <w:szCs w:val="28"/>
          <w:rtl w:val="true"/>
          <w:lang w:bidi="fa-IR"/>
        </w:rPr>
        <w:t>.</w:t>
      </w:r>
    </w:p>
    <w:p>
      <w:pPr>
        <w:pStyle w:val="Heading2"/>
        <w:numPr>
          <w:ilvl w:val="1"/>
          <w:numId w:val="1"/>
        </w:numPr>
        <w:rPr/>
      </w:pPr>
      <w:bookmarkStart w:id="53" w:name="__RefHeading___Toc3469700_2749589250"/>
      <w:bookmarkStart w:id="54" w:name="_Toc18"/>
      <w:bookmarkEnd w:id="53"/>
      <w:r>
        <w:rPr>
          <w:rtl w:val="true"/>
        </w:rPr>
        <w:t>آثار دیگر</w:t>
      </w:r>
      <w:bookmarkEnd w:id="54"/>
    </w:p>
    <w:p>
      <w:pPr>
        <w:pStyle w:val="BookText"/>
        <w:rPr/>
      </w:pPr>
      <w:r>
        <w:rPr>
          <w:rFonts w:ascii="IRNazanin" w:hAnsi="IRNazanin" w:eastAsia="IRNazanin"/>
          <w:color w:val="111111"/>
          <w:sz w:val="28"/>
          <w:sz w:val="28"/>
          <w:szCs w:val="28"/>
          <w:rtl w:val="true"/>
          <w:lang w:bidi="fa-IR"/>
        </w:rPr>
        <w:t>آثار دیگر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تناسخ الارواح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پرتو ولایت؛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 مدنی؛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تشریعی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محمدهادی معرفت، افزون بر آثاری که برشمرده شد، آثار دیگری نیز بر جای مانده است که نام بردن از همه آنهادر این مجال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ایشان صدها مقاله تحقیقی ارزشمند در مجله های مختلف دینی نگاشته اند که در این پژوهش جای پرداختن به آن نیست</w:t>
      </w:r>
      <w:r>
        <w:rPr>
          <w:rFonts w:eastAsia="IRNazanin" w:cs="IRNazanin"/>
          <w:color w:val="111111"/>
          <w:sz w:val="28"/>
          <w:szCs w:val="28"/>
          <w:rtl w:val="true"/>
          <w:lang w:bidi="fa-IR"/>
        </w:rPr>
        <w:t>.</w:t>
      </w:r>
    </w:p>
    <w:p>
      <w:pPr>
        <w:pStyle w:val="Heading2"/>
        <w:numPr>
          <w:ilvl w:val="1"/>
          <w:numId w:val="1"/>
        </w:numPr>
        <w:rPr/>
      </w:pPr>
      <w:bookmarkStart w:id="55" w:name="__RefHeading___Toc3469702_2749589250"/>
      <w:bookmarkStart w:id="56" w:name="_Toc19"/>
      <w:bookmarkEnd w:id="55"/>
      <w:r>
        <w:rPr>
          <w:rtl w:val="true"/>
        </w:rPr>
        <w:t>بر بستر خاک</w:t>
      </w:r>
      <w:bookmarkEnd w:id="56"/>
    </w:p>
    <w:p>
      <w:pPr>
        <w:pStyle w:val="BookText"/>
        <w:rPr/>
      </w:pPr>
      <w:r>
        <w:rPr>
          <w:rFonts w:ascii="IRNazanin" w:hAnsi="IRNazanin" w:eastAsia="IRNazanin"/>
          <w:color w:val="111111"/>
          <w:sz w:val="28"/>
          <w:sz w:val="28"/>
          <w:szCs w:val="28"/>
          <w:rtl w:val="true"/>
          <w:lang w:bidi="fa-IR"/>
        </w:rPr>
        <w:t>بر بستر خاک</w:t>
      </w:r>
    </w:p>
    <w:p>
      <w:pPr>
        <w:pStyle w:val="BookText"/>
        <w:rPr/>
      </w:pPr>
      <w:r>
        <w:rPr>
          <w:rFonts w:ascii="IRNazanin" w:hAnsi="IRNazanin" w:eastAsia="IRNazanin"/>
          <w:color w:val="111111"/>
          <w:sz w:val="28"/>
          <w:sz w:val="28"/>
          <w:szCs w:val="28"/>
          <w:rtl w:val="true"/>
          <w:lang w:bidi="fa-IR"/>
        </w:rPr>
        <w:t>امروز، آن حنجره ملکوتی خاموش شده و آن قلم که حدود سی سال تحقیق و پژوهش را رقم زده بود، از حرکت بازمانده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محبوب برگزیده و آن قرآن شناس نامور در خاک آرام گرفته و سبوی شکسته و پیمانه ریخته است و ما در حسرت آن، هر شب عزادارتر و در هر نفس، داغدارتریم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معرفت، نیمه های شب روز سی ام دی 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چشم از جهان فرو بست و به سوی خدا پر کشید و به راستی چه نیکو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العالم ثلم فی الاسلام ثلمة لایسدها شیء</w:t>
      </w:r>
      <w:r>
        <w:rPr>
          <w:rFonts w:eastAsia="IRNazanin" w:cs="IRNazanin"/>
          <w:color w:val="111111"/>
          <w:sz w:val="28"/>
          <w:szCs w:val="28"/>
          <w:rtl w:val="true"/>
          <w:lang w:bidi="fa-IR"/>
        </w:rPr>
        <w:t xml:space="preserve">». </w:t>
      </w:r>
      <w:bookmarkStart w:id="57" w:name="pg3486_19108"/>
    </w:p>
    <w:p>
      <w:pPr>
        <w:pStyle w:val="BookText"/>
        <w:rPr/>
      </w:pPr>
      <w:bookmarkEnd w:id="57"/>
      <w:r>
        <w:rPr>
          <w:rFonts w:ascii="IRNazanin" w:hAnsi="IRNazanin" w:eastAsia="IRNazanin"/>
          <w:color w:val="111111"/>
          <w:sz w:val="28"/>
          <w:sz w:val="28"/>
          <w:szCs w:val="28"/>
          <w:rtl w:val="true"/>
          <w:lang w:bidi="fa-IR"/>
        </w:rPr>
        <w:t>دیگر چه کسی دست و دستار تهی ما را از استدلال های حکیمانه پر خواهد کرد؟ دیگر کدام قرآن پژوهی در تنگنای پیچیدگی های علمی راه را به ما نشان خواهد داد؟</w:t>
      </w:r>
    </w:p>
    <w:p>
      <w:pPr>
        <w:pStyle w:val="BookText"/>
        <w:rPr/>
      </w:pPr>
      <w:r>
        <w:rPr>
          <w:rFonts w:ascii="IRNazanin" w:hAnsi="IRNazanin" w:eastAsia="IRNazanin"/>
          <w:color w:val="111111"/>
          <w:sz w:val="28"/>
          <w:sz w:val="28"/>
          <w:szCs w:val="28"/>
          <w:rtl w:val="true"/>
          <w:lang w:bidi="fa-IR"/>
        </w:rPr>
        <w:t>با پر کشیدن آیت الله معرفت، تشیع غریب، حامی بزرگ خود را از دست داد؛ حامی ای که در برابر تهمت های ناجوانمردانه قد علم می کرد و سینه سپر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مطهر آیت الله معرفت پس از تشییعی باشکوه، در جوار کریمه اهل بیت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تا رهروان راه حق و حقیقت و پویندگان راه قرآن، از روح ملکوتی اش استمداد جویند و راهی را بپیمایند که او پیموده بود و ادامه دهنده راه پرفروغ قرآن باشند</w:t>
      </w:r>
      <w:r>
        <w:rPr>
          <w:rFonts w:eastAsia="IRNazanin" w:cs="IRNazanin"/>
          <w:color w:val="111111"/>
          <w:sz w:val="28"/>
          <w:szCs w:val="28"/>
          <w:rtl w:val="true"/>
          <w:lang w:bidi="fa-IR"/>
        </w:rPr>
        <w:t>.</w:t>
      </w:r>
    </w:p>
    <w:p>
      <w:pPr>
        <w:pStyle w:val="Heading2"/>
        <w:numPr>
          <w:ilvl w:val="1"/>
          <w:numId w:val="1"/>
        </w:numPr>
        <w:rPr/>
      </w:pPr>
      <w:bookmarkStart w:id="58" w:name="__RefHeading___Toc3469704_2749589250"/>
      <w:bookmarkStart w:id="59" w:name="_Toc20"/>
      <w:bookmarkEnd w:id="58"/>
      <w:r>
        <w:rPr>
          <w:rtl w:val="true"/>
        </w:rPr>
        <w:t>پیام تسلیت</w:t>
      </w:r>
      <w:bookmarkEnd w:id="59"/>
    </w:p>
    <w:p>
      <w:pPr>
        <w:pStyle w:val="BookText"/>
        <w:rPr/>
      </w:pPr>
      <w:r>
        <w:rPr>
          <w:rFonts w:ascii="IRNazanin" w:hAnsi="IRNazanin" w:eastAsia="IRNazanin"/>
          <w:color w:val="111111"/>
          <w:sz w:val="28"/>
          <w:sz w:val="28"/>
          <w:szCs w:val="28"/>
          <w:rtl w:val="true"/>
          <w:lang w:bidi="fa-IR"/>
        </w:rPr>
        <w:t>پیام تسلیت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رحلت این علامه آگاه و فقیه بزرگوار، پیام های تسلیت در روزنامه ها، جراید و نشریه های گوناگون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حضرت آیت الله خامنه ای ـ مدظله العالی ـ و مقام های مهم کشوری به بیت معظم له و مردم ایران تسلیت گفتند و فقدان وی را ضایعه ای جبران ناپذیر عنوان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میان می توان به پیام های تسلیت آقای هاشمی رفسنجانی، رئیس مجمع تشخیص مصلحت نظام و رئیس مجلس خبرگان رهبری؛ آقای احمدی نژاد، رئیس جمهور محترم؛ آقای هاشمی شاهرودی، رئیس قوه قضائیه؛ آقای سیدمحمد خاتمی، رئیس جمهور سابق؛ دکتر فرزانه، ریاست مرکز فعالیت ها و پژوهش های قرآن و عترت دانشگاه آزاد اسلامی؛ استاندار </w:t>
      </w:r>
    </w:p>
    <w:p>
      <w:pPr>
        <w:pStyle w:val="BookText"/>
        <w:rPr/>
      </w:pPr>
      <w:r>
        <w:rPr>
          <w:rFonts w:ascii="IRNazanin" w:hAnsi="IRNazanin" w:eastAsia="IRNazanin"/>
          <w:color w:val="111111"/>
          <w:sz w:val="28"/>
          <w:sz w:val="28"/>
          <w:szCs w:val="28"/>
          <w:rtl w:val="true"/>
          <w:lang w:bidi="fa-IR"/>
        </w:rPr>
        <w:t xml:space="preserve">قم؛ سازمان دار القرآن الکریم؛ وزیر فرهنگ و ارشاد اسلامی؛ مجمع مدرسین و محققین حوزه علمیه قم؛ دکتر سید طه مرقاتی، قائم مقام و معاون پژوهشی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محمد حسین فضل الله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مدرسین حوزه علمیه قم نیز پیام تسلیتی با این متن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انا لله وانا الیه راجعون</w:t>
      </w:r>
    </w:p>
    <w:p>
      <w:pPr>
        <w:pStyle w:val="BookText"/>
        <w:rPr/>
      </w:pP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ارتحال عالم جلیل القدر، مجاهد فی سبیل الله و اصولی مبرز، حضرت آیت الله معرفت موجب تأسف و تأثر شدید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اسوه مجاهدت از سال ها پیش از انقلاب، در صحنه مبارزه با رژیم پهلوی پیش قدم بود و فرزند خویش را نیز در جنگ تحمیلی تقدیم انقلاب اسلامی نمود و در صحنه علم و اجتهاد نیز با تدریس و تحصیل در نجف اشرف و قم مقدسه، منشأ برکات و ثمرات فراوان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تتبع او در علوم قرآنی و تفسیر، با استفاده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موجب گشوده شدن فصل نوینی در زوایای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غامض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آشنای دیرینه مردم قم در کرسی موعظه و ارشاد نیز منشأ تربیت انسان های مستعد و متخلق گردید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مدرسین حوزه علمیه قم، عروج این فقیه وارسته و عضو برجسته والامقام خود را به حضرت بقیه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مقام معظم </w:t>
      </w:r>
    </w:p>
    <w:p>
      <w:pPr>
        <w:pStyle w:val="BookText"/>
        <w:rPr/>
      </w:pPr>
      <w:r>
        <w:rPr>
          <w:rFonts w:ascii="IRNazanin" w:hAnsi="IRNazanin" w:eastAsia="IRNazanin"/>
          <w:color w:val="111111"/>
          <w:sz w:val="28"/>
          <w:sz w:val="28"/>
          <w:szCs w:val="28"/>
          <w:rtl w:val="true"/>
          <w:lang w:bidi="fa-IR"/>
        </w:rPr>
        <w:t>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 عظام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علمای اعلام و بیت معظم ایشان تسلیت و تعزیت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حشر و نشر او را در عالم ملکوت با پیامبر اعظم صلی الله علیه و آله از خداوند متعال مسألت می نماید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مدرسین حوزه علمیه قم </w:t>
      </w:r>
      <w:bookmarkStart w:id="60" w:name="pg3486_19111"/>
    </w:p>
    <w:p>
      <w:pPr>
        <w:pStyle w:val="Heading2"/>
        <w:numPr>
          <w:ilvl w:val="1"/>
          <w:numId w:val="1"/>
        </w:numPr>
        <w:rPr/>
      </w:pPr>
      <w:bookmarkStart w:id="61" w:name="__RefHeading___Toc3469706_2749589250"/>
      <w:bookmarkStart w:id="62" w:name="_Toc21"/>
      <w:bookmarkEnd w:id="60"/>
      <w:bookmarkEnd w:id="61"/>
      <w:r>
        <w:rPr>
          <w:rtl w:val="true"/>
        </w:rPr>
        <w:t>تصاویر</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تصاویر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44" o:detectmouseclick="t"/>
                <v:stroke color="#3465a4" joinstyle="round" endcap="flat"/>
                <w10:wrap type="none"/>
              </v:shape>
            </w:pict>
          </mc:Fallback>
        </mc:AlternateConten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6"/>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47" o:detectmouseclick="t"/>
                <v:stroke color="#3465a4" joinstyle="round" endcap="flat"/>
                <w10:wrap type="none"/>
              </v:shape>
            </w:pict>
          </mc:Fallback>
        </mc:AlternateConten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505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
                        <a:stretch/>
                      </pic:blipFill>
                      <pic:spPr>
                        <a:xfrm>
                          <a:off x="0" y="0"/>
                          <a:ext cx="5334120" cy="3505320"/>
                        </a:xfrm>
                        <a:prstGeom prst="rect">
                          <a:avLst/>
                        </a:prstGeom>
                        <a:ln w="0">
                          <a:noFill/>
                        </a:ln>
                      </pic:spPr>
                    </pic:pic>
                  </a:graphicData>
                </a:graphic>
              </wp:inline>
            </w:drawing>
          </mc:Choice>
          <mc:Fallback>
            <w:pict>
              <v:shape id="shape_0" stroked="f" o:allowincell="f" style="position:absolute;margin-left:0pt;margin-top:-276.05pt;width:419.95pt;height:275.95pt;mso-wrap-style:none;v-text-anchor:middle;mso-position-horizontal:left;mso-position-vertical:top" type="_x0000_t75">
                <v:imagedata r:id="rId50" o:detectmouseclick="t"/>
                <v:stroke color="#3465a4" joinstyle="round" endcap="flat"/>
                <w10:wrap type="none"/>
              </v:shape>
            </w:pict>
          </mc:Fallback>
        </mc:AlternateConten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4544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2"/>
                        <a:stretch/>
                      </pic:blipFill>
                      <pic:spPr>
                        <a:xfrm>
                          <a:off x="0" y="0"/>
                          <a:ext cx="5334120" cy="3454560"/>
                        </a:xfrm>
                        <a:prstGeom prst="rect">
                          <a:avLst/>
                        </a:prstGeom>
                        <a:ln w="0">
                          <a:noFill/>
                        </a:ln>
                      </pic:spPr>
                    </pic:pic>
                  </a:graphicData>
                </a:graphic>
              </wp:inline>
            </w:drawing>
          </mc:Choice>
          <mc:Fallback>
            <w:pict>
              <v:shape id="shape_0" stroked="f" o:allowincell="f" style="position:absolute;margin-left:0pt;margin-top:-272.05pt;width:419.95pt;height:271.95pt;mso-wrap-style:none;v-text-anchor:middle;mso-position-horizontal:left;mso-position-vertical:top" type="_x0000_t75">
                <v:imagedata r:id="rId53" o:detectmouseclick="t"/>
                <v:stroke color="#3465a4" joinstyle="round" endcap="flat"/>
                <w10:wrap type="none"/>
              </v:shape>
            </w:pict>
          </mc:Fallback>
        </mc:AlternateConten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703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5"/>
                        <a:stretch/>
                      </pic:blipFill>
                      <pic:spPr>
                        <a:xfrm>
                          <a:off x="0" y="0"/>
                          <a:ext cx="5334120" cy="3670200"/>
                        </a:xfrm>
                        <a:prstGeom prst="rect">
                          <a:avLst/>
                        </a:prstGeom>
                        <a:ln w="0">
                          <a:noFill/>
                        </a:ln>
                      </pic:spPr>
                    </pic:pic>
                  </a:graphicData>
                </a:graphic>
              </wp:inline>
            </w:drawing>
          </mc:Choice>
          <mc:Fallback>
            <w:pict>
              <v:shape id="shape_0" stroked="f" o:allowincell="f" style="position:absolute;margin-left:0pt;margin-top:-289.05pt;width:419.95pt;height:288.95pt;mso-wrap-style:none;v-text-anchor:middle;mso-position-horizontal:left;mso-position-vertical:top" type="_x0000_t75">
                <v:imagedata r:id="rId56" o:detectmouseclick="t"/>
                <v:stroke color="#3465a4" joinstyle="round" endcap="flat"/>
                <w10:wrap type="none"/>
              </v:shape>
            </w:pict>
          </mc:Fallback>
        </mc:AlternateConten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449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8"/>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59" o:detectmouseclick="t"/>
                <v:stroke color="#3465a4" joinstyle="round" endcap="flat"/>
                <w10:wrap type="none"/>
              </v:shape>
            </w:pict>
          </mc:Fallback>
        </mc:AlternateConten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3657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5334120" cy="3657600"/>
                        </a:xfrm>
                        <a:prstGeom prst="rect">
                          <a:avLst/>
                        </a:prstGeom>
                        <a:ln w="0">
                          <a:noFill/>
                        </a:ln>
                      </pic:spPr>
                    </pic:pic>
                  </a:graphicData>
                </a:graphic>
              </wp:inline>
            </w:drawing>
          </mc:Choice>
          <mc:Fallback>
            <w:pict>
              <v:shape id="shape_0" stroked="f" o:allowincell="f" style="position:absolute;margin-left:0pt;margin-top:-288.05pt;width:419.95pt;height:287.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5334000" cy="44704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5334120" cy="4470480"/>
                        </a:xfrm>
                        <a:prstGeom prst="rect">
                          <a:avLst/>
                        </a:prstGeom>
                        <a:ln w="0">
                          <a:noFill/>
                        </a:ln>
                      </pic:spPr>
                    </pic:pic>
                  </a:graphicData>
                </a:graphic>
              </wp:inline>
            </w:drawing>
          </mc:Choice>
          <mc:Fallback>
            <w:pict>
              <v:shape id="shape_0" stroked="f" o:allowincell="f" style="position:absolute;margin-left:0pt;margin-top:-352.05pt;width:419.95pt;height:351.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6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 رابطه با آیت الله محمدهادی معرفت علاوه بر چاپ نوشته حاضر، تعداد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راش و تولید برنامه تلویزیونی با عنوان سرای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آرشیو خود اطلاعات مکتوب و همین طور در بانک عکس تعداد قابل توجه عکس از این شخصیت را دارا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تقاضا از طرف محققین، برنامه سازان و علاقمندان را پاسخگو و آماده دریافت اطلاعات در این خصوص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 xml:space="preserve">: </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آدرس سایت و پست الکترونیکی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Emial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ـ </w:t>
      </w:r>
      <w:r>
        <w:rPr>
          <w:rFonts w:eastAsia="Times New Roman" w:cs="Times New Roman" w:ascii="Times New Roman" w:hAnsi="Times New Roman"/>
          <w:color w:val="111111"/>
          <w:sz w:val="28"/>
          <w:szCs w:val="28"/>
          <w:lang w:val="en-US" w:bidi="en-US"/>
        </w:rPr>
        <w:t>www.irc.ir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کباری، سیدعلیرضا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حوزه‌های علمیه شیعه در گستره جهان، نتشارات امیرکبیر، چاپ اول،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آفتاب معرفت، مؤسسه فرهنگی تمهید،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افق حوزه،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image" Target="media/image3.png"/><Relationship Id="rId44" Type="http://schemas.openxmlformats.org/officeDocument/2006/relationships/image" Target="media/image3.png"/><Relationship Id="rId45" Type="http://schemas.openxmlformats.org/officeDocument/2006/relationships/footer" Target="footer38.xml"/><Relationship Id="rId46" Type="http://schemas.openxmlformats.org/officeDocument/2006/relationships/image" Target="media/image4.png"/><Relationship Id="rId47" Type="http://schemas.openxmlformats.org/officeDocument/2006/relationships/image" Target="media/image4.png"/><Relationship Id="rId48" Type="http://schemas.openxmlformats.org/officeDocument/2006/relationships/footer" Target="footer39.xml"/><Relationship Id="rId49" Type="http://schemas.openxmlformats.org/officeDocument/2006/relationships/image" Target="media/image5.png"/><Relationship Id="rId50" Type="http://schemas.openxmlformats.org/officeDocument/2006/relationships/image" Target="media/image5.png"/><Relationship Id="rId51" Type="http://schemas.openxmlformats.org/officeDocument/2006/relationships/footer" Target="footer40.xml"/><Relationship Id="rId52" Type="http://schemas.openxmlformats.org/officeDocument/2006/relationships/image" Target="media/image6.png"/><Relationship Id="rId53" Type="http://schemas.openxmlformats.org/officeDocument/2006/relationships/image" Target="media/image6.png"/><Relationship Id="rId54" Type="http://schemas.openxmlformats.org/officeDocument/2006/relationships/footer" Target="footer41.xml"/><Relationship Id="rId55" Type="http://schemas.openxmlformats.org/officeDocument/2006/relationships/image" Target="media/image7.png"/><Relationship Id="rId56" Type="http://schemas.openxmlformats.org/officeDocument/2006/relationships/image" Target="media/image7.png"/><Relationship Id="rId57" Type="http://schemas.openxmlformats.org/officeDocument/2006/relationships/footer" Target="footer42.xml"/><Relationship Id="rId58" Type="http://schemas.openxmlformats.org/officeDocument/2006/relationships/image" Target="media/image8.png"/><Relationship Id="rId59" Type="http://schemas.openxmlformats.org/officeDocument/2006/relationships/image" Target="media/image8.png"/><Relationship Id="rId60" Type="http://schemas.openxmlformats.org/officeDocument/2006/relationships/footer" Target="footer43.xml"/><Relationship Id="rId61" Type="http://schemas.openxmlformats.org/officeDocument/2006/relationships/image" Target="media/image9.png"/><Relationship Id="rId62" Type="http://schemas.openxmlformats.org/officeDocument/2006/relationships/image" Target="media/image9.png"/><Relationship Id="rId63" Type="http://schemas.openxmlformats.org/officeDocument/2006/relationships/footer" Target="footer44.xml"/><Relationship Id="rId64" Type="http://schemas.openxmlformats.org/officeDocument/2006/relationships/image" Target="media/image10.png"/><Relationship Id="rId65" Type="http://schemas.openxmlformats.org/officeDocument/2006/relationships/image" Target="media/image10.png"/><Relationship Id="rId66" Type="http://schemas.openxmlformats.org/officeDocument/2006/relationships/footer" Target="footer45.xml"/><Relationship Id="rId67" Type="http://schemas.openxmlformats.org/officeDocument/2006/relationships/image" Target="media/image11.png"/><Relationship Id="rId68" Type="http://schemas.openxmlformats.org/officeDocument/2006/relationships/image" Target="media/image11.png"/><Relationship Id="rId69" Type="http://schemas.openxmlformats.org/officeDocument/2006/relationships/footer" Target="footer46.xml"/><Relationship Id="rId70" Type="http://schemas.openxmlformats.org/officeDocument/2006/relationships/footer" Target="footer47.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48.xml"/><Relationship Id="rId74" Type="http://schemas.openxmlformats.org/officeDocument/2006/relationships/footnotes" Target="footnotes.xml"/><Relationship Id="rId75" Type="http://schemas.openxmlformats.org/officeDocument/2006/relationships/numbering" Target="numbering.xml"/><Relationship Id="rId76" Type="http://schemas.openxmlformats.org/officeDocument/2006/relationships/fontTable" Target="fontTable.xml"/><Relationship Id="rId77" Type="http://schemas.openxmlformats.org/officeDocument/2006/relationships/settings" Target="settings.xml"/><Relationship Id="rId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Pages>
  <Words>7849</Words>
  <Characters>29560</Characters>
  <CharactersWithSpaces>37091</CharactersWithSpaces>
  <Paragraphs>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2026-08-17T23:18:36Z</dcterms:created>
  <dc:creator>ghaemiyeh.com</dc:creator>
  <dc:description/>
  <dc:language>en-US</dc:language>
  <cp:lastModifiedBy/>
  <dcterms:modified xsi:type="dcterms:W3CDTF">2026-08-18T02:48:40Z</dcterms:modified>
  <cp:revision>1</cp:revision>
  <dc:subject/>
  <dc:title>حیات نیکان 3 آیت الله محمدهادی معرفت</dc:title>
</cp:coreProperties>
</file>

<file path=docProps/custom.xml><?xml version="1.0" encoding="utf-8"?>
<Properties xmlns="http://schemas.openxmlformats.org/officeDocument/2006/custom-properties" xmlns:vt="http://schemas.openxmlformats.org/officeDocument/2006/docPropsVTypes"/>
</file>