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المتاجر المحرمه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3523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813525_3804643083">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3813527_3804643083">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813529_3804643083">
            <w:r>
              <w:rPr>
                <w:webHidden/>
                <w:rStyle w:val="IndexLink"/>
                <w:rtl w:val="true"/>
              </w:rPr>
              <w:t>نبذة من حياة الشيخ مهدي الغطاء</w:t>
            </w:r>
            <w:r>
              <w:rPr>
                <w:rStyle w:val="IndexLink"/>
                <w:rtl w:val="true"/>
              </w:rPr>
              <w:tab/>
            </w:r>
            <w:r>
              <w:rPr>
                <w:rStyle w:val="IndexLink"/>
              </w:rPr>
              <w:t>10</w:t>
            </w:r>
          </w:hyperlink>
        </w:p>
        <w:p>
          <w:pPr>
            <w:pStyle w:val="Contents4"/>
            <w:tabs>
              <w:tab w:val="clear" w:pos="8176"/>
              <w:tab w:val="right" w:pos="9026" w:leader="dot"/>
            </w:tabs>
            <w:rPr/>
          </w:pPr>
          <w:hyperlink w:anchor="__RefHeading___Toc3813531_3804643083">
            <w:r>
              <w:rPr>
                <w:webHidden/>
                <w:rStyle w:val="IndexLink"/>
                <w:rtl w:val="true"/>
              </w:rPr>
              <w:t>اسمه و نسبه</w:t>
            </w:r>
            <w:r>
              <w:rPr>
                <w:rStyle w:val="IndexLink"/>
                <w:rtl w:val="true"/>
              </w:rPr>
              <w:tab/>
            </w:r>
            <w:r>
              <w:rPr>
                <w:rStyle w:val="IndexLink"/>
              </w:rPr>
              <w:t>10</w:t>
            </w:r>
          </w:hyperlink>
        </w:p>
        <w:p>
          <w:pPr>
            <w:pStyle w:val="Contents4"/>
            <w:tabs>
              <w:tab w:val="clear" w:pos="8176"/>
              <w:tab w:val="right" w:pos="9026" w:leader="dot"/>
            </w:tabs>
            <w:rPr/>
          </w:pPr>
          <w:hyperlink w:anchor="__RefHeading___Toc3813533_3804643083">
            <w:r>
              <w:rPr>
                <w:webHidden/>
                <w:rStyle w:val="IndexLink"/>
                <w:rtl w:val="true"/>
              </w:rPr>
              <w:t>ولادته</w:t>
            </w:r>
            <w:r>
              <w:rPr>
                <w:rStyle w:val="IndexLink"/>
                <w:rtl w:val="true"/>
              </w:rPr>
              <w:tab/>
            </w:r>
            <w:r>
              <w:rPr>
                <w:rStyle w:val="IndexLink"/>
              </w:rPr>
              <w:t>10</w:t>
            </w:r>
          </w:hyperlink>
        </w:p>
        <w:p>
          <w:pPr>
            <w:pStyle w:val="Contents4"/>
            <w:tabs>
              <w:tab w:val="clear" w:pos="8176"/>
              <w:tab w:val="right" w:pos="9026" w:leader="dot"/>
            </w:tabs>
            <w:rPr/>
          </w:pPr>
          <w:hyperlink w:anchor="__RefHeading___Toc3813535_3804643083">
            <w:r>
              <w:rPr>
                <w:webHidden/>
                <w:rStyle w:val="IndexLink"/>
                <w:rtl w:val="true"/>
              </w:rPr>
              <w:t>مكانته</w:t>
            </w:r>
            <w:r>
              <w:rPr>
                <w:rStyle w:val="IndexLink"/>
                <w:rtl w:val="true"/>
              </w:rPr>
              <w:tab/>
            </w:r>
            <w:r>
              <w:rPr>
                <w:rStyle w:val="IndexLink"/>
              </w:rPr>
              <w:t>10</w:t>
            </w:r>
          </w:hyperlink>
        </w:p>
        <w:p>
          <w:pPr>
            <w:pStyle w:val="Contents4"/>
            <w:tabs>
              <w:tab w:val="clear" w:pos="8176"/>
              <w:tab w:val="right" w:pos="9026" w:leader="dot"/>
            </w:tabs>
            <w:rPr/>
          </w:pPr>
          <w:hyperlink w:anchor="__RefHeading___Toc3813537_3804643083">
            <w:r>
              <w:rPr>
                <w:webHidden/>
                <w:rStyle w:val="IndexLink"/>
                <w:rtl w:val="true"/>
              </w:rPr>
              <w:t>أساتذته</w:t>
            </w:r>
            <w:r>
              <w:rPr>
                <w:rStyle w:val="IndexLink"/>
                <w:rtl w:val="true"/>
              </w:rPr>
              <w:tab/>
            </w:r>
            <w:r>
              <w:rPr>
                <w:rStyle w:val="IndexLink"/>
              </w:rPr>
              <w:t>12</w:t>
            </w:r>
          </w:hyperlink>
        </w:p>
        <w:p>
          <w:pPr>
            <w:pStyle w:val="Contents4"/>
            <w:tabs>
              <w:tab w:val="clear" w:pos="8176"/>
              <w:tab w:val="right" w:pos="9026" w:leader="dot"/>
            </w:tabs>
            <w:rPr/>
          </w:pPr>
          <w:hyperlink w:anchor="__RefHeading___Toc3813539_3804643083">
            <w:r>
              <w:rPr>
                <w:webHidden/>
                <w:rStyle w:val="IndexLink"/>
                <w:rtl w:val="true"/>
              </w:rPr>
              <w:t>تلامذته</w:t>
            </w:r>
            <w:r>
              <w:rPr>
                <w:rStyle w:val="IndexLink"/>
                <w:rtl w:val="true"/>
              </w:rPr>
              <w:tab/>
            </w:r>
            <w:r>
              <w:rPr>
                <w:rStyle w:val="IndexLink"/>
              </w:rPr>
              <w:t>12</w:t>
            </w:r>
          </w:hyperlink>
        </w:p>
        <w:p>
          <w:pPr>
            <w:pStyle w:val="Contents4"/>
            <w:tabs>
              <w:tab w:val="clear" w:pos="8176"/>
              <w:tab w:val="right" w:pos="9026" w:leader="dot"/>
            </w:tabs>
            <w:rPr/>
          </w:pPr>
          <w:hyperlink w:anchor="__RefHeading___Toc3813541_3804643083">
            <w:r>
              <w:rPr>
                <w:webHidden/>
                <w:rStyle w:val="IndexLink"/>
                <w:rtl w:val="true"/>
              </w:rPr>
              <w:t>آثاره</w:t>
            </w:r>
            <w:r>
              <w:rPr>
                <w:rStyle w:val="IndexLink"/>
                <w:rtl w:val="true"/>
              </w:rPr>
              <w:tab/>
            </w:r>
            <w:r>
              <w:rPr>
                <w:rStyle w:val="IndexLink"/>
              </w:rPr>
              <w:t>12</w:t>
            </w:r>
          </w:hyperlink>
        </w:p>
        <w:p>
          <w:pPr>
            <w:pStyle w:val="Contents4"/>
            <w:tabs>
              <w:tab w:val="clear" w:pos="8176"/>
              <w:tab w:val="right" w:pos="9026" w:leader="dot"/>
            </w:tabs>
            <w:rPr/>
          </w:pPr>
          <w:hyperlink w:anchor="__RefHeading___Toc3813543_3804643083">
            <w:r>
              <w:rPr>
                <w:webHidden/>
                <w:rStyle w:val="IndexLink"/>
                <w:rtl w:val="true"/>
              </w:rPr>
              <w:t>مؤلفاته</w:t>
            </w:r>
            <w:r>
              <w:rPr>
                <w:rStyle w:val="IndexLink"/>
                <w:rtl w:val="true"/>
              </w:rPr>
              <w:tab/>
            </w:r>
            <w:r>
              <w:rPr>
                <w:rStyle w:val="IndexLink"/>
              </w:rPr>
              <w:t>12</w:t>
            </w:r>
          </w:hyperlink>
        </w:p>
        <w:p>
          <w:pPr>
            <w:pStyle w:val="Contents4"/>
            <w:tabs>
              <w:tab w:val="clear" w:pos="8176"/>
              <w:tab w:val="right" w:pos="9026" w:leader="dot"/>
            </w:tabs>
            <w:rPr/>
          </w:pPr>
          <w:hyperlink w:anchor="__RefHeading___Toc3813545_3804643083">
            <w:r>
              <w:rPr>
                <w:webHidden/>
                <w:rStyle w:val="IndexLink"/>
                <w:rtl w:val="true"/>
              </w:rPr>
              <w:t>أولاده</w:t>
            </w:r>
            <w:r>
              <w:rPr>
                <w:rStyle w:val="IndexLink"/>
                <w:rtl w:val="true"/>
              </w:rPr>
              <w:tab/>
            </w:r>
            <w:r>
              <w:rPr>
                <w:rStyle w:val="IndexLink"/>
              </w:rPr>
              <w:t>12</w:t>
            </w:r>
          </w:hyperlink>
        </w:p>
        <w:p>
          <w:pPr>
            <w:pStyle w:val="Contents4"/>
            <w:tabs>
              <w:tab w:val="clear" w:pos="8176"/>
              <w:tab w:val="right" w:pos="9026" w:leader="dot"/>
            </w:tabs>
            <w:rPr/>
          </w:pPr>
          <w:hyperlink w:anchor="__RefHeading___Toc3813547_3804643083">
            <w:r>
              <w:rPr>
                <w:webHidden/>
                <w:rStyle w:val="IndexLink"/>
                <w:rtl w:val="true"/>
              </w:rPr>
              <w:t>وفاته</w:t>
            </w:r>
            <w:r>
              <w:rPr>
                <w:rStyle w:val="IndexLink"/>
                <w:rtl w:val="true"/>
              </w:rPr>
              <w:tab/>
            </w:r>
            <w:r>
              <w:rPr>
                <w:rStyle w:val="IndexLink"/>
              </w:rPr>
              <w:t>13</w:t>
            </w:r>
          </w:hyperlink>
        </w:p>
        <w:p>
          <w:pPr>
            <w:pStyle w:val="Contents2"/>
            <w:tabs>
              <w:tab w:val="clear" w:pos="8743"/>
              <w:tab w:val="right" w:pos="9026" w:leader="dot"/>
            </w:tabs>
            <w:rPr/>
          </w:pPr>
          <w:hyperlink w:anchor="__RefHeading___Toc3813549_3804643083">
            <w:r>
              <w:rPr>
                <w:webHidden/>
                <w:rStyle w:val="IndexLink"/>
                <w:rtl w:val="true"/>
              </w:rPr>
              <w:t>مقدمة المصنف</w:t>
            </w:r>
            <w:r>
              <w:rPr>
                <w:rStyle w:val="IndexLink"/>
                <w:rtl w:val="true"/>
              </w:rPr>
              <w:tab/>
            </w:r>
            <w:r>
              <w:rPr>
                <w:rStyle w:val="IndexLink"/>
              </w:rPr>
              <w:t>13</w:t>
            </w:r>
          </w:hyperlink>
        </w:p>
        <w:p>
          <w:pPr>
            <w:pStyle w:val="Contents2"/>
            <w:tabs>
              <w:tab w:val="clear" w:pos="8743"/>
              <w:tab w:val="right" w:pos="9026" w:leader="dot"/>
            </w:tabs>
            <w:rPr/>
          </w:pPr>
          <w:hyperlink w:anchor="__RefHeading___Toc3813551_3804643083">
            <w:r>
              <w:rPr>
                <w:webHidden/>
                <w:rStyle w:val="IndexLink"/>
                <w:rtl w:val="true"/>
              </w:rPr>
              <w:t>كتاب التجارة</w:t>
            </w:r>
            <w:r>
              <w:rPr>
                <w:rStyle w:val="IndexLink"/>
                <w:rtl w:val="true"/>
              </w:rPr>
              <w:tab/>
            </w:r>
            <w:r>
              <w:rPr>
                <w:rStyle w:val="IndexLink"/>
              </w:rPr>
              <w:t>14</w:t>
            </w:r>
          </w:hyperlink>
        </w:p>
        <w:p>
          <w:pPr>
            <w:pStyle w:val="Contents3"/>
            <w:tabs>
              <w:tab w:val="clear" w:pos="8459"/>
              <w:tab w:val="right" w:pos="9026" w:leader="dot"/>
            </w:tabs>
            <w:rPr/>
          </w:pPr>
          <w:hyperlink w:anchor="__RefHeading___Toc3813553_3804643083">
            <w:r>
              <w:rPr>
                <w:webHidden/>
                <w:rStyle w:val="IndexLink"/>
                <w:rtl w:val="true"/>
              </w:rPr>
              <w:t>التجارة لغةً و مفهوماً</w:t>
            </w:r>
            <w:r>
              <w:rPr>
                <w:rStyle w:val="IndexLink"/>
                <w:rtl w:val="true"/>
              </w:rPr>
              <w:tab/>
            </w:r>
            <w:r>
              <w:rPr>
                <w:rStyle w:val="IndexLink"/>
              </w:rPr>
              <w:t>14</w:t>
            </w:r>
          </w:hyperlink>
        </w:p>
        <w:p>
          <w:pPr>
            <w:pStyle w:val="Contents3"/>
            <w:tabs>
              <w:tab w:val="clear" w:pos="8459"/>
              <w:tab w:val="right" w:pos="9026" w:leader="dot"/>
            </w:tabs>
            <w:rPr/>
          </w:pPr>
          <w:hyperlink w:anchor="__RefHeading___Toc3813555_3804643083">
            <w:r>
              <w:rPr>
                <w:webHidden/>
                <w:rStyle w:val="IndexLink"/>
                <w:rtl w:val="true"/>
              </w:rPr>
              <w:t>أقسام التجارة</w:t>
            </w:r>
            <w:r>
              <w:rPr>
                <w:rStyle w:val="IndexLink"/>
                <w:rtl w:val="true"/>
              </w:rPr>
              <w:tab/>
            </w:r>
            <w:r>
              <w:rPr>
                <w:rStyle w:val="IndexLink"/>
              </w:rPr>
              <w:t>16</w:t>
            </w:r>
          </w:hyperlink>
        </w:p>
        <w:p>
          <w:pPr>
            <w:pStyle w:val="Contents3"/>
            <w:tabs>
              <w:tab w:val="clear" w:pos="8459"/>
              <w:tab w:val="right" w:pos="9026" w:leader="dot"/>
            </w:tabs>
            <w:rPr/>
          </w:pPr>
          <w:hyperlink w:anchor="__RefHeading___Toc3813557_3804643083">
            <w:r>
              <w:rPr>
                <w:webHidden/>
                <w:rStyle w:val="IndexLink"/>
                <w:rtl w:val="true"/>
              </w:rPr>
              <w:t>الكلام في ما يكتسب به</w:t>
            </w:r>
            <w:r>
              <w:rPr>
                <w:rStyle w:val="IndexLink"/>
                <w:rtl w:val="true"/>
              </w:rPr>
              <w:tab/>
            </w:r>
            <w:r>
              <w:rPr>
                <w:rStyle w:val="IndexLink"/>
              </w:rPr>
              <w:t>21</w:t>
            </w:r>
          </w:hyperlink>
        </w:p>
        <w:p>
          <w:pPr>
            <w:pStyle w:val="Contents4"/>
            <w:tabs>
              <w:tab w:val="clear" w:pos="8176"/>
              <w:tab w:val="right" w:pos="9026" w:leader="dot"/>
            </w:tabs>
            <w:rPr/>
          </w:pPr>
          <w:hyperlink w:anchor="__RefHeading___Toc3813559_3804643083">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3813561_3804643083">
            <w:r>
              <w:rPr>
                <w:webHidden/>
                <w:rStyle w:val="IndexLink"/>
                <w:rtl w:val="true"/>
              </w:rPr>
              <w:t>فالمحرم انواع</w:t>
            </w:r>
            <w:r>
              <w:rPr>
                <w:rStyle w:val="IndexLink"/>
                <w:rtl w:val="true"/>
              </w:rPr>
              <w:t>:</w:t>
              <w:tab/>
            </w:r>
            <w:r>
              <w:rPr>
                <w:rStyle w:val="IndexLink"/>
              </w:rPr>
              <w:t>21</w:t>
            </w:r>
          </w:hyperlink>
        </w:p>
        <w:p>
          <w:pPr>
            <w:pStyle w:val="Contents5"/>
            <w:tabs>
              <w:tab w:val="clear" w:pos="7892"/>
              <w:tab w:val="right" w:pos="9026" w:leader="dot"/>
            </w:tabs>
            <w:rPr/>
          </w:pPr>
          <w:hyperlink w:anchor="__RefHeading___Toc3813563_3804643083">
            <w:r>
              <w:rPr>
                <w:webHidden/>
                <w:rStyle w:val="IndexLink"/>
                <w:rtl w:val="true"/>
              </w:rPr>
              <w:t>[</w:t>
            </w:r>
            <w:r>
              <w:rPr>
                <w:rStyle w:val="IndexLink"/>
                <w:rtl w:val="true"/>
              </w:rPr>
              <w:t>النوع الأول</w:t>
            </w:r>
            <w:r>
              <w:rPr>
                <w:rStyle w:val="IndexLink"/>
                <w:rtl w:val="true"/>
              </w:rPr>
              <w:t xml:space="preserve">: </w:t>
            </w:r>
            <w:r>
              <w:rPr>
                <w:rStyle w:val="IndexLink"/>
                <w:rtl w:val="true"/>
              </w:rPr>
              <w:t>الاعيان النجسة،</w:t>
            </w:r>
            <w:r>
              <w:rPr>
                <w:rStyle w:val="IndexLink"/>
                <w:rtl w:val="true"/>
              </w:rPr>
              <w:t>]</w:t>
              <w:tab/>
            </w:r>
            <w:r>
              <w:rPr>
                <w:rStyle w:val="IndexLink"/>
              </w:rPr>
              <w:t>21</w:t>
            </w:r>
          </w:hyperlink>
        </w:p>
        <w:p>
          <w:pPr>
            <w:pStyle w:val="Contents6"/>
            <w:tabs>
              <w:tab w:val="clear" w:pos="7609"/>
              <w:tab w:val="right" w:pos="9026" w:leader="dot"/>
            </w:tabs>
            <w:rPr/>
          </w:pPr>
          <w:hyperlink w:anchor="__RefHeading___Toc3813565_3804643083">
            <w:r>
              <w:rPr>
                <w:webHidden/>
                <w:rStyle w:val="IndexLink"/>
                <w:rtl w:val="true"/>
              </w:rPr>
              <w:t>و تنقيح المسألة يتوقف على بيان مقدمة، و مباحث</w:t>
            </w:r>
            <w:r>
              <w:rPr>
                <w:rStyle w:val="IndexLink"/>
                <w:rtl w:val="true"/>
              </w:rPr>
              <w:t>.</w:t>
              <w:tab/>
            </w:r>
            <w:r>
              <w:rPr>
                <w:rStyle w:val="IndexLink"/>
              </w:rPr>
              <w:t>21</w:t>
            </w:r>
          </w:hyperlink>
        </w:p>
        <w:p>
          <w:pPr>
            <w:pStyle w:val="Contents6"/>
            <w:tabs>
              <w:tab w:val="clear" w:pos="7609"/>
              <w:tab w:val="right" w:pos="9026" w:leader="dot"/>
            </w:tabs>
            <w:rPr/>
          </w:pPr>
          <w:hyperlink w:anchor="__RefHeading___Toc3813567_3804643083">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3813569_3804643083">
            <w:r>
              <w:rPr>
                <w:webHidden/>
                <w:rStyle w:val="IndexLink"/>
                <w:rtl w:val="true"/>
              </w:rPr>
              <w:t xml:space="preserve">أما المقدمة و هي </w:t>
            </w:r>
            <w:r>
              <w:rPr>
                <w:rStyle w:val="IndexLink"/>
                <w:rtl w:val="true"/>
              </w:rPr>
              <w:t>(</w:t>
            </w:r>
            <w:r>
              <w:rPr>
                <w:rStyle w:val="IndexLink"/>
                <w:rtl w:val="true"/>
              </w:rPr>
              <w:t>أن كل ما حرمت منافعه حرم الاكتساب به</w:t>
            </w:r>
            <w:r>
              <w:rPr>
                <w:rStyle w:val="IndexLink"/>
                <w:rtl w:val="true"/>
              </w:rPr>
              <w:t>)</w:t>
              <w:tab/>
            </w:r>
            <w:r>
              <w:rPr>
                <w:rStyle w:val="IndexLink"/>
              </w:rPr>
              <w:t>22</w:t>
            </w:r>
          </w:hyperlink>
        </w:p>
        <w:p>
          <w:pPr>
            <w:pStyle w:val="Contents6"/>
            <w:tabs>
              <w:tab w:val="clear" w:pos="7609"/>
              <w:tab w:val="right" w:pos="9026" w:leader="dot"/>
            </w:tabs>
            <w:rPr/>
          </w:pPr>
          <w:hyperlink w:anchor="__RefHeading___Toc3813571_3804643083">
            <w:r>
              <w:rPr>
                <w:webHidden/>
                <w:rStyle w:val="IndexLink"/>
                <w:rtl w:val="true"/>
              </w:rPr>
              <w:t>المبحث الأول الانتفاع بالاعيان النجسة</w:t>
            </w:r>
            <w:r>
              <w:rPr>
                <w:rStyle w:val="IndexLink"/>
                <w:rtl w:val="true"/>
              </w:rPr>
              <w:tab/>
            </w:r>
            <w:r>
              <w:rPr>
                <w:rStyle w:val="IndexLink"/>
              </w:rPr>
              <w:t>24</w:t>
            </w:r>
          </w:hyperlink>
        </w:p>
        <w:p>
          <w:pPr>
            <w:pStyle w:val="Contents6"/>
            <w:tabs>
              <w:tab w:val="clear" w:pos="7609"/>
              <w:tab w:val="right" w:pos="9026" w:leader="dot"/>
            </w:tabs>
            <w:rPr/>
          </w:pPr>
          <w:hyperlink w:anchor="__RefHeading___Toc3813573_3804643083">
            <w:r>
              <w:rPr>
                <w:webHidden/>
                <w:rStyle w:val="IndexLink"/>
                <w:rtl w:val="true"/>
              </w:rPr>
              <w:t>المبحث الثاني تملّك ما يحرم التكسب به</w:t>
            </w:r>
            <w:r>
              <w:rPr>
                <w:rStyle w:val="IndexLink"/>
                <w:rtl w:val="true"/>
              </w:rPr>
              <w:tab/>
            </w:r>
            <w:r>
              <w:rPr>
                <w:rStyle w:val="IndexLink"/>
              </w:rPr>
              <w:t>27</w:t>
            </w:r>
          </w:hyperlink>
        </w:p>
        <w:p>
          <w:pPr>
            <w:pStyle w:val="Contents6"/>
            <w:tabs>
              <w:tab w:val="clear" w:pos="7609"/>
              <w:tab w:val="right" w:pos="9026" w:leader="dot"/>
            </w:tabs>
            <w:rPr/>
          </w:pPr>
          <w:hyperlink w:anchor="__RefHeading___Toc3813575_3804643083">
            <w:r>
              <w:rPr>
                <w:webHidden/>
                <w:rStyle w:val="IndexLink"/>
                <w:rtl w:val="true"/>
              </w:rPr>
              <w:t>و مما ذكرناه يعلم الكلام في المبحث الثالث و الرابع،</w:t>
            </w:r>
            <w:r>
              <w:rPr>
                <w:rStyle w:val="IndexLink"/>
                <w:rtl w:val="true"/>
              </w:rPr>
              <w:tab/>
            </w:r>
            <w:r>
              <w:rPr>
                <w:rStyle w:val="IndexLink"/>
              </w:rPr>
              <w:t>29</w:t>
            </w:r>
          </w:hyperlink>
        </w:p>
        <w:p>
          <w:pPr>
            <w:pStyle w:val="Contents6"/>
            <w:tabs>
              <w:tab w:val="clear" w:pos="7609"/>
              <w:tab w:val="right" w:pos="9026" w:leader="dot"/>
            </w:tabs>
            <w:rPr/>
          </w:pPr>
          <w:hyperlink w:anchor="__RefHeading___Toc3813577_3804643083">
            <w:r>
              <w:rPr>
                <w:webHidden/>
                <w:rStyle w:val="IndexLink"/>
                <w:rtl w:val="true"/>
              </w:rPr>
              <w:t>المبحث الخامس في ثبوت حق الاختصاص في الاعيان النجسة</w:t>
            </w:r>
            <w:r>
              <w:rPr>
                <w:rStyle w:val="IndexLink"/>
                <w:rtl w:val="true"/>
              </w:rPr>
              <w:tab/>
            </w:r>
            <w:r>
              <w:rPr>
                <w:rStyle w:val="IndexLink"/>
              </w:rPr>
              <w:t>29</w:t>
            </w:r>
          </w:hyperlink>
        </w:p>
        <w:p>
          <w:pPr>
            <w:pStyle w:val="Contents6"/>
            <w:tabs>
              <w:tab w:val="clear" w:pos="7609"/>
              <w:tab w:val="right" w:pos="9026" w:leader="dot"/>
            </w:tabs>
            <w:rPr/>
          </w:pPr>
          <w:hyperlink w:anchor="__RefHeading___Toc3813579_3804643083">
            <w:r>
              <w:rPr>
                <w:webHidden/>
                <w:rStyle w:val="IndexLink"/>
                <w:rtl w:val="true"/>
              </w:rPr>
              <w:t>المبحث السادس في جواز التكسب بحق الاختصاص المذكور</w:t>
            </w:r>
            <w:r>
              <w:rPr>
                <w:rStyle w:val="IndexLink"/>
                <w:rtl w:val="true"/>
              </w:rPr>
              <w:tab/>
            </w:r>
            <w:r>
              <w:rPr>
                <w:rStyle w:val="IndexLink"/>
              </w:rPr>
              <w:t>31</w:t>
            </w:r>
          </w:hyperlink>
        </w:p>
        <w:p>
          <w:pPr>
            <w:pStyle w:val="Contents6"/>
            <w:tabs>
              <w:tab w:val="clear" w:pos="7609"/>
              <w:tab w:val="right" w:pos="9026" w:leader="dot"/>
            </w:tabs>
            <w:rPr/>
          </w:pPr>
          <w:hyperlink w:anchor="__RefHeading___Toc3813581_3804643083">
            <w:r>
              <w:rPr>
                <w:webHidden/>
                <w:rStyle w:val="IndexLink"/>
                <w:rtl w:val="true"/>
              </w:rPr>
              <w:t>حرمة التكسب بالميتة و أجزائها</w:t>
            </w:r>
            <w:r>
              <w:rPr>
                <w:rStyle w:val="IndexLink"/>
                <w:rtl w:val="true"/>
              </w:rPr>
              <w:tab/>
            </w:r>
            <w:r>
              <w:rPr>
                <w:rStyle w:val="IndexLink"/>
              </w:rPr>
              <w:t>35</w:t>
            </w:r>
          </w:hyperlink>
        </w:p>
        <w:p>
          <w:pPr>
            <w:pStyle w:val="Contents6"/>
            <w:tabs>
              <w:tab w:val="clear" w:pos="7609"/>
              <w:tab w:val="right" w:pos="9026" w:leader="dot"/>
            </w:tabs>
            <w:rPr/>
          </w:pPr>
          <w:hyperlink w:anchor="__RefHeading___Toc3813583_3804643083">
            <w:r>
              <w:rPr>
                <w:webHidden/>
                <w:rStyle w:val="IndexLink"/>
                <w:rtl w:val="true"/>
              </w:rPr>
              <w:t>التكسب بالدم</w:t>
            </w:r>
            <w:r>
              <w:rPr>
                <w:rStyle w:val="IndexLink"/>
                <w:rtl w:val="true"/>
              </w:rPr>
              <w:tab/>
            </w:r>
            <w:r>
              <w:rPr>
                <w:rStyle w:val="IndexLink"/>
              </w:rPr>
              <w:t>44</w:t>
            </w:r>
          </w:hyperlink>
        </w:p>
        <w:p>
          <w:pPr>
            <w:pStyle w:val="Contents6"/>
            <w:tabs>
              <w:tab w:val="clear" w:pos="7609"/>
              <w:tab w:val="right" w:pos="9026" w:leader="dot"/>
            </w:tabs>
            <w:rPr/>
          </w:pPr>
          <w:hyperlink w:anchor="__RefHeading___Toc3813585_3804643083">
            <w:r>
              <w:rPr>
                <w:webHidden/>
                <w:rStyle w:val="IndexLink"/>
                <w:rtl w:val="true"/>
              </w:rPr>
              <w:t>التكسب بالمني</w:t>
            </w:r>
            <w:r>
              <w:rPr>
                <w:rStyle w:val="IndexLink"/>
                <w:rtl w:val="true"/>
              </w:rPr>
              <w:tab/>
            </w:r>
            <w:r>
              <w:rPr>
                <w:rStyle w:val="IndexLink"/>
              </w:rPr>
              <w:t>46</w:t>
            </w:r>
          </w:hyperlink>
        </w:p>
        <w:p>
          <w:pPr>
            <w:pStyle w:val="Contents6"/>
            <w:tabs>
              <w:tab w:val="clear" w:pos="7609"/>
              <w:tab w:val="right" w:pos="9026" w:leader="dot"/>
            </w:tabs>
            <w:rPr/>
          </w:pPr>
          <w:hyperlink w:anchor="__RefHeading___Toc3813587_3804643083">
            <w:r>
              <w:rPr>
                <w:webHidden/>
                <w:rStyle w:val="IndexLink"/>
                <w:rtl w:val="true"/>
              </w:rPr>
              <w:t>التكسب بالابوال و الارواث</w:t>
            </w:r>
            <w:r>
              <w:rPr>
                <w:rStyle w:val="IndexLink"/>
                <w:rtl w:val="true"/>
              </w:rPr>
              <w:tab/>
            </w:r>
            <w:r>
              <w:rPr>
                <w:rStyle w:val="IndexLink"/>
              </w:rPr>
              <w:t>46</w:t>
            </w:r>
          </w:hyperlink>
        </w:p>
        <w:p>
          <w:pPr>
            <w:pStyle w:val="Contents6"/>
            <w:tabs>
              <w:tab w:val="clear" w:pos="7609"/>
              <w:tab w:val="right" w:pos="9026" w:leader="dot"/>
            </w:tabs>
            <w:rPr/>
          </w:pPr>
          <w:hyperlink w:anchor="__RefHeading___Toc3813589_3804643083">
            <w:r>
              <w:rPr>
                <w:webHidden/>
                <w:rStyle w:val="IndexLink"/>
                <w:rtl w:val="true"/>
              </w:rPr>
              <w:t>التكسب بالكلب و الخنزير البريين</w:t>
            </w:r>
            <w:r>
              <w:rPr>
                <w:rStyle w:val="IndexLink"/>
                <w:rtl w:val="true"/>
              </w:rPr>
              <w:tab/>
            </w:r>
            <w:r>
              <w:rPr>
                <w:rStyle w:val="IndexLink"/>
              </w:rPr>
              <w:t>59</w:t>
            </w:r>
          </w:hyperlink>
        </w:p>
        <w:p>
          <w:pPr>
            <w:pStyle w:val="Contents6"/>
            <w:tabs>
              <w:tab w:val="clear" w:pos="7609"/>
              <w:tab w:val="right" w:pos="9026" w:leader="dot"/>
            </w:tabs>
            <w:rPr/>
          </w:pPr>
          <w:hyperlink w:anchor="__RefHeading___Toc3813591_3804643083">
            <w:r>
              <w:rPr>
                <w:webHidden/>
                <w:rStyle w:val="IndexLink"/>
                <w:rtl w:val="true"/>
              </w:rPr>
              <w:t>التكسب بالمرتد الفطري</w:t>
            </w:r>
            <w:r>
              <w:rPr>
                <w:rStyle w:val="IndexLink"/>
                <w:rtl w:val="true"/>
              </w:rPr>
              <w:tab/>
            </w:r>
            <w:r>
              <w:rPr>
                <w:rStyle w:val="IndexLink"/>
              </w:rPr>
              <w:t>60</w:t>
            </w:r>
          </w:hyperlink>
        </w:p>
        <w:p>
          <w:pPr>
            <w:pStyle w:val="Contents6"/>
            <w:tabs>
              <w:tab w:val="clear" w:pos="7609"/>
              <w:tab w:val="right" w:pos="9026" w:leader="dot"/>
            </w:tabs>
            <w:rPr/>
          </w:pPr>
          <w:hyperlink w:anchor="__RefHeading___Toc3813593_3804643083">
            <w:r>
              <w:rPr>
                <w:webHidden/>
                <w:rStyle w:val="IndexLink"/>
                <w:rtl w:val="true"/>
              </w:rPr>
              <w:t>التكسب بالعصير العنبي</w:t>
            </w:r>
            <w:r>
              <w:rPr>
                <w:rStyle w:val="IndexLink"/>
                <w:rtl w:val="true"/>
              </w:rPr>
              <w:tab/>
            </w:r>
            <w:r>
              <w:rPr>
                <w:rStyle w:val="IndexLink"/>
              </w:rPr>
              <w:t>62</w:t>
            </w:r>
          </w:hyperlink>
        </w:p>
        <w:p>
          <w:pPr>
            <w:pStyle w:val="Contents6"/>
            <w:tabs>
              <w:tab w:val="clear" w:pos="7609"/>
              <w:tab w:val="right" w:pos="9026" w:leader="dot"/>
            </w:tabs>
            <w:rPr/>
          </w:pPr>
          <w:hyperlink w:anchor="__RefHeading___Toc3813595_3804643083">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3813597_3804643083">
            <w:r>
              <w:rPr>
                <w:webHidden/>
                <w:rStyle w:val="IndexLink"/>
                <w:rtl w:val="true"/>
              </w:rPr>
              <w:t>المقام الاول</w:t>
            </w:r>
            <w:r>
              <w:rPr>
                <w:rStyle w:val="IndexLink"/>
                <w:rtl w:val="true"/>
              </w:rPr>
              <w:t xml:space="preserve">: </w:t>
            </w:r>
            <w:r>
              <w:rPr>
                <w:rStyle w:val="IndexLink"/>
                <w:rtl w:val="true"/>
              </w:rPr>
              <w:t>في الجامد</w:t>
            </w:r>
            <w:r>
              <w:rPr>
                <w:rStyle w:val="IndexLink"/>
                <w:rtl w:val="true"/>
              </w:rPr>
              <w:tab/>
            </w:r>
            <w:r>
              <w:rPr>
                <w:rStyle w:val="IndexLink"/>
              </w:rPr>
              <w:t>64</w:t>
            </w:r>
          </w:hyperlink>
        </w:p>
        <w:p>
          <w:pPr>
            <w:pStyle w:val="Contents6"/>
            <w:tabs>
              <w:tab w:val="clear" w:pos="7609"/>
              <w:tab w:val="right" w:pos="9026" w:leader="dot"/>
            </w:tabs>
            <w:rPr/>
          </w:pPr>
          <w:hyperlink w:anchor="__RefHeading___Toc3813599_3804643083">
            <w:r>
              <w:rPr>
                <w:webHidden/>
                <w:rStyle w:val="IndexLink"/>
                <w:rtl w:val="true"/>
              </w:rPr>
              <w:t>المقام الثاني</w:t>
            </w:r>
            <w:r>
              <w:rPr>
                <w:rStyle w:val="IndexLink"/>
                <w:rtl w:val="true"/>
              </w:rPr>
              <w:t xml:space="preserve">: </w:t>
            </w:r>
            <w:r>
              <w:rPr>
                <w:rStyle w:val="IndexLink"/>
                <w:rtl w:val="true"/>
              </w:rPr>
              <w:t>في المائع</w:t>
            </w:r>
            <w:r>
              <w:rPr>
                <w:rStyle w:val="IndexLink"/>
                <w:rtl w:val="true"/>
              </w:rPr>
              <w:tab/>
            </w:r>
            <w:r>
              <w:rPr>
                <w:rStyle w:val="IndexLink"/>
              </w:rPr>
              <w:t>65</w:t>
            </w:r>
          </w:hyperlink>
        </w:p>
        <w:p>
          <w:pPr>
            <w:pStyle w:val="Contents6"/>
            <w:tabs>
              <w:tab w:val="clear" w:pos="7609"/>
              <w:tab w:val="right" w:pos="9026" w:leader="dot"/>
            </w:tabs>
            <w:rPr/>
          </w:pPr>
          <w:hyperlink w:anchor="__RefHeading___Toc3813601_3804643083">
            <w:r>
              <w:rPr>
                <w:webHidden/>
                <w:rStyle w:val="IndexLink"/>
                <w:rtl w:val="true"/>
              </w:rPr>
              <w:t>المقام الثالث</w:t>
            </w:r>
            <w:r>
              <w:rPr>
                <w:rStyle w:val="IndexLink"/>
                <w:rtl w:val="true"/>
              </w:rPr>
              <w:t xml:space="preserve">: </w:t>
            </w:r>
            <w:r>
              <w:rPr>
                <w:rStyle w:val="IndexLink"/>
                <w:rtl w:val="true"/>
              </w:rPr>
              <w:t>في المائعات المتنجسة التي لا تقبل التطهير</w:t>
            </w:r>
            <w:r>
              <w:rPr>
                <w:rStyle w:val="IndexLink"/>
                <w:rtl w:val="true"/>
              </w:rPr>
              <w:tab/>
            </w:r>
            <w:r>
              <w:rPr>
                <w:rStyle w:val="IndexLink"/>
              </w:rPr>
              <w:t>65</w:t>
            </w:r>
          </w:hyperlink>
        </w:p>
        <w:p>
          <w:pPr>
            <w:pStyle w:val="Contents5"/>
            <w:tabs>
              <w:tab w:val="clear" w:pos="7892"/>
              <w:tab w:val="right" w:pos="9026" w:leader="dot"/>
            </w:tabs>
            <w:rPr/>
          </w:pPr>
          <w:hyperlink w:anchor="__RefHeading___Toc3813603_3804643083">
            <w:r>
              <w:rPr>
                <w:webHidden/>
                <w:rStyle w:val="IndexLink"/>
                <w:rtl w:val="true"/>
              </w:rPr>
              <w:t>[</w:t>
            </w:r>
            <w:r>
              <w:rPr>
                <w:rStyle w:val="IndexLink"/>
                <w:rtl w:val="true"/>
              </w:rPr>
              <w:t>النوع الثاني مما يحرم التكسب به ما كان محرما لتحريم الغاية التي وضع لها ذلك الشي‌ء</w:t>
            </w:r>
            <w:r>
              <w:rPr>
                <w:rStyle w:val="IndexLink"/>
                <w:rtl w:val="true"/>
              </w:rPr>
              <w:t>]</w:t>
              <w:tab/>
            </w:r>
            <w:r>
              <w:rPr>
                <w:rStyle w:val="IndexLink"/>
              </w:rPr>
              <w:t>83</w:t>
            </w:r>
          </w:hyperlink>
        </w:p>
        <w:p>
          <w:pPr>
            <w:pStyle w:val="Contents6"/>
            <w:tabs>
              <w:tab w:val="clear" w:pos="7609"/>
              <w:tab w:val="right" w:pos="9026" w:leader="dot"/>
            </w:tabs>
            <w:rPr/>
          </w:pPr>
          <w:hyperlink w:anchor="__RefHeading___Toc3813605_3804643083">
            <w:r>
              <w:rPr>
                <w:webHidden/>
                <w:rStyle w:val="IndexLink"/>
                <w:rtl w:val="true"/>
              </w:rPr>
              <w:t>التكسب بآلات اللهو</w:t>
            </w:r>
            <w:r>
              <w:rPr>
                <w:rStyle w:val="IndexLink"/>
                <w:rtl w:val="true"/>
              </w:rPr>
              <w:tab/>
            </w:r>
            <w:r>
              <w:rPr>
                <w:rStyle w:val="IndexLink"/>
              </w:rPr>
              <w:t>83</w:t>
            </w:r>
          </w:hyperlink>
        </w:p>
        <w:p>
          <w:pPr>
            <w:pStyle w:val="Contents6"/>
            <w:tabs>
              <w:tab w:val="clear" w:pos="7609"/>
              <w:tab w:val="right" w:pos="9026" w:leader="dot"/>
            </w:tabs>
            <w:rPr/>
          </w:pPr>
          <w:hyperlink w:anchor="__RefHeading___Toc3813607_3804643083">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813609_3804643083">
            <w:r>
              <w:rPr>
                <w:webHidden/>
                <w:rStyle w:val="IndexLink"/>
                <w:rtl w:val="true"/>
              </w:rPr>
              <w:t>[</w:t>
            </w:r>
            <w:r>
              <w:rPr>
                <w:rStyle w:val="IndexLink"/>
                <w:rtl w:val="true"/>
              </w:rPr>
              <w:t>المقام الأول</w:t>
            </w:r>
            <w:r>
              <w:rPr>
                <w:rStyle w:val="IndexLink"/>
                <w:rtl w:val="true"/>
              </w:rPr>
              <w:t xml:space="preserve">] </w:t>
            </w:r>
            <w:r>
              <w:rPr>
                <w:rStyle w:val="IndexLink"/>
                <w:rtl w:val="true"/>
              </w:rPr>
              <w:t>عمل آلات اللهو</w:t>
            </w:r>
            <w:r>
              <w:rPr>
                <w:rStyle w:val="IndexLink"/>
                <w:rtl w:val="true"/>
              </w:rPr>
              <w:tab/>
            </w:r>
            <w:r>
              <w:rPr>
                <w:rStyle w:val="IndexLink"/>
              </w:rPr>
              <w:t>84</w:t>
            </w:r>
          </w:hyperlink>
        </w:p>
        <w:p>
          <w:pPr>
            <w:pStyle w:val="Contents6"/>
            <w:tabs>
              <w:tab w:val="clear" w:pos="7609"/>
              <w:tab w:val="right" w:pos="9026" w:leader="dot"/>
            </w:tabs>
            <w:rPr/>
          </w:pPr>
          <w:hyperlink w:anchor="__RefHeading___Toc3813611_3804643083">
            <w:r>
              <w:rPr>
                <w:webHidden/>
                <w:rStyle w:val="IndexLink"/>
                <w:rtl w:val="true"/>
              </w:rPr>
              <w:t>[</w:t>
            </w:r>
            <w:r>
              <w:rPr>
                <w:rStyle w:val="IndexLink"/>
                <w:rtl w:val="true"/>
              </w:rPr>
              <w:t>المقام الثاني</w:t>
            </w:r>
            <w:r>
              <w:rPr>
                <w:rStyle w:val="IndexLink"/>
                <w:rtl w:val="true"/>
              </w:rPr>
              <w:t xml:space="preserve">:] </w:t>
            </w:r>
            <w:r>
              <w:rPr>
                <w:rStyle w:val="IndexLink"/>
                <w:rtl w:val="true"/>
              </w:rPr>
              <w:t>استعمال آلات اللهو</w:t>
            </w:r>
            <w:r>
              <w:rPr>
                <w:rStyle w:val="IndexLink"/>
                <w:rtl w:val="true"/>
              </w:rPr>
              <w:tab/>
            </w:r>
            <w:r>
              <w:rPr>
                <w:rStyle w:val="IndexLink"/>
              </w:rPr>
              <w:t>85</w:t>
            </w:r>
          </w:hyperlink>
        </w:p>
        <w:p>
          <w:pPr>
            <w:pStyle w:val="Contents6"/>
            <w:tabs>
              <w:tab w:val="clear" w:pos="7609"/>
              <w:tab w:val="right" w:pos="9026" w:leader="dot"/>
            </w:tabs>
            <w:rPr/>
          </w:pPr>
          <w:hyperlink w:anchor="__RefHeading___Toc3813613_3804643083">
            <w:r>
              <w:rPr>
                <w:webHidden/>
                <w:rStyle w:val="IndexLink"/>
                <w:rtl w:val="true"/>
              </w:rPr>
              <w:t>[</w:t>
            </w:r>
            <w:r>
              <w:rPr>
                <w:rStyle w:val="IndexLink"/>
                <w:rtl w:val="true"/>
              </w:rPr>
              <w:t>المقام الثالث</w:t>
            </w:r>
            <w:r>
              <w:rPr>
                <w:rStyle w:val="IndexLink"/>
                <w:rtl w:val="true"/>
              </w:rPr>
              <w:t xml:space="preserve">:] </w:t>
            </w:r>
            <w:r>
              <w:rPr>
                <w:rStyle w:val="IndexLink"/>
                <w:rtl w:val="true"/>
              </w:rPr>
              <w:t>إتلاف آلات اللهو</w:t>
            </w:r>
            <w:r>
              <w:rPr>
                <w:rStyle w:val="IndexLink"/>
                <w:rtl w:val="true"/>
              </w:rPr>
              <w:tab/>
            </w:r>
            <w:r>
              <w:rPr>
                <w:rStyle w:val="IndexLink"/>
              </w:rPr>
              <w:t>86</w:t>
            </w:r>
          </w:hyperlink>
        </w:p>
        <w:p>
          <w:pPr>
            <w:pStyle w:val="Contents6"/>
            <w:tabs>
              <w:tab w:val="clear" w:pos="7609"/>
              <w:tab w:val="right" w:pos="9026" w:leader="dot"/>
            </w:tabs>
            <w:rPr/>
          </w:pPr>
          <w:hyperlink w:anchor="__RefHeading___Toc3813615_3804643083">
            <w:r>
              <w:rPr>
                <w:webHidden/>
                <w:rStyle w:val="IndexLink"/>
                <w:rtl w:val="true"/>
              </w:rPr>
              <w:t>[</w:t>
            </w:r>
            <w:r>
              <w:rPr>
                <w:rStyle w:val="IndexLink"/>
                <w:rtl w:val="true"/>
              </w:rPr>
              <w:t>المقام الرابع</w:t>
            </w:r>
            <w:r>
              <w:rPr>
                <w:rStyle w:val="IndexLink"/>
                <w:rtl w:val="true"/>
              </w:rPr>
              <w:t xml:space="preserve">:] </w:t>
            </w:r>
            <w:r>
              <w:rPr>
                <w:rStyle w:val="IndexLink"/>
                <w:rtl w:val="true"/>
              </w:rPr>
              <w:t>التكسب بآلات اللهو</w:t>
            </w:r>
            <w:r>
              <w:rPr>
                <w:rStyle w:val="IndexLink"/>
                <w:rtl w:val="true"/>
              </w:rPr>
              <w:tab/>
            </w:r>
            <w:r>
              <w:rPr>
                <w:rStyle w:val="IndexLink"/>
              </w:rPr>
              <w:t>87</w:t>
            </w:r>
          </w:hyperlink>
        </w:p>
        <w:p>
          <w:pPr>
            <w:pStyle w:val="Contents6"/>
            <w:tabs>
              <w:tab w:val="clear" w:pos="7609"/>
              <w:tab w:val="right" w:pos="9026" w:leader="dot"/>
            </w:tabs>
            <w:rPr/>
          </w:pPr>
          <w:hyperlink w:anchor="__RefHeading___Toc3813617_3804643083">
            <w:r>
              <w:rPr>
                <w:webHidden/>
                <w:rStyle w:val="IndexLink"/>
                <w:rtl w:val="true"/>
              </w:rPr>
              <w:t>بيع السلاح على أعداء الدين</w:t>
            </w:r>
            <w:r>
              <w:rPr>
                <w:rStyle w:val="IndexLink"/>
                <w:rtl w:val="true"/>
              </w:rPr>
              <w:tab/>
            </w:r>
            <w:r>
              <w:rPr>
                <w:rStyle w:val="IndexLink"/>
              </w:rPr>
              <w:t>90</w:t>
            </w:r>
          </w:hyperlink>
        </w:p>
        <w:p>
          <w:pPr>
            <w:pStyle w:val="Contents6"/>
            <w:tabs>
              <w:tab w:val="clear" w:pos="7609"/>
              <w:tab w:val="right" w:pos="9026" w:leader="dot"/>
            </w:tabs>
            <w:rPr/>
          </w:pPr>
          <w:hyperlink w:anchor="__RefHeading___Toc3813619_3804643083">
            <w:r>
              <w:rPr>
                <w:webHidden/>
                <w:rStyle w:val="IndexLink"/>
                <w:rtl w:val="true"/>
              </w:rPr>
              <w:t>الإجارة و البيع للمحرمات</w:t>
            </w:r>
            <w:r>
              <w:rPr>
                <w:rStyle w:val="IndexLink"/>
                <w:rtl w:val="true"/>
              </w:rPr>
              <w:tab/>
            </w:r>
            <w:r>
              <w:rPr>
                <w:rStyle w:val="IndexLink"/>
              </w:rPr>
              <w:t>92</w:t>
            </w:r>
          </w:hyperlink>
        </w:p>
        <w:p>
          <w:pPr>
            <w:pStyle w:val="Contents6"/>
            <w:tabs>
              <w:tab w:val="clear" w:pos="7609"/>
              <w:tab w:val="right" w:pos="9026" w:leader="dot"/>
            </w:tabs>
            <w:rPr/>
          </w:pPr>
          <w:hyperlink w:anchor="__RefHeading___Toc3813621_3804643083">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3813623_3804643083">
            <w:r>
              <w:rPr>
                <w:webHidden/>
                <w:rStyle w:val="IndexLink"/>
                <w:rtl w:val="true"/>
              </w:rPr>
              <w:t>المبحث الأول</w:t>
            </w:r>
            <w:r>
              <w:rPr>
                <w:rStyle w:val="IndexLink"/>
                <w:rtl w:val="true"/>
              </w:rPr>
              <w:t xml:space="preserve">: </w:t>
            </w:r>
            <w:r>
              <w:rPr>
                <w:rStyle w:val="IndexLink"/>
                <w:rtl w:val="true"/>
              </w:rPr>
              <w:t>ما اذا اشترط ذلك في متن العقد و اتفقا عليه بحيث بني العقد عليه،</w:t>
            </w:r>
            <w:r>
              <w:rPr>
                <w:rStyle w:val="IndexLink"/>
                <w:rtl w:val="true"/>
              </w:rPr>
              <w:tab/>
            </w:r>
            <w:r>
              <w:rPr>
                <w:rStyle w:val="IndexLink"/>
              </w:rPr>
              <w:t>92</w:t>
            </w:r>
          </w:hyperlink>
        </w:p>
        <w:p>
          <w:pPr>
            <w:pStyle w:val="Contents6"/>
            <w:tabs>
              <w:tab w:val="clear" w:pos="7609"/>
              <w:tab w:val="right" w:pos="9026" w:leader="dot"/>
            </w:tabs>
            <w:rPr/>
          </w:pPr>
          <w:hyperlink w:anchor="__RefHeading___Toc3813625_3804643083">
            <w:r>
              <w:rPr>
                <w:webHidden/>
                <w:rStyle w:val="IndexLink"/>
                <w:rtl w:val="true"/>
              </w:rPr>
              <w:t>المبحث الثاني</w:t>
            </w:r>
            <w:r>
              <w:rPr>
                <w:rStyle w:val="IndexLink"/>
                <w:rtl w:val="true"/>
              </w:rPr>
              <w:t xml:space="preserve">: </w:t>
            </w:r>
            <w:r>
              <w:rPr>
                <w:rStyle w:val="IndexLink"/>
                <w:rtl w:val="true"/>
              </w:rPr>
              <w:t>الاتفاق على المحرم في العقد، أن يتواطأ المتعاقدان على الانتفاع بالعين المستأجرة في خصوص المنفعة المحرمة قبل العقد أو بعده</w:t>
            </w:r>
            <w:r>
              <w:rPr>
                <w:rStyle w:val="IndexLink"/>
                <w:rtl w:val="true"/>
              </w:rPr>
              <w:tab/>
            </w:r>
            <w:r>
              <w:rPr>
                <w:rStyle w:val="IndexLink"/>
              </w:rPr>
              <w:t>95</w:t>
            </w:r>
          </w:hyperlink>
        </w:p>
        <w:p>
          <w:pPr>
            <w:pStyle w:val="Contents6"/>
            <w:tabs>
              <w:tab w:val="clear" w:pos="7609"/>
              <w:tab w:val="right" w:pos="9026" w:leader="dot"/>
            </w:tabs>
            <w:rPr/>
          </w:pPr>
          <w:hyperlink w:anchor="__RefHeading___Toc3813627_3804643083">
            <w:r>
              <w:rPr>
                <w:webHidden/>
                <w:rStyle w:val="IndexLink"/>
                <w:rtl w:val="true"/>
              </w:rPr>
              <w:t>المبحث الثالث</w:t>
            </w:r>
            <w:r>
              <w:rPr>
                <w:rStyle w:val="IndexLink"/>
                <w:rtl w:val="true"/>
              </w:rPr>
              <w:t xml:space="preserve">: </w:t>
            </w:r>
            <w:r>
              <w:rPr>
                <w:rStyle w:val="IndexLink"/>
                <w:rtl w:val="true"/>
              </w:rPr>
              <w:t>البيع و الايجار بقصد المحرّم، أن يبيع الخشب بقصد أن يعمله صنما أو صليبا،</w:t>
            </w:r>
            <w:r>
              <w:rPr>
                <w:rStyle w:val="IndexLink"/>
                <w:rtl w:val="true"/>
              </w:rPr>
              <w:tab/>
            </w:r>
            <w:r>
              <w:rPr>
                <w:rStyle w:val="IndexLink"/>
              </w:rPr>
              <w:t>98</w:t>
            </w:r>
          </w:hyperlink>
        </w:p>
        <w:p>
          <w:pPr>
            <w:pStyle w:val="Contents6"/>
            <w:tabs>
              <w:tab w:val="clear" w:pos="7609"/>
              <w:tab w:val="right" w:pos="9026" w:leader="dot"/>
            </w:tabs>
            <w:rPr/>
          </w:pPr>
          <w:hyperlink w:anchor="__RefHeading___Toc3813629_3804643083">
            <w:r>
              <w:rPr>
                <w:webHidden/>
                <w:rStyle w:val="IndexLink"/>
                <w:rtl w:val="true"/>
              </w:rPr>
              <w:t>المبحث الرابع</w:t>
            </w:r>
            <w:r>
              <w:rPr>
                <w:rStyle w:val="IndexLink"/>
                <w:rtl w:val="true"/>
              </w:rPr>
              <w:t xml:space="preserve">: </w:t>
            </w:r>
            <w:r>
              <w:rPr>
                <w:rStyle w:val="IndexLink"/>
                <w:rtl w:val="true"/>
              </w:rPr>
              <w:t>البيع و الإيجار مع العلم بالمحرم، أن يؤجر الدكان ممن يعلم أنه يبيع فيه الخمر أو يبيع الخشب ممن يعلم أنه يصنعه صليباً</w:t>
            </w:r>
            <w:r>
              <w:rPr>
                <w:rStyle w:val="IndexLink"/>
                <w:rtl w:val="true"/>
              </w:rPr>
              <w:t>.</w:t>
              <w:tab/>
            </w:r>
            <w:r>
              <w:rPr>
                <w:rStyle w:val="IndexLink"/>
              </w:rPr>
              <w:t>99</w:t>
            </w:r>
          </w:hyperlink>
        </w:p>
        <w:p>
          <w:pPr>
            <w:pStyle w:val="Contents6"/>
            <w:tabs>
              <w:tab w:val="clear" w:pos="7609"/>
              <w:tab w:val="right" w:pos="9026" w:leader="dot"/>
            </w:tabs>
            <w:rPr/>
          </w:pPr>
          <w:hyperlink w:anchor="__RefHeading___Toc3813631_3804643083">
            <w:r>
              <w:rPr>
                <w:webHidden/>
                <w:rStyle w:val="IndexLink"/>
                <w:rtl w:val="true"/>
              </w:rPr>
              <w:t>مما لا يجوز التكسب به مما لا ينتفع به</w:t>
            </w:r>
            <w:r>
              <w:rPr>
                <w:rStyle w:val="IndexLink"/>
                <w:rtl w:val="true"/>
              </w:rPr>
              <w:tab/>
            </w:r>
            <w:r>
              <w:rPr>
                <w:rStyle w:val="IndexLink"/>
              </w:rPr>
              <w:t>102</w:t>
            </w:r>
          </w:hyperlink>
        </w:p>
        <w:p>
          <w:pPr>
            <w:pStyle w:val="Contents6"/>
            <w:tabs>
              <w:tab w:val="clear" w:pos="7609"/>
              <w:tab w:val="right" w:pos="9026" w:leader="dot"/>
            </w:tabs>
            <w:rPr/>
          </w:pPr>
          <w:hyperlink w:anchor="__RefHeading___Toc3813633_3804643083">
            <w:r>
              <w:rPr>
                <w:webHidden/>
                <w:rStyle w:val="IndexLink"/>
                <w:rtl w:val="true"/>
              </w:rPr>
              <w:t>عمل الصور المجسمة الحيوانية</w:t>
            </w:r>
            <w:r>
              <w:rPr>
                <w:rStyle w:val="IndexLink"/>
                <w:rtl w:val="true"/>
              </w:rPr>
              <w:tab/>
            </w:r>
            <w:r>
              <w:rPr>
                <w:rStyle w:val="IndexLink"/>
              </w:rPr>
              <w:t>104</w:t>
            </w:r>
          </w:hyperlink>
        </w:p>
        <w:p>
          <w:pPr>
            <w:pStyle w:val="Contents6"/>
            <w:tabs>
              <w:tab w:val="clear" w:pos="7609"/>
              <w:tab w:val="right" w:pos="9026" w:leader="dot"/>
            </w:tabs>
            <w:rPr/>
          </w:pPr>
          <w:hyperlink w:anchor="__RefHeading___Toc3813635_3804643083">
            <w:r>
              <w:rPr>
                <w:webHidden/>
                <w:rStyle w:val="IndexLink"/>
                <w:rtl w:val="true"/>
              </w:rPr>
              <w:t>مسألة التكسب بالغناء</w:t>
            </w:r>
            <w:r>
              <w:rPr>
                <w:rStyle w:val="IndexLink"/>
                <w:rtl w:val="true"/>
              </w:rPr>
              <w:tab/>
            </w:r>
            <w:r>
              <w:rPr>
                <w:rStyle w:val="IndexLink"/>
              </w:rPr>
              <w:t>117</w:t>
            </w:r>
          </w:hyperlink>
        </w:p>
        <w:p>
          <w:pPr>
            <w:pStyle w:val="Contents6"/>
            <w:tabs>
              <w:tab w:val="clear" w:pos="7609"/>
              <w:tab w:val="right" w:pos="9026" w:leader="dot"/>
            </w:tabs>
            <w:rPr/>
          </w:pPr>
          <w:hyperlink w:anchor="__RefHeading___Toc3813637_3804643083">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813639_3804643083">
            <w:r>
              <w:rPr>
                <w:webHidden/>
                <w:rStyle w:val="IndexLink"/>
                <w:rtl w:val="true"/>
              </w:rPr>
              <w:t>المقام الأول</w:t>
            </w:r>
            <w:r>
              <w:rPr>
                <w:rStyle w:val="IndexLink"/>
                <w:rtl w:val="true"/>
              </w:rPr>
              <w:t xml:space="preserve">: </w:t>
            </w:r>
            <w:r>
              <w:rPr>
                <w:rStyle w:val="IndexLink"/>
                <w:rtl w:val="true"/>
              </w:rPr>
              <w:t>في موضوعه</w:t>
            </w:r>
            <w:r>
              <w:rPr>
                <w:rStyle w:val="IndexLink"/>
                <w:rtl w:val="true"/>
              </w:rPr>
              <w:tab/>
            </w:r>
            <w:r>
              <w:rPr>
                <w:rStyle w:val="IndexLink"/>
              </w:rPr>
              <w:t>117</w:t>
            </w:r>
          </w:hyperlink>
        </w:p>
        <w:p>
          <w:pPr>
            <w:pStyle w:val="Contents6"/>
            <w:tabs>
              <w:tab w:val="clear" w:pos="7609"/>
              <w:tab w:val="right" w:pos="9026" w:leader="dot"/>
            </w:tabs>
            <w:rPr/>
          </w:pPr>
          <w:hyperlink w:anchor="__RefHeading___Toc3813641_3804643083">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813643_3804643083">
            <w:r>
              <w:rPr>
                <w:webHidden/>
                <w:rStyle w:val="IndexLink"/>
                <w:rtl w:val="true"/>
              </w:rPr>
              <w:t>تعريف الغناء عند الفقهاء</w:t>
            </w:r>
            <w:r>
              <w:rPr>
                <w:rStyle w:val="IndexLink"/>
                <w:rtl w:val="true"/>
              </w:rPr>
              <w:tab/>
            </w:r>
            <w:r>
              <w:rPr>
                <w:rStyle w:val="IndexLink"/>
              </w:rPr>
              <w:t>119</w:t>
            </w:r>
          </w:hyperlink>
        </w:p>
        <w:p>
          <w:pPr>
            <w:pStyle w:val="Contents6"/>
            <w:tabs>
              <w:tab w:val="clear" w:pos="7609"/>
              <w:tab w:val="right" w:pos="9026" w:leader="dot"/>
            </w:tabs>
            <w:rPr/>
          </w:pPr>
          <w:hyperlink w:anchor="__RefHeading___Toc3813645_3804643083">
            <w:r>
              <w:rPr>
                <w:webHidden/>
                <w:rStyle w:val="IndexLink"/>
                <w:rtl w:val="true"/>
              </w:rPr>
              <w:t>المقام الثاني</w:t>
            </w:r>
            <w:r>
              <w:rPr>
                <w:rStyle w:val="IndexLink"/>
                <w:rtl w:val="true"/>
              </w:rPr>
              <w:t xml:space="preserve">: </w:t>
            </w:r>
            <w:r>
              <w:rPr>
                <w:rStyle w:val="IndexLink"/>
                <w:rtl w:val="true"/>
              </w:rPr>
              <w:t>في حكمه</w:t>
            </w:r>
            <w:r>
              <w:rPr>
                <w:rStyle w:val="IndexLink"/>
                <w:rtl w:val="true"/>
              </w:rPr>
              <w:tab/>
            </w:r>
            <w:r>
              <w:rPr>
                <w:rStyle w:val="IndexLink"/>
              </w:rPr>
              <w:t>122</w:t>
            </w:r>
          </w:hyperlink>
        </w:p>
        <w:p>
          <w:pPr>
            <w:pStyle w:val="Contents6"/>
            <w:tabs>
              <w:tab w:val="clear" w:pos="7609"/>
              <w:tab w:val="right" w:pos="9026" w:leader="dot"/>
            </w:tabs>
            <w:rPr/>
          </w:pPr>
          <w:hyperlink w:anchor="__RefHeading___Toc3813647_3804643083">
            <w:r>
              <w:rPr>
                <w:webHidden/>
                <w:rStyle w:val="IndexLink"/>
                <w:rtl w:val="true"/>
              </w:rPr>
              <w:t>المقام الثالث</w:t>
            </w:r>
            <w:r>
              <w:rPr>
                <w:rStyle w:val="IndexLink"/>
                <w:rtl w:val="true"/>
              </w:rPr>
              <w:t xml:space="preserve">: </w:t>
            </w:r>
            <w:r>
              <w:rPr>
                <w:rStyle w:val="IndexLink"/>
                <w:rtl w:val="true"/>
              </w:rPr>
              <w:t>في المستثنيات</w:t>
            </w:r>
            <w:r>
              <w:rPr>
                <w:rStyle w:val="IndexLink"/>
                <w:rtl w:val="true"/>
              </w:rPr>
              <w:tab/>
            </w:r>
            <w:r>
              <w:rPr>
                <w:rStyle w:val="IndexLink"/>
              </w:rPr>
              <w:t>130</w:t>
            </w:r>
          </w:hyperlink>
        </w:p>
        <w:p>
          <w:pPr>
            <w:pStyle w:val="Contents6"/>
            <w:tabs>
              <w:tab w:val="clear" w:pos="7609"/>
              <w:tab w:val="right" w:pos="9026" w:leader="dot"/>
            </w:tabs>
            <w:rPr/>
          </w:pPr>
          <w:hyperlink w:anchor="__RefHeading___Toc3813649_3804643083">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3813651_3804643083">
            <w:r>
              <w:rPr>
                <w:webHidden/>
                <w:rStyle w:val="IndexLink"/>
                <w:rtl w:val="true"/>
              </w:rPr>
              <w:t>أحدها</w:t>
            </w:r>
            <w:r>
              <w:rPr>
                <w:rStyle w:val="IndexLink"/>
                <w:rtl w:val="true"/>
              </w:rPr>
              <w:t xml:space="preserve">: </w:t>
            </w:r>
            <w:r>
              <w:rPr>
                <w:rStyle w:val="IndexLink"/>
                <w:rtl w:val="true"/>
              </w:rPr>
              <w:t>في القرآن،</w:t>
            </w:r>
            <w:r>
              <w:rPr>
                <w:rStyle w:val="IndexLink"/>
                <w:rtl w:val="true"/>
              </w:rPr>
              <w:tab/>
            </w:r>
            <w:r>
              <w:rPr>
                <w:rStyle w:val="IndexLink"/>
              </w:rPr>
              <w:t>130</w:t>
            </w:r>
          </w:hyperlink>
        </w:p>
        <w:p>
          <w:pPr>
            <w:pStyle w:val="Contents6"/>
            <w:tabs>
              <w:tab w:val="clear" w:pos="7609"/>
              <w:tab w:val="right" w:pos="9026" w:leader="dot"/>
            </w:tabs>
            <w:rPr/>
          </w:pPr>
          <w:hyperlink w:anchor="__RefHeading___Toc3813653_3804643083">
            <w:r>
              <w:rPr>
                <w:webHidden/>
                <w:rStyle w:val="IndexLink"/>
                <w:rtl w:val="true"/>
              </w:rPr>
              <w:t>ثانيها</w:t>
            </w:r>
            <w:r>
              <w:rPr>
                <w:rStyle w:val="IndexLink"/>
                <w:rtl w:val="true"/>
              </w:rPr>
              <w:t xml:space="preserve">: </w:t>
            </w:r>
            <w:r>
              <w:rPr>
                <w:rStyle w:val="IndexLink"/>
                <w:rtl w:val="true"/>
              </w:rPr>
              <w:t>مراثي سيد الشهداء،</w:t>
            </w:r>
            <w:r>
              <w:rPr>
                <w:rStyle w:val="IndexLink"/>
                <w:rtl w:val="true"/>
              </w:rPr>
              <w:tab/>
            </w:r>
            <w:r>
              <w:rPr>
                <w:rStyle w:val="IndexLink"/>
              </w:rPr>
              <w:t>135</w:t>
            </w:r>
          </w:hyperlink>
        </w:p>
        <w:p>
          <w:pPr>
            <w:pStyle w:val="Contents6"/>
            <w:tabs>
              <w:tab w:val="clear" w:pos="7609"/>
              <w:tab w:val="right" w:pos="9026" w:leader="dot"/>
            </w:tabs>
            <w:rPr/>
          </w:pPr>
          <w:hyperlink w:anchor="__RefHeading___Toc3813655_3804643083">
            <w:r>
              <w:rPr>
                <w:webHidden/>
                <w:rStyle w:val="IndexLink"/>
                <w:rtl w:val="true"/>
              </w:rPr>
              <w:t>ثالثها</w:t>
            </w:r>
            <w:r>
              <w:rPr>
                <w:rStyle w:val="IndexLink"/>
                <w:rtl w:val="true"/>
              </w:rPr>
              <w:t xml:space="preserve">: </w:t>
            </w:r>
            <w:r>
              <w:rPr>
                <w:rStyle w:val="IndexLink"/>
                <w:rtl w:val="true"/>
              </w:rPr>
              <w:t>الحداء</w:t>
            </w:r>
            <w:r>
              <w:rPr>
                <w:rStyle w:val="IndexLink"/>
                <w:rtl w:val="true"/>
              </w:rPr>
              <w:tab/>
            </w:r>
            <w:r>
              <w:rPr>
                <w:rStyle w:val="IndexLink"/>
              </w:rPr>
              <w:t>138</w:t>
            </w:r>
          </w:hyperlink>
        </w:p>
        <w:p>
          <w:pPr>
            <w:pStyle w:val="Contents6"/>
            <w:tabs>
              <w:tab w:val="clear" w:pos="7609"/>
              <w:tab w:val="right" w:pos="9026" w:leader="dot"/>
            </w:tabs>
            <w:rPr/>
          </w:pPr>
          <w:hyperlink w:anchor="__RefHeading___Toc3813657_3804643083">
            <w:r>
              <w:rPr>
                <w:webHidden/>
                <w:rStyle w:val="IndexLink"/>
                <w:rtl w:val="true"/>
              </w:rPr>
              <w:t>رابعها</w:t>
            </w:r>
            <w:r>
              <w:rPr>
                <w:rStyle w:val="IndexLink"/>
                <w:rtl w:val="true"/>
              </w:rPr>
              <w:t xml:space="preserve">: </w:t>
            </w:r>
            <w:r>
              <w:rPr>
                <w:rStyle w:val="IndexLink"/>
                <w:rtl w:val="true"/>
              </w:rPr>
              <w:t>غناء المغنية في الأعراس اذا لم تتكلم بالباطل و لم تلعب بالملاهي</w:t>
            </w:r>
            <w:r>
              <w:rPr>
                <w:rStyle w:val="IndexLink"/>
                <w:rtl w:val="true"/>
              </w:rPr>
              <w:tab/>
            </w:r>
            <w:r>
              <w:rPr>
                <w:rStyle w:val="IndexLink"/>
              </w:rPr>
              <w:t>139</w:t>
            </w:r>
          </w:hyperlink>
        </w:p>
        <w:p>
          <w:pPr>
            <w:pStyle w:val="Contents6"/>
            <w:tabs>
              <w:tab w:val="clear" w:pos="7609"/>
              <w:tab w:val="right" w:pos="9026" w:leader="dot"/>
            </w:tabs>
            <w:rPr/>
          </w:pPr>
          <w:hyperlink w:anchor="__RefHeading___Toc3813659_3804643083">
            <w:r>
              <w:rPr>
                <w:webHidden/>
                <w:rStyle w:val="IndexLink"/>
                <w:rtl w:val="true"/>
              </w:rPr>
              <w:t xml:space="preserve">و من جملة ما يحرم التكسب به </w:t>
            </w:r>
            <w:r>
              <w:rPr>
                <w:rStyle w:val="IndexLink"/>
                <w:rtl w:val="true"/>
              </w:rPr>
              <w:t>( (</w:t>
            </w:r>
            <w:r>
              <w:rPr>
                <w:rStyle w:val="IndexLink"/>
                <w:rtl w:val="true"/>
              </w:rPr>
              <w:t>معونة الظالمين</w:t>
            </w:r>
            <w:r>
              <w:rPr>
                <w:rStyle w:val="IndexLink"/>
                <w:rtl w:val="true"/>
              </w:rPr>
              <w:t>))</w:t>
              <w:tab/>
            </w:r>
            <w:r>
              <w:rPr>
                <w:rStyle w:val="IndexLink"/>
              </w:rPr>
              <w:t>143</w:t>
            </w:r>
          </w:hyperlink>
        </w:p>
        <w:p>
          <w:pPr>
            <w:pStyle w:val="Contents6"/>
            <w:tabs>
              <w:tab w:val="clear" w:pos="7609"/>
              <w:tab w:val="right" w:pos="9026" w:leader="dot"/>
            </w:tabs>
            <w:rPr/>
          </w:pPr>
          <w:hyperlink w:anchor="__RefHeading___Toc3813661_3804643083">
            <w:r>
              <w:rPr>
                <w:webHidden/>
                <w:rStyle w:val="IndexLink"/>
                <w:rtl w:val="true"/>
              </w:rPr>
              <w:t>النوح بالباطل</w:t>
            </w:r>
            <w:r>
              <w:rPr>
                <w:rStyle w:val="IndexLink"/>
                <w:rtl w:val="true"/>
              </w:rPr>
              <w:tab/>
            </w:r>
            <w:r>
              <w:rPr>
                <w:rStyle w:val="IndexLink"/>
              </w:rPr>
              <w:t>150</w:t>
            </w:r>
          </w:hyperlink>
        </w:p>
        <w:p>
          <w:pPr>
            <w:pStyle w:val="Contents6"/>
            <w:tabs>
              <w:tab w:val="clear" w:pos="7609"/>
              <w:tab w:val="right" w:pos="9026" w:leader="dot"/>
            </w:tabs>
            <w:rPr/>
          </w:pPr>
          <w:hyperlink w:anchor="__RefHeading___Toc3813663_3804643083">
            <w:r>
              <w:rPr>
                <w:webHidden/>
                <w:rStyle w:val="IndexLink"/>
                <w:rtl w:val="true"/>
              </w:rPr>
              <w:t>حفظ كتب الضلال</w:t>
            </w:r>
            <w:r>
              <w:rPr>
                <w:rStyle w:val="IndexLink"/>
                <w:rtl w:val="true"/>
              </w:rPr>
              <w:tab/>
            </w:r>
            <w:r>
              <w:rPr>
                <w:rStyle w:val="IndexLink"/>
              </w:rPr>
              <w:t>154</w:t>
            </w:r>
          </w:hyperlink>
        </w:p>
        <w:p>
          <w:pPr>
            <w:pStyle w:val="Contents6"/>
            <w:tabs>
              <w:tab w:val="clear" w:pos="7609"/>
              <w:tab w:val="right" w:pos="9026" w:leader="dot"/>
            </w:tabs>
            <w:rPr/>
          </w:pPr>
          <w:hyperlink w:anchor="__RefHeading___Toc3813665_3804643083">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3813667_3804643083">
            <w:r>
              <w:rPr>
                <w:webHidden/>
                <w:rStyle w:val="IndexLink"/>
                <w:rtl w:val="true"/>
              </w:rPr>
              <w:t>بيان معنى كتب الضلال</w:t>
            </w:r>
            <w:r>
              <w:rPr>
                <w:rStyle w:val="IndexLink"/>
                <w:rtl w:val="true"/>
              </w:rPr>
              <w:tab/>
            </w:r>
            <w:r>
              <w:rPr>
                <w:rStyle w:val="IndexLink"/>
              </w:rPr>
              <w:t>158</w:t>
            </w:r>
          </w:hyperlink>
        </w:p>
        <w:p>
          <w:pPr>
            <w:pStyle w:val="Contents6"/>
            <w:tabs>
              <w:tab w:val="clear" w:pos="7609"/>
              <w:tab w:val="right" w:pos="9026" w:leader="dot"/>
            </w:tabs>
            <w:rPr/>
          </w:pPr>
          <w:hyperlink w:anchor="__RefHeading___Toc3813669_3804643083">
            <w:r>
              <w:rPr>
                <w:webHidden/>
                <w:rStyle w:val="IndexLink"/>
                <w:rtl w:val="true"/>
              </w:rPr>
              <w:t>هجاء المؤمنين</w:t>
            </w:r>
            <w:r>
              <w:rPr>
                <w:rStyle w:val="IndexLink"/>
                <w:rtl w:val="true"/>
              </w:rPr>
              <w:tab/>
            </w:r>
            <w:r>
              <w:rPr>
                <w:rStyle w:val="IndexLink"/>
              </w:rPr>
              <w:t>161</w:t>
            </w:r>
          </w:hyperlink>
        </w:p>
        <w:p>
          <w:pPr>
            <w:pStyle w:val="Contents6"/>
            <w:tabs>
              <w:tab w:val="clear" w:pos="7609"/>
              <w:tab w:val="right" w:pos="9026" w:leader="dot"/>
            </w:tabs>
            <w:rPr/>
          </w:pPr>
          <w:hyperlink w:anchor="__RefHeading___Toc3813671_3804643083">
            <w:r>
              <w:rPr>
                <w:webHidden/>
                <w:rStyle w:val="IndexLink"/>
                <w:rtl w:val="true"/>
              </w:rPr>
              <w:t>الغيبة</w:t>
            </w:r>
            <w:r>
              <w:rPr>
                <w:rStyle w:val="IndexLink"/>
                <w:rtl w:val="true"/>
              </w:rPr>
              <w:tab/>
            </w:r>
            <w:r>
              <w:rPr>
                <w:rStyle w:val="IndexLink"/>
              </w:rPr>
              <w:t>166</w:t>
            </w:r>
          </w:hyperlink>
        </w:p>
        <w:p>
          <w:pPr>
            <w:pStyle w:val="Contents6"/>
            <w:tabs>
              <w:tab w:val="clear" w:pos="7609"/>
              <w:tab w:val="right" w:pos="9026" w:leader="dot"/>
            </w:tabs>
            <w:rPr/>
          </w:pPr>
          <w:hyperlink w:anchor="__RefHeading___Toc3813673_3804643083">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3813675_3804643083">
            <w:r>
              <w:rPr>
                <w:webHidden/>
                <w:rStyle w:val="IndexLink"/>
                <w:rtl w:val="true"/>
              </w:rPr>
              <w:t>يقع الكلام في الغيبة في مقامات</w:t>
            </w:r>
            <w:r>
              <w:rPr>
                <w:rStyle w:val="IndexLink"/>
                <w:rtl w:val="true"/>
              </w:rPr>
              <w:t>:</w:t>
              <w:tab/>
            </w:r>
            <w:r>
              <w:rPr>
                <w:rStyle w:val="IndexLink"/>
              </w:rPr>
              <w:t>166</w:t>
            </w:r>
          </w:hyperlink>
        </w:p>
        <w:p>
          <w:pPr>
            <w:pStyle w:val="Contents6"/>
            <w:tabs>
              <w:tab w:val="clear" w:pos="7609"/>
              <w:tab w:val="right" w:pos="9026" w:leader="dot"/>
            </w:tabs>
            <w:rPr/>
          </w:pPr>
          <w:hyperlink w:anchor="__RefHeading___Toc3813677_3804643083">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3813679_3804643083">
            <w:r>
              <w:rPr>
                <w:webHidden/>
                <w:rStyle w:val="IndexLink"/>
                <w:rtl w:val="true"/>
              </w:rPr>
              <w:t>أحدها</w:t>
            </w:r>
            <w:r>
              <w:rPr>
                <w:rStyle w:val="IndexLink"/>
                <w:rtl w:val="true"/>
              </w:rPr>
              <w:t xml:space="preserve">: </w:t>
            </w:r>
            <w:r>
              <w:rPr>
                <w:rStyle w:val="IndexLink"/>
                <w:rtl w:val="true"/>
              </w:rPr>
              <w:t>بيان موضوعها،</w:t>
            </w:r>
            <w:r>
              <w:rPr>
                <w:rStyle w:val="IndexLink"/>
                <w:rtl w:val="true"/>
              </w:rPr>
              <w:tab/>
            </w:r>
            <w:r>
              <w:rPr>
                <w:rStyle w:val="IndexLink"/>
              </w:rPr>
              <w:t>167</w:t>
            </w:r>
          </w:hyperlink>
        </w:p>
        <w:p>
          <w:pPr>
            <w:pStyle w:val="Contents6"/>
            <w:tabs>
              <w:tab w:val="clear" w:pos="7609"/>
              <w:tab w:val="right" w:pos="9026" w:leader="dot"/>
            </w:tabs>
            <w:rPr/>
          </w:pPr>
          <w:hyperlink w:anchor="__RefHeading___Toc3813681_3804643083">
            <w:r>
              <w:rPr>
                <w:webHidden/>
                <w:rStyle w:val="IndexLink"/>
                <w:rtl w:val="true"/>
              </w:rPr>
              <w:t>ثانيها</w:t>
            </w:r>
            <w:r>
              <w:rPr>
                <w:rStyle w:val="IndexLink"/>
                <w:rtl w:val="true"/>
              </w:rPr>
              <w:t xml:space="preserve">: </w:t>
            </w:r>
            <w:r>
              <w:rPr>
                <w:rStyle w:val="IndexLink"/>
                <w:rtl w:val="true"/>
              </w:rPr>
              <w:t>في حكمها،</w:t>
            </w:r>
            <w:r>
              <w:rPr>
                <w:rStyle w:val="IndexLink"/>
                <w:rtl w:val="true"/>
              </w:rPr>
              <w:tab/>
            </w:r>
            <w:r>
              <w:rPr>
                <w:rStyle w:val="IndexLink"/>
              </w:rPr>
              <w:t>172</w:t>
            </w:r>
          </w:hyperlink>
        </w:p>
        <w:p>
          <w:pPr>
            <w:pStyle w:val="Contents6"/>
            <w:tabs>
              <w:tab w:val="clear" w:pos="7609"/>
              <w:tab w:val="right" w:pos="9026" w:leader="dot"/>
            </w:tabs>
            <w:rPr/>
          </w:pPr>
          <w:hyperlink w:anchor="__RefHeading___Toc3813683_3804643083">
            <w:r>
              <w:rPr>
                <w:webHidden/>
                <w:rStyle w:val="IndexLink"/>
                <w:rtl w:val="true"/>
              </w:rPr>
              <w:t>ثالثها</w:t>
            </w:r>
            <w:r>
              <w:rPr>
                <w:rStyle w:val="IndexLink"/>
                <w:rtl w:val="true"/>
              </w:rPr>
              <w:t xml:space="preserve">: </w:t>
            </w:r>
            <w:r>
              <w:rPr>
                <w:rStyle w:val="IndexLink"/>
                <w:rtl w:val="true"/>
              </w:rPr>
              <w:t>في المستثنيات،</w:t>
            </w:r>
            <w:r>
              <w:rPr>
                <w:rStyle w:val="IndexLink"/>
                <w:rtl w:val="true"/>
              </w:rPr>
              <w:tab/>
            </w:r>
            <w:r>
              <w:rPr>
                <w:rStyle w:val="IndexLink"/>
              </w:rPr>
              <w:t>174</w:t>
            </w:r>
          </w:hyperlink>
        </w:p>
        <w:p>
          <w:pPr>
            <w:pStyle w:val="Contents6"/>
            <w:tabs>
              <w:tab w:val="clear" w:pos="7609"/>
              <w:tab w:val="right" w:pos="9026" w:leader="dot"/>
            </w:tabs>
            <w:rPr/>
          </w:pPr>
          <w:hyperlink w:anchor="__RefHeading___Toc3813685_3804643083">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3813687_3804643083">
            <w:r>
              <w:rPr>
                <w:webHidden/>
                <w:rStyle w:val="IndexLink"/>
                <w:rtl w:val="true"/>
              </w:rPr>
              <w:t>أحدها</w:t>
            </w:r>
            <w:r>
              <w:rPr>
                <w:rStyle w:val="IndexLink"/>
                <w:rtl w:val="true"/>
              </w:rPr>
              <w:t xml:space="preserve">: </w:t>
            </w:r>
            <w:r>
              <w:rPr>
                <w:rStyle w:val="IndexLink"/>
                <w:rtl w:val="true"/>
              </w:rPr>
              <w:t>غيبة من فسدت عقيدته حتى خرج عن ربقة الدين</w:t>
            </w:r>
            <w:r>
              <w:rPr>
                <w:rStyle w:val="IndexLink"/>
                <w:rtl w:val="true"/>
              </w:rPr>
              <w:tab/>
            </w:r>
            <w:r>
              <w:rPr>
                <w:rStyle w:val="IndexLink"/>
              </w:rPr>
              <w:t>174</w:t>
            </w:r>
          </w:hyperlink>
        </w:p>
        <w:p>
          <w:pPr>
            <w:pStyle w:val="Contents6"/>
            <w:tabs>
              <w:tab w:val="clear" w:pos="7609"/>
              <w:tab w:val="right" w:pos="9026" w:leader="dot"/>
            </w:tabs>
            <w:rPr/>
          </w:pPr>
          <w:hyperlink w:anchor="__RefHeading___Toc3813689_3804643083">
            <w:r>
              <w:rPr>
                <w:webHidden/>
                <w:rStyle w:val="IndexLink"/>
                <w:rtl w:val="true"/>
              </w:rPr>
              <w:t>ثانيها</w:t>
            </w:r>
            <w:r>
              <w:rPr>
                <w:rStyle w:val="IndexLink"/>
                <w:rtl w:val="true"/>
              </w:rPr>
              <w:t xml:space="preserve">: </w:t>
            </w:r>
            <w:r>
              <w:rPr>
                <w:rStyle w:val="IndexLink"/>
                <w:rtl w:val="true"/>
              </w:rPr>
              <w:t>من فسدت عقيدته حتى خرج عن ربقة المؤمنين و دخل في قسم المخالفين</w:t>
            </w:r>
            <w:r>
              <w:rPr>
                <w:rStyle w:val="IndexLink"/>
                <w:rtl w:val="true"/>
              </w:rPr>
              <w:t>.</w:t>
              <w:tab/>
            </w:r>
            <w:r>
              <w:rPr>
                <w:rStyle w:val="IndexLink"/>
              </w:rPr>
              <w:t>175</w:t>
            </w:r>
          </w:hyperlink>
        </w:p>
        <w:p>
          <w:pPr>
            <w:pStyle w:val="Contents6"/>
            <w:tabs>
              <w:tab w:val="clear" w:pos="7609"/>
              <w:tab w:val="right" w:pos="9026" w:leader="dot"/>
            </w:tabs>
            <w:rPr/>
          </w:pPr>
          <w:hyperlink w:anchor="__RefHeading___Toc3813691_3804643083">
            <w:r>
              <w:rPr>
                <w:webHidden/>
                <w:rStyle w:val="IndexLink"/>
                <w:rtl w:val="true"/>
              </w:rPr>
              <w:t>ثالثها</w:t>
            </w:r>
            <w:r>
              <w:rPr>
                <w:rStyle w:val="IndexLink"/>
                <w:rtl w:val="true"/>
              </w:rPr>
              <w:t xml:space="preserve">: </w:t>
            </w:r>
            <w:r>
              <w:rPr>
                <w:rStyle w:val="IndexLink"/>
                <w:rtl w:val="true"/>
              </w:rPr>
              <w:t>عدّ بعض أصحابنا من المستثنيات تظلّمَ المظلوم عند من يقطع بإعانته له،</w:t>
            </w:r>
            <w:r>
              <w:rPr>
                <w:rStyle w:val="IndexLink"/>
                <w:rtl w:val="true"/>
              </w:rPr>
              <w:tab/>
            </w:r>
            <w:r>
              <w:rPr>
                <w:rStyle w:val="IndexLink"/>
              </w:rPr>
              <w:t>178</w:t>
            </w:r>
          </w:hyperlink>
        </w:p>
        <w:p>
          <w:pPr>
            <w:pStyle w:val="Contents6"/>
            <w:tabs>
              <w:tab w:val="clear" w:pos="7609"/>
              <w:tab w:val="right" w:pos="9026" w:leader="dot"/>
            </w:tabs>
            <w:rPr/>
          </w:pPr>
          <w:hyperlink w:anchor="__RefHeading___Toc3813693_3804643083">
            <w:r>
              <w:rPr>
                <w:webHidden/>
                <w:rStyle w:val="IndexLink"/>
                <w:rtl w:val="true"/>
              </w:rPr>
              <w:t>رابعها</w:t>
            </w:r>
            <w:r>
              <w:rPr>
                <w:rStyle w:val="IndexLink"/>
                <w:rtl w:val="true"/>
              </w:rPr>
              <w:t xml:space="preserve">: </w:t>
            </w:r>
            <w:r>
              <w:rPr>
                <w:rStyle w:val="IndexLink"/>
                <w:rtl w:val="true"/>
              </w:rPr>
              <w:t xml:space="preserve">عدّ بعض أصحابنا </w:t>
            </w:r>
            <w:r>
              <w:rPr>
                <w:rStyle w:val="IndexLink"/>
                <w:rtl w:val="true"/>
              </w:rPr>
              <w:t>(</w:t>
            </w:r>
            <w:r>
              <w:rPr>
                <w:rStyle w:val="IndexLink"/>
                <w:rtl w:val="true"/>
              </w:rPr>
              <w:t>رحمه الله</w:t>
            </w:r>
            <w:r>
              <w:rPr>
                <w:rStyle w:val="IndexLink"/>
                <w:rtl w:val="true"/>
              </w:rPr>
              <w:t xml:space="preserve">) </w:t>
            </w:r>
            <w:r>
              <w:rPr>
                <w:rStyle w:val="IndexLink"/>
                <w:rtl w:val="true"/>
              </w:rPr>
              <w:t>من المستثنيات غيبة المتجاهر بالفسق</w:t>
            </w:r>
            <w:r>
              <w:rPr>
                <w:rStyle w:val="IndexLink"/>
                <w:rtl w:val="true"/>
              </w:rPr>
              <w:tab/>
            </w:r>
            <w:r>
              <w:rPr>
                <w:rStyle w:val="IndexLink"/>
              </w:rPr>
              <w:t>180</w:t>
            </w:r>
          </w:hyperlink>
        </w:p>
        <w:p>
          <w:pPr>
            <w:pStyle w:val="Contents6"/>
            <w:tabs>
              <w:tab w:val="clear" w:pos="7609"/>
              <w:tab w:val="right" w:pos="9026" w:leader="dot"/>
            </w:tabs>
            <w:rPr/>
          </w:pPr>
          <w:hyperlink w:anchor="__RefHeading___Toc3813695_3804643083">
            <w:r>
              <w:rPr>
                <w:webHidden/>
                <w:rStyle w:val="IndexLink"/>
                <w:rtl w:val="true"/>
              </w:rPr>
              <w:t>خامسها</w:t>
            </w:r>
            <w:r>
              <w:rPr>
                <w:rStyle w:val="IndexLink"/>
                <w:rtl w:val="true"/>
              </w:rPr>
              <w:t xml:space="preserve">: </w:t>
            </w:r>
            <w:r>
              <w:rPr>
                <w:rStyle w:val="IndexLink"/>
                <w:rtl w:val="true"/>
              </w:rPr>
              <w:t>عدّ بعض أصحابنا من المستثنيات الاستفتاء،</w:t>
            </w:r>
            <w:r>
              <w:rPr>
                <w:rStyle w:val="IndexLink"/>
                <w:rtl w:val="true"/>
              </w:rPr>
              <w:tab/>
            </w:r>
            <w:r>
              <w:rPr>
                <w:rStyle w:val="IndexLink"/>
              </w:rPr>
              <w:t>182</w:t>
            </w:r>
          </w:hyperlink>
        </w:p>
        <w:p>
          <w:pPr>
            <w:pStyle w:val="Contents6"/>
            <w:tabs>
              <w:tab w:val="clear" w:pos="7609"/>
              <w:tab w:val="right" w:pos="9026" w:leader="dot"/>
            </w:tabs>
            <w:rPr/>
          </w:pPr>
          <w:hyperlink w:anchor="__RefHeading___Toc3813697_3804643083">
            <w:r>
              <w:rPr>
                <w:webHidden/>
                <w:rStyle w:val="IndexLink"/>
                <w:rtl w:val="true"/>
              </w:rPr>
              <w:t>سادسها</w:t>
            </w:r>
            <w:r>
              <w:rPr>
                <w:rStyle w:val="IndexLink"/>
                <w:rtl w:val="true"/>
              </w:rPr>
              <w:t xml:space="preserve">: </w:t>
            </w:r>
            <w:r>
              <w:rPr>
                <w:rStyle w:val="IndexLink"/>
                <w:rtl w:val="true"/>
              </w:rPr>
              <w:t>عدّ بعض أصحابنا من المستثنيات تحذير المؤمن من الوقوع في الضرر الدنيوي و الديني</w:t>
            </w:r>
            <w:r>
              <w:rPr>
                <w:rStyle w:val="IndexLink"/>
                <w:rtl w:val="true"/>
              </w:rPr>
              <w:tab/>
            </w:r>
            <w:r>
              <w:rPr>
                <w:rStyle w:val="IndexLink"/>
              </w:rPr>
              <w:t>183</w:t>
            </w:r>
          </w:hyperlink>
        </w:p>
        <w:p>
          <w:pPr>
            <w:pStyle w:val="Contents6"/>
            <w:tabs>
              <w:tab w:val="clear" w:pos="7609"/>
              <w:tab w:val="right" w:pos="9026" w:leader="dot"/>
            </w:tabs>
            <w:rPr/>
          </w:pPr>
          <w:hyperlink w:anchor="__RefHeading___Toc3813699_3804643083">
            <w:r>
              <w:rPr>
                <w:webHidden/>
                <w:rStyle w:val="IndexLink"/>
                <w:rtl w:val="true"/>
              </w:rPr>
              <w:t>سابعها</w:t>
            </w:r>
            <w:r>
              <w:rPr>
                <w:rStyle w:val="IndexLink"/>
                <w:rtl w:val="true"/>
              </w:rPr>
              <w:t xml:space="preserve">: </w:t>
            </w:r>
            <w:r>
              <w:rPr>
                <w:rStyle w:val="IndexLink"/>
                <w:rtl w:val="true"/>
              </w:rPr>
              <w:t>عدّ بعض أصحابنا من المستثنيات نصح المستشير؛</w:t>
            </w:r>
            <w:r>
              <w:rPr>
                <w:rStyle w:val="IndexLink"/>
                <w:rtl w:val="true"/>
              </w:rPr>
              <w:tab/>
            </w:r>
            <w:r>
              <w:rPr>
                <w:rStyle w:val="IndexLink"/>
              </w:rPr>
              <w:t>184</w:t>
            </w:r>
          </w:hyperlink>
        </w:p>
        <w:p>
          <w:pPr>
            <w:pStyle w:val="Contents6"/>
            <w:tabs>
              <w:tab w:val="clear" w:pos="7609"/>
              <w:tab w:val="right" w:pos="9026" w:leader="dot"/>
            </w:tabs>
            <w:rPr/>
          </w:pPr>
          <w:hyperlink w:anchor="__RefHeading___Toc3813701_3804643083">
            <w:r>
              <w:rPr>
                <w:webHidden/>
                <w:rStyle w:val="IndexLink"/>
                <w:rtl w:val="true"/>
              </w:rPr>
              <w:t>ثامنها</w:t>
            </w:r>
            <w:r>
              <w:rPr>
                <w:rStyle w:val="IndexLink"/>
                <w:rtl w:val="true"/>
              </w:rPr>
              <w:t xml:space="preserve">: </w:t>
            </w:r>
            <w:r>
              <w:rPr>
                <w:rStyle w:val="IndexLink"/>
                <w:rtl w:val="true"/>
              </w:rPr>
              <w:t>من المستثنيات الجرح للشاهد و الراوي</w:t>
            </w:r>
            <w:r>
              <w:rPr>
                <w:rStyle w:val="IndexLink"/>
                <w:rtl w:val="true"/>
              </w:rPr>
              <w:tab/>
            </w:r>
            <w:r>
              <w:rPr>
                <w:rStyle w:val="IndexLink"/>
              </w:rPr>
              <w:t>186</w:t>
            </w:r>
          </w:hyperlink>
        </w:p>
        <w:p>
          <w:pPr>
            <w:pStyle w:val="Contents6"/>
            <w:tabs>
              <w:tab w:val="clear" w:pos="7609"/>
              <w:tab w:val="right" w:pos="9026" w:leader="dot"/>
            </w:tabs>
            <w:rPr/>
          </w:pPr>
          <w:hyperlink w:anchor="__RefHeading___Toc3813703_3804643083">
            <w:r>
              <w:rPr>
                <w:webHidden/>
                <w:rStyle w:val="IndexLink"/>
                <w:rtl w:val="true"/>
              </w:rPr>
              <w:t>تاسعها</w:t>
            </w:r>
            <w:r>
              <w:rPr>
                <w:rStyle w:val="IndexLink"/>
                <w:rtl w:val="true"/>
              </w:rPr>
              <w:t xml:space="preserve">: </w:t>
            </w:r>
            <w:r>
              <w:rPr>
                <w:rStyle w:val="IndexLink"/>
                <w:rtl w:val="true"/>
              </w:rPr>
              <w:t>ما يقصد به دفع الضرر عن المذموم في عرض أو دم أو مال،</w:t>
            </w:r>
            <w:r>
              <w:rPr>
                <w:rStyle w:val="IndexLink"/>
                <w:rtl w:val="true"/>
              </w:rPr>
              <w:tab/>
            </w:r>
            <w:r>
              <w:rPr>
                <w:rStyle w:val="IndexLink"/>
              </w:rPr>
              <w:t>187</w:t>
            </w:r>
          </w:hyperlink>
        </w:p>
        <w:p>
          <w:pPr>
            <w:pStyle w:val="Contents6"/>
            <w:tabs>
              <w:tab w:val="clear" w:pos="7609"/>
              <w:tab w:val="right" w:pos="9026" w:leader="dot"/>
            </w:tabs>
            <w:rPr/>
          </w:pPr>
          <w:hyperlink w:anchor="__RefHeading___Toc3813705_3804643083">
            <w:r>
              <w:rPr>
                <w:webHidden/>
                <w:rStyle w:val="IndexLink"/>
                <w:rtl w:val="true"/>
              </w:rPr>
              <w:t>عاشرها</w:t>
            </w:r>
            <w:r>
              <w:rPr>
                <w:rStyle w:val="IndexLink"/>
                <w:rtl w:val="true"/>
              </w:rPr>
              <w:t xml:space="preserve">: </w:t>
            </w:r>
            <w:r>
              <w:rPr>
                <w:rStyle w:val="IndexLink"/>
                <w:rtl w:val="true"/>
              </w:rPr>
              <w:t>ذكره بالاسم المعروف و الصفة المعروفة كالأعرج و الأعمش و الأشتر</w:t>
            </w:r>
            <w:r>
              <w:rPr>
                <w:rStyle w:val="IndexLink"/>
                <w:rtl w:val="true"/>
              </w:rPr>
              <w:tab/>
            </w:r>
            <w:r>
              <w:rPr>
                <w:rStyle w:val="IndexLink"/>
              </w:rPr>
              <w:t>188</w:t>
            </w:r>
          </w:hyperlink>
        </w:p>
        <w:p>
          <w:pPr>
            <w:pStyle w:val="Contents6"/>
            <w:tabs>
              <w:tab w:val="clear" w:pos="7609"/>
              <w:tab w:val="right" w:pos="9026" w:leader="dot"/>
            </w:tabs>
            <w:rPr/>
          </w:pPr>
          <w:hyperlink w:anchor="__RefHeading___Toc3813707_3804643083">
            <w:r>
              <w:rPr>
                <w:webHidden/>
                <w:rStyle w:val="IndexLink"/>
                <w:rtl w:val="true"/>
              </w:rPr>
              <w:t>حادي عشرها</w:t>
            </w:r>
            <w:r>
              <w:rPr>
                <w:rStyle w:val="IndexLink"/>
                <w:rtl w:val="true"/>
              </w:rPr>
              <w:t xml:space="preserve">: </w:t>
            </w:r>
            <w:r>
              <w:rPr>
                <w:rStyle w:val="IndexLink"/>
                <w:rtl w:val="true"/>
              </w:rPr>
              <w:t>الشهادة لإقامة الحدود و حفظ الدماء المعصومة و الأموال المحترمة</w:t>
            </w:r>
            <w:r>
              <w:rPr>
                <w:rStyle w:val="IndexLink"/>
                <w:rtl w:val="true"/>
              </w:rPr>
              <w:tab/>
            </w:r>
            <w:r>
              <w:rPr>
                <w:rStyle w:val="IndexLink"/>
              </w:rPr>
              <w:t>188</w:t>
            </w:r>
          </w:hyperlink>
        </w:p>
        <w:p>
          <w:pPr>
            <w:pStyle w:val="Contents6"/>
            <w:tabs>
              <w:tab w:val="clear" w:pos="7609"/>
              <w:tab w:val="right" w:pos="9026" w:leader="dot"/>
            </w:tabs>
            <w:rPr/>
          </w:pPr>
          <w:hyperlink w:anchor="__RefHeading___Toc3813709_3804643083">
            <w:r>
              <w:rPr>
                <w:webHidden/>
                <w:rStyle w:val="IndexLink"/>
                <w:rtl w:val="true"/>
              </w:rPr>
              <w:t>ثاني عشرها</w:t>
            </w:r>
            <w:r>
              <w:rPr>
                <w:rStyle w:val="IndexLink"/>
                <w:rtl w:val="true"/>
              </w:rPr>
              <w:t xml:space="preserve">: </w:t>
            </w:r>
            <w:r>
              <w:rPr>
                <w:rStyle w:val="IndexLink"/>
                <w:rtl w:val="true"/>
              </w:rPr>
              <w:t>ما دخل في النهي عن المنكر لتوقفه عليه،</w:t>
            </w:r>
            <w:r>
              <w:rPr>
                <w:rStyle w:val="IndexLink"/>
                <w:rtl w:val="true"/>
              </w:rPr>
              <w:tab/>
            </w:r>
            <w:r>
              <w:rPr>
                <w:rStyle w:val="IndexLink"/>
              </w:rPr>
              <w:t>188</w:t>
            </w:r>
          </w:hyperlink>
        </w:p>
        <w:p>
          <w:pPr>
            <w:pStyle w:val="Contents6"/>
            <w:tabs>
              <w:tab w:val="clear" w:pos="7609"/>
              <w:tab w:val="right" w:pos="9026" w:leader="dot"/>
            </w:tabs>
            <w:rPr/>
          </w:pPr>
          <w:hyperlink w:anchor="__RefHeading___Toc3813711_3804643083">
            <w:r>
              <w:rPr>
                <w:webHidden/>
                <w:rStyle w:val="IndexLink"/>
                <w:rtl w:val="true"/>
              </w:rPr>
              <w:t>ثالث عشرها</w:t>
            </w:r>
            <w:r>
              <w:rPr>
                <w:rStyle w:val="IndexLink"/>
                <w:rtl w:val="true"/>
              </w:rPr>
              <w:t xml:space="preserve">: </w:t>
            </w:r>
            <w:r>
              <w:rPr>
                <w:rStyle w:val="IndexLink"/>
                <w:rtl w:val="true"/>
              </w:rPr>
              <w:t>نفي نسب من ادّعى نسبا و إن كان معذورا أو عرف بنسب،</w:t>
            </w:r>
            <w:r>
              <w:rPr>
                <w:rStyle w:val="IndexLink"/>
                <w:rtl w:val="true"/>
              </w:rPr>
              <w:tab/>
            </w:r>
            <w:r>
              <w:rPr>
                <w:rStyle w:val="IndexLink"/>
              </w:rPr>
              <w:t>189</w:t>
            </w:r>
          </w:hyperlink>
        </w:p>
        <w:p>
          <w:pPr>
            <w:pStyle w:val="Contents6"/>
            <w:tabs>
              <w:tab w:val="clear" w:pos="7609"/>
              <w:tab w:val="right" w:pos="9026" w:leader="dot"/>
            </w:tabs>
            <w:rPr/>
          </w:pPr>
          <w:hyperlink w:anchor="__RefHeading___Toc3813713_3804643083">
            <w:r>
              <w:rPr>
                <w:webHidden/>
                <w:rStyle w:val="IndexLink"/>
                <w:rtl w:val="true"/>
              </w:rPr>
              <w:t>رابع عشرها</w:t>
            </w:r>
            <w:r>
              <w:rPr>
                <w:rStyle w:val="IndexLink"/>
                <w:rtl w:val="true"/>
              </w:rPr>
              <w:t xml:space="preserve">: </w:t>
            </w:r>
            <w:r>
              <w:rPr>
                <w:rStyle w:val="IndexLink"/>
                <w:rtl w:val="true"/>
              </w:rPr>
              <w:t>التقية على نفس المستغيب أو على عرضه أو ماله،</w:t>
            </w:r>
            <w:r>
              <w:rPr>
                <w:rStyle w:val="IndexLink"/>
                <w:rtl w:val="true"/>
              </w:rPr>
              <w:tab/>
            </w:r>
            <w:r>
              <w:rPr>
                <w:rStyle w:val="IndexLink"/>
              </w:rPr>
              <w:t>189</w:t>
            </w:r>
          </w:hyperlink>
        </w:p>
        <w:p>
          <w:pPr>
            <w:pStyle w:val="Contents6"/>
            <w:tabs>
              <w:tab w:val="clear" w:pos="7609"/>
              <w:tab w:val="right" w:pos="9026" w:leader="dot"/>
            </w:tabs>
            <w:rPr/>
          </w:pPr>
          <w:hyperlink w:anchor="__RefHeading___Toc3813715_3804643083">
            <w:r>
              <w:rPr>
                <w:webHidden/>
                <w:rStyle w:val="IndexLink"/>
                <w:rtl w:val="true"/>
              </w:rPr>
              <w:t>خامس عشرها</w:t>
            </w:r>
            <w:r>
              <w:rPr>
                <w:rStyle w:val="IndexLink"/>
                <w:rtl w:val="true"/>
              </w:rPr>
              <w:t xml:space="preserve">: </w:t>
            </w:r>
            <w:r>
              <w:rPr>
                <w:rStyle w:val="IndexLink"/>
                <w:rtl w:val="true"/>
              </w:rPr>
              <w:t>ذكر المبتدعة و تصانيفهم و معائبهم و نقائصهم</w:t>
            </w:r>
            <w:r>
              <w:rPr>
                <w:rStyle w:val="IndexLink"/>
                <w:rtl w:val="true"/>
              </w:rPr>
              <w:tab/>
            </w:r>
            <w:r>
              <w:rPr>
                <w:rStyle w:val="IndexLink"/>
              </w:rPr>
              <w:t>189</w:t>
            </w:r>
          </w:hyperlink>
        </w:p>
        <w:p>
          <w:pPr>
            <w:pStyle w:val="Contents6"/>
            <w:tabs>
              <w:tab w:val="clear" w:pos="7609"/>
              <w:tab w:val="right" w:pos="9026" w:leader="dot"/>
            </w:tabs>
            <w:rPr/>
          </w:pPr>
          <w:hyperlink w:anchor="__RefHeading___Toc3813717_3804643083">
            <w:r>
              <w:rPr>
                <w:webHidden/>
                <w:rStyle w:val="IndexLink"/>
                <w:rtl w:val="true"/>
              </w:rPr>
              <w:t>سادس عشرها</w:t>
            </w:r>
            <w:r>
              <w:rPr>
                <w:rStyle w:val="IndexLink"/>
                <w:rtl w:val="true"/>
              </w:rPr>
              <w:t xml:space="preserve">: </w:t>
            </w:r>
            <w:r>
              <w:rPr>
                <w:rStyle w:val="IndexLink"/>
                <w:rtl w:val="true"/>
              </w:rPr>
              <w:t>ذكره عند من اطّلع على حاله و لم يزده الذكر علما</w:t>
            </w:r>
            <w:r>
              <w:rPr>
                <w:rStyle w:val="IndexLink"/>
                <w:rtl w:val="true"/>
              </w:rPr>
              <w:tab/>
            </w:r>
            <w:r>
              <w:rPr>
                <w:rStyle w:val="IndexLink"/>
              </w:rPr>
              <w:t>189</w:t>
            </w:r>
          </w:hyperlink>
        </w:p>
        <w:p>
          <w:pPr>
            <w:pStyle w:val="Contents6"/>
            <w:tabs>
              <w:tab w:val="clear" w:pos="7609"/>
              <w:tab w:val="right" w:pos="9026" w:leader="dot"/>
            </w:tabs>
            <w:rPr/>
          </w:pPr>
          <w:hyperlink w:anchor="__RefHeading___Toc3813719_3804643083">
            <w:r>
              <w:rPr>
                <w:webHidden/>
                <w:rStyle w:val="IndexLink"/>
                <w:rtl w:val="true"/>
              </w:rPr>
              <w:t>رابعها</w:t>
            </w:r>
            <w:r>
              <w:rPr>
                <w:rStyle w:val="IndexLink"/>
                <w:rtl w:val="true"/>
              </w:rPr>
              <w:t xml:space="preserve">: </w:t>
            </w:r>
            <w:r>
              <w:rPr>
                <w:rStyle w:val="IndexLink"/>
                <w:rtl w:val="true"/>
              </w:rPr>
              <w:t>في استماع الغيبة،</w:t>
            </w:r>
            <w:r>
              <w:rPr>
                <w:rStyle w:val="IndexLink"/>
                <w:rtl w:val="true"/>
              </w:rPr>
              <w:tab/>
            </w:r>
            <w:r>
              <w:rPr>
                <w:rStyle w:val="IndexLink"/>
              </w:rPr>
              <w:t>191</w:t>
            </w:r>
          </w:hyperlink>
        </w:p>
        <w:p>
          <w:pPr>
            <w:pStyle w:val="Contents6"/>
            <w:tabs>
              <w:tab w:val="clear" w:pos="7609"/>
              <w:tab w:val="right" w:pos="9026" w:leader="dot"/>
            </w:tabs>
            <w:rPr/>
          </w:pPr>
          <w:hyperlink w:anchor="__RefHeading___Toc3813721_3804643083">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3813723_3804643083">
            <w:r>
              <w:rPr>
                <w:webHidden/>
                <w:rStyle w:val="IndexLink"/>
                <w:rtl w:val="true"/>
              </w:rPr>
              <w:t>أحدها</w:t>
            </w:r>
            <w:r>
              <w:rPr>
                <w:rStyle w:val="IndexLink"/>
                <w:rtl w:val="true"/>
              </w:rPr>
              <w:t xml:space="preserve">: </w:t>
            </w:r>
            <w:r>
              <w:rPr>
                <w:rStyle w:val="IndexLink"/>
                <w:rtl w:val="true"/>
              </w:rPr>
              <w:t>الظاهر جواز استماع الغيبة للرد على المستغيب فيما لو توقف الرد على الاستماع،</w:t>
            </w:r>
            <w:r>
              <w:rPr>
                <w:rStyle w:val="IndexLink"/>
                <w:rtl w:val="true"/>
              </w:rPr>
              <w:tab/>
            </w:r>
            <w:r>
              <w:rPr>
                <w:rStyle w:val="IndexLink"/>
              </w:rPr>
              <w:t>191</w:t>
            </w:r>
          </w:hyperlink>
        </w:p>
        <w:p>
          <w:pPr>
            <w:pStyle w:val="Contents6"/>
            <w:tabs>
              <w:tab w:val="clear" w:pos="7609"/>
              <w:tab w:val="right" w:pos="9026" w:leader="dot"/>
            </w:tabs>
            <w:rPr/>
          </w:pPr>
          <w:hyperlink w:anchor="__RefHeading___Toc3813725_3804643083">
            <w:r>
              <w:rPr>
                <w:webHidden/>
                <w:rStyle w:val="IndexLink"/>
                <w:rtl w:val="true"/>
              </w:rPr>
              <w:t>ثانيها</w:t>
            </w:r>
            <w:r>
              <w:rPr>
                <w:rStyle w:val="IndexLink"/>
                <w:rtl w:val="true"/>
              </w:rPr>
              <w:t xml:space="preserve">: </w:t>
            </w:r>
            <w:r>
              <w:rPr>
                <w:rStyle w:val="IndexLink"/>
                <w:rtl w:val="true"/>
              </w:rPr>
              <w:t>لم أرَ من أصحابنا من تعرض لحكم النظر إلى الإشارة و الكتابة</w:t>
            </w:r>
            <w:r>
              <w:rPr>
                <w:rStyle w:val="IndexLink"/>
                <w:rtl w:val="true"/>
              </w:rPr>
              <w:tab/>
            </w:r>
            <w:r>
              <w:rPr>
                <w:rStyle w:val="IndexLink"/>
              </w:rPr>
              <w:t>191</w:t>
            </w:r>
          </w:hyperlink>
        </w:p>
        <w:p>
          <w:pPr>
            <w:pStyle w:val="Contents6"/>
            <w:tabs>
              <w:tab w:val="clear" w:pos="7609"/>
              <w:tab w:val="right" w:pos="9026" w:leader="dot"/>
            </w:tabs>
            <w:rPr/>
          </w:pPr>
          <w:hyperlink w:anchor="__RefHeading___Toc3813727_3804643083">
            <w:r>
              <w:rPr>
                <w:webHidden/>
                <w:rStyle w:val="IndexLink"/>
                <w:rtl w:val="true"/>
              </w:rPr>
              <w:t>ثالثها</w:t>
            </w:r>
            <w:r>
              <w:rPr>
                <w:rStyle w:val="IndexLink"/>
                <w:rtl w:val="true"/>
              </w:rPr>
              <w:t xml:space="preserve">: </w:t>
            </w:r>
            <w:r>
              <w:rPr>
                <w:rStyle w:val="IndexLink"/>
                <w:rtl w:val="true"/>
              </w:rPr>
              <w:t>الظاهر أن حرمة الاستماع مخصوصة بالغيبة المحرمة،</w:t>
            </w:r>
            <w:r>
              <w:rPr>
                <w:rStyle w:val="IndexLink"/>
                <w:rtl w:val="true"/>
              </w:rPr>
              <w:tab/>
            </w:r>
            <w:r>
              <w:rPr>
                <w:rStyle w:val="IndexLink"/>
              </w:rPr>
              <w:t>192</w:t>
            </w:r>
          </w:hyperlink>
        </w:p>
        <w:p>
          <w:pPr>
            <w:pStyle w:val="Contents6"/>
            <w:tabs>
              <w:tab w:val="clear" w:pos="7609"/>
              <w:tab w:val="right" w:pos="9026" w:leader="dot"/>
            </w:tabs>
            <w:rPr/>
          </w:pPr>
          <w:hyperlink w:anchor="__RefHeading___Toc3813729_3804643083">
            <w:r>
              <w:rPr>
                <w:webHidden/>
                <w:rStyle w:val="IndexLink"/>
                <w:rtl w:val="true"/>
              </w:rPr>
              <w:t>خامسها</w:t>
            </w:r>
            <w:r>
              <w:rPr>
                <w:rStyle w:val="IndexLink"/>
                <w:rtl w:val="true"/>
              </w:rPr>
              <w:t xml:space="preserve">: </w:t>
            </w:r>
            <w:r>
              <w:rPr>
                <w:rStyle w:val="IndexLink"/>
                <w:rtl w:val="true"/>
              </w:rPr>
              <w:t>يجب رد الغيبة</w:t>
            </w:r>
            <w:r>
              <w:rPr>
                <w:rStyle w:val="IndexLink"/>
                <w:rtl w:val="true"/>
              </w:rPr>
              <w:tab/>
            </w:r>
            <w:r>
              <w:rPr>
                <w:rStyle w:val="IndexLink"/>
              </w:rPr>
              <w:t>192</w:t>
            </w:r>
          </w:hyperlink>
        </w:p>
        <w:p>
          <w:pPr>
            <w:pStyle w:val="Contents6"/>
            <w:tabs>
              <w:tab w:val="clear" w:pos="7609"/>
              <w:tab w:val="right" w:pos="9026" w:leader="dot"/>
            </w:tabs>
            <w:rPr/>
          </w:pPr>
          <w:hyperlink w:anchor="__RefHeading___Toc3813731_3804643083">
            <w:r>
              <w:rPr>
                <w:webHidden/>
                <w:rStyle w:val="IndexLink"/>
                <w:rtl w:val="true"/>
              </w:rPr>
              <w:t>سادسها</w:t>
            </w:r>
            <w:r>
              <w:rPr>
                <w:rStyle w:val="IndexLink"/>
                <w:rtl w:val="true"/>
              </w:rPr>
              <w:t xml:space="preserve">: </w:t>
            </w:r>
            <w:r>
              <w:rPr>
                <w:rStyle w:val="IndexLink"/>
                <w:rtl w:val="true"/>
              </w:rPr>
              <w:t>الظاهر أن الغيبة تتضمن حق الناس فيتوقف دفعها على إسقاط المستغاب و إبرائه،</w:t>
            </w:r>
            <w:r>
              <w:rPr>
                <w:rStyle w:val="IndexLink"/>
                <w:rtl w:val="true"/>
              </w:rPr>
              <w:tab/>
            </w:r>
            <w:r>
              <w:rPr>
                <w:rStyle w:val="IndexLink"/>
              </w:rPr>
              <w:t>193</w:t>
            </w:r>
          </w:hyperlink>
        </w:p>
        <w:p>
          <w:pPr>
            <w:pStyle w:val="Contents6"/>
            <w:tabs>
              <w:tab w:val="clear" w:pos="7609"/>
              <w:tab w:val="right" w:pos="9026" w:leader="dot"/>
            </w:tabs>
            <w:rPr/>
          </w:pPr>
          <w:hyperlink w:anchor="__RefHeading___Toc3813733_3804643083">
            <w:r>
              <w:rPr>
                <w:webHidden/>
                <w:rStyle w:val="IndexLink"/>
                <w:rtl w:val="true"/>
              </w:rPr>
              <w:t xml:space="preserve">و من جملة ما يحرم التكسب به </w:t>
            </w:r>
            <w:r>
              <w:rPr>
                <w:rStyle w:val="IndexLink"/>
                <w:rtl w:val="true"/>
              </w:rPr>
              <w:t>( (</w:t>
            </w:r>
            <w:r>
              <w:rPr>
                <w:rStyle w:val="IndexLink"/>
                <w:rtl w:val="true"/>
              </w:rPr>
              <w:t>السحر</w:t>
            </w:r>
            <w:r>
              <w:rPr>
                <w:rStyle w:val="IndexLink"/>
                <w:rtl w:val="true"/>
              </w:rPr>
              <w:t>))</w:t>
              <w:tab/>
            </w:r>
            <w:r>
              <w:rPr>
                <w:rStyle w:val="IndexLink"/>
              </w:rPr>
              <w:t>195</w:t>
            </w:r>
          </w:hyperlink>
        </w:p>
        <w:p>
          <w:pPr>
            <w:pStyle w:val="Contents6"/>
            <w:tabs>
              <w:tab w:val="clear" w:pos="7609"/>
              <w:tab w:val="right" w:pos="9026" w:leader="dot"/>
            </w:tabs>
            <w:rPr/>
          </w:pPr>
          <w:hyperlink w:anchor="__RefHeading___Toc3813735_3804643083">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3813737_3804643083">
            <w:r>
              <w:rPr>
                <w:webHidden/>
                <w:rStyle w:val="IndexLink"/>
                <w:rtl w:val="true"/>
              </w:rPr>
              <w:t>أما حكمه فيحرم عمل السحر بلا خلاف بين المسلمين،</w:t>
            </w:r>
            <w:r>
              <w:rPr>
                <w:rStyle w:val="IndexLink"/>
                <w:rtl w:val="true"/>
              </w:rPr>
              <w:tab/>
            </w:r>
            <w:r>
              <w:rPr>
                <w:rStyle w:val="IndexLink"/>
              </w:rPr>
              <w:t>195</w:t>
            </w:r>
          </w:hyperlink>
        </w:p>
        <w:p>
          <w:pPr>
            <w:pStyle w:val="Contents6"/>
            <w:tabs>
              <w:tab w:val="clear" w:pos="7609"/>
              <w:tab w:val="right" w:pos="9026" w:leader="dot"/>
            </w:tabs>
            <w:rPr/>
          </w:pPr>
          <w:hyperlink w:anchor="__RefHeading___Toc3813739_3804643083">
            <w:r>
              <w:rPr>
                <w:webHidden/>
                <w:rStyle w:val="IndexLink"/>
                <w:rtl w:val="true"/>
              </w:rPr>
              <w:t>موضوعه</w:t>
            </w:r>
            <w:r>
              <w:rPr>
                <w:rStyle w:val="IndexLink"/>
                <w:rtl w:val="true"/>
              </w:rPr>
              <w:tab/>
            </w:r>
            <w:r>
              <w:rPr>
                <w:rStyle w:val="IndexLink"/>
              </w:rPr>
              <w:t>202</w:t>
            </w:r>
          </w:hyperlink>
        </w:p>
        <w:p>
          <w:pPr>
            <w:pStyle w:val="Contents6"/>
            <w:tabs>
              <w:tab w:val="clear" w:pos="7609"/>
              <w:tab w:val="right" w:pos="9026" w:leader="dot"/>
            </w:tabs>
            <w:rPr/>
          </w:pPr>
          <w:hyperlink w:anchor="__RefHeading___Toc3813741_3804643083">
            <w:r>
              <w:rPr>
                <w:webHidden/>
                <w:rStyle w:val="IndexLink"/>
                <w:rtl w:val="true"/>
              </w:rPr>
              <w:t>الكهانة</w:t>
            </w:r>
            <w:r>
              <w:rPr>
                <w:rStyle w:val="IndexLink"/>
                <w:rtl w:val="true"/>
              </w:rPr>
              <w:tab/>
            </w:r>
            <w:r>
              <w:rPr>
                <w:rStyle w:val="IndexLink"/>
              </w:rPr>
              <w:t>210</w:t>
            </w:r>
          </w:hyperlink>
        </w:p>
        <w:p>
          <w:pPr>
            <w:pStyle w:val="Contents6"/>
            <w:tabs>
              <w:tab w:val="clear" w:pos="7609"/>
              <w:tab w:val="right" w:pos="9026" w:leader="dot"/>
            </w:tabs>
            <w:rPr/>
          </w:pPr>
          <w:hyperlink w:anchor="__RefHeading___Toc3813743_3804643083">
            <w:r>
              <w:rPr>
                <w:webHidden/>
                <w:rStyle w:val="IndexLink"/>
                <w:rtl w:val="true"/>
              </w:rPr>
              <w:t xml:space="preserve">و من جملة ما يحرم التكسب به </w:t>
            </w:r>
            <w:r>
              <w:rPr>
                <w:rStyle w:val="IndexLink"/>
                <w:rtl w:val="true"/>
              </w:rPr>
              <w:t>( (</w:t>
            </w:r>
            <w:r>
              <w:rPr>
                <w:rStyle w:val="IndexLink"/>
                <w:rtl w:val="true"/>
              </w:rPr>
              <w:t>القيافة</w:t>
            </w:r>
            <w:r>
              <w:rPr>
                <w:rStyle w:val="IndexLink"/>
                <w:rtl w:val="true"/>
              </w:rPr>
              <w:t>))</w:t>
              <w:tab/>
            </w:r>
            <w:r>
              <w:rPr>
                <w:rStyle w:val="IndexLink"/>
              </w:rPr>
              <w:t>213</w:t>
            </w:r>
          </w:hyperlink>
        </w:p>
        <w:p>
          <w:pPr>
            <w:pStyle w:val="Contents6"/>
            <w:tabs>
              <w:tab w:val="clear" w:pos="7609"/>
              <w:tab w:val="right" w:pos="9026" w:leader="dot"/>
            </w:tabs>
            <w:rPr/>
          </w:pPr>
          <w:hyperlink w:anchor="__RefHeading___Toc3813745_3804643083">
            <w:r>
              <w:rPr>
                <w:webHidden/>
                <w:rStyle w:val="IndexLink"/>
                <w:rtl w:val="true"/>
              </w:rPr>
              <w:t xml:space="preserve">و من جملة ما يحرم التكسب به </w:t>
            </w:r>
            <w:r>
              <w:rPr>
                <w:rStyle w:val="IndexLink"/>
                <w:rtl w:val="true"/>
              </w:rPr>
              <w:t>( (</w:t>
            </w:r>
            <w:r>
              <w:rPr>
                <w:rStyle w:val="IndexLink"/>
                <w:rtl w:val="true"/>
              </w:rPr>
              <w:t>الشعبذة</w:t>
            </w:r>
            <w:r>
              <w:rPr>
                <w:rStyle w:val="IndexLink"/>
                <w:rtl w:val="true"/>
              </w:rPr>
              <w:t>))</w:t>
              <w:tab/>
            </w:r>
            <w:r>
              <w:rPr>
                <w:rStyle w:val="IndexLink"/>
              </w:rPr>
              <w:t>216</w:t>
            </w:r>
          </w:hyperlink>
        </w:p>
        <w:p>
          <w:pPr>
            <w:pStyle w:val="Contents6"/>
            <w:tabs>
              <w:tab w:val="clear" w:pos="7609"/>
              <w:tab w:val="right" w:pos="9026" w:leader="dot"/>
            </w:tabs>
            <w:rPr/>
          </w:pPr>
          <w:hyperlink w:anchor="__RefHeading___Toc3813747_3804643083">
            <w:r>
              <w:rPr>
                <w:webHidden/>
                <w:rStyle w:val="IndexLink"/>
                <w:rtl w:val="true"/>
              </w:rPr>
              <w:t xml:space="preserve">و من جملة ما يحرم التكسب به </w:t>
            </w:r>
            <w:r>
              <w:rPr>
                <w:rStyle w:val="IndexLink"/>
                <w:rtl w:val="true"/>
              </w:rPr>
              <w:t>( (</w:t>
            </w:r>
            <w:r>
              <w:rPr>
                <w:rStyle w:val="IndexLink"/>
                <w:rtl w:val="true"/>
              </w:rPr>
              <w:t>القمار</w:t>
            </w:r>
            <w:r>
              <w:rPr>
                <w:rStyle w:val="IndexLink"/>
                <w:rtl w:val="true"/>
              </w:rPr>
              <w:t>))</w:t>
              <w:tab/>
            </w:r>
            <w:r>
              <w:rPr>
                <w:rStyle w:val="IndexLink"/>
              </w:rPr>
              <w:t>217</w:t>
            </w:r>
          </w:hyperlink>
        </w:p>
        <w:p>
          <w:pPr>
            <w:pStyle w:val="Contents6"/>
            <w:tabs>
              <w:tab w:val="clear" w:pos="7609"/>
              <w:tab w:val="right" w:pos="9026" w:leader="dot"/>
            </w:tabs>
            <w:rPr/>
          </w:pPr>
          <w:hyperlink w:anchor="__RefHeading___Toc3813749_3804643083">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3813751_3804643083">
            <w:r>
              <w:rPr>
                <w:webHidden/>
                <w:rStyle w:val="IndexLink"/>
                <w:rtl w:val="true"/>
              </w:rPr>
              <w:t>أما المقام الأول</w:t>
            </w:r>
            <w:r>
              <w:rPr>
                <w:rStyle w:val="IndexLink"/>
                <w:rtl w:val="true"/>
              </w:rPr>
              <w:t xml:space="preserve">: </w:t>
            </w:r>
            <w:r>
              <w:rPr>
                <w:rStyle w:val="IndexLink"/>
                <w:rtl w:val="true"/>
              </w:rPr>
              <w:t>و هو الكلام في حكمه،</w:t>
            </w:r>
            <w:r>
              <w:rPr>
                <w:rStyle w:val="IndexLink"/>
                <w:rtl w:val="true"/>
              </w:rPr>
              <w:tab/>
            </w:r>
            <w:r>
              <w:rPr>
                <w:rStyle w:val="IndexLink"/>
              </w:rPr>
              <w:t>217</w:t>
            </w:r>
          </w:hyperlink>
        </w:p>
        <w:p>
          <w:pPr>
            <w:pStyle w:val="Contents6"/>
            <w:tabs>
              <w:tab w:val="clear" w:pos="7609"/>
              <w:tab w:val="right" w:pos="9026" w:leader="dot"/>
            </w:tabs>
            <w:rPr/>
          </w:pPr>
          <w:hyperlink w:anchor="__RefHeading___Toc3813753_3804643083">
            <w:r>
              <w:rPr>
                <w:webHidden/>
                <w:rStyle w:val="IndexLink"/>
                <w:rtl w:val="true"/>
              </w:rPr>
              <w:t>و أما المقام الثاني</w:t>
            </w:r>
            <w:r>
              <w:rPr>
                <w:rStyle w:val="IndexLink"/>
                <w:rtl w:val="true"/>
              </w:rPr>
              <w:t xml:space="preserve">: </w:t>
            </w:r>
            <w:r>
              <w:rPr>
                <w:rStyle w:val="IndexLink"/>
                <w:rtl w:val="true"/>
              </w:rPr>
              <w:t>و هو الكلام في موضوعه،</w:t>
            </w:r>
            <w:r>
              <w:rPr>
                <w:rStyle w:val="IndexLink"/>
                <w:rtl w:val="true"/>
              </w:rPr>
              <w:tab/>
            </w:r>
            <w:r>
              <w:rPr>
                <w:rStyle w:val="IndexLink"/>
              </w:rPr>
              <w:t>219</w:t>
            </w:r>
          </w:hyperlink>
        </w:p>
        <w:p>
          <w:pPr>
            <w:pStyle w:val="Contents6"/>
            <w:tabs>
              <w:tab w:val="clear" w:pos="7609"/>
              <w:tab w:val="right" w:pos="9026" w:leader="dot"/>
            </w:tabs>
            <w:rPr/>
          </w:pPr>
          <w:hyperlink w:anchor="__RefHeading___Toc3813755_3804643083">
            <w:r>
              <w:rPr>
                <w:webHidden/>
                <w:rStyle w:val="IndexLink"/>
                <w:rtl w:val="true"/>
              </w:rPr>
              <w:t xml:space="preserve">و من جملة ما يحرم التكسب به </w:t>
            </w:r>
            <w:r>
              <w:rPr>
                <w:rStyle w:val="IndexLink"/>
                <w:rtl w:val="true"/>
              </w:rPr>
              <w:t>( (</w:t>
            </w:r>
            <w:r>
              <w:rPr>
                <w:rStyle w:val="IndexLink"/>
                <w:rtl w:val="true"/>
              </w:rPr>
              <w:t>الغش</w:t>
            </w:r>
            <w:r>
              <w:rPr>
                <w:rStyle w:val="IndexLink"/>
                <w:rtl w:val="true"/>
              </w:rPr>
              <w:t>))</w:t>
              <w:tab/>
            </w:r>
            <w:r>
              <w:rPr>
                <w:rStyle w:val="IndexLink"/>
              </w:rPr>
              <w:t>228</w:t>
            </w:r>
          </w:hyperlink>
        </w:p>
        <w:p>
          <w:pPr>
            <w:pStyle w:val="Contents2"/>
            <w:tabs>
              <w:tab w:val="clear" w:pos="8743"/>
              <w:tab w:val="right" w:pos="9026" w:leader="dot"/>
            </w:tabs>
            <w:rPr/>
          </w:pPr>
          <w:hyperlink w:anchor="__RefHeading___Toc3813757_3804643083">
            <w:r>
              <w:rPr>
                <w:webHidden/>
                <w:rStyle w:val="IndexLink"/>
                <w:rtl w:val="true"/>
              </w:rPr>
              <w:t>المصادر و المراجع</w:t>
            </w:r>
            <w:r>
              <w:rPr>
                <w:rStyle w:val="IndexLink"/>
                <w:rtl w:val="true"/>
              </w:rPr>
              <w:tab/>
            </w:r>
            <w:r>
              <w:rPr>
                <w:rStyle w:val="IndexLink"/>
              </w:rPr>
              <w:t>230</w:t>
            </w:r>
          </w:hyperlink>
        </w:p>
        <w:p>
          <w:pPr>
            <w:pStyle w:val="Contents2"/>
            <w:tabs>
              <w:tab w:val="clear" w:pos="8743"/>
              <w:tab w:val="right" w:pos="9026" w:leader="dot"/>
            </w:tabs>
            <w:rPr/>
          </w:pPr>
          <w:hyperlink w:anchor="__RefHeading___Toc3813759_3804643083">
            <w:r>
              <w:rPr>
                <w:webHidden/>
                <w:rStyle w:val="IndexLink"/>
                <w:rtl w:val="true"/>
              </w:rPr>
              <w:t>دليل الكتاب</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91_24098"/>
      <w:bookmarkStart w:id="1" w:name="pg2491_24098"/>
      <w:bookmarkEnd w:id="1"/>
    </w:p>
    <w:p>
      <w:pPr>
        <w:pStyle w:val="Heading2"/>
        <w:numPr>
          <w:ilvl w:val="1"/>
          <w:numId w:val="1"/>
        </w:numPr>
        <w:rPr/>
      </w:pPr>
      <w:bookmarkStart w:id="2" w:name="pg2491_24098"/>
      <w:bookmarkStart w:id="3" w:name="__RefHeading___Toc3813523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المتاجر المحرمة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 كاشف الغطاء، مهدى</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Heading2"/>
        <w:numPr>
          <w:ilvl w:val="1"/>
          <w:numId w:val="1"/>
        </w:numPr>
        <w:rPr/>
      </w:pPr>
      <w:bookmarkStart w:id="5" w:name="__RefHeading___Toc3813525_3804643083"/>
      <w:bookmarkStart w:id="6" w:name="_Toc2"/>
      <w:bookmarkEnd w:id="5"/>
      <w:r>
        <w:rPr>
          <w:rtl w:val="true"/>
        </w:rPr>
        <w:t>مقدّمه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813527_3804643083"/>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السميع العليم، و صلى الله على محمد ذي الخلق العظيم، و على آله الهداة الى الصراط المستقيم،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العلماء جبال رواسٍ على الأرض، و كتبهم منائر للناس تنير لهم السبيل، و طبعُ كتاب مخطوط لأحد هؤلاء العلماء العظام إضاءة لمنار من هذه المنارات، و هذا كتاب للشيخ مهدي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يطبع ليزيد من سطوع نور العلم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هذا الكتاب هو بعض أنواع المعاملات المحرمة، و قد درس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هذه المعاملات للوصول الى أحكامها، فهو بحث استدلالي في باب واحد من أبواب الفقه و هو باب المكاسب المحرمة، و من قراءتي لمقدمة المصنف عرفتُ أنه لم يضع عنواناً لهذا الكتاب لكنني سأختار له عنواناً من عبارة وردت في مقدمته كي لا أخرج عما كان يدور في ذهن المصنف، لأن أهل مكة أدرى بشعابها، و العنوان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المتاجر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العبارة الواردة في المقدمة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 أضفت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يقتضيها حصر الموضوع، لأن الظاهر أن المصنف أراد أن يكتب في الأبواب الأخرى من المعاملات، و لكن العمر لم يسعفه على ذلك، فانه كتب هذا الكتاب في أواخر عمره الشريف، فهو حين يذكر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الأولى من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ظاهر في أن الشيخ الأنصاري لا يزال حيّاً في ذلك الوقت، و في المواضع الأخيرة من الكتاب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w:t>
      </w:r>
    </w:p>
    <w:p>
      <w:pPr>
        <w:pStyle w:val="BookText"/>
        <w:rPr/>
      </w:pPr>
      <w:r>
        <w:rPr>
          <w:rFonts w:ascii="Amiri" w:hAnsi="Amiri" w:eastAsia="Amiri" w:cs="Amiri"/>
          <w:color w:val="111111"/>
          <w:sz w:val="28"/>
          <w:sz w:val="28"/>
          <w:szCs w:val="28"/>
          <w:rtl w:val="true"/>
          <w:lang w:bidi="ar-SA"/>
        </w:rPr>
        <w:t xml:space="preserve">في أنه توفي في ذلك الوقت، علماً أن الشيخ الأنصاري توفي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المصنف بعده بثماني سنوات أي في سنه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يُبتلى الناس بالأحكام المدروسة في هذا الكتاب، و بعبارة حديثة أن موضوعه عملي يتعرض له أكثر الناس في حياتهم اليومية، و هذا أحد الأسباب التي دعتني الى الاهتمام بتحقيقه بعد ما أعطاني مخطوطته الشيخ الدكتور عباس كاشف الغطاء متفضلًا لخدمة الدين و العلم حين كنت أبحث عن مخطوطة نحوية في مكتبتهم، و كلما زدت معرفةً بالكتاب زاد تعلقي به لسبب آخر هو عبارة الشيخ العربية الجميلة السلسة حيث أن المصنف شاعر يعرف اللغة و جمالها بحيث تطيعه الألفاظ متى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منهج الكتاب فلا يخرج عن المناهج المتبعة عند الفقهاء عموماً في الكتب الاستدلالية في عصره و هو عصر الشيخ الأنصاري و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المنهج معروف بالاستطراد في البحث من أجل استيعاب الموضوع من جوانبه جميعها، و هذا هو ديدن التطور العلمي في أنه يجرب كل ما يمكن أن يوصله الى نتيجة تزيد الحياة تكاملًا نحو النظام الأحسن، و تبحث أموراً جديدة لم تكن مطروقة من قبل، فمثلًا كان الفقه يهتم كثيراً بالمياه لقلتها، أما الآن فان ذلك الاهتمام أقل لكثرتها في حياة الناس، فالفقه يتكيف مع الزمن و لكن وفق ضوابط الشرع، و قد زاد الاهتمام الآن بالتجارة مثلًا لأن الزمان زمان البورصات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يخص وصف مخطوطة كتابنا التي يظهر أنها وحيدة، فقد تحريت على نحو عاجل عن إمكان وجود نسخة أخرى أقابلها بها لتصحيحها وسد نواقصها و لكنني لم أجد ما يشير الى وجودها في ما تحت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واضحة الخط، و معدل السطور في كل صفحة فيها تسعة عشر سطراً و معدل الكلمات في السطر الواحد سبع عشرة كلمة، و الظاهر أنها نسخت في حياة المصنف، و ذلك واضح من صفحة العنوان فان الناسخ أستعمل مع والد الشيخ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الترحم و دعا لهما دعاء المتوفين، و لم يذكر ذلك عن الشيخ نفسه، و كتب بعض التملكات في هذه الصفحة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اسم الناسخ و سنة النسخ فمجهولان، و الناسخ كثير الإسقاط لكلمات و عبارات، لا بل لجمل و أحياناً لأسطر من مادة المخطوطة، و قد تلافيت ذلك في أغلب</w:t>
      </w:r>
    </w:p>
    <w:p>
      <w:pPr>
        <w:pStyle w:val="BookText"/>
        <w:rPr/>
      </w:pPr>
      <w:r>
        <w:rPr>
          <w:rFonts w:ascii="Amiri" w:hAnsi="Amiri" w:eastAsia="Amiri" w:cs="Amiri"/>
          <w:color w:val="111111"/>
          <w:sz w:val="28"/>
          <w:sz w:val="28"/>
          <w:szCs w:val="28"/>
          <w:rtl w:val="true"/>
          <w:lang w:bidi="ar-SA"/>
        </w:rPr>
        <w:t>مواضع الأسقاط، إما من سياق العبارة فأضفت الكلمة الساقطة حسب حاجة المعنى أو من المصادر التي راجعها المصنف، و قد حصرت الإضافة بين معقوفتين للإشارة الى اضافتها الى المخطوطة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تحسين غازي عبد الأمير البلداوي</w:t>
      </w:r>
      <w:bookmarkStart w:id="9" w:name="pg2491_24102"/>
    </w:p>
    <w:p>
      <w:pPr>
        <w:pStyle w:val="Heading3"/>
        <w:numPr>
          <w:ilvl w:val="2"/>
          <w:numId w:val="1"/>
        </w:numPr>
        <w:rPr/>
      </w:pPr>
      <w:bookmarkStart w:id="10" w:name="__RefHeading___Toc3813529_3804643083"/>
      <w:bookmarkStart w:id="11" w:name="_Toc4"/>
      <w:bookmarkEnd w:id="9"/>
      <w:bookmarkEnd w:id="10"/>
      <w:r>
        <w:rPr>
          <w:rtl w:val="true"/>
        </w:rPr>
        <w:t>نبذة من حياة الشيخ مهدي الغطاء</w:t>
      </w:r>
      <w:bookmarkEnd w:id="11"/>
    </w:p>
    <w:p>
      <w:pPr>
        <w:pStyle w:val="Heading4"/>
        <w:numPr>
          <w:ilvl w:val="3"/>
          <w:numId w:val="1"/>
        </w:numPr>
        <w:rPr/>
      </w:pPr>
      <w:bookmarkStart w:id="12" w:name="__RefHeading___Toc3813531_3804643083"/>
      <w:bookmarkStart w:id="13" w:name="_Toc5"/>
      <w:bookmarkEnd w:id="12"/>
      <w:r>
        <w:rPr>
          <w:rtl w:val="true"/>
        </w:rPr>
        <w:t>اسمه و نسبه</w:t>
      </w:r>
      <w:bookmarkEnd w:id="13"/>
    </w:p>
    <w:p>
      <w:pPr>
        <w:pStyle w:val="BookText"/>
        <w:rPr/>
      </w:pPr>
      <w:r>
        <w:rPr>
          <w:rFonts w:ascii="Amiri" w:hAnsi="Amiri" w:eastAsia="Amiri" w:cs="Amiri"/>
          <w:color w:val="111111"/>
          <w:sz w:val="28"/>
          <w:sz w:val="28"/>
          <w:szCs w:val="28"/>
          <w:rtl w:val="true"/>
          <w:lang w:bidi="ar-SA"/>
        </w:rPr>
        <w:t>هو الشيخ مهدي بن الشيخ علي بن الشيخ الكبير جعفر كاشف الغطاء النجفي، و الشيخ جعفر هو أبو العائلة المعروفة في النجف الأشرف</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3813533_3804643083"/>
      <w:bookmarkStart w:id="15" w:name="_Toc6"/>
      <w:bookmarkEnd w:id="14"/>
      <w:r>
        <w:rPr>
          <w:rtl w:val="true"/>
        </w:rPr>
        <w:t>ولادته</w:t>
      </w:r>
      <w:bookmarkEnd w:id="15"/>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3813535_3804643083"/>
      <w:bookmarkStart w:id="17" w:name="_Toc7"/>
      <w:bookmarkEnd w:id="16"/>
      <w:r>
        <w:rPr>
          <w:rtl w:val="true"/>
        </w:rPr>
        <w:t>مكانته</w:t>
      </w:r>
      <w:bookmarkEnd w:id="17"/>
    </w:p>
    <w:p>
      <w:pPr>
        <w:pStyle w:val="BookText"/>
        <w:rPr/>
      </w:pPr>
      <w:r>
        <w:rPr>
          <w:rFonts w:ascii="Amiri" w:hAnsi="Amiri" w:eastAsia="Amiri" w:cs="Amiri"/>
          <w:color w:val="111111"/>
          <w:sz w:val="28"/>
          <w:sz w:val="28"/>
          <w:szCs w:val="28"/>
          <w:rtl w:val="true"/>
          <w:lang w:bidi="ar-SA"/>
        </w:rPr>
        <w:t xml:space="preserve">كان الشيخ مهدي من العلماء الكبار في عصره بشهادة كل من ترجم له، فقال عنه في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الأديب، أحد أعيان فقهاء عصره و رؤسائه من فقهاء العرب المعدودين في عصره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 قد كان الشيخ مرتضى الأنصاري يجله و يعتمد عليه في أمور الدين كما ورد في معارف الرجال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يعظمه و يقدمه في كثير من الأمور الشرعية و العرفية التي تعود الى فضلاء العرب، و صار المدرس الأوحد في الفقه و الأصول، عاصر فطاحل العلماء، و له الأظهرية في الرئاسة على معاصريه، كفقيه العراق الشيخ راضي، و الأستاذ الشيخ محمد حسين الكاظمي و الشيخ ملا علي الخليلي و السيد حسين الكوهكمري و نظراؤهم، و قد رجع اليه المسلمون في التقليد في قفقازية و أهم مدن ايران مثل طهران و أصفهان و تبريز و بعض مدن العراق كما رجع اليه جملة من سواد العراق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الفقهاء المقدمين بعد وفاة الشيخ الأنصاري، قال في ماضي النجف و حاضرها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عظماء هذه الأسرة و المراجع الكبار، قال في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فقيه كامل محقق أستاذ كبير شيخ النجف على الاطلاق بل شيخ العراق بل شيخ الدنيا،</w:t>
      </w:r>
    </w:p>
    <w:p>
      <w:pPr>
        <w:pStyle w:val="BookText"/>
        <w:rPr/>
      </w:pPr>
      <w:r>
        <w:rPr>
          <w:rFonts w:ascii="Amiri" w:hAnsi="Amiri" w:eastAsia="Amiri" w:cs="Amiri"/>
          <w:color w:val="111111"/>
          <w:sz w:val="28"/>
          <w:sz w:val="28"/>
          <w:szCs w:val="28"/>
          <w:rtl w:val="true"/>
          <w:lang w:bidi="ar-SA"/>
        </w:rPr>
        <w:t xml:space="preserve">انتهت اليه الرئاسة الجعفرية بعد الشيخ الأنصاري، و كان المرجع العام في الدين لأكثر الأقطار الشيعية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قيل في أسلوبه و منطقه مما تأكد لي في تحقيقي لكتابه هذا أنه حسن المحاضرة طلق اللسان عذب المنطق جيد التقرير في البحث و تحرير الدرس، تراه كالسيل العرم يتحدر في تقرير مطالبه من غير استعانة بلفظ أو كلمة و كأن الفقه كله كلمة واحدة في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يجيزون في الرواية عنه، فطلاب العلم يقصدونه من جميع الأنحاء طلباً لعلمه، و مما أطلعت عليه من هذه الإجازات إجازته للشيخ عبد الغني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يقرض الشعر، و كان أديباً شاعراً بليغاً منطقياً جهوري الصوت، عاصرناه، له مداعبات شعرية مع الشاعر الأديب عبد الباقي العمري و رفقائهم في دارهم بالنجف </w:t>
      </w:r>
      <w:r>
        <w:rPr>
          <w:rStyle w:val="FootnoteAnchor"/>
          <w:rtl w:val="true"/>
        </w:rPr>
        <w:footnoteReference w:id="5"/>
      </w:r>
      <w:r>
        <w:rPr>
          <w:rFonts w:ascii="Amiri" w:hAnsi="Amiri" w:eastAsia="Amiri" w:cs="Amiri"/>
          <w:color w:val="111111"/>
          <w:sz w:val="28"/>
          <w:sz w:val="28"/>
          <w:szCs w:val="28"/>
          <w:rtl w:val="true"/>
          <w:lang w:bidi="ar-SA"/>
        </w:rPr>
        <w:t>مثل قوله في مجي‌ء الشاعر الى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ينظم القريضَ مجيدا أنت عبدُ لعبد عبد الباقي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من لطائفه الشعرية هذان البيتان له على لسان خادم لهم يطلب وصاية من أخيه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الحميد أتاك يرجو كسوةً و لكم كسوتَ سواه عبداً عاريا و 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امتثال أوامري فأنزع قميصك لا تكن متوانيا </w:t>
      </w:r>
      <w:r>
        <w:rPr>
          <w:rStyle w:val="FootnoteAnchor"/>
          <w:rtl w:val="true"/>
        </w:rPr>
        <w:footnoteReference w:id="7"/>
      </w:r>
      <w:bookmarkStart w:id="18" w:name="pg2491_24104"/>
    </w:p>
    <w:p>
      <w:pPr>
        <w:pStyle w:val="Heading4"/>
        <w:numPr>
          <w:ilvl w:val="3"/>
          <w:numId w:val="1"/>
        </w:numPr>
        <w:rPr/>
      </w:pPr>
      <w:bookmarkStart w:id="19" w:name="__RefHeading___Toc3813537_3804643083"/>
      <w:bookmarkStart w:id="20" w:name="_Toc8"/>
      <w:bookmarkEnd w:id="18"/>
      <w:bookmarkEnd w:id="19"/>
      <w:r>
        <w:rPr>
          <w:rtl w:val="true"/>
        </w:rPr>
        <w:t>أساتذته</w:t>
      </w:r>
      <w:bookmarkEnd w:id="20"/>
    </w:p>
    <w:p>
      <w:pPr>
        <w:pStyle w:val="BookText"/>
        <w:rPr/>
      </w:pPr>
      <w:r>
        <w:rPr>
          <w:rFonts w:ascii="Amiri" w:hAnsi="Amiri" w:eastAsia="Amiri" w:cs="Amiri"/>
          <w:color w:val="111111"/>
          <w:sz w:val="28"/>
          <w:sz w:val="28"/>
          <w:szCs w:val="28"/>
          <w:rtl w:val="true"/>
          <w:lang w:bidi="ar-SA"/>
        </w:rPr>
        <w:t>درس في أول أمره على الشيخ أحمد الدجيلي ثمّ على والده الشيخ علي بن الشيخ جعفر كاشف الغطاء و عمه الشيخ حسن و أخيه الشيخ محمد و هو يروي بالإجازة عن أبيه و عمه و الشيخ محمد حسن صاحب الجواهر</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3813539_3804643083"/>
      <w:bookmarkStart w:id="22" w:name="_Toc9"/>
      <w:bookmarkEnd w:id="21"/>
      <w:r>
        <w:rPr>
          <w:rtl w:val="true"/>
        </w:rPr>
        <w:t>تلامذته</w:t>
      </w:r>
      <w:bookmarkEnd w:id="22"/>
    </w:p>
    <w:p>
      <w:pPr>
        <w:pStyle w:val="BookText"/>
        <w:rPr/>
      </w:pPr>
      <w:r>
        <w:rPr>
          <w:rFonts w:ascii="Amiri" w:hAnsi="Amiri" w:eastAsia="Amiri" w:cs="Amiri"/>
          <w:color w:val="111111"/>
          <w:sz w:val="28"/>
          <w:sz w:val="28"/>
          <w:szCs w:val="28"/>
          <w:rtl w:val="true"/>
          <w:lang w:bidi="ar-SA"/>
        </w:rPr>
        <w:t>و هم كُثُر منهم الشيخ حسن المامقاني و السيد اسماعيل الصدر و الشيخ فضل الله النوري و الشيخ عبد الله المازندراني و الشيخ جواد الرشتي و السيد محمد كاظم اليزدي و الشيخ اسماعيل التنكابني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بالإجازة السيد محمد هاشم الجهارسوقي و السيد محمد رضا بن مير الكاشاني و الشيخ ملا علي القره‌داغي و الشيخ علي الطياري التبريزي و الميرزا بهاء الدين بن نظام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معاصريه الشيخ مرتضى الأنصاري و الشيخ راضي النجفي و الشيخ محمد حسين الكاظمي و السيد حسين الترك و الحاج ملا علي الخليلي و الشيخ جواد نجف</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813541_3804643083"/>
      <w:bookmarkStart w:id="24" w:name="_Toc10"/>
      <w:bookmarkEnd w:id="23"/>
      <w:r>
        <w:rPr>
          <w:rtl w:val="true"/>
        </w:rPr>
        <w:t>آثاره</w:t>
      </w:r>
      <w:bookmarkEnd w:id="24"/>
    </w:p>
    <w:p>
      <w:pPr>
        <w:pStyle w:val="BookText"/>
        <w:rPr/>
      </w:pPr>
      <w:r>
        <w:rPr>
          <w:rFonts w:ascii="Amiri" w:hAnsi="Amiri" w:eastAsia="Amiri" w:cs="Amiri"/>
          <w:color w:val="111111"/>
          <w:sz w:val="28"/>
          <w:sz w:val="28"/>
          <w:szCs w:val="28"/>
          <w:rtl w:val="true"/>
          <w:lang w:bidi="ar-SA"/>
        </w:rPr>
        <w:t xml:space="preserve">مدرسته المعروفة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الموجودة خلف جامع الشيخ الطوسي الى اليوم، و مثلها في كربلاء شمال الصحن الحسيني الشريف، و قد أوقف لها خاناً يصرف ريعه عليها، و تعمير مقبرة جده الشيخ جعفر و قبور أعمامه و والده و بنى عليهم قباباً</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813543_3804643083"/>
      <w:bookmarkStart w:id="26" w:name="_Toc11"/>
      <w:bookmarkEnd w:id="25"/>
      <w:r>
        <w:rPr>
          <w:rtl w:val="true"/>
        </w:rPr>
        <w:t>مؤلفاته</w:t>
      </w:r>
      <w:bookmarkEnd w:id="26"/>
    </w:p>
    <w:p>
      <w:pPr>
        <w:pStyle w:val="BookText"/>
        <w:rPr/>
      </w:pPr>
      <w:r>
        <w:rPr>
          <w:rFonts w:ascii="Amiri" w:hAnsi="Amiri" w:eastAsia="Amiri" w:cs="Amiri"/>
          <w:color w:val="111111"/>
          <w:sz w:val="28"/>
          <w:sz w:val="28"/>
          <w:szCs w:val="28"/>
          <w:rtl w:val="true"/>
          <w:lang w:bidi="ar-SA"/>
        </w:rPr>
        <w:t>له كتاب في البيع و آخر في الخيارات و هو شرح على الشرائع و رسالة عملية و رسالة في الصوم و كتاب في المكاسب المحرمة الى حرمة التكسب بالغش، و هو الكتاب الذي نحن في صدد إخراجه</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813545_3804643083"/>
      <w:bookmarkStart w:id="28" w:name="_Toc12"/>
      <w:bookmarkEnd w:id="27"/>
      <w:r>
        <w:rPr>
          <w:rtl w:val="true"/>
        </w:rPr>
        <w:t>أولاده</w:t>
      </w:r>
      <w:bookmarkEnd w:id="2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أربعة أولاد أكبرهم الشيخ صالح و الأديب الشيخ أمين و الشيخ عبد المولى و أمهم علوية، و الشيخ موسى و أمه تبريزية</w:t>
      </w:r>
      <w:r>
        <w:rPr>
          <w:rFonts w:eastAsia="Amiri" w:cs="Amiri" w:ascii="Amiri" w:hAnsi="Amiri"/>
          <w:color w:val="111111"/>
          <w:sz w:val="28"/>
          <w:szCs w:val="28"/>
          <w:rtl w:val="true"/>
          <w:lang w:bidi="ar-SA"/>
        </w:rPr>
        <w:t>.</w:t>
      </w:r>
      <w:bookmarkStart w:id="29" w:name="pg2491_24105"/>
    </w:p>
    <w:p>
      <w:pPr>
        <w:pStyle w:val="Heading4"/>
        <w:numPr>
          <w:ilvl w:val="3"/>
          <w:numId w:val="1"/>
        </w:numPr>
        <w:rPr/>
      </w:pPr>
      <w:bookmarkStart w:id="30" w:name="__RefHeading___Toc3813547_3804643083"/>
      <w:bookmarkStart w:id="31" w:name="_Toc13"/>
      <w:bookmarkEnd w:id="29"/>
      <w:bookmarkEnd w:id="30"/>
      <w:r>
        <w:rPr>
          <w:rtl w:val="true"/>
        </w:rPr>
        <w:t>وفاته</w:t>
      </w:r>
      <w:bookmarkEnd w:id="31"/>
    </w:p>
    <w:p>
      <w:pPr>
        <w:pStyle w:val="BookText"/>
        <w:rPr/>
      </w:pPr>
      <w:r>
        <w:rPr>
          <w:rFonts w:ascii="Amiri" w:hAnsi="Amiri" w:eastAsia="Amiri" w:cs="Amiri"/>
          <w:color w:val="111111"/>
          <w:sz w:val="28"/>
          <w:sz w:val="28"/>
          <w:szCs w:val="28"/>
          <w:rtl w:val="true"/>
          <w:lang w:bidi="ar-SA"/>
        </w:rPr>
        <w:t xml:space="preserve">توفي الشيخ في النجف الأشرف ليلة الثلاثاء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صفر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في مقبرتهم، و في مستدرك سفينة البحار أنه توفي في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رثاه الشعراء الذين منهم الشيخ جواد محي الدين في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 بنو العليا تطأطئ هامها أ هلْ فقدت بالرغم منها إمامها نعم غالها صرف المنون بفادح عراها فأشجى شيخها و غلامها</w:t>
      </w:r>
    </w:p>
    <w:p>
      <w:pPr>
        <w:pStyle w:val="BookText"/>
        <w:rPr/>
      </w:pPr>
      <w:r>
        <w:rPr>
          <w:rFonts w:ascii="Amiri" w:hAnsi="Amiri" w:eastAsia="Amiri" w:cs="Amiri"/>
          <w:color w:val="111111"/>
          <w:sz w:val="28"/>
          <w:sz w:val="28"/>
          <w:szCs w:val="28"/>
          <w:rtl w:val="true"/>
          <w:lang w:bidi="ar-SA"/>
        </w:rPr>
        <w:t>و من قصيدة الشيخ أحمد قفطان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سهم رمى كبد الهدى فأصابا مذ قيل مهديّ الخليقة غابا نبأ به صكّ النعيّ مسامعي فأصمها حيث النعي أهابا </w:t>
      </w:r>
      <w:r>
        <w:rPr>
          <w:rStyle w:val="FootnoteAnchor"/>
          <w:rtl w:val="true"/>
        </w:rPr>
        <w:footnoteReference w:id="8"/>
      </w:r>
    </w:p>
    <w:p>
      <w:pPr>
        <w:pStyle w:val="Heading2"/>
        <w:numPr>
          <w:ilvl w:val="1"/>
          <w:numId w:val="1"/>
        </w:numPr>
        <w:rPr/>
      </w:pPr>
      <w:bookmarkStart w:id="32" w:name="__RefHeading___Toc3813549_3804643083"/>
      <w:bookmarkStart w:id="33" w:name="_Toc14"/>
      <w:bookmarkEnd w:id="32"/>
      <w:r>
        <w:rPr>
          <w:rtl w:val="true"/>
        </w:rPr>
        <w:t>مقدمة المصنف</w:t>
      </w:r>
      <w:bookmarkEnd w:id="33"/>
    </w:p>
    <w:p>
      <w:pPr>
        <w:pStyle w:val="BookText"/>
        <w:rPr/>
      </w:pPr>
      <w:r>
        <w:rPr>
          <w:rFonts w:ascii="Amiri" w:hAnsi="Amiri" w:eastAsia="Amiri" w:cs="Amiri"/>
          <w:color w:val="111111"/>
          <w:sz w:val="28"/>
          <w:sz w:val="28"/>
          <w:szCs w:val="28"/>
          <w:rtl w:val="true"/>
          <w:lang w:bidi="ar-SA"/>
        </w:rPr>
        <w:t>بِسْمِ اللّٰهِ الرَّحْمٰنِ الرَّحِيمِ و صلى الله على خير خلقه محمد و آله الطاهرين، و لعنة الله على أعدائهم و مبغضيهم من الأولين و الآخرين الى يوم الدين، اما بعد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سألني جمعٌ من العلماء العاملين، و طائفة من الفضلاء المحققين، حال قراءتهم عليّ بعض احكام المتاجر، بأنْ أكتب ما يخطر بالبال، و يجري في مرات الخيال، من أحكام المتاجر، فشرعت في هذا الكتاب راجيا من الكريم المتعال أن يجعله ذخرا ليوم فاقتي، حيث لا ينفع مال و لا بنون، و على الله التّكلان، و به المستعان، و هو حسبي و نعم الوكيل</w:t>
      </w:r>
      <w:r>
        <w:rPr>
          <w:rFonts w:eastAsia="Amiri" w:cs="Amiri" w:ascii="Amiri" w:hAnsi="Amiri"/>
          <w:color w:val="111111"/>
          <w:sz w:val="28"/>
          <w:szCs w:val="28"/>
          <w:rtl w:val="true"/>
          <w:lang w:bidi="ar-SA"/>
        </w:rPr>
        <w:t>.</w:t>
      </w:r>
      <w:bookmarkStart w:id="34" w:name="pg2491_24106"/>
    </w:p>
    <w:p>
      <w:pPr>
        <w:pStyle w:val="Heading2"/>
        <w:numPr>
          <w:ilvl w:val="1"/>
          <w:numId w:val="1"/>
        </w:numPr>
        <w:rPr/>
      </w:pPr>
      <w:bookmarkStart w:id="35" w:name="__RefHeading___Toc3813551_3804643083"/>
      <w:bookmarkStart w:id="36" w:name="_Toc15"/>
      <w:bookmarkEnd w:id="34"/>
      <w:bookmarkEnd w:id="35"/>
      <w:r>
        <w:rPr>
          <w:rtl w:val="true"/>
        </w:rPr>
        <w:t>كتاب التجارة</w:t>
      </w:r>
      <w:bookmarkEnd w:id="36"/>
    </w:p>
    <w:p>
      <w:pPr>
        <w:pStyle w:val="Heading3"/>
        <w:numPr>
          <w:ilvl w:val="2"/>
          <w:numId w:val="1"/>
        </w:numPr>
        <w:rPr/>
      </w:pPr>
      <w:bookmarkStart w:id="37" w:name="__RefHeading___Toc3813553_3804643083"/>
      <w:bookmarkStart w:id="38" w:name="_Toc16"/>
      <w:bookmarkEnd w:id="37"/>
      <w:r>
        <w:rPr>
          <w:rtl w:val="true"/>
        </w:rPr>
        <w:t>التجارة لغةً و مفهوماً</w:t>
      </w:r>
      <w:bookmarkEnd w:id="38"/>
    </w:p>
    <w:p>
      <w:pPr>
        <w:pStyle w:val="BookText"/>
        <w:rPr/>
      </w:pPr>
      <w:r>
        <w:rPr>
          <w:rFonts w:ascii="Amiri" w:hAnsi="Amiri" w:eastAsia="Amiri" w:cs="Amiri"/>
          <w:color w:val="111111"/>
          <w:sz w:val="28"/>
          <w:sz w:val="28"/>
          <w:szCs w:val="28"/>
          <w:rtl w:val="true"/>
          <w:lang w:bidi="ar-SA"/>
        </w:rPr>
        <w:t>التجارة تطلق على معانٍ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المعاوضة و المعاملة بقصد الاكتساب كسائر الفاظ الصنائع، كالحياكة و الصياغة و التجارة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معاني هذه الالفاظ ملكاتُ هذه الافعال كما يشهد به العرف و استقراء موارد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المعاوضة بقصد الاكتساب، و هو الذي عرّفها به الاصحاب في باب زكاة مال التجارة، و هو عام لجميع عقود المعاوضات، من غير فرق بين البيع و غيره، و خاص بصورة قصد الاكتساب، فتخرج عنه المعاوضة بقصد الادّخار و القوت و نحو ذلك من دون استرباح و 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المعاوضة بيعا كان أو غيره، بقصد الاكتساب 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البيع و يشهد لذلك استقراء العرف،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تجارة إذا باع و اشترى فهذه معانٍ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بيان المراد من التجارة في هذا الباب،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إرادة المعنى الاول هنا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التجارة من جزئيات موضوع الفقه، فهي كسائر الابواب التي هي من جزئيات موضوع الفقه، و هو الافعال، و الملكة مما لا يُبحَثُ عن حكمها في الفقه كمالا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من التقسيم إنما ينطبق على الافعال لا على الملكة، إذ الملكة بالنظر الى المعاملة بهذه الاقسام المذكورة للموضوع على حد سواء، فلا يترتَّب عليه هذه الاحكام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الاحكام في الاقسام أعمّ من أن يكون ممّن له ملكة أو لا، فلو سلّمنا جواز إرادة معنى الملكة قلنا بتأويله على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بيان الاعيان التي يكتسب بها صاحب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كونه تكلُّفا زائدا خارجا عن اسلوب الكلام،</w:t>
      </w:r>
    </w:p>
    <w:p>
      <w:pPr>
        <w:pStyle w:val="BookText"/>
        <w:rPr/>
      </w:pPr>
      <w:r>
        <w:rPr>
          <w:rFonts w:ascii="Amiri" w:hAnsi="Amiri" w:eastAsia="Amiri" w:cs="Amiri"/>
          <w:color w:val="111111"/>
          <w:sz w:val="28"/>
          <w:sz w:val="28"/>
          <w:szCs w:val="28"/>
          <w:rtl w:val="true"/>
          <w:lang w:bidi="ar-SA"/>
        </w:rPr>
        <w:t>يستلزم كون العنوان أخصّ من المعنون، و التزامُ الاستطراد في اكتساب غير ذي الملكة بعيدٌ كلَّ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إرادة المعنى الثاني هنا أيضاً و ان فسّرها به جمع من أصحابنا، بل ربما أشعرتْ عبارة كل من أبدل العنوان بالمكاسب أو عبّر كعبارة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يَكتسب به</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التقسيم، و كلام الاصحاب في تعميم التجارة هنا بالنظر الى قصد الاكتساب و عدمه كما عن المحقق الثاني </w:t>
      </w:r>
      <w:r>
        <w:rPr>
          <w:rStyle w:val="FootnoteAnchor"/>
          <w:rtl w:val="true"/>
        </w:rPr>
        <w:footnoteReference w:id="10"/>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المعاوضة بقصد الاكتساب يعم جميع العقود و المعاوضات، فجَعْلُ التجارة كتابا في مقابلة سائر المعاوضات ركيكٌ جدا، و ادراج البيع فيه دون غيره خال من الوجه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أُفرد البيع عن المكاسب اندفع هذا الايراد، و من هنا كان المحكيّ عن صريح الروضة </w:t>
      </w:r>
      <w:r>
        <w:rPr>
          <w:rStyle w:val="FootnoteAnchor"/>
          <w:rtl w:val="true"/>
        </w:rPr>
        <w:footnoteReference w:id="11"/>
      </w:r>
      <w:r>
        <w:rPr>
          <w:rFonts w:ascii="Amiri" w:hAnsi="Amiri" w:eastAsia="Amiri" w:cs="Amiri"/>
          <w:color w:val="111111"/>
          <w:sz w:val="28"/>
          <w:sz w:val="28"/>
          <w:szCs w:val="28"/>
          <w:rtl w:val="true"/>
          <w:lang w:bidi="ar-SA"/>
        </w:rPr>
        <w:t xml:space="preserve">و المحقق الثاني في شرح القواعد </w:t>
      </w:r>
      <w:r>
        <w:rPr>
          <w:rStyle w:val="FootnoteAnchor"/>
          <w:rtl w:val="true"/>
        </w:rPr>
        <w:footnoteReference w:id="12"/>
      </w:r>
      <w:r>
        <w:rPr>
          <w:rFonts w:ascii="Amiri" w:hAnsi="Amiri" w:eastAsia="Amiri" w:cs="Amiri"/>
          <w:color w:val="111111"/>
          <w:sz w:val="28"/>
          <w:sz w:val="28"/>
          <w:szCs w:val="28"/>
          <w:rtl w:val="true"/>
          <w:lang w:bidi="ar-SA"/>
        </w:rPr>
        <w:t>أن إفراد البيع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التجارة على هذا المعنى مما لا ينطق على المباحث الآتية، إذ موضوعها أعم من ذلك قطعا، فهو مما يستلزم كون العنوان أخص من المعنون، و التزام الاستطراد في 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إرادة المعنى الثالث، لأنه و ان سلِم من الأخصّية بالنظر الى المعنون، لكنه شامل لجميع المعاوضات، فلا يناسب المقابلة معها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بعض المتأخرين بحمل التجارة عليه هنا، و قال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 أي كتاب البيع، و يشهد لهذا المعنى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 فلان، أي باع و اشترى، و هو مما لا باس به، إذ هو المناسب لإفراد ما عداه بكتب مستقلة، لأنّه مباين لها حق 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ذكر أنواع المكاسب من جملة فصول البيع مما لا وجه له، و كان اللائق إفرادها بكتابٍ مستقلا، و لكنها لمّا كانت قليلة المسائل لم يناسب إفرادها</w:t>
      </w:r>
      <w:bookmarkStart w:id="39" w:name="pg2491_24108"/>
    </w:p>
    <w:p>
      <w:pPr>
        <w:pStyle w:val="BookText"/>
        <w:rPr/>
      </w:pPr>
      <w:bookmarkEnd w:id="39"/>
      <w:r>
        <w:rPr>
          <w:rFonts w:ascii="Amiri" w:hAnsi="Amiri" w:eastAsia="Amiri" w:cs="Amiri"/>
          <w:color w:val="111111"/>
          <w:sz w:val="28"/>
          <w:sz w:val="28"/>
          <w:szCs w:val="28"/>
          <w:rtl w:val="true"/>
          <w:lang w:bidi="ar-SA"/>
        </w:rPr>
        <w:t>بكتاب مستقل، فلزم إدراجها في طيّ أفراد المكاسب، و لما كان البيع أظهر أفرادها، و أغلبها وقوعا و استعمالا أدرجها في طيّ مسائله، لانه أولى من تفريعها على الابواب، أو ذكرها في باب مستقبل أو ذكرها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و إن كان قد يشهد له إفراد غير البيع من اقسام المعاوضات بكتب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يبعّده معروفية كونها أعم من ذلك، و ذكرُ </w:t>
      </w:r>
      <w:r>
        <w:rPr>
          <w:rStyle w:val="FootnoteAnchor"/>
          <w:rtl w:val="true"/>
        </w:rPr>
        <w:footnoteReference w:id="14"/>
      </w:r>
      <w:r>
        <w:rPr>
          <w:rFonts w:ascii="Amiri" w:hAnsi="Amiri" w:eastAsia="Amiri" w:cs="Amiri"/>
          <w:color w:val="111111"/>
          <w:sz w:val="28"/>
          <w:sz w:val="28"/>
          <w:szCs w:val="28"/>
          <w:rtl w:val="true"/>
          <w:lang w:bidi="ar-SA"/>
        </w:rPr>
        <w:t xml:space="preserve">كثيرٍ من احكام التكسب و ما يكتسب به و نحوها مما لا مدخلية له في البيع، و لذلك قلنا يكون المراد منها مطلق المعاوضة، و عدم إفراد البيع بكتاب بخلاف غيره من أفرادها لشدة تعلقه بها و غلبته فيها </w:t>
      </w:r>
      <w:r>
        <w:rPr>
          <w:rStyle w:val="FootnoteAnchor"/>
          <w:rtl w:val="true"/>
        </w:rPr>
        <w:footnoteReference w:id="1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إذ معروفية التجارة بما يعم البيع لا ينافي إرادة خصوص البيع فيها هنا لما سمعت من القرينة، و ذكرُ ما لا مدخلية له في البيع قد عرفت المناسبة فيه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813555_3804643083"/>
      <w:bookmarkStart w:id="41" w:name="_Toc17"/>
      <w:bookmarkEnd w:id="40"/>
      <w:r>
        <w:rPr>
          <w:rtl w:val="true"/>
        </w:rPr>
        <w:t>أقسام التجارة</w:t>
      </w:r>
      <w:bookmarkEnd w:id="41"/>
    </w:p>
    <w:p>
      <w:pPr>
        <w:pStyle w:val="BookText"/>
        <w:rPr/>
      </w:pPr>
      <w:r>
        <w:rPr>
          <w:rFonts w:ascii="Amiri" w:hAnsi="Amiri" w:eastAsia="Amiri" w:cs="Amiri"/>
          <w:color w:val="111111"/>
          <w:sz w:val="28"/>
          <w:sz w:val="28"/>
          <w:szCs w:val="28"/>
          <w:rtl w:val="true"/>
          <w:lang w:bidi="ar-SA"/>
        </w:rPr>
        <w:t>و كيف كان، فتنقسم التجارة بمعنى الاكتساب الى الاحكام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الحرمة، و الكراهة، و الوجوب، و الاباحة، و الاستحباب، و لا ينافي ذلك ما في الشرائع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فيما يكتسب به، و ينقسم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و مكروه، و مباح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الضمير في ينقسم إما راجع الى الاكتساب المأخوذ في ضمن يكتسب على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أو الى نفس ما يكتسب به، و على الاول فلا إشكال لأن الاكتساب من افعال المكلف التي هي موضوع الفقه المبحوث عنها من حيث الاقتضاء و التخيير 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يشكل الحال ضرورة ان العين المكتسب بها مما لا تتعلق بها الاحكام إلا باعتبار فعل المكلف، فهي من حيث الذات لا تتصف بوجوب و لا كراهة و لا حرمة و لا إباحة و لا 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يُدفع الاشكالُ بانّ اتصاف العين باحد الاحكام انما يكون باعتبار تعلق فعل المكلف بها أيضا، فهي في حد ذاتها</w:t>
      </w:r>
    </w:p>
    <w:p>
      <w:pPr>
        <w:pStyle w:val="BookText"/>
        <w:rPr/>
      </w:pPr>
      <w:r>
        <w:rPr>
          <w:rFonts w:ascii="Amiri" w:hAnsi="Amiri" w:eastAsia="Amiri" w:cs="Amiri"/>
          <w:color w:val="111111"/>
          <w:sz w:val="28"/>
          <w:sz w:val="28"/>
          <w:szCs w:val="28"/>
          <w:rtl w:val="true"/>
          <w:lang w:bidi="ar-SA"/>
        </w:rPr>
        <w:t xml:space="preserve">لا تنقسم الى هذه الاقسام و لا تتصف بهذه الاحكام، و لكنها قد تتصف و تنقسم باعتبار تعلق فعل المكلف بها أيضاً، و هو المقصود هنا، فيكون نظر المحقق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تثليث القسمة انما هو انقسام الاكتساب باعتبار الموضوع كما يرشد الى ذلك جعل الضمير راجعا الى ما يكتسب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الاقسام باعتبار الموضوع ثلاثة لا غير، فلا ينافي ذلك انقسام مطلق الاكتساب كما صنعه جماعة منهم العلامة في القواعد، و جعلوا من أقسام الواجب ما يحتاج اليه الانسان لقوته و قوت عياله </w:t>
      </w:r>
      <w:r>
        <w:rPr>
          <w:rStyle w:val="FootnoteAnchor"/>
          <w:rtl w:val="true"/>
        </w:rPr>
        <w:footnoteReference w:id="19"/>
      </w:r>
      <w:r>
        <w:rPr>
          <w:rFonts w:ascii="Amiri" w:hAnsi="Amiri" w:eastAsia="Amiri" w:cs="Amiri"/>
          <w:color w:val="111111"/>
          <w:sz w:val="28"/>
          <w:sz w:val="28"/>
          <w:szCs w:val="28"/>
          <w:rtl w:val="true"/>
          <w:lang w:bidi="ar-SA"/>
        </w:rPr>
        <w:t xml:space="preserve">الواجبي النفقة، و من المندوب ما يقصد به التوسع على العيال او نفع المحاويج مع حصول قدر الحاجة بغيره </w:t>
      </w:r>
      <w:r>
        <w:rPr>
          <w:rStyle w:val="FootnoteAnchor"/>
          <w:rtl w:val="true"/>
        </w:rPr>
        <w:footnoteReference w:id="20"/>
      </w:r>
      <w:r>
        <w:rPr>
          <w:rFonts w:ascii="Amiri" w:hAnsi="Amiri" w:eastAsia="Amiri" w:cs="Amiri"/>
          <w:color w:val="111111"/>
          <w:sz w:val="28"/>
          <w:sz w:val="28"/>
          <w:szCs w:val="28"/>
          <w:rtl w:val="true"/>
          <w:lang w:bidi="ar-SA"/>
        </w:rPr>
        <w:t>إذا لم ينافِ شيئا من الواجبات، إذ نظرهم إلى أنّ الاكتساب من جملة موضوع الفقه الذي تتعلق به الاحكام الخمسة، سواء كان الحكم ناشئا من خصوص الموضوع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من ثلّث القسمة الى الحكم الناشئ من خصوصِ الموضوع، و يشير الى ذلك جعل الضمير في عبارة المحقق راجعا الى ما يكتسب به و جعل المقسم موضوع التجارة في عبارة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الأحكام التي تنشأ من الموضوع خصوص الثلاثة المذكورة، لان الواجب الذي مثّلوا به لا يتعلق بخصوص عين خاصة، و إنما يجب الاكتساب لتحصيل القوت من غير فرق بين الأعيان، فليس ذلك كالمحرم من التجارة و كذلك المستحب، فإنه لا يتعلق بعين خاصة بحيث يستحب التكسب بها بخصوصها، و إنما المستحب الاكتساب بأي عين كانت لنفع المحاويج، فحينئذٍ لا منافاة بين كلام من ثلّث القسمة و خمسها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من حيث هي لا يتعلق بها شي‌ء من الاحكام كما ذكرت و انما يتعلق بها الحكم من حيث فعل المكلف من غير فرق بين الوجوب و الاستحباب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فشراء المكلف إذا تعلق بعين من الاعيان لقوت نفسه عند الحاجة كان واجبا، فتتصف تلك العين بالوجوب باعتبار وجوب فعل المكلف المتعلق</w:t>
      </w:r>
    </w:p>
    <w:p>
      <w:pPr>
        <w:pStyle w:val="BookText"/>
        <w:rPr/>
      </w:pPr>
      <w:r>
        <w:rPr>
          <w:rFonts w:ascii="Amiri" w:hAnsi="Amiri" w:eastAsia="Amiri" w:cs="Amiri"/>
          <w:color w:val="111111"/>
          <w:sz w:val="28"/>
          <w:sz w:val="28"/>
          <w:szCs w:val="28"/>
          <w:rtl w:val="true"/>
          <w:lang w:bidi="ar-SA"/>
        </w:rPr>
        <w:t>بها، و كذلك المندوب فلا وجه لتثليث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المتصف بالحكم هو فعل المكلف و العين من حيث هي لا تتصف بشي‌ء من الحكام، و لكن الحكم مرة ينشأ من نفس الموضوع كحرمة بيع الخمر و كراهة بيع الاكفان، فانَّ الحرمة و الكراهة إنما تنشأ من الخمر و الكفن، و مرة ينشأ الحكم من عموم الخطاب بتحصيل النفقة كشراء الثياب للعيال عند الاحتياج اليها، فانّ وجوب الشراء لم ينشأ من الثياب، و أنما نشأ من عموم الخطاب بوجوب تحصيل النفقة و الكسوة لواجبي النفقة، و الفرق بين الامرين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 المناط هو الحكم الناشئ عن ذات الموضوع لا وجه لتثليث القسمة أيضا، لأن ذات الموضوع قد تكون منشأ لوجوب الاكتساب كما تكون منشأ لتحريمه، و كذلك قد تكون منشأ للاستحباب، و ذلك كعمل الصنائع التي هي من الواجبات الكفائية فان وجوبها كفاية مع وجود مَنْ به الكفاية و التعدد، وعينا عند الانحصار إنما نشأ من نفس تلك الاعيان التي تعلق بها العمل و الصنعة، لان احتياج الناس الى المنازل و البيوت لموقوفة على الحدادة و النجارة و البناء هو الذي اوجب هذه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هذه الاعمال أنما نشأ من موضوعاتها التي تتعلق بها هذه الاعمال و تدعو اليها، و يمكن فرضها بعنوان الاستحباب كما في صورة قيام من به الكفاية مع دفع الحاجة بحسبها و استحباب مباشرتها لشخص آخر للتوسعة على الناس في أمور معاشهم فلا وجه لتثليث القسمة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هذه الصنائع سواء فرضت واجبة او مندوبة، لم ينشأ حكمها من الاعيان التي تعلقت بها هذه الاعمال بل انما نشأ من عموم وجوب دفع حاجة الناس و حفظ النظام، و ليست خصوص العين المحتاج اليها عند الناس منشأ لوجوب هذه الاعمال بل الموجب هو الحاجةُ و الادلةُ الدالة على وجوب دفعها عن الناس حفظا للنظام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ان هذه الاحكام انما نشأت من الاعيان فلا حاجة الى التمثيل بالصنائع، بل المعاوضةُ لقوت العيال أيضا كذلك، فان حاجة العيال الى الطعام و إلى الخبز بالخصوص دعت الى وجوب شراء الطعام و الخبز، فيكون الوجوب ناشئا من الطعام و الخبز، و هو كما ترى و على كل حال فلتثليث القسمة وجه، و تخميسها بالاعتبار الذي ذكرناه أٰوجُه و الامر في ذلك سهل، إنما الاشكال في عدّ المباح من جملة</w:t>
      </w:r>
    </w:p>
    <w:p>
      <w:pPr>
        <w:pStyle w:val="BookText"/>
        <w:rPr/>
      </w:pPr>
      <w:r>
        <w:rPr>
          <w:rFonts w:ascii="Amiri" w:hAnsi="Amiri" w:eastAsia="Amiri" w:cs="Amiri"/>
          <w:color w:val="111111"/>
          <w:sz w:val="28"/>
          <w:sz w:val="28"/>
          <w:szCs w:val="28"/>
          <w:rtl w:val="true"/>
          <w:lang w:bidi="ar-SA"/>
        </w:rPr>
        <w:t>أقسام التجارة، مع أن المباح في الاصطلاح هو ما تساوى طرفاه ذاتا من دون رجحان و لا مرجوحيةَ في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 ذاته راجحا او مرجوحا خرج عن كونه مباحا اصطلاحا و ان كان متساوي الطرفين من حيث العوارض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التجارة مما تضافرت الاخبار الواردة عن الائمة الاطهار، و انعقد الاجماع قديما و حديثا على انها من المستحبات المؤكدة و الاعمال الممدوحة، فحيث لا تكون محرمة و لا مكروهة فهي مستحبة، فلا معنى لعد المباح من اقسامها، و يمكن التخلص عن هذا الاشكال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كلامهم هنا في عدّ المباح من اقسام التجارة على الإعراض عن تلك الأخبار الدالة على استحباب التجارة و عدم تلقيها بالقبول و عدم الاعتناء بشأنها و إن تكثّرتْ و تضافرت، و هو كما ترى؛ إذ الاعراض عن تلك الاخبار و عدم الالتفات اليها انما يكون مستحسنا حيث ينعقد الاجماع على ذلك، و إلّا فهي صحيحة سليمة عن المعارض صريحة في المطلوب، فكيف و الاجماع منعقد على العمل بتلك الاخبار قديما و حديثا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المباح في كلامهم على ما كان رجحانه أنقص بالنسبة الى رجحان غيره لا على المباح المصطلح الذي يتساوى طرفاه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فالمباح ما نقص رجحانه عن غيره و ان كان راجحا بحسب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إنما يتوجه على تقدير تخميس القسمة، لان في الاقسام الواجب و المستحب و هما راجحان، فيكون المباح ما نقص رجحانه عن رجحانهما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تثليث القسمة و جعل اقسام التجارة منحصرة في المحرم و المكروه و المباح، فليس في اقسام التجارة راجح، حتى يجعل المباح ما نقص رجحانه عنه، فلا يتجه هذا الوجه في تثليث القسمة و جعل المقسم التجارة من حيثية الموضوع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تخميس القسمة و جعل المقسم التجارةَ من حيث الاكتساب يمكن هذا الوجه، مع انّ من ثلّث القسمة جَعَل المباح من أقسام التجارة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المباح في كلامهم على المستحب المعارض بمثله مع عدم المرجّح لأحدهما، و ذلك كما لو عارض التجارة مستحب آخر مساوٍ لها في الرجحان فانّ</w:t>
      </w:r>
    </w:p>
    <w:p>
      <w:pPr>
        <w:pStyle w:val="BookText"/>
        <w:rPr/>
      </w:pPr>
      <w:r>
        <w:rPr>
          <w:rFonts w:ascii="Amiri" w:hAnsi="Amiri" w:eastAsia="Amiri" w:cs="Amiri"/>
          <w:color w:val="111111"/>
          <w:sz w:val="28"/>
          <w:sz w:val="28"/>
          <w:szCs w:val="28"/>
          <w:rtl w:val="true"/>
          <w:lang w:bidi="ar-SA"/>
        </w:rPr>
        <w:t>المكلف يتخيَّر حينئذٍ في فعل أي المستحبين، فيكون كل منهما متساوي الفعل و الترك حينئذ و إن كان راجحا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خلاف ظاهر لفظ المباح و خلاف ظاهر الأصحاب، فحملُ المباحِ عليه في كلام الاصحاب مما لا معنى له، فالاولى في توجيه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من ثلّث القسمة الى الاحكام الناشئة من نفس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و لا ريب ان التجارة المستحبة على ما في الاخبار هي البيع و الشراء و التكسب من غير دخل للتكسب بعين خاصة كالقماش و الحبوب و البقول و نحوها؛ لأٰنّ مناط الاستحباب هو عدم سؤال الناس و فتح باب الحاجة اليهم و القاء المؤنة عليهم، و هذا مما لا يختلف الحال فيه بين التكسب بالحنطة و الشعير أو القماش أو البقول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فالتكسب بالعين الخاصة مباح و إن كان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نظر من ثلّث القسمة الى الأحكام الناشئة من نفس الموضوع، فلا شك في كون التكسب بغير الحنطة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المباح من اقسام التجارة من حيث هذه الحيثية مما لا بأس به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 إن المتبادر من الأدلة الدالة على مستحبات التجارة هو القدر الذي يحصل به التوسعة على العيال، و يسد به باب الحاجة عن الناس و يستعين به على المستحبات و وجوه الخيرات و المبرّات، و هذا لا يستلزم انتفاء المباح إذ يمكن فرض التجارة على نحو لا يحصل به شي‌ء من ذلك كشراء شي‌ء لا يحتاج اليه الانسان، و انما شراؤه لمجرد التشهّي، و لا ريب أن هذه من المباحات بمقتضى الاطلاقات و العمومات و لا يدخل في عمومات استحباب التجارة و اطلاقاته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تكون التجارة من المباحات ذاتاً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قلنا باستحباب التجارة ذاتا فمكروها كمكروه العبادة، بمعنى اقلية الثواب و نحوه من معاني مكروه العبادة، و اطلاق المكروه عليه خلاف المصطلح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بعدم استحبابها ذاتا فمكروهها كمكروه العبادات على نحو سائر المكروهات، ثمّ اعلمْ انه قد صرح المحقق الثاني </w:t>
      </w:r>
      <w:r>
        <w:rPr>
          <w:rStyle w:val="FootnoteAnchor"/>
          <w:rtl w:val="true"/>
        </w:rPr>
        <w:footnoteReference w:id="21"/>
      </w:r>
      <w:r>
        <w:rPr>
          <w:rFonts w:ascii="Amiri" w:hAnsi="Amiri" w:eastAsia="Amiri" w:cs="Amiri"/>
          <w:color w:val="111111"/>
          <w:sz w:val="28"/>
          <w:sz w:val="28"/>
          <w:szCs w:val="28"/>
          <w:rtl w:val="true"/>
          <w:lang w:bidi="ar-SA"/>
        </w:rPr>
        <w:t xml:space="preserve">و الشهيد الثاني </w:t>
      </w:r>
      <w:r>
        <w:rPr>
          <w:rStyle w:val="FootnoteAnchor"/>
          <w:rtl w:val="true"/>
        </w:rPr>
        <w:footnoteReference w:id="22"/>
      </w:r>
      <w:r>
        <w:rPr>
          <w:rFonts w:ascii="Amiri" w:hAnsi="Amiri" w:eastAsia="Amiri" w:cs="Amiri"/>
          <w:color w:val="111111"/>
          <w:sz w:val="28"/>
          <w:sz w:val="28"/>
          <w:szCs w:val="28"/>
          <w:rtl w:val="true"/>
          <w:lang w:bidi="ar-SA"/>
        </w:rPr>
        <w:t>بأن البحث للفقيه</w:t>
      </w:r>
      <w:bookmarkStart w:id="42" w:name="pg2491_24113"/>
    </w:p>
    <w:p>
      <w:pPr>
        <w:pStyle w:val="BookText"/>
        <w:rPr/>
      </w:pPr>
      <w:bookmarkEnd w:id="42"/>
      <w:r>
        <w:rPr>
          <w:rFonts w:ascii="Amiri" w:hAnsi="Amiri" w:eastAsia="Amiri" w:cs="Amiri"/>
          <w:color w:val="111111"/>
          <w:sz w:val="28"/>
          <w:sz w:val="28"/>
          <w:szCs w:val="28"/>
          <w:rtl w:val="true"/>
          <w:lang w:bidi="ar-SA"/>
        </w:rPr>
        <w:t>في المعاملات بالذات من حيث الصحة و الفساد، و أما الحرمة و الوجوب فيترتب عليه العقاب و الثواب فلا ربط له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العقود له جهة عبادة ايضا فيصح ذلك هنا لهذا الاعتبار و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محذور في ذلك هنا استطراداً باعتبار اختلاف جهة المكاسب؛ فانها قد تكون عبادة من جهة </w:t>
      </w:r>
      <w:r>
        <w:rPr>
          <w:rStyle w:val="FootnoteAnchor"/>
          <w:rtl w:val="true"/>
        </w:rPr>
        <w:footnoteReference w:id="23"/>
      </w:r>
      <w:r>
        <w:rPr>
          <w:rFonts w:ascii="Amiri" w:hAnsi="Amiri" w:eastAsia="Amiri" w:cs="Amiri"/>
          <w:color w:val="111111"/>
          <w:sz w:val="28"/>
          <w:sz w:val="28"/>
          <w:szCs w:val="28"/>
          <w:rtl w:val="true"/>
          <w:lang w:bidi="ar-SA"/>
        </w:rPr>
        <w:t xml:space="preserve">و معاملة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معاوضة</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من أخرى، و كذا باقي العقود كالصلح </w:t>
      </w:r>
      <w:r>
        <w:rPr>
          <w:rStyle w:val="FootnoteAnchor"/>
          <w:rtl w:val="true"/>
        </w:rPr>
        <w:footnoteReference w:id="25"/>
      </w:r>
      <w:r>
        <w:rPr>
          <w:rFonts w:ascii="Amiri" w:hAnsi="Amiri" w:eastAsia="Amiri" w:cs="Amiri"/>
          <w:color w:val="111111"/>
          <w:sz w:val="28"/>
          <w:sz w:val="28"/>
          <w:szCs w:val="28"/>
          <w:rtl w:val="true"/>
          <w:lang w:bidi="ar-SA"/>
        </w:rPr>
        <w:t xml:space="preserve">و الاجارة و مثله النكاح </w:t>
      </w:r>
      <w:r>
        <w:rPr>
          <w:rStyle w:val="FootnoteAnchor"/>
          <w:rtl w:val="true"/>
        </w:rPr>
        <w:footnoteReference w:id="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Heading3"/>
        <w:numPr>
          <w:ilvl w:val="2"/>
          <w:numId w:val="1"/>
        </w:numPr>
        <w:rPr/>
      </w:pPr>
      <w:bookmarkStart w:id="43" w:name="__RefHeading___Toc3813557_3804643083"/>
      <w:bookmarkStart w:id="44" w:name="_Toc18"/>
      <w:bookmarkEnd w:id="43"/>
      <w:r>
        <w:rPr>
          <w:rtl w:val="true"/>
        </w:rPr>
        <w:t>الكلام في ما يكتسب به</w:t>
      </w:r>
      <w:bookmarkEnd w:id="44"/>
    </w:p>
    <w:p>
      <w:pPr>
        <w:pStyle w:val="Heading4"/>
        <w:numPr>
          <w:ilvl w:val="3"/>
          <w:numId w:val="1"/>
        </w:numPr>
        <w:rPr/>
      </w:pPr>
      <w:bookmarkStart w:id="45" w:name="__RefHeading___Toc3813559_3804643083"/>
      <w:bookmarkStart w:id="46" w:name="_Toc19"/>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و ينقسم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 مكروه و مباح</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813561_3804643083"/>
      <w:bookmarkStart w:id="48" w:name="_Toc20"/>
      <w:bookmarkEnd w:id="47"/>
      <w:r>
        <w:rPr>
          <w:rtl w:val="true"/>
        </w:rPr>
        <w:t>فالمحرم انواع</w:t>
      </w:r>
      <w:r>
        <w:rPr>
          <w:rtl w:val="true"/>
        </w:rPr>
        <w:t>:</w:t>
      </w:r>
      <w:bookmarkEnd w:id="48"/>
    </w:p>
    <w:p>
      <w:pPr>
        <w:pStyle w:val="Heading5"/>
        <w:numPr>
          <w:ilvl w:val="4"/>
          <w:numId w:val="1"/>
        </w:numPr>
        <w:rPr/>
      </w:pPr>
      <w:bookmarkStart w:id="49" w:name="__RefHeading___Toc3813563_3804643083"/>
      <w:bookmarkStart w:id="50" w:name="_Toc21"/>
      <w:bookmarkEnd w:id="49"/>
      <w:r>
        <w:rPr>
          <w:rtl w:val="true"/>
        </w:rPr>
        <w:t>[</w:t>
      </w:r>
      <w:r>
        <w:rPr>
          <w:rtl w:val="true"/>
        </w:rPr>
        <w:t>النوع الأول</w:t>
      </w:r>
      <w:r>
        <w:rPr>
          <w:rtl w:val="true"/>
        </w:rPr>
        <w:t xml:space="preserve">: </w:t>
      </w:r>
      <w:r>
        <w:rPr>
          <w:rtl w:val="true"/>
        </w:rPr>
        <w:t>الاعيان النجسة،</w:t>
      </w:r>
      <w:r>
        <w:rPr>
          <w:rtl w:val="true"/>
        </w:rPr>
        <w:t>]</w:t>
      </w:r>
      <w:bookmarkEnd w:id="50"/>
    </w:p>
    <w:p>
      <w:pPr>
        <w:pStyle w:val="Heading6"/>
        <w:numPr>
          <w:ilvl w:val="5"/>
          <w:numId w:val="1"/>
        </w:numPr>
        <w:rPr/>
      </w:pPr>
      <w:bookmarkStart w:id="51" w:name="__RefHeading___Toc3813565_3804643083"/>
      <w:bookmarkStart w:id="52" w:name="_Toc22"/>
      <w:bookmarkEnd w:id="51"/>
      <w:r>
        <w:rPr>
          <w:rtl w:val="true"/>
        </w:rPr>
        <w:t>و تنقيح المسألة يتوقف على بيان مقدمة، و مباحث</w:t>
      </w:r>
      <w:r>
        <w:rPr>
          <w:rtl w:val="true"/>
        </w:rPr>
        <w:t>.</w:t>
      </w:r>
      <w:bookmarkEnd w:id="52"/>
    </w:p>
    <w:p>
      <w:pPr>
        <w:pStyle w:val="Heading6"/>
        <w:numPr>
          <w:ilvl w:val="5"/>
          <w:numId w:val="1"/>
        </w:numPr>
        <w:rPr/>
      </w:pPr>
      <w:bookmarkStart w:id="53" w:name="__RefHeading___Toc3813567_3804643083"/>
      <w:bookmarkStart w:id="54" w:name="_Toc23"/>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أما المقدمة ففي بيان قانون 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أن كل ما حرمت منافعه حرم الاكتساب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المباحث فستة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هل إن الاصل جواز الانتفاع بالاعيان النجسة الا ما دلّ الدليل على منعه، أو أن الاصل حرمة الانتفاع بالاعيان النجسة الا ما دلّ الدليل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الاعيان النجسة هل تدخل في الملك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دخولها في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انها هل تقبل التمليك مجانا من غير عوض أولا؟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قبولها التمليك مجانا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انها هل تقبل التمليك بعوض فيجوز الاكتساب بها أو لا؟</w:t>
      </w:r>
      <w:r>
        <w:rPr>
          <w:rFonts w:eastAsia="Amiri" w:cs="Amiri" w:ascii="Amiri" w:hAnsi="Amiri"/>
          <w:color w:val="111111"/>
          <w:sz w:val="28"/>
          <w:szCs w:val="28"/>
          <w:rtl w:val="true"/>
          <w:lang w:bidi="ar-SA"/>
        </w:rPr>
        <w:t>.</w:t>
      </w:r>
      <w:bookmarkStart w:id="55" w:name="pg2491_24114"/>
    </w:p>
    <w:p>
      <w:pPr>
        <w:pStyle w:val="BookText"/>
        <w:rPr/>
      </w:pPr>
      <w:bookmarkEnd w:id="55"/>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دخولها في الملك، هل يثبت فيها حق الاختصاص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الاكتساب بحق الاختصاص على تقدير ثبوته أو لا؟</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3813569_3804643083"/>
      <w:bookmarkStart w:id="57" w:name="_Toc24"/>
      <w:bookmarkEnd w:id="56"/>
      <w:r>
        <w:rPr>
          <w:rtl w:val="true"/>
        </w:rPr>
        <w:t xml:space="preserve">أما المقدمة و هي </w:t>
      </w:r>
      <w:r>
        <w:rPr>
          <w:rtl w:val="true"/>
        </w:rPr>
        <w:t>(</w:t>
      </w:r>
      <w:r>
        <w:rPr>
          <w:rtl w:val="true"/>
        </w:rPr>
        <w:t>أن كل ما حرمت منافعه حرم الاكتساب به</w:t>
      </w:r>
      <w:r>
        <w:rPr>
          <w:rtl w:val="true"/>
        </w:rPr>
        <w:t>)</w:t>
      </w:r>
      <w:bookmarkEnd w:id="57"/>
    </w:p>
    <w:p>
      <w:pPr>
        <w:pStyle w:val="BookText"/>
        <w:rPr/>
      </w:pPr>
      <w:r>
        <w:rPr>
          <w:rFonts w:ascii="Amiri" w:hAnsi="Amiri" w:eastAsia="Amiri" w:cs="Amiri"/>
          <w:color w:val="111111"/>
          <w:sz w:val="28"/>
          <w:sz w:val="28"/>
          <w:szCs w:val="28"/>
          <w:rtl w:val="true"/>
          <w:lang w:bidi="ar-SA"/>
        </w:rPr>
        <w:t>فهي قاعدة متينة مقطوع بها في كلام القوم، بل لم نر رادّا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الايضاح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فيه منفعة مقصودة فلا يخلو عن </w:t>
      </w:r>
      <w:r>
        <w:rPr>
          <w:rStyle w:val="FootnoteAnchor"/>
          <w:rtl w:val="true"/>
        </w:rPr>
        <w:footnoteReference w:id="27"/>
      </w:r>
      <w:r>
        <w:rPr>
          <w:rFonts w:ascii="Amiri" w:hAnsi="Amiri" w:eastAsia="Amiri" w:cs="Amiri"/>
          <w:color w:val="111111"/>
          <w:sz w:val="28"/>
          <w:sz w:val="28"/>
          <w:szCs w:val="28"/>
          <w:rtl w:val="true"/>
          <w:lang w:bidi="ar-SA"/>
        </w:rPr>
        <w:t>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سائر منافعه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سائر منافعه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بعضها محللا و بعضها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سائر منافعه محرّمة صار كما لا منفعة فيه أصلًا </w:t>
      </w:r>
      <w:r>
        <w:rPr>
          <w:rStyle w:val="FootnoteAnchor"/>
          <w:rtl w:val="true"/>
        </w:rPr>
        <w:footnoteReference w:id="28"/>
      </w:r>
      <w:r>
        <w:rPr>
          <w:rFonts w:ascii="Amiri" w:hAnsi="Amiri" w:eastAsia="Amiri" w:cs="Amiri"/>
          <w:color w:val="111111"/>
          <w:sz w:val="28"/>
          <w:sz w:val="28"/>
          <w:szCs w:val="28"/>
          <w:rtl w:val="true"/>
          <w:lang w:bidi="ar-SA"/>
        </w:rPr>
        <w:t xml:space="preserve">بمعنى عدم جواز بيعه، و عن التنقيح </w:t>
      </w:r>
      <w:r>
        <w:rPr>
          <w:rStyle w:val="FootnoteAnchor"/>
          <w:rtl w:val="true"/>
        </w:rPr>
        <w:footnoteReference w:id="29"/>
      </w:r>
      <w:r>
        <w:rPr>
          <w:rFonts w:ascii="Amiri" w:hAnsi="Amiri" w:eastAsia="Amiri" w:cs="Amiri"/>
          <w:color w:val="111111"/>
          <w:sz w:val="28"/>
          <w:sz w:val="28"/>
          <w:szCs w:val="28"/>
          <w:rtl w:val="true"/>
          <w:lang w:bidi="ar-SA"/>
        </w:rPr>
        <w:t>حكاية الاجماع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محكيّ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سائر منافعه محللة جاز بيعه إجماعا و إن كان منافعه مختلفة فهذا الموضوع من المشكلات و مزال الاقدام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قد تقدم اصلان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البيع عند تحليل سائر المنافع و تحريمه عند تحريمها و عن المقداد و الفخر أنهما قالا في بيان حرمة بيع الاعيان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يحرم بيعها لأنها محرّمة الانتفاع و كل محرم الانتفاع لا يصح بيعه، و مما يدل على هذه القاعدة أن المفهوم من الكتاب و السنة ان المعاملات إنما شرعتْ لمصالح العباد و فوائدهم الدنيوية و الاخروية مما يسمى مصلحة أو فائدة عرفا، و مع تحريم جميع المنافع لا مصلحة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عليها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 يدل عليها ايضا خبر ابي بصير عن ابي عبد الله،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حرّم شربها حرّم ثمنها</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و لا يخفى ان لفظ البيع و الثمن في الخبر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عليها ايضا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فباعوها</w:t>
      </w:r>
      <w:r>
        <w:rPr>
          <w:rFonts w:eastAsia="Amiri" w:cs="Amiri" w:ascii="Amiri" w:hAnsi="Amiri"/>
          <w:color w:val="111111"/>
          <w:sz w:val="28"/>
          <w:szCs w:val="28"/>
          <w:rtl w:val="true"/>
          <w:lang w:bidi="ar-SA"/>
        </w:rPr>
        <w:t>)</w:t>
      </w:r>
    </w:p>
    <w:p>
      <w:pPr>
        <w:pStyle w:val="BookText"/>
        <w:rPr/>
      </w:pPr>
      <w:r>
        <w:rPr>
          <w:rStyle w:val="FootnoteAnchor"/>
          <w:rtl w:val="true"/>
        </w:rPr>
        <w:footnoteReference w:id="32"/>
      </w:r>
      <w:r>
        <w:rPr>
          <w:rFonts w:ascii="Amiri" w:hAnsi="Amiri" w:eastAsia="Amiri" w:cs="Amiri"/>
          <w:color w:val="111111"/>
          <w:sz w:val="28"/>
          <w:sz w:val="28"/>
          <w:szCs w:val="28"/>
          <w:rtl w:val="true"/>
          <w:lang w:bidi="ar-SA"/>
        </w:rPr>
        <w:t>و يدل عليه أيضا خبر تحف العقول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وجوه الحرام من البيع و الشراء، فكل أمر يكون فيه الفساد مما هو منهي عنه من جهة أكله و شربه أو كسبه أو نكاحه أو ملكه أو إمساكه أو هبته أو عاريته أو شي‌ء يكون فيه وجه من وجوه الفساد</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r>
        <w:rPr>
          <w:rFonts w:ascii="Amiri" w:hAnsi="Amiri" w:eastAsia="Amiri" w:cs="Amiri"/>
          <w:color w:val="111111"/>
          <w:sz w:val="28"/>
          <w:sz w:val="28"/>
          <w:szCs w:val="28"/>
          <w:rtl w:val="true"/>
          <w:lang w:bidi="ar-SA"/>
        </w:rPr>
        <w:t xml:space="preserve">و يدل على القاعدة المذكورة خبر دعائم الاسلام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الحلال من البيع كل ما كان حلالًا من المأكول و المشروب و غير ذلك مما هو قوام الناس و يباح لهم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محرماً أصله منهياً عنه لم يجز بيعه و لا شراؤه</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يدّعى أن الاكتساب بمحرم المنافع من باب الأكل بالباطل، لأن العوض إنما يدفع في مقابلة الانتفاع بالمعوض، فإذا حرم الانتفاع بالمعوّض كان أخذ العوض من غير مقابل، و هو عين الأكل بالباطل، بل ربما يقال أنها من المعاوضات الشفهية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أن محرّم جميع المنافع يحرُم الاكتساب به فكذا محرّم المنفعة الغالبة الظاهرة المقصودة من تلك العين يحرم الاكتساب به، و ربما يشعر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حرّم شربها حرّم ثمنها</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 قد عرفت أن الثمن في الخبر من باب المثال، بل ربما يشعر بذلك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فباعوها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حرمة الشحوم اكلها و لو كانت المنفعة النادرة المحلَّلة قاضية بجواز</w:t>
      </w:r>
      <w:bookmarkStart w:id="58" w:name="pg2491_24116"/>
    </w:p>
    <w:p>
      <w:pPr>
        <w:pStyle w:val="BookText"/>
        <w:rPr/>
      </w:pPr>
      <w:bookmarkEnd w:id="58"/>
      <w:r>
        <w:rPr>
          <w:rFonts w:ascii="Amiri" w:hAnsi="Amiri" w:eastAsia="Amiri" w:cs="Amiri"/>
          <w:color w:val="111111"/>
          <w:sz w:val="28"/>
          <w:sz w:val="28"/>
          <w:szCs w:val="28"/>
          <w:rtl w:val="true"/>
          <w:lang w:bidi="ar-SA"/>
        </w:rPr>
        <w:t>التكسب لما حرُم التكسب بشي‌ء من الاعيان، لانه ما من عين إلا و لها منفعة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الميزان و المدار على المنفعة المقصودة للعقلاء في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المنفعة التي مع سلبها عن العين تخرج العين عن المالية عرفا، و مما يشعر بذلك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الخبر إذا حرّم الله شيئا مطلقا حرم ثمنه،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ان نسبة التحريم الى الاعيان تنصرف الى تحريم منافعها الظاهرة على وجه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تلخّص مما ذكرنا أن كل ما حرُمت سائر منافعه حرم التكسب به، بل كلما حرمت المنفعة المقصودة للعقلاء عند المعارضة حرم التكسب به</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3813571_3804643083"/>
      <w:bookmarkStart w:id="60" w:name="_Toc25"/>
      <w:bookmarkEnd w:id="59"/>
      <w:r>
        <w:rPr>
          <w:rtl w:val="true"/>
        </w:rPr>
        <w:t>المبحث الأول الانتفاع بالاعيان النجسة</w:t>
      </w:r>
      <w:bookmarkEnd w:id="60"/>
    </w:p>
    <w:p>
      <w:pPr>
        <w:pStyle w:val="BookText"/>
        <w:rPr/>
      </w:pPr>
      <w:r>
        <w:rPr>
          <w:rFonts w:ascii="Amiri" w:hAnsi="Amiri" w:eastAsia="Amiri" w:cs="Amiri"/>
          <w:color w:val="111111"/>
          <w:sz w:val="28"/>
          <w:sz w:val="28"/>
          <w:szCs w:val="28"/>
          <w:rtl w:val="true"/>
          <w:lang w:bidi="ar-SA"/>
        </w:rPr>
        <w:t xml:space="preserve">هل إن الاصل جواز الانتفاع بالاعيان النجسة الا ما خرج بالدليل؟، كما يحكى عن المولى الاردبيلي </w:t>
      </w:r>
      <w:r>
        <w:rPr>
          <w:rStyle w:val="FootnoteAnchor"/>
          <w:rtl w:val="true"/>
        </w:rPr>
        <w:footnoteReference w:id="38"/>
      </w:r>
      <w:r>
        <w:rPr>
          <w:rFonts w:ascii="Amiri" w:hAnsi="Amiri" w:eastAsia="Amiri" w:cs="Amiri"/>
          <w:color w:val="111111"/>
          <w:sz w:val="28"/>
          <w:sz w:val="28"/>
          <w:szCs w:val="28"/>
          <w:rtl w:val="true"/>
          <w:lang w:bidi="ar-SA"/>
        </w:rPr>
        <w:t xml:space="preserve">الميل اليه و اختاره جدي في شرح القواعد </w:t>
      </w:r>
      <w:r>
        <w:rPr>
          <w:rStyle w:val="FootnoteAnchor"/>
          <w:rtl w:val="true"/>
        </w:rPr>
        <w:footnoteReference w:id="39"/>
      </w:r>
      <w:r>
        <w:rPr>
          <w:rFonts w:ascii="Amiri" w:hAnsi="Amiri" w:eastAsia="Amiri" w:cs="Amiri"/>
          <w:color w:val="111111"/>
          <w:sz w:val="28"/>
          <w:sz w:val="28"/>
          <w:szCs w:val="28"/>
          <w:rtl w:val="true"/>
          <w:lang w:bidi="ar-SA"/>
        </w:rPr>
        <w:t xml:space="preserve">و تبعه على ذلك بعض المعاصرين من المتأخرين </w:t>
      </w:r>
      <w:r>
        <w:rPr>
          <w:rStyle w:val="FootnoteAnchor"/>
          <w:rtl w:val="true"/>
        </w:rPr>
        <w:footnoteReference w:id="40"/>
      </w:r>
      <w:r>
        <w:rPr>
          <w:rFonts w:ascii="Amiri" w:hAnsi="Amiri" w:eastAsia="Amiri" w:cs="Amiri"/>
          <w:color w:val="111111"/>
          <w:sz w:val="28"/>
          <w:sz w:val="28"/>
          <w:szCs w:val="28"/>
          <w:rtl w:val="true"/>
          <w:lang w:bidi="ar-SA"/>
        </w:rPr>
        <w:t>، أو أن الاصل العكس، فصار الاصل حرمة الانتفاع بالاعيان النجسة الا ما خرج بالدليل، أو هو المنسوب الى ظاهر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مستند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أصالة اباحة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مستند الثاني فأمور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فعن فخر الدين </w:t>
      </w:r>
      <w:r>
        <w:rPr>
          <w:rStyle w:val="FootnoteAnchor"/>
          <w:rtl w:val="true"/>
        </w:rPr>
        <w:footnoteReference w:id="41"/>
      </w:r>
      <w:r>
        <w:rPr>
          <w:rFonts w:ascii="Amiri" w:hAnsi="Amiri" w:eastAsia="Amiri" w:cs="Amiri"/>
          <w:color w:val="111111"/>
          <w:sz w:val="28"/>
          <w:sz w:val="28"/>
          <w:szCs w:val="28"/>
          <w:rtl w:val="true"/>
          <w:lang w:bidi="ar-SA"/>
        </w:rPr>
        <w:t>و المقداد انهما قالا في الاستدلال على عدم جواز بيع الاعيان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محرمة الانتفاع، و كل ما هو كذلك لا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الصغرى فإجماعية، و أما الكبرى فلقول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w:t>
      </w:r>
    </w:p>
    <w:p>
      <w:pPr>
        <w:pStyle w:val="BookText"/>
        <w:rPr/>
      </w:pPr>
      <w:r>
        <w:rPr>
          <w:rFonts w:ascii="Amiri" w:hAnsi="Amiri" w:eastAsia="Amiri" w:cs="Amiri"/>
          <w:color w:val="111111"/>
          <w:sz w:val="28"/>
          <w:sz w:val="28"/>
          <w:szCs w:val="28"/>
          <w:rtl w:val="true"/>
          <w:lang w:bidi="ar-SA"/>
        </w:rPr>
        <w:t>حُرّمت عليهم الشحوم فباعوها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علّل استحقاق اللعنة ببيع المحرم فيتعدّى الى كل محرم الانتفاع و لما رواه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تعالى إذا حرّم شيئا حرم ثمنه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الكتاب، و هو 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بناءً على ما ذكره جمع من أصحابنا من ان نسبة التحريم الى العين يقتضي تحريم جميع منافعها 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فأنّ الآية دلت على وجوب اجتناب كل رجس، و الرجس نجس العين، و الاجتناب لا يحصل مع الانتفاع به ببعض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فان الرجز النجس كما صرح به جماعة من اهل اللغة، و هو المناسب ايضاً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 هجره لا يتم الا بترك جميع الانتفاعات 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بعض الاخبار، كخبر تحف العقول، فانه قال فيه في وجوه الحرام من البيع و الشراء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شي‌ء من وجوه النجس، فهذا كله حرام محرم، لان ذلك كله منهيّ عن أكله و شربه و لبسه و ملكه و إمساكه و التقلب فيه بوجه من الوجوه بما فيه من الفساد </w:t>
      </w:r>
      <w:r>
        <w:rPr>
          <w:rStyle w:val="FootnoteAnchor"/>
          <w:rtl w:val="true"/>
        </w:rPr>
        <w:footnoteReference w:id="49"/>
      </w:r>
      <w:r>
        <w:rPr>
          <w:rFonts w:ascii="Amiri" w:hAnsi="Amiri" w:eastAsia="Amiri" w:cs="Amiri"/>
          <w:color w:val="111111"/>
          <w:sz w:val="28"/>
          <w:sz w:val="28"/>
          <w:szCs w:val="28"/>
          <w:rtl w:val="true"/>
          <w:lang w:bidi="ar-SA"/>
        </w:rPr>
        <w:t>، فجميع تقلبه في ذلك حرام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الاخبار و الاجماع على عدم جواز بيع نجس العين، بناء على أن المنع من بيعه لا يكون الا من جهة حرمة الانتفاع 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ناقش بعض المتأخرين في جميع ذلك، و ادعى أن التأمل يقضي بعدم الاعتماد على شي‌ء مما ذكر في مقابلة اصالة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الاولى فالتحريم فيها إنما ينصرف الى المنفعة المقصودة الغالبة و هي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يحكم بتعلقه بجميع المنافع حيث لا تكون منفعة غالبة ظاهرة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قال في الآية الثانية، فإن الاجتناب انما يتعلق بالمنفعة الظاهرة المقصودة و هي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قال في الآية الثالثة في هجر الرجز فانه عبارة عن هجر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خبر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بالامساك و التقلب فيه ما يرجع الى الاكل و الشرب و إلا فإمساك نجس العين لبعض الفوائد مما لا إشكال فيه </w:t>
      </w:r>
      <w:r>
        <w:rPr>
          <w:rStyle w:val="FootnoteAnchor"/>
          <w:rtl w:val="true"/>
        </w:rPr>
        <w:footnoteReference w:id="51"/>
      </w:r>
      <w:r>
        <w:rPr>
          <w:rFonts w:ascii="Amiri" w:hAnsi="Amiri" w:eastAsia="Amiri" w:cs="Amiri"/>
          <w:color w:val="111111"/>
          <w:sz w:val="28"/>
          <w:sz w:val="28"/>
          <w:szCs w:val="28"/>
          <w:rtl w:val="true"/>
          <w:lang w:bidi="ar-SA"/>
        </w:rPr>
        <w:t>، بل نقل بعض أصحابنا الاتفاق على ذلك، فيكون المراد من الامساك و التقلب في خبر الامساك و التقلب للوجه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الاجماع و الاخبار الدالة على حرمة بيع نجس العين فيكون ادعاء اختصاصها بما لا يحل الانتفاع المعتد به من الاعيان النجسة، على أنه يمكن منع دعوى المنع من البيع من جهة حرمة الانتفاع، بل لعل المانع نجاسة العين و إن جاز الانتفاع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اجماع الايضاح و التنقيح المنقول عن فخر الدين </w:t>
      </w:r>
      <w:r>
        <w:rPr>
          <w:rStyle w:val="FootnoteAnchor"/>
          <w:rtl w:val="true"/>
        </w:rPr>
        <w:footnoteReference w:id="53"/>
      </w:r>
      <w:r>
        <w:rPr>
          <w:rFonts w:ascii="IRNazanin" w:hAnsi="IRNazanin" w:eastAsia="IRNazanin"/>
          <w:color w:val="111111"/>
          <w:sz w:val="28"/>
          <w:sz w:val="28"/>
          <w:szCs w:val="28"/>
          <w:rtl w:val="true"/>
          <w:lang w:bidi="fa-IR"/>
        </w:rPr>
        <w:t xml:space="preserve">و المقداد </w:t>
      </w:r>
      <w:r>
        <w:rPr>
          <w:rStyle w:val="FootnoteAnchor"/>
          <w:rtl w:val="true"/>
        </w:rPr>
        <w:footnoteReference w:id="54"/>
      </w:r>
      <w:r>
        <w:rPr>
          <w:rFonts w:ascii="Amiri" w:hAnsi="Amiri" w:eastAsia="Amiri" w:cs="Amiri"/>
          <w:color w:val="111111"/>
          <w:sz w:val="28"/>
          <w:sz w:val="28"/>
          <w:szCs w:val="28"/>
          <w:rtl w:val="true"/>
          <w:lang w:bidi="ar-SA"/>
        </w:rPr>
        <w:t xml:space="preserve">فادعى ان قضية التتبع توهنه لان جمعا من اصحابنا صرحوا بجواز اقتناء الاعيان النجسة لبعض الفوائد، و جمعا منهم صرحوا بجواز الانتفاع بالاعيان النجسة، و ان نجاستها لا تمنع الانتفاع بها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للاحاطة بما ذكرنا اختار بعض الاساطين في شرحه على القواعد جواز الانتفاع بالنجس كالمتنجس </w:t>
      </w:r>
      <w:r>
        <w:rPr>
          <w:rStyle w:val="FootnoteAnchor"/>
          <w:rtl w:val="true"/>
        </w:rPr>
        <w:footnoteReference w:id="56"/>
      </w:r>
      <w:r>
        <w:rPr>
          <w:rFonts w:ascii="Amiri" w:hAnsi="Amiri" w:eastAsia="Amiri" w:cs="Amiri"/>
          <w:color w:val="111111"/>
          <w:sz w:val="28"/>
          <w:sz w:val="28"/>
          <w:szCs w:val="28"/>
          <w:rtl w:val="true"/>
          <w:lang w:bidi="ar-SA"/>
        </w:rPr>
        <w:t>، يريد به جدي المرحوم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الانتفاع بالاعيان النجسة و المتنجسة في غير ما ورد النص</w:t>
      </w:r>
      <w:bookmarkStart w:id="61" w:name="pg2491_24119"/>
    </w:p>
    <w:p>
      <w:pPr>
        <w:pStyle w:val="BookText"/>
        <w:rPr/>
      </w:pPr>
      <w:bookmarkEnd w:id="61"/>
      <w:r>
        <w:rPr>
          <w:rFonts w:ascii="Amiri" w:hAnsi="Amiri" w:eastAsia="Amiri" w:cs="Amiri"/>
          <w:color w:val="111111"/>
          <w:sz w:val="28"/>
          <w:sz w:val="28"/>
          <w:szCs w:val="28"/>
          <w:rtl w:val="true"/>
          <w:lang w:bidi="ar-SA"/>
        </w:rPr>
        <w:t xml:space="preserve">بمنعه كالميتة النجسة التي لا يجوز الانتفاع بها في ما يسمى استعمالًا عرفا للأخبار و الاجماع، و كالاستصباح بالدهن المتنجس تحت الظلال، و ما دل على المنع من الانتفاع بالنجس و المتنجس مخصوص أو منزّل على الانتفاع الدال على عدم الاكتراث بالدين و عدم المبالاة و أما من استعمله ليغسله فغير مشمول للادلة و يبقى على حكم الأصل </w:t>
      </w:r>
      <w:r>
        <w:rPr>
          <w:rStyle w:val="FootnoteAnchor"/>
          <w:rtl w:val="true"/>
        </w:rPr>
        <w:footnoteReference w:id="57"/>
      </w:r>
      <w:r>
        <w:rPr>
          <w:rFonts w:ascii="Amiri" w:hAnsi="Amiri" w:eastAsia="Amiri" w:cs="Amiri"/>
          <w:color w:val="111111"/>
          <w:sz w:val="28"/>
          <w:sz w:val="28"/>
          <w:szCs w:val="28"/>
          <w:rtl w:val="true"/>
          <w:lang w:bidi="ar-SA"/>
        </w:rPr>
        <w:t xml:space="preserve">، و لا يخفى على المتأمل انه يكفي في قطع الاصل المذكور و انعكاسه الاجماع المنقول عن الغنية و الخلاف، مضافاً الى اجماع التنقيح </w:t>
      </w:r>
      <w:r>
        <w:rPr>
          <w:rStyle w:val="FootnoteAnchor"/>
          <w:rtl w:val="true"/>
        </w:rPr>
        <w:footnoteReference w:id="58"/>
      </w:r>
      <w:r>
        <w:rPr>
          <w:rFonts w:ascii="Amiri" w:hAnsi="Amiri" w:eastAsia="Amiri" w:cs="Amiri"/>
          <w:color w:val="111111"/>
          <w:sz w:val="28"/>
          <w:sz w:val="28"/>
          <w:szCs w:val="28"/>
          <w:rtl w:val="true"/>
          <w:lang w:bidi="ar-SA"/>
        </w:rPr>
        <w:t xml:space="preserve">و الايضاح </w:t>
      </w:r>
      <w:r>
        <w:rPr>
          <w:rStyle w:val="FootnoteAnchor"/>
          <w:rtl w:val="true"/>
        </w:rPr>
        <w:footnoteReference w:id="59"/>
      </w:r>
      <w:r>
        <w:rPr>
          <w:rFonts w:ascii="Amiri" w:hAnsi="Amiri" w:eastAsia="Amiri" w:cs="Amiri"/>
          <w:color w:val="111111"/>
          <w:sz w:val="28"/>
          <w:sz w:val="28"/>
          <w:szCs w:val="28"/>
          <w:rtl w:val="true"/>
          <w:lang w:bidi="ar-SA"/>
        </w:rPr>
        <w:t>المؤيد ذلك الاجماع بفتوى الاكثر، و المناقشة فيه بقضية التتبُّع مردودة لان قصارى ذلك ان البعض يفتي بجواز الانتفاع، و هو لا ينافي حكاية الاجماع</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3813573_3804643083"/>
      <w:bookmarkStart w:id="63" w:name="_Toc26"/>
      <w:bookmarkEnd w:id="62"/>
      <w:r>
        <w:rPr>
          <w:rtl w:val="true"/>
        </w:rPr>
        <w:t>المبحث الثاني تملّك ما يحرم التكسب به</w:t>
      </w:r>
      <w:bookmarkEnd w:id="63"/>
    </w:p>
    <w:p>
      <w:pPr>
        <w:pStyle w:val="BookText"/>
        <w:rPr/>
      </w:pPr>
      <w:r>
        <w:rPr>
          <w:rFonts w:ascii="Amiri" w:hAnsi="Amiri" w:eastAsia="Amiri" w:cs="Amiri"/>
          <w:color w:val="111111"/>
          <w:sz w:val="28"/>
          <w:sz w:val="28"/>
          <w:szCs w:val="28"/>
          <w:rtl w:val="true"/>
          <w:lang w:bidi="ar-SA"/>
        </w:rPr>
        <w:t>إن الأعيان النجسة هل يتعلق بها الملك أو لا؟، الظاهر العدم، و قد جزم بذلك جدي في شرح القواعد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يتعلق بما لا يقبل التطهير، في ما عدا بعض أقسام الكلب و بعض أفراد الدهن الآتي ذكرها تمليكٌ مطلقاً، و لا بالأعيان منها ملك، و في النجس بالعارض وجهان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قال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عبائره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تمليكها و تملكها مجانا من دون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في النجسة بالاصالة عدمهما معاً و في النجسة بقاؤها على الملك فتُملّك كذلك، و على القول بخروجها عن الملك بعروض النجاسة فحق الاختصاص باق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ظهر من خبر التحف المزبور عدم دخوله في الملك، كما صرح به بعض مشايخنا جازما به، و يؤيّده عدم عدّه في الاموال عرفا مع اصالة عدم دخوله فيه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تعلق الملك بالأعيان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لأن الملك قد جعل له الشارع اسبابا خاصة معلومة معدودة لا يحصل الملك بدونها، لأن حصوله بدونها ينافي عدّها و حصرها، و مع الشك في تعلق تلك الأسباب بالأعيان النجسة فأصالة عدم الدخول في الملك محكّمة و ليس الملكُ تابعا للسلطنة العرفية حتى يحكم به مع وجودها، و لا تعد هذه الأعيان أموالًا عرفا حتى يحكم بمملوكيتها فاصالة عدم دخولها في الملك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تحف العقول،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شي‌ء من وجوه النجس، فهذا كله حرام و محرّم، لان ذلك كله منهي عن اكله و شربه و لبسه و ملكه و امساكه و التقلب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من الوجوه لما فيه من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فجميع تقلبه في ذلك حرام</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فان الخبر المذكور صريح في عدم دخول الأعيان النجسة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النهي عن الملك ينحل الى النهي عن سببه الذي هو البيع و الشراء و غير ذلك من الاسباب، و النهي عن السبب المذكور قصارى ما يقتضي تحريم السبب المذكور، و أما عدم دخول العين المذكورة في الملك فلا يقتضي النهي، ذلك لانا نقول إن الظاهر من النهي عن الملك الارشاد الى عدم حصوله كما لا يخفى على من مارس لسان الاخبار، و لو اريد النهي عن السبب لنا سبه النهي عن التملك لا النهي عن الملك، و ايضا لو كان المراد ذلك لكان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فتقلبه في جميع ذلك حرام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تأكيداً لذلك و هو خلاف الظاهر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المتكثرة القائلة بان ثمن الاعيان النجسة سحت، كقول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السحت انواع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اجور الفواجر، و ثمن الخمر و النبيذ، و المسكر</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يزيد بن فرقد</w:t>
      </w:r>
      <w:r>
        <w:rPr>
          <w:rFonts w:eastAsia="Amiri" w:cs="Amiri" w:ascii="Amiri" w:hAnsi="Amiri"/>
          <w:color w:val="111111"/>
          <w:sz w:val="28"/>
          <w:szCs w:val="28"/>
          <w:rtl w:val="true"/>
          <w:lang w:bidi="ar-SA"/>
        </w:rPr>
        <w:t>:</w:t>
      </w:r>
      <w:bookmarkStart w:id="64" w:name="pg2491_24121"/>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 ثمن الميتة و ثمن الكلب و ثمن الخنزير</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و 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اجر الزانية سحت، و ثمن الكلب الذي ليس بكلب الصيد سحت، و ثمن الخمر 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السحت ثمن الميتة و ثمن الكلب و ثمن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خبر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p>
    <w:p>
      <w:pPr>
        <w:pStyle w:val="BookText"/>
        <w:rPr/>
      </w:pP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هذه الاخبار أنه إنما كان من السحت لأنه من باب الاكل بالباطل، لأن المعوَّض غير مملوك فلا ينتقل الى المشتري شي‌ء عوض ثمنه فيكون الثمن سحتاً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ان كون الثمن سحتاً لا يقتضي عدم الملكية لاحتمال ان يكون لعدم قابلية الاعيان المذكورة للتمليك بعوض لعدم جواز الانتفاع بها منفعة محللة مقصودة للعقلاء، أو لتحريم بيعها و التكسب بها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و إنْ كان محتملا، و لكنه لا ينافي ظهور الاخبار في كون المنشأ في ذلك عدم كونها مملوكة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الاجماع من بعض اصحابنا على بعض الاعيان المذكورة مع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جواهر الكلام في بيع العذرة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مشروط بالملك، و العذرات غير مملوكة باتفاق علمائنا كما قيل</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3813575_3804643083"/>
      <w:bookmarkStart w:id="66" w:name="_Toc27"/>
      <w:bookmarkEnd w:id="65"/>
      <w:r>
        <w:rPr>
          <w:rtl w:val="true"/>
        </w:rPr>
        <w:t>و مما ذكرناه يعلم الكلام في المبحث الثالث و الرابع،</w:t>
      </w:r>
      <w:bookmarkEnd w:id="66"/>
    </w:p>
    <w:p>
      <w:pPr>
        <w:pStyle w:val="BookText"/>
        <w:rPr/>
      </w:pPr>
      <w:r>
        <w:rPr>
          <w:rFonts w:ascii="Amiri" w:hAnsi="Amiri" w:eastAsia="Amiri" w:cs="Amiri"/>
          <w:color w:val="111111"/>
          <w:sz w:val="28"/>
          <w:sz w:val="28"/>
          <w:szCs w:val="28"/>
          <w:rtl w:val="true"/>
          <w:lang w:bidi="ar-SA"/>
        </w:rPr>
        <w:t>لأن ما لا يقبل صفة الملك لا يقبل التمليك لا مجانا و لا بالعوض كما هو واضح</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3813577_3804643083"/>
      <w:bookmarkStart w:id="68" w:name="_Toc28"/>
      <w:bookmarkEnd w:id="67"/>
      <w:r>
        <w:rPr>
          <w:rtl w:val="true"/>
        </w:rPr>
        <w:t>المبحث الخامس في ثبوت حق الاختصاص في الاعيان النجسة</w:t>
      </w:r>
      <w:bookmarkEnd w:id="68"/>
    </w:p>
    <w:p>
      <w:pPr>
        <w:pStyle w:val="BookText"/>
        <w:rPr/>
      </w:pPr>
      <w:r>
        <w:rPr>
          <w:rFonts w:ascii="Amiri" w:hAnsi="Amiri" w:eastAsia="Amiri" w:cs="Amiri"/>
          <w:color w:val="111111"/>
          <w:sz w:val="28"/>
          <w:sz w:val="28"/>
          <w:szCs w:val="28"/>
          <w:rtl w:val="true"/>
          <w:lang w:bidi="ar-SA"/>
        </w:rPr>
        <w:t>يظهر من بعض متأخري اصحابنا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يقال بان له حق الاختصاص لمن سبق اليه، لتحقق الظلم عرفا بالمزاحمة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الحال في ذلك بعد الالتفات الى الأدلة، أ لا ترى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امساكه في خبر تحف العقول حيث</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 فهذا كله 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 عن اكله و شربه و لبسه و ملكه و امساكه و التقلب فيه بوجه من الوجوه، لما فيه من الفساد، فجميع تقلبه في ذلك حرام</w:t>
      </w:r>
      <w:r>
        <w:rPr>
          <w:rFonts w:eastAsia="Amiri" w:cs="Amiri" w:ascii="Amiri" w:hAnsi="Amiri"/>
          <w:color w:val="111111"/>
          <w:sz w:val="28"/>
          <w:szCs w:val="28"/>
          <w:rtl w:val="true"/>
          <w:lang w:bidi="ar-SA"/>
        </w:rPr>
        <w:t>)</w:t>
      </w:r>
    </w:p>
    <w:p>
      <w:pPr>
        <w:pStyle w:val="BookText"/>
        <w:rPr/>
      </w:pPr>
      <w:r>
        <w:rPr>
          <w:rStyle w:val="FootnoteAnchor"/>
          <w:rtl w:val="true"/>
        </w:rPr>
        <w:footnoteReference w:id="69"/>
      </w:r>
      <w:r>
        <w:rPr>
          <w:rFonts w:ascii="Amiri" w:hAnsi="Amiri" w:eastAsia="Amiri" w:cs="Amiri"/>
          <w:color w:val="111111"/>
          <w:sz w:val="28"/>
          <w:sz w:val="28"/>
          <w:szCs w:val="28"/>
          <w:rtl w:val="true"/>
          <w:lang w:bidi="ar-SA"/>
        </w:rPr>
        <w:t>و عن امساك الخمر و الخنزير في خبر يونس في مجوسي باع خمراً أو خنازير الى أجل مسمى ثمّ اسلم قبل أن يحل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دراهمه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أسلم رجل و له خمر أو خنازير ثمّ مات و هي في ملكه و عليه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ديّانُه أو ولي له غير مسلم خمرَه و خنازيره، و يقضي دينه و ليس له ان يبيعه و هو حي و لا يمسكه</w:t>
      </w:r>
      <w:r>
        <w:rPr>
          <w:rFonts w:eastAsia="Amiri" w:cs="Amiri" w:ascii="Amiri" w:hAnsi="Amiri"/>
          <w:color w:val="111111"/>
          <w:sz w:val="28"/>
          <w:szCs w:val="28"/>
          <w:rtl w:val="true"/>
          <w:lang w:bidi="ar-SA"/>
        </w:rPr>
        <w:t>)</w:t>
      </w:r>
    </w:p>
    <w:p>
      <w:pPr>
        <w:pStyle w:val="BookText"/>
        <w:rPr/>
      </w:pPr>
      <w:r>
        <w:rPr>
          <w:rStyle w:val="FootnoteAnchor"/>
          <w:rtl w:val="true"/>
        </w:rPr>
        <w:footnoteReference w:id="71"/>
      </w:r>
      <w:r>
        <w:rPr>
          <w:rFonts w:ascii="Amiri" w:hAnsi="Amiri" w:eastAsia="Amiri" w:cs="Amiri"/>
          <w:color w:val="111111"/>
          <w:sz w:val="28"/>
          <w:sz w:val="28"/>
          <w:szCs w:val="28"/>
          <w:rtl w:val="true"/>
          <w:lang w:bidi="ar-SA"/>
        </w:rPr>
        <w:t xml:space="preserve">و امر بإهراق الخمر في خبر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ثقيف أهدى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راويتين من 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فأهريقتا</w:t>
      </w:r>
      <w:r>
        <w:rPr>
          <w:rFonts w:eastAsia="Amiri" w:cs="Amiri" w:ascii="Amiri" w:hAnsi="Amiri"/>
          <w:color w:val="111111"/>
          <w:sz w:val="28"/>
          <w:szCs w:val="28"/>
          <w:rtl w:val="true"/>
          <w:lang w:bidi="ar-SA"/>
        </w:rPr>
        <w:t>)</w:t>
      </w:r>
    </w:p>
    <w:p>
      <w:pPr>
        <w:pStyle w:val="BookText"/>
        <w:rPr/>
      </w:pPr>
      <w:r>
        <w:rPr>
          <w:rStyle w:val="FootnoteAnchor"/>
          <w:rtl w:val="true"/>
        </w:rPr>
        <w:footnoteReference w:id="7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اهدي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من خمر فأمر بها فصُبت في الصعيد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أن النهي عن الامساك و الامر بالإهراق مما ينافيان ثبوت حق الاختصاص على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نقل الاجماع على عدم صحة الوصية بما هو خارج عن كونه مقصودا للتملك كفضلات الانسان، مثل شعره و ظفره و العذرات </w:t>
      </w:r>
      <w:r>
        <w:rPr>
          <w:rStyle w:val="FootnoteAnchor"/>
          <w:rtl w:val="true"/>
        </w:rPr>
        <w:footnoteReference w:id="74"/>
      </w:r>
      <w:r>
        <w:rPr>
          <w:rFonts w:ascii="Amiri" w:hAnsi="Amiri" w:eastAsia="Amiri" w:cs="Amiri"/>
          <w:color w:val="111111"/>
          <w:sz w:val="28"/>
          <w:sz w:val="28"/>
          <w:szCs w:val="28"/>
          <w:rtl w:val="true"/>
          <w:lang w:bidi="ar-SA"/>
        </w:rPr>
        <w:t xml:space="preserve">، مع أنه يكفي في صحة الوصية ثبوت الاختصاص في </w:t>
      </w:r>
      <w:r>
        <w:rPr>
          <w:rStyle w:val="FootnoteAnchor"/>
          <w:rtl w:val="true"/>
        </w:rPr>
        <w:footnoteReference w:id="75"/>
      </w:r>
      <w:r>
        <w:rPr>
          <w:rFonts w:ascii="Amiri" w:hAnsi="Amiri" w:eastAsia="Amiri" w:cs="Amiri"/>
          <w:color w:val="111111"/>
          <w:sz w:val="28"/>
          <w:sz w:val="28"/>
          <w:szCs w:val="28"/>
          <w:rtl w:val="true"/>
          <w:lang w:bidi="ar-SA"/>
        </w:rPr>
        <w:t>، و حق المنع الملازم لجواز الافتاء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التفصيل بين ما ثبت له منفعة محللة و بين ما لم تثبت، و لو لم تكن المنفعة غالبة بل كانت نادرة كالتسميد بالعذرة، فما تثبت له منفعة محللة يثبت حق الاختصاص فيه، و ما لم يثبت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في شرح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الملك لا ينافي ثبوت الاختصاص في ما لَهُ منفعة محللة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تحليل الانتفاع بتلك المنفعة يجوّز إمساكه، و عدُّ أهل العرف المزاحمة عليه ظلمٌ و تعدٍ يثبت الاختصاص،</w:t>
      </w:r>
      <w:bookmarkStart w:id="69" w:name="pg2491_24123"/>
    </w:p>
    <w:p>
      <w:pPr>
        <w:pStyle w:val="BookText"/>
        <w:rPr/>
      </w:pPr>
      <w:bookmarkEnd w:id="69"/>
      <w:r>
        <w:rPr>
          <w:rFonts w:ascii="Amiri" w:hAnsi="Amiri" w:eastAsia="Amiri" w:cs="Amiri"/>
          <w:color w:val="111111"/>
          <w:sz w:val="28"/>
          <w:sz w:val="28"/>
          <w:szCs w:val="28"/>
          <w:rtl w:val="true"/>
          <w:lang w:bidi="ar-SA"/>
        </w:rPr>
        <w:t xml:space="preserve">و النهي عن الامساك للوجه المحرم كما يقضي به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أمر يكون فيه الفساد مما قد نُهي عنه من جهة اكله و شربه و لبسه و نكاحه و إمساكه لوجه الفساد، مثل الميتة و الدم و لحم الخنزير و الربا و جميع الفواحش و لحوم السباع و الخمر، و ما أشبه ذلك فحرام ضار للجسم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خبر يونس فمع اشتماله على مخالفة الاصحاب في عدة مقامات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مات و هي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المسلم لا يملكها كما عرفت، 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 ديّانه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الديّان لا ولاية له على ذلك، 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ولي له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المسلم لا يكون وليا للمسلم، محمول أيضا على كون النهي عن الامساك للوجه المحرم و 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الامر بالإهراق فهو في خصوص الخمر، و لعله لا منفعة له أو لعله لبيان حرمة البيع، و لهذا عقب الأمر بالإهراق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حرّم شربها حرّم ثمنها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إجماع العلامة المنقول على عدم صحة الوصية فلعله في خصوص الوصية المقتضية للتمليك فحينئذ يثبت حق الاختصاص في ما يثبت له منفعة محللة، و إن لم تكن غالبة من اعيان النجاسات</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3813579_3804643083"/>
      <w:bookmarkStart w:id="71" w:name="_Toc29"/>
      <w:bookmarkEnd w:id="70"/>
      <w:r>
        <w:rPr>
          <w:rtl w:val="true"/>
        </w:rPr>
        <w:t>المبحث السادس في جواز التكسب بحق الاختصاص المذكور</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صريح الشيخ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و جواهر الكلام </w:t>
      </w:r>
      <w:r>
        <w:rPr>
          <w:rStyle w:val="FootnoteAnchor"/>
          <w:rtl w:val="true"/>
        </w:rPr>
        <w:footnoteReference w:id="79"/>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ذلك نظر تبعا لمفتاح الكرامة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نقله بصلح و لا بجعل كما هو ظاهر الاصحاب لإطلاقهم المنع من جميع ضروب التكسب بالاعيان النجسة، و هذا منها و إن لم يكن تكسبا بنفس العين، و لان ما لا قيمة لعينه لا قيمة للحق الثابت فيه، و لخصوص خبر تحف العقول الناهي عن التقلب فيه في جميع التقلب الذي من جملته الامساك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فمن جملة الاعيان النجسة التي يحرم التكسب بها كما في الشرائع الخمر و الانبذة المسكرة و الفقاع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المسكر المتخذ من العنب، و النبيذ المسكر المتخذ من التمر و البِتْع بكسر الباء و سكون التاء المثناة أو فتحها المتخذ من العسل، و الفَضيخ بفتح الفاء و كسر الضاد المعجمة المتخذ من البسر وحده من غير أن تمسه النار، و النقيع المتخذ من الزبيب، و المِزْر بكسر الميم فالزاء المعجمة الساكنة فالمهملة المتخذة من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الشهيد في الروضة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الخبر إنه المتخذ من الشعير </w:t>
      </w:r>
      <w:r>
        <w:rPr>
          <w:rStyle w:val="FootnoteAnchor"/>
          <w:rtl w:val="true"/>
        </w:rPr>
        <w:footnoteReference w:id="82"/>
      </w:r>
      <w:r>
        <w:rPr>
          <w:rFonts w:ascii="Amiri" w:hAnsi="Amiri" w:eastAsia="Amiri" w:cs="Amiri"/>
          <w:color w:val="111111"/>
          <w:sz w:val="28"/>
          <w:sz w:val="28"/>
          <w:szCs w:val="28"/>
          <w:rtl w:val="true"/>
          <w:lang w:bidi="ar-SA"/>
        </w:rPr>
        <w:t>، و الجعة بكسر الجيم و فتح العين المتخذ من الشعير، و الفقاع و هو المتخذ من الزبيب أو الشعير حتى وجد فيه النشيش و الحركة كما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 النبيذ على جميع الامور المذكورة ما عدا الخمر و الفقاع، و لهذا جمعه </w:t>
      </w:r>
      <w:r>
        <w:rPr>
          <w:rStyle w:val="FootnoteAnchor"/>
          <w:rtl w:val="true"/>
        </w:rPr>
        <w:footnoteReference w:id="83"/>
      </w:r>
      <w:r>
        <w:rPr>
          <w:rFonts w:ascii="Amiri" w:hAnsi="Amiri" w:eastAsia="Amiri" w:cs="Amiri"/>
          <w:color w:val="111111"/>
          <w:sz w:val="28"/>
          <w:sz w:val="28"/>
          <w:szCs w:val="28"/>
          <w:rtl w:val="true"/>
          <w:lang w:bidi="ar-SA"/>
        </w:rPr>
        <w:t>، و الظاهر ايضا أن لفظ الخمر يعم الجميع لغة و شرعاً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البحرين الخمر فيما أشتهر بينهم كل شراب مسكر، و لا يختص بعصير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أصح، لأنها حرمت و ما في المدينة خمر، و ما كان شرابهم الا التمر و البسر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لانه اسم لما يخمر العقل و يغمره، و الجميع مشترك في ذلك، و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 العصير من الكرم و النقيع من الزبيب و البتع من العسل و المزر من الشعير و النبيذ من التمر</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و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يحرم الله الخمر لاسمها، و لكن حرمها لعاقبتها، فما كان عاقبته عاقبة الخمر فهو خمر</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عطف الأنبذة المسكرة و الفقاع في عبارة المحقق من باب عطف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على عدم جواز التكسب بالامور المذكورة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حرمة الانتفاع بها، و يؤيده ما دل على وجوب اهراقها على من هي بيده و على من غيره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الادلة ما يدل على جواز الانتفاع بها بوجه، و الانتفاع حال الضرورة للتداوي ليس من المنافع المعتبرة المقصودة للعقلاء في المعاوضات، و قد عرفت في المقدمة ان كل ما حرمت منفعته الغالبة المعتبرة عند العقلاء حرم التكسب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عدم قبول الاعيان النجسة صفة الملك، و يزيده هنا الاجماع المنقول على انها ليست مملوكة، و انها نجسة، عن الخلاف </w:t>
      </w:r>
      <w:r>
        <w:rPr>
          <w:rStyle w:val="FootnoteAnchor"/>
          <w:rtl w:val="true"/>
        </w:rPr>
        <w:footnoteReference w:id="87"/>
      </w:r>
      <w:r>
        <w:rPr>
          <w:rFonts w:ascii="Amiri" w:hAnsi="Amiri" w:eastAsia="Amiri" w:cs="Amiri"/>
          <w:color w:val="111111"/>
          <w:sz w:val="28"/>
          <w:sz w:val="28"/>
          <w:szCs w:val="28"/>
          <w:rtl w:val="true"/>
          <w:lang w:bidi="ar-SA"/>
        </w:rPr>
        <w:t>و غيره، و يزيده ما دل على وجوب اهراقها، و كلما لم يكن كذلك مملوك العين لا يجوز التكسب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الاخبار على وجوب إهراقها، فإن المفهوم منها ان الشارع لا يريد بقاء عينها بل يريد اتلافها، و هو مناف لجواز التكسب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الاجماعات المتكررة النقل في كلام الاصحاب، فعن الخلاف </w:t>
      </w:r>
      <w:r>
        <w:rPr>
          <w:rStyle w:val="FootnoteAnchor"/>
          <w:rtl w:val="true"/>
        </w:rPr>
        <w:footnoteReference w:id="88"/>
      </w:r>
      <w:r>
        <w:rPr>
          <w:rFonts w:ascii="IRNazanin" w:hAnsi="IRNazanin" w:eastAsia="IRNazanin"/>
          <w:color w:val="111111"/>
          <w:sz w:val="28"/>
          <w:sz w:val="28"/>
          <w:szCs w:val="28"/>
          <w:rtl w:val="true"/>
          <w:lang w:bidi="fa-IR"/>
        </w:rPr>
        <w:t xml:space="preserve">و المنتهى </w:t>
      </w:r>
      <w:r>
        <w:rPr>
          <w:rStyle w:val="FootnoteAnchor"/>
          <w:rtl w:val="true"/>
        </w:rPr>
        <w:footnoteReference w:id="89"/>
      </w:r>
      <w:r>
        <w:rPr>
          <w:rFonts w:ascii="Amiri" w:hAnsi="Amiri" w:eastAsia="Amiri" w:cs="Amiri"/>
          <w:color w:val="111111"/>
          <w:sz w:val="28"/>
          <w:sz w:val="28"/>
          <w:szCs w:val="28"/>
          <w:rtl w:val="true"/>
          <w:lang w:bidi="ar-SA"/>
        </w:rPr>
        <w:t xml:space="preserve">الاجماع على عدم جواز بيعها و شرائها، و في محكي السرائر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شراب مسكر حكمه حكم الخمر على السواء قليلا كان او كثيرا، نيا كان أو مطبوخا، و كذلك حكم الفقاع حكمه، فان شربه و عمله و التجارة فيه و التكسب به محظور بلا خلاف بين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اجماعهم منعقد على ذلك</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 عن التذكرة الاجماع </w:t>
      </w:r>
      <w:r>
        <w:rPr>
          <w:rStyle w:val="FootnoteAnchor"/>
          <w:rtl w:val="true"/>
        </w:rPr>
        <w:footnoteReference w:id="91"/>
      </w:r>
      <w:r>
        <w:rPr>
          <w:rFonts w:ascii="Amiri" w:hAnsi="Amiri" w:eastAsia="Amiri" w:cs="Amiri"/>
          <w:color w:val="111111"/>
          <w:sz w:val="28"/>
          <w:sz w:val="28"/>
          <w:szCs w:val="28"/>
          <w:rtl w:val="true"/>
          <w:lang w:bidi="ar-SA"/>
        </w:rPr>
        <w:t>على عدم صحة بيعها أي الخمرة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المتكثرة الدالة على ان ثمن الخمر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الثمن في الاخبار مثالٌ لمطلق العوض، و متى ما حرم عوضه حرم التمسك به للملازمة العرفية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حرمة العوض لا تستلزم حرمة التكسب مردودة على مدعيها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المتكثرة الناهية عن بيع الخمر التي منها ما رواه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 عاصرها و معتصرها و بائعها و مشتريها و ساقيها و آكل ثمنها و شاربها و حاملها و المحمولة اليه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 منها ما رواه جابر الجعفي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 حارسها و عاصرها و شاربها و ساقيها و حاملها و المحمولة اليه و بائعها و مشتريها و آكل ثمنها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يُشترى الخمر و أن يسقى الخمر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الخمر و غارسها و عاصرها و شاربها و ساقيها و بائعها و مشتريها و آكل ثمنها و حاملها و المحمولة اليه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رواه أبو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ثمن الخمر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أُهدي الى رسول الله صلى الله عليه و آله راوية خمر بعد ما حرمت الخمر، فامر بها أن تباع فلما ادبر بها الذمي يبيعها، ناداه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 يا صاحب الراوية، أن الذي حرّمها حرّم ثمنها، فأمر بها فصبّتْ في الصعيد،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الخمر و مهر البغي و ثمن الكلب الذي لا يصطاد من السحت</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ما يعارض ما ذكرناه من الاخبار فمطّرَح او مؤول، لعدم قابليته لمعارضة ما سمعت من الاخبار الصحيحة الصريحة المجبورة بما سمعت من الإجماعات المؤيدة بما عرفت من القواعد، كخبر جميل أنه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لي على الرجل دراهم فيعطيني بها خمرة،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ثمّ أفسدها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 هو مع ضعفه و عدم قابليته لمعارضة ما مر من الاخبار لا دلالة فيه على جواز المعاوضة،</w:t>
      </w:r>
      <w:bookmarkStart w:id="72" w:name="pg2491_24127"/>
    </w:p>
    <w:p>
      <w:pPr>
        <w:pStyle w:val="BookText"/>
        <w:rPr/>
      </w:pPr>
      <w:bookmarkEnd w:id="72"/>
      <w:r>
        <w:rPr>
          <w:rFonts w:ascii="Amiri" w:hAnsi="Amiri" w:eastAsia="Amiri" w:cs="Amiri"/>
          <w:color w:val="111111"/>
          <w:sz w:val="28"/>
          <w:sz w:val="28"/>
          <w:szCs w:val="28"/>
          <w:rtl w:val="true"/>
          <w:lang w:bidi="ar-SA"/>
        </w:rPr>
        <w:t>بل على جواز أخذها لإفسادها بجعلها خلا، و لعله مما لا خلاف فيه لاستفاضة النصوص بجواز اخذها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غلاما له في كرم له يبيعه عنبا أو عصيراً، فأنطلق الغلام فعصر خمرا ثمّ باعه،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من ثقيف أهدى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راويتين من خمر فأمر بهما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فاهريقتا،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حرّم شربها حرّم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أفضل خصال هذه التي باعها الغلام أن يتصدق بثمنها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ابي ايوب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أمر غلامه أن يبيع كرمه عصيرا فباعه خمراً، ثمّ أتاه بثمنه،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الاشياء اليّ أن يتصدق بثمنه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فإن الصدقة بثمنه لا تدل على صحة المعاوضة، بل لعلها لبقاء الثمن على ملك المشتري، و حيث كان مجهولا أمر بالتصدُّق كسائر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هذا 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لما كان المشتري عالما بأن الخمر لا يُملك فكأنه دفع للبائع الثمن بلا عوض فيكون بمنزلة الهبة، فمن هنا كانت الصدقة أفضل و أحب فتأمل</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3813581_3804643083"/>
      <w:bookmarkStart w:id="74" w:name="_Toc30"/>
      <w:bookmarkEnd w:id="73"/>
      <w:r>
        <w:rPr>
          <w:rtl w:val="true"/>
        </w:rPr>
        <w:t>حرمة التكسب بالميتة و أجزائها</w:t>
      </w:r>
      <w:bookmarkEnd w:id="7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الاعيان النجسة التي يحرم التكسب بها من نجس العين الميتة و أجزاؤها مطلقا من غير فرق بين ما تحله الحياة و ما لا تحلّه منها، و من طاهر العين ذي النفس السائلة و أجزائها التي تحلها الحياة دون ما لا تحله الحياة، و دون ما لا نفس له مع امتيازها و انفرادها، و مع اختلاطها و اشتباهها بالمذكى اذا كانت محصورة من غير فرق بين كون البيع على المسلم أو على الكافر مستحلًا أو لا، محترَم المال اولا، كل ذلك لما</w:t>
      </w:r>
    </w:p>
    <w:p>
      <w:pPr>
        <w:pStyle w:val="BookText"/>
        <w:rPr/>
      </w:pPr>
      <w:r>
        <w:rPr>
          <w:rFonts w:ascii="Amiri" w:hAnsi="Amiri" w:eastAsia="Amiri" w:cs="Amiri"/>
          <w:color w:val="111111"/>
          <w:sz w:val="28"/>
          <w:sz w:val="28"/>
          <w:szCs w:val="28"/>
          <w:rtl w:val="true"/>
          <w:lang w:bidi="ar-SA"/>
        </w:rPr>
        <w:t xml:space="preserve">ذكرناه في ما مر من عدم تعلق صفة الملك بالاعيان النجسة التي هذه منها، مضافا الى خصوص الاجماع المنقول عن رهن الخلاف </w:t>
      </w:r>
      <w:r>
        <w:rPr>
          <w:rStyle w:val="FootnoteAnchor"/>
          <w:rtl w:val="true"/>
        </w:rPr>
        <w:footnoteReference w:id="99"/>
      </w:r>
      <w:r>
        <w:rPr>
          <w:rFonts w:ascii="Amiri" w:hAnsi="Amiri" w:eastAsia="Amiri" w:cs="Amiri"/>
          <w:color w:val="111111"/>
          <w:sz w:val="28"/>
          <w:sz w:val="28"/>
          <w:szCs w:val="28"/>
          <w:rtl w:val="true"/>
          <w:lang w:bidi="ar-SA"/>
        </w:rPr>
        <w:t xml:space="preserve">على عدم ملكيتها بالخصوص، و عدمُ تعلُّقٖ صفة الملك يمنعُ من التكسب بعينها، لما ذكرناه من عدم جواز الانتفاع بالاعيان النجسة التي هذه منها، مضافا الى القاعدة المتقدمة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ما حرمت منافعه حرم التكسب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ما ذكرنا من القاعدة التي احكمناها و هي حرمة الانتفاع </w:t>
      </w:r>
      <w:r>
        <w:rPr>
          <w:rStyle w:val="FootnoteAnchor"/>
          <w:rtl w:val="true"/>
        </w:rPr>
        <w:footnoteReference w:id="100"/>
      </w:r>
      <w:r>
        <w:rPr>
          <w:rFonts w:ascii="Amiri" w:hAnsi="Amiri" w:eastAsia="Amiri" w:cs="Amiri"/>
          <w:color w:val="111111"/>
          <w:sz w:val="28"/>
          <w:sz w:val="28"/>
          <w:szCs w:val="28"/>
          <w:rtl w:val="true"/>
          <w:lang w:bidi="ar-SA"/>
        </w:rPr>
        <w:t>بها الا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فالميتة بالخصوص مما خرجت بالدليل، لما دلّ على عدم جواز الانتفاع بها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ينتفع بها و لو بشسع نعل</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فيكون التكسب بها من باب اكل المال بالباطل، لاشتراط وجود المنفعة المحللة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يقوله بعض الاعيان من انّ المنافع النادرة التي لا تعد استعمالًا عرفاً كإحراقها في الحمام او إعطائها لحيوان لياكلها لا تدخل تحت الاخبار المانعة عن الانتفاع بالميتة،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الفرد الخفي مثل شسع النعل الذي هو من الاستعمالات المتعارفة للجلود، فلا ينصرف له الاطلاق لمثل ذلك الانتفاع، فنرجع فيه الى اصالة الجواز،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أصالة جواز الانتفاع بالاعيان النجسة التي قد عرفت انقطاعها بالادلة المتقدمة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الانتفاعات لا تجوّز التكسّب، لانه انما يجوز فيما كانت له منفعة مقصودة للعقلاء يعدّ من جهتها مالا، و يقابل بالعوض لأجلها، و هذه المنافع ليست كذلك، بل هي من المنافع النادرة كاكلها عند الضرورة، فكما لا يجوز البيع لذلك، لا يجوز البيع لهذه المنافع النادرة، بل قد عرفت في القانون المتقدم أن كل ما حرمت منفعته الغالبة التي من جهتها يعد مالا و إن حلّت بقية منافعه لا يجوز التكسب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حرمة التكسب بالميتة مضافا الى ما مر الاجماع المحكي عن التذكرة </w:t>
      </w:r>
      <w:r>
        <w:rPr>
          <w:rStyle w:val="FootnoteAnchor"/>
          <w:rtl w:val="true"/>
        </w:rPr>
        <w:footnoteReference w:id="102"/>
      </w:r>
      <w:r>
        <w:rPr>
          <w:rFonts w:ascii="IRNazanin" w:hAnsi="IRNazanin" w:eastAsia="IRNazanin"/>
          <w:color w:val="111111"/>
          <w:sz w:val="28"/>
          <w:sz w:val="28"/>
          <w:szCs w:val="28"/>
          <w:rtl w:val="true"/>
          <w:lang w:bidi="fa-IR"/>
        </w:rPr>
        <w:t xml:space="preserve">و المنتهى </w:t>
      </w:r>
      <w:r>
        <w:rPr>
          <w:rStyle w:val="FootnoteAnchor"/>
          <w:rtl w:val="true"/>
        </w:rPr>
        <w:footnoteReference w:id="103"/>
      </w:r>
      <w:r>
        <w:rPr>
          <w:rFonts w:ascii="Amiri" w:hAnsi="Amiri" w:eastAsia="Amiri" w:cs="Amiri"/>
          <w:color w:val="111111"/>
          <w:sz w:val="28"/>
          <w:sz w:val="28"/>
          <w:szCs w:val="28"/>
          <w:rtl w:val="true"/>
          <w:lang w:bidi="ar-SA"/>
        </w:rPr>
        <w:t xml:space="preserve">و التنقيح </w:t>
      </w:r>
      <w:r>
        <w:rPr>
          <w:rStyle w:val="FootnoteAnchor"/>
          <w:rtl w:val="true"/>
        </w:rPr>
        <w:footnoteReference w:id="104"/>
      </w:r>
      <w:r>
        <w:rPr>
          <w:rFonts w:ascii="Amiri" w:hAnsi="Amiri" w:eastAsia="Amiri" w:cs="Amiri"/>
          <w:color w:val="111111"/>
          <w:sz w:val="28"/>
          <w:sz w:val="28"/>
          <w:szCs w:val="28"/>
          <w:rtl w:val="true"/>
          <w:lang w:bidi="ar-SA"/>
        </w:rPr>
        <w:t>على حرمة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ايضا الاخبار المتكثرة العادّة ثمن الميتة من السحت،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يزيد بن فرقد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ثمن الميتة و ثمن الخمر و مهر البغي و الرشوة في الحكم و أجر الكاهن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 منه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السحت ثمن الميتة و ثمن الكلب و ثمن الخمر و مهر الزانية</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و منها خبر عبد الله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الماشية تكون للرجل فيموت بعضها، يصلح له بيع جلودها و دباغها و 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لبسها فلا يصل فيها</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Style w:val="FootnoteAnchor"/>
          <w:rtl w:val="true"/>
        </w:rPr>
        <w:footnoteReference w:id="108"/>
      </w:r>
      <w:r>
        <w:rPr>
          <w:rFonts w:ascii="Amiri" w:hAnsi="Amiri" w:eastAsia="Amiri" w:cs="Amiri"/>
          <w:color w:val="111111"/>
          <w:sz w:val="28"/>
          <w:sz w:val="28"/>
          <w:szCs w:val="28"/>
          <w:rtl w:val="true"/>
          <w:lang w:bidi="ar-SA"/>
        </w:rPr>
        <w:t>، لأنه إما ان يكون التحريم لجميع المنافع التي منها البيع، او لخصوص المنفعة الظاهرة و هي الاكل، و على الاول فالامر واضح، و على الثاني كذلك، لان تحريم المنفعة الغالبة يقتضي تحريم التكسب كما عرفت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مباحث</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 الميت بالمذكى لم يجز بيعه، وفاقاً لجمع من اساطين المتأخرين، و عن الشيخ في النهاية </w:t>
      </w:r>
      <w:r>
        <w:rPr>
          <w:rStyle w:val="FootnoteAnchor"/>
          <w:rtl w:val="true"/>
        </w:rPr>
        <w:footnoteReference w:id="109"/>
      </w:r>
      <w:r>
        <w:rPr>
          <w:rFonts w:ascii="Amiri" w:hAnsi="Amiri" w:eastAsia="Amiri" w:cs="Amiri"/>
          <w:color w:val="111111"/>
          <w:sz w:val="28"/>
          <w:sz w:val="28"/>
          <w:szCs w:val="28"/>
          <w:rtl w:val="true"/>
          <w:lang w:bidi="ar-SA"/>
        </w:rPr>
        <w:t xml:space="preserve">و ابن حمزة </w:t>
      </w:r>
      <w:r>
        <w:rPr>
          <w:rStyle w:val="FootnoteAnchor"/>
          <w:rtl w:val="true"/>
        </w:rPr>
        <w:footnoteReference w:id="110"/>
      </w:r>
      <w:r>
        <w:rPr>
          <w:rFonts w:ascii="Amiri" w:hAnsi="Amiri" w:eastAsia="Amiri" w:cs="Amiri"/>
          <w:color w:val="111111"/>
          <w:sz w:val="28"/>
          <w:sz w:val="28"/>
          <w:szCs w:val="28"/>
          <w:rtl w:val="true"/>
          <w:lang w:bidi="ar-SA"/>
        </w:rPr>
        <w:t xml:space="preserve">جواز بيع ذلك على مستحل الميتة و استوجهه في الكفاية، و عن المحقق الجواز إن قصد بيع المذكى خاصة </w:t>
      </w:r>
      <w:r>
        <w:rPr>
          <w:rStyle w:val="FootnoteAnchor"/>
          <w:rtl w:val="true"/>
        </w:rPr>
        <w:footnoteReference w:id="111"/>
      </w:r>
      <w:r>
        <w:rPr>
          <w:rFonts w:ascii="Amiri" w:hAnsi="Amiri" w:eastAsia="Amiri" w:cs="Amiri"/>
          <w:color w:val="111111"/>
          <w:sz w:val="28"/>
          <w:sz w:val="28"/>
          <w:szCs w:val="28"/>
          <w:rtl w:val="true"/>
          <w:lang w:bidi="ar-SA"/>
        </w:rPr>
        <w:t xml:space="preserve">، و عن الشهيد في الدروس </w:t>
      </w:r>
      <w:r>
        <w:rPr>
          <w:rStyle w:val="FootnoteAnchor"/>
          <w:rtl w:val="true"/>
        </w:rPr>
        <w:footnoteReference w:id="112"/>
      </w:r>
      <w:r>
        <w:rPr>
          <w:rFonts w:ascii="Amiri" w:hAnsi="Amiri" w:eastAsia="Amiri" w:cs="Amiri"/>
          <w:color w:val="111111"/>
          <w:sz w:val="28"/>
          <w:sz w:val="28"/>
          <w:szCs w:val="28"/>
          <w:rtl w:val="true"/>
          <w:lang w:bidi="ar-SA"/>
        </w:rPr>
        <w:t>عرضه على النار و اختباره بالانبساط و الانقباض كاللحم المطروح المشتبه، و الاقوى عدم الجواز مطلقاً لان المشتبه بالميتة كالميتة اكلا و انتفاعا، فكما لا يجوز اكل الميتة و لا الانتفاع بها لا يجوز اكل المشتبه بها و لا الانتفاع به، لوجوب الاجتناب عن اكل المشتبهين، فيكون دفع الثمن بازاء المذكى المشتبه بالميتة و قبضه و أكله من باب أكل المال بالباطل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قصد بيع المذكى، و إن قصد بيع المجموع فاولى بالبطلان؛ لما دل على عدم جواز بيع النجس، و ما دل على عدم جواز بيع الميتة، و ما دل على عدم جواز الانتفاع بها، فان ذلك كله 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الشيخ و ابن حمزة </w:t>
      </w:r>
      <w:r>
        <w:rPr>
          <w:rStyle w:val="FootnoteAnchor"/>
          <w:rtl w:val="true"/>
        </w:rPr>
        <w:footnoteReference w:id="113"/>
      </w:r>
      <w:r>
        <w:rPr>
          <w:rFonts w:ascii="Amiri" w:hAnsi="Amiri" w:eastAsia="Amiri" w:cs="Amiri"/>
          <w:color w:val="111111"/>
          <w:sz w:val="28"/>
          <w:sz w:val="28"/>
          <w:szCs w:val="28"/>
          <w:rtl w:val="true"/>
          <w:lang w:bidi="ar-SA"/>
        </w:rPr>
        <w:t xml:space="preserve">على جواز بيع ذلك على المستحل بخبر الحلبي، قال 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اختلط المذكى و الميتة باعه ممن يستحل الميتة و اكل ثمنه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و خبره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كان له غنم و بقر و كان يدرك الذكي منها فيعزله و يعزل الميتة ثمّ ان الميتة و الذكي اختلطا،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ممن يستحل الميتة و يأكل ثمنه، فإنه لا بأس</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 هذه الاخبار مع معارضتها بالمرويّ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يرمي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ليست لها قابلية معارضة ما دل على المنع من بيع النجس، و ما دلّ على المنع من بيع الميتة و إن ثمنها سحت، و ما دل من المنع من الاعانة على الاثم، و ما دل على النهي عن المنكر لان الكفار مكلفون بالفروع، و الاجماعات المتقدمة، فلا بد من اطّراحها أو حملها </w:t>
      </w:r>
      <w:r>
        <w:rPr>
          <w:rStyle w:val="FootnoteAnchor"/>
          <w:rtl w:val="true"/>
        </w:rPr>
        <w:footnoteReference w:id="116"/>
      </w:r>
      <w:r>
        <w:rPr>
          <w:rFonts w:ascii="Amiri" w:hAnsi="Amiri" w:eastAsia="Amiri" w:cs="Amiri"/>
          <w:color w:val="111111"/>
          <w:sz w:val="28"/>
          <w:sz w:val="28"/>
          <w:szCs w:val="28"/>
          <w:rtl w:val="true"/>
          <w:lang w:bidi="ar-SA"/>
        </w:rPr>
        <w:t xml:space="preserve">على التعجيز كما قيل، بناء على عدم المستحل للميتة بعد عهد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حملها على التقية بحمل المبيع منها على جلودها خاصة بعد الدبغ فيكون المراد من المستحل ما يعم الكافر و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حملها على صورة قصد البائع المسلم اجزاءَها التي لا تحلها الحياة من الصوف و الشعر و العظم و نحوها، و تخصيص المشتري بالمستحل لان الداعي له على الاشتراء اللحم ايضا، و لا يوجب ذلك فساد البيع ما لم يقع العقد عليه </w:t>
      </w:r>
      <w:r>
        <w:rPr>
          <w:rStyle w:val="FootnoteAnchor"/>
          <w:rtl w:val="true"/>
        </w:rPr>
        <w:footnoteReference w:id="117"/>
      </w:r>
      <w:r>
        <w:rPr>
          <w:rFonts w:ascii="Amiri" w:hAnsi="Amiri" w:eastAsia="Amiri" w:cs="Amiri"/>
          <w:color w:val="111111"/>
          <w:sz w:val="28"/>
          <w:sz w:val="28"/>
          <w:szCs w:val="28"/>
          <w:rtl w:val="true"/>
          <w:lang w:bidi="ar-SA"/>
        </w:rPr>
        <w:t xml:space="preserve">، و هو كما ترى، و حَمَل العلامة الاخبار المذكورة على أن ذلك ليس بيعا صحيحاً بل هو استنقاذ من مال الكافر و إخراج للمال من يده بحيلة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 المستحل قد يكون ممن لا يجوز له الاستنقاذ منه الا بالأسباب الشرعية كالذمي </w:t>
      </w:r>
      <w:r>
        <w:rPr>
          <w:rStyle w:val="FootnoteAnchor"/>
          <w:rtl w:val="true"/>
        </w:rPr>
        <w:footnoteReference w:id="119"/>
      </w:r>
      <w:r>
        <w:rPr>
          <w:rFonts w:ascii="Amiri" w:hAnsi="Amiri" w:eastAsia="Amiri" w:cs="Amiri"/>
          <w:color w:val="111111"/>
          <w:sz w:val="28"/>
          <w:sz w:val="28"/>
          <w:szCs w:val="28"/>
          <w:rtl w:val="true"/>
          <w:lang w:bidi="ar-SA"/>
        </w:rPr>
        <w:t>و هو كما ترى، لأنها محمولة على المستحل الذي يجوز الاستنقاذ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ان المسئول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الحربي في زمانه بحيث يَتعامل معه السائلُ حتى يستنفذ منه المال بعيد، و الذميّ ماله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 انه يمكن وجود المعاهد حينئذ، و تكون معهم المعاملة فاسدة ايضا كالحربي و يكون ذلك استنقاذاً، و الفرق بين المعاهد و الحربي بعد فساد معاملة كل منهما أن الحربي يمكن استنقاذ ماله و لو قهراً، و المعاهد هو الذي لا يؤخذ ماله الا برضاه و لو بحيلة غير شرعية، و يمكن أن يكون مستند المحقق فيما ذهب اليه تنزيل الخبرين المذكورين على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ظاهرهما بيع المجموع من المستحل دون المذكى خاصة، فحملُ الخبرين على ذلك خروج عن ظاهرهما و اطراح لهما، على أن قصد بيع المذكى خاصة لا يجدي نفعا بعد اشتباهه بالميتة، لانه يكون حكمه حكم الميتة باعتبار وجوب اجتناب الشبهة المحصورة و عدم جواز ارتكاب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المختار في الشبهة المحصورة، و على القول بجواز ارتكاب الشبهة المحصورة لا بد من القول بعدم الجواز هنا، لان الأصل في كل من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إلغاء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ما كان الأصل في أفرادها الإباحة و جواز الارتكاب مع الغاء العلم الاجمالي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بيع الفرد المحلل و قصده بالبيع خاصة، على انه إنْ كان المناط في الجواز كون المشتري مستحلا فلا وجه لتخصيص ذلك بصورة الاشتباه و لا بقصد بيع المذكى خاصة، و إن كان المناط الاشتباه فلا وجه لتخصيص ذلك بالمستحل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المناط حصول الاشتباه مع كون المشتري مستحلا، و هو بعيد، لبُعدِ مدخلية الاشتباه في الحكم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قد يبطل البيع من جهة اخرى و هي عدم القدرة على تسليم المبيع تسليما تاما بحيث ينتفع به المشتري، إذ غاية ما في الباب أن يُسلَّم الجميع و تسليم الجميع لا ينفع، لانه لا يجوز للمشتري التصرف بهذا التسليم فلا يكون تاما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انهم قالوا ان تسليم المبيع مشغولا بمال الغير ليس من التسليم الشرعي، و يمكن ان يتطرق اليه البطلان من وجه آخر و هو جهالة المبيع، لانه مجهول العين، على انه مجهول الوزن لو كان من الموزون، فيكون مجهولا من وجهين، فان كان المبيع المذكى خاصة فقد عرفت ما فيه، و إن كان المبيع المجموعَ لزم فتح باب سدها الشارع و لا يريد فتحها، و هي بيع الميتة، و هذا ينافي الحكمة، لأن كل من أراد بيعها خلطها بالمذكى خلطا لا يتميز عنه، و يتوصل بذلك الى بيع الميتة، و هذا مما ينافي الحكمة الباعثة على المنع من بيع الميتة كما لا يخفى، الا أن يخص ذلك بالاشتباه القهري فتأمل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قاله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عرضه على النار و اختباره بالانبساط و الانقباض </w:t>
      </w:r>
      <w:r>
        <w:rPr>
          <w:rStyle w:val="FootnoteAnchor"/>
          <w:rtl w:val="true"/>
        </w:rPr>
        <w:footnoteReference w:id="120"/>
      </w:r>
      <w:r>
        <w:rPr>
          <w:rFonts w:ascii="Amiri" w:hAnsi="Amiri" w:eastAsia="Amiri" w:cs="Amiri"/>
          <w:color w:val="111111"/>
          <w:sz w:val="28"/>
          <w:sz w:val="28"/>
          <w:szCs w:val="28"/>
          <w:rtl w:val="true"/>
          <w:lang w:bidi="ar-SA"/>
        </w:rPr>
        <w:t>فهو مخالف لظواهر النصوص و الفتاوى، و تلك علامة يقتصر فيها على مورد النص و هو اشتباه الحال في الفرد الواحد المشتبه بين الميتة و المذكى لا الاشتباه بين فردين مع يقين موت أحدهما فحينئذٍ الاختبار المذكور في المقام لا يعوّل عليه فتأمّل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بعض الاخبار ما يقضي بجواز الانتفاع بجلد الميتة، كخبر قاسم الصقيل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أعمل أغماد السيوف من جلود الحمر الميتة، فيصيب ثيابي، أ فأصلي فيها؟ 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ثوباً لصلاتك، فكتبتُ الى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كَتَبت الى أبيك بكذا و كذا، فصعب عليّ ذلك، فصرت أعملها من جلود الحمر الوحشية الذكية،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أعمال البرّ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تعمل وحشياً ذكياً فلا بأس</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 خبر أبي القاسم الصيقل و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الى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أنا قوم نعمل السيوف ليست لنا معيشة و لا تجارة غيرها و نحن مضطرون اليها، و انما غلافها </w:t>
      </w:r>
      <w:r>
        <w:rPr>
          <w:rStyle w:val="FootnoteAnchor"/>
          <w:rtl w:val="true"/>
        </w:rPr>
        <w:footnoteReference w:id="122"/>
      </w:r>
      <w:r>
        <w:rPr>
          <w:rFonts w:ascii="Amiri" w:hAnsi="Amiri" w:eastAsia="Amiri" w:cs="Amiri"/>
          <w:color w:val="111111"/>
          <w:sz w:val="28"/>
          <w:sz w:val="28"/>
          <w:szCs w:val="28"/>
          <w:rtl w:val="true"/>
          <w:lang w:bidi="ar-SA"/>
        </w:rPr>
        <w:t xml:space="preserve">من جلود الميتة من البغال و الحمير الاهلية، لا يجوز في أعمالنا غيرها، فيحل لنا عملها و شراؤها و بيعها و مسها بأيدينا و ثيابنا؟ و نحن نصلي في ثيابنا و نحن محتاجون الى جوابك في هذه المسألة يا سيدنا لضرورتنا اليها،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ثوبا للصلاة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و ما رواه في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الميتة يجعل فيها اللبن و الماء و السمن، ما ترى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تجعل فيها ما شئت من ماء أو لبن أو سمن و تتوضأ منه و تشرب، و لكن لا تصلّ فيها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و خبر الحسين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جلد شاة ميتة يدبغ فيصبُّ فيه اللبن و الماء فأشربُ منه و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يدبغ و يُنتفع به و لا يُصلّى فيه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و خبر زرارة المروي في التهذيب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الانفحة تخرج من الجدي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يكون في ضرع الشاة و قد ماتت، قال 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الصوف و الشعر و عظام الفيل و الجلد و البيض يخرج من الدجاجة،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ذكي لا بأس به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قلت و رواه في الفقيه بإسقاط لفظة و الجلد </w:t>
      </w:r>
      <w:r>
        <w:rPr>
          <w:rStyle w:val="FootnoteAnchor"/>
          <w:rtl w:val="true"/>
        </w:rPr>
        <w:footnoteReference w:id="127"/>
      </w:r>
      <w:r>
        <w:rPr>
          <w:rFonts w:ascii="Amiri" w:hAnsi="Amiri" w:eastAsia="Amiri" w:cs="Amiri"/>
          <w:color w:val="111111"/>
          <w:sz w:val="28"/>
          <w:sz w:val="28"/>
          <w:szCs w:val="28"/>
          <w:rtl w:val="true"/>
          <w:lang w:bidi="ar-SA"/>
        </w:rPr>
        <w:t xml:space="preserve">، و في الوافي </w:t>
      </w:r>
      <w:r>
        <w:rPr>
          <w:rStyle w:val="FootnoteAnchor"/>
          <w:rtl w:val="true"/>
        </w:rPr>
        <w:footnoteReference w:id="128"/>
      </w:r>
      <w:r>
        <w:rPr>
          <w:rFonts w:ascii="Amiri" w:hAnsi="Amiri" w:eastAsia="Amiri" w:cs="Amiri"/>
          <w:color w:val="111111"/>
          <w:sz w:val="28"/>
          <w:sz w:val="28"/>
          <w:szCs w:val="28"/>
          <w:rtl w:val="true"/>
          <w:lang w:bidi="ar-SA"/>
        </w:rPr>
        <w:t>و هو الصحيح، و كأنّ زيادتها سهو من كاتب التهذيب، الى غير ذلك من الاخبار المشعرة بجواز الانتفاع بجلد الميتة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هذه الاخبار كلها محمولة على التقية او مطّرحة لان بإزائها أخبار متكثرة دالة على عدم جواز الانتفاع بجلد الميتة بالخصوص، كخبر الفتح بن يزيد الجرجاني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جلود الميتة التي يؤكل لحمها إنْ ذكّي؟،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من الميتة بإهاب و لا عصب</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 خبر علي بن ابي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الميتة ينتفع منها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بشاة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اهل هذه الشاة إذْ لم ينتفعوا بإهابها؟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شاة كانت لسودة بنت زمعة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شاة مهزولة لا ينتفع بلحمها فتركوها حتى ماتت،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اهلها إذْ لم ينتفعوا بلحمها أن ينتفعوا باهابها، أي تُذكّى</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و خبر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السباع ينتفع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و سمّيت فانتفع بجلده، و أما الميتة فلا</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و خبر ابي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السخلة التي 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اهلها لو انتفعوا باهابها؟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ميتة يا أبا مريم، و لكنها مهزولة فذبحها اهلها فرموا بها،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أهلها لو انتفعوا بإهابها</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و 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اكل الجبن و تقليد السيف و فيه الكيمخت و الغري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به ما لم تعلم أنه ميتة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الاخبار مجبورة بالشهرة المحصلة فضلا عن المنقولة بل الاجماع فضلا عن الشهرة مؤيدة بالاخبار الحاصرة للذكي من الميتة بعشرة و ليس الجلد منها، فلا بد من حمل الاخبار المارة على التقية أو على غيرها أو إخراجها اصلا كما لا يخفى، فحينئذ لا وجه لاشكال صاحب الحدائق </w:t>
      </w:r>
      <w:r>
        <w:rPr>
          <w:rStyle w:val="FootnoteAnchor"/>
          <w:rtl w:val="true"/>
        </w:rPr>
        <w:footnoteReference w:id="134"/>
      </w:r>
      <w:r>
        <w:rPr>
          <w:rFonts w:ascii="Amiri" w:hAnsi="Amiri" w:eastAsia="Amiri" w:cs="Amiri"/>
          <w:color w:val="111111"/>
          <w:sz w:val="28"/>
          <w:sz w:val="28"/>
          <w:szCs w:val="28"/>
          <w:rtl w:val="true"/>
          <w:lang w:bidi="ar-SA"/>
        </w:rPr>
        <w:t>و الكفاية في جواز بيع جلود الميتة، و دعوى دلالة خبر ابي القاسم الصيقل على ذلك ممنوعة، لأنه تضمن السؤال عن عمل السيوف و بيعها و شرائها لا خصوص الغلاف مستقلا و لا منضماً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قصراه الدلالة على جواز الانتفاع بجلد الميتة بجعله غلافا للسيف من حيث التقرير، و قد عرفت ما فيه، كما ان ما يحكي عن الفاضلين في النافع و الإرشاد من جواز الاستقاء بجلد الميتة لغير الصلاة و الشرب </w:t>
      </w:r>
      <w:r>
        <w:rPr>
          <w:rStyle w:val="FootnoteAnchor"/>
          <w:rtl w:val="true"/>
        </w:rPr>
        <w:footnoteReference w:id="135"/>
      </w:r>
      <w:r>
        <w:rPr>
          <w:rFonts w:ascii="Amiri" w:hAnsi="Amiri" w:eastAsia="Amiri" w:cs="Amiri"/>
          <w:color w:val="111111"/>
          <w:sz w:val="28"/>
          <w:sz w:val="28"/>
          <w:szCs w:val="28"/>
          <w:rtl w:val="true"/>
          <w:lang w:bidi="ar-SA"/>
        </w:rPr>
        <w:t>مردود بالاخبار المتقدمة المانعة من الانتفاع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بعض كتب أصحابنا المتأخرين و لكن الانصاف انه اذا قلنا بجواز الانتفاع بجلد الميتة منفعة مقصودة كالاستسقاء بها للبساتين و الزرع إذا فرض عده مالًا عرفاً، فمجرد النجاسة لا تصلح علة لمنع البيع لو لا الاجماع على حرمة بيع الميتة بقول مطلق، لأن المانع حرمة الانتفاع في المنافع المقصودة لا مجرد النجاسة، و إن قلنا إنّ مقتضى الادلة حرمة الانتفاع بكل نجس فان هذا كلام آخر سيجي‌ء بما فيه بعد ذكر حكم النجاسات، لكنّا نقول إذا قام الدليل الخاص على جواز الانتفاع منفعة مقصودة بشي‌ء من النجاسات فلا مانع من صحة بيعه، لان ما دلّ على المنع عن بيع النجس من النص و الاجماع ظاهر في كون المانع حرمة الانتفاع</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لا باس به إن سلّمنا ما ادّعاه من ظهور ما دلّ على المنع من بيع النجس في كون المانع حرمة الانتفاع، و لكن دون اثبات ذلك الظهور خرط القتاد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التكسب بما لا تحله الحياة من ميتة ذي النفس من طاهر العين إن فرض له نفع مقصود من قبيل الشعر و الريش و نحوهما لوجود المقتضي و عدم المانع، كما يجوز التكسب بميتة غير ذي النفس السائلة اذا كانت مما ينتفع بها أو ببعض</w:t>
      </w:r>
      <w:bookmarkStart w:id="75" w:name="pg2491_24136"/>
    </w:p>
    <w:p>
      <w:pPr>
        <w:pStyle w:val="BookText"/>
        <w:rPr/>
      </w:pPr>
      <w:bookmarkEnd w:id="75"/>
      <w:r>
        <w:rPr>
          <w:rFonts w:ascii="Amiri" w:hAnsi="Amiri" w:eastAsia="Amiri" w:cs="Amiri"/>
          <w:color w:val="111111"/>
          <w:sz w:val="28"/>
          <w:sz w:val="28"/>
          <w:szCs w:val="28"/>
          <w:rtl w:val="true"/>
          <w:lang w:bidi="ar-SA"/>
        </w:rPr>
        <w:t xml:space="preserve">اجزائها، كدهن السمك الميت </w:t>
      </w:r>
      <w:r>
        <w:rPr>
          <w:rStyle w:val="FootnoteAnchor"/>
          <w:rtl w:val="true"/>
        </w:rPr>
        <w:footnoteReference w:id="137"/>
      </w:r>
      <w:r>
        <w:rPr>
          <w:rFonts w:ascii="Amiri" w:hAnsi="Amiri" w:eastAsia="Amiri" w:cs="Amiri"/>
          <w:color w:val="111111"/>
          <w:sz w:val="28"/>
          <w:sz w:val="28"/>
          <w:szCs w:val="28"/>
          <w:rtl w:val="true"/>
          <w:lang w:bidi="ar-SA"/>
        </w:rPr>
        <w:t>للاسراج و التدهين لوجود المقتضي و عدم المانع ايضاً، و لأن ادلة عدم جواز الانتفاع بالميتة مختصة بميتة ماله نفس سائلة، و قد صرح بذلك جمع من اصحابنا، و الظاهر انه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من بدن الحي من ذي النفس كالمقطوع من بدن الميت اذا كان مما تحله الحياة لا يجوز الانتفاع به و لا الاكتساب وفاقا لبعض من تأخر من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روي في مستطرفات السرائر عن جامع البزنطي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الغنم، يقطع من ألياتها و هي أحياء، أ يصلح أن ينتفع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يذيبها و يسرج بها و لا يأكلها و لا يبيعها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 عن صاحب الكفاية أنه استوجه العمل بها </w:t>
      </w:r>
      <w:r>
        <w:rPr>
          <w:rStyle w:val="FootnoteAnchor"/>
          <w:rtl w:val="true"/>
        </w:rPr>
        <w:footnoteReference w:id="139"/>
      </w:r>
      <w:r>
        <w:rPr>
          <w:rFonts w:ascii="Amiri" w:hAnsi="Amiri" w:eastAsia="Amiri" w:cs="Amiri"/>
          <w:color w:val="111111"/>
          <w:sz w:val="28"/>
          <w:sz w:val="28"/>
          <w:szCs w:val="28"/>
          <w:rtl w:val="true"/>
          <w:lang w:bidi="ar-SA"/>
        </w:rPr>
        <w:t xml:space="preserve">تبعا لما حكاه الشهيد عن العلامة في بعض اقواله </w:t>
      </w:r>
      <w:r>
        <w:rPr>
          <w:rStyle w:val="FootnoteAnchor"/>
          <w:rtl w:val="true"/>
        </w:rPr>
        <w:footnoteReference w:id="140"/>
      </w:r>
      <w:r>
        <w:rPr>
          <w:rFonts w:ascii="Amiri" w:hAnsi="Amiri" w:eastAsia="Amiri" w:cs="Amiri"/>
          <w:color w:val="111111"/>
          <w:sz w:val="28"/>
          <w:sz w:val="28"/>
          <w:szCs w:val="28"/>
          <w:rtl w:val="true"/>
          <w:lang w:bidi="ar-SA"/>
        </w:rPr>
        <w:t xml:space="preserve">، و الرواية مع كونها شاذة معارضة بالاجماع المنعقد على تحريم الميتة و التصرف فيها على كل حال، بل معارضة بما دلّ على المنع من موردها معللًا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انه يصل اليد و الثوب و هو حرام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 w:name="__RefHeading___Toc3813583_3804643083"/>
      <w:bookmarkStart w:id="77" w:name="_Toc31"/>
      <w:bookmarkEnd w:id="76"/>
      <w:r>
        <w:rPr>
          <w:rtl w:val="true"/>
        </w:rPr>
        <w:t>التكسب بالدم</w:t>
      </w:r>
      <w:bookmarkEnd w:id="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الاعيان التي يحرم التكسب بها الدم لحرمة الانتفاع به كما عرفت من الاصل المتقدم، و على تقدير جواز الانتفاع به بالصبغ و نحوه، كما يقوله البعض يشكل القول بجواز التكسب به لأن منفعته الغالبة و هي الاكل محرمة، و قد عرفت أن كل ما تحرم منفعته الغالبة يحرم التكسب به، اللهم إلا أن تقول ان الصبغ من المنافع الغالبة المقصودة للعقلاء في مقام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الاجماع كما عن النهاية و الايضاح و التنقيح </w:t>
      </w:r>
      <w:r>
        <w:rPr>
          <w:rStyle w:val="FootnoteAnchor"/>
          <w:rtl w:val="true"/>
        </w:rPr>
        <w:footnoteReference w:id="142"/>
      </w:r>
      <w:r>
        <w:rPr>
          <w:rFonts w:ascii="Amiri" w:hAnsi="Amiri" w:eastAsia="Amiri" w:cs="Amiri"/>
          <w:color w:val="111111"/>
          <w:sz w:val="28"/>
          <w:sz w:val="28"/>
          <w:szCs w:val="28"/>
          <w:rtl w:val="true"/>
          <w:lang w:bidi="ar-SA"/>
        </w:rPr>
        <w:t>و نفي الخلاف كما في كتب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الدم المسفوح و أما غيره و هو الدم الطاهر، فاما المتخلف بالذبيحة منه فيظهر من جدي المرحوم في بغية الطالب في باب الطهارة حلية أكله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المتخلف في الذبيحة فهو طاهر حلال لكنه خلاف ما عليه الاصحاب </w:t>
      </w:r>
      <w:r>
        <w:rPr>
          <w:rStyle w:val="FootnoteAnchor"/>
          <w:rtl w:val="true"/>
        </w:rPr>
        <w:footnoteReference w:id="143"/>
      </w: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المتخلف في اللحم و لهذا قيده ولده المرحوم الشيخ موسى في شرح الرسالة بعدم الانفصال،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المتخلف فهو طاهر و حلال ما لم ينفصل و هو الاقوى عندي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فعلى القول بحليته لا كلام في جواز التكسب به، و أما على القول بالحرمة فيكون حكمه حكم باقي الدماء الطاهرة كدم ما لا نفس له، و الظاهر جواز التكسب بها </w:t>
      </w:r>
      <w:r>
        <w:rPr>
          <w:rStyle w:val="FootnoteAnchor"/>
          <w:rtl w:val="true"/>
        </w:rPr>
        <w:footnoteReference w:id="145"/>
      </w:r>
      <w:r>
        <w:rPr>
          <w:rFonts w:ascii="Amiri" w:hAnsi="Amiri" w:eastAsia="Amiri" w:cs="Amiri"/>
          <w:color w:val="111111"/>
          <w:sz w:val="28"/>
          <w:sz w:val="28"/>
          <w:szCs w:val="28"/>
          <w:rtl w:val="true"/>
          <w:lang w:bidi="ar-SA"/>
        </w:rPr>
        <w:t>فجواز الانتفاع بها منفعة محللة و هي الصبغ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كانت من المنافع الغالبة المقصودة كما عرفت، و إن لم تكن كذلك فلا يجوز التكسب به، و الظاهر أن تلك منفعة غالبة مقصودة تكفي في جواز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التذكرة التصريح بعدم بيع الدم الطاهر لاستخباثه </w:t>
      </w:r>
      <w:r>
        <w:rPr>
          <w:rStyle w:val="FootnoteAnchor"/>
          <w:rtl w:val="true"/>
        </w:rPr>
        <w:footnoteReference w:id="146"/>
      </w:r>
      <w:r>
        <w:rPr>
          <w:rFonts w:ascii="Amiri" w:hAnsi="Amiri" w:eastAsia="Amiri" w:cs="Amiri"/>
          <w:color w:val="111111"/>
          <w:sz w:val="28"/>
          <w:sz w:val="28"/>
          <w:szCs w:val="28"/>
          <w:rtl w:val="true"/>
          <w:lang w:bidi="ar-SA"/>
        </w:rPr>
        <w:t>، و لعله لعدم المنفعة الظاهرة فيه غير الاكل المحرم بزعمه و قد عرفت ما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مرفوعة الواسطي المتضمنة لمرور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القصابين و نهيهم عن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الدم و الغدد و آذان الفؤاد و الطحال الى آخرها </w:t>
      </w:r>
      <w:r>
        <w:rPr>
          <w:rStyle w:val="FootnoteAnchor"/>
          <w:rtl w:val="true"/>
        </w:rPr>
        <w:footnoteReference w:id="147"/>
      </w:r>
      <w:r>
        <w:rPr>
          <w:rFonts w:ascii="Amiri" w:hAnsi="Amiri" w:eastAsia="Amiri" w:cs="Amiri"/>
          <w:color w:val="111111"/>
          <w:sz w:val="28"/>
          <w:sz w:val="28"/>
          <w:szCs w:val="28"/>
          <w:rtl w:val="true"/>
          <w:lang w:bidi="ar-SA"/>
        </w:rPr>
        <w:t>فالظاهر ارادة حرمة البيع للأكل، و لا شك في تحريمه لما سيجي‌ء من أن قصد المنفعة المحرمة في البيع موجب لحرمة البيع، بل موجب لبطلان البيع فتبصر و الله العالم</w:t>
      </w:r>
      <w:r>
        <w:rPr>
          <w:rFonts w:eastAsia="Amiri" w:cs="Amiri" w:ascii="Amiri" w:hAnsi="Amiri"/>
          <w:color w:val="111111"/>
          <w:sz w:val="28"/>
          <w:szCs w:val="28"/>
          <w:rtl w:val="true"/>
          <w:lang w:bidi="ar-SA"/>
        </w:rPr>
        <w:t>.</w:t>
      </w:r>
      <w:bookmarkStart w:id="78" w:name="pg2491_24138"/>
    </w:p>
    <w:p>
      <w:pPr>
        <w:pStyle w:val="Heading6"/>
        <w:numPr>
          <w:ilvl w:val="5"/>
          <w:numId w:val="1"/>
        </w:numPr>
        <w:rPr/>
      </w:pPr>
      <w:bookmarkStart w:id="79" w:name="__RefHeading___Toc3813585_3804643083"/>
      <w:bookmarkStart w:id="80" w:name="_Toc32"/>
      <w:bookmarkEnd w:id="78"/>
      <w:bookmarkEnd w:id="79"/>
      <w:r>
        <w:rPr>
          <w:rtl w:val="true"/>
        </w:rPr>
        <w:t>التكسب بالمني</w:t>
      </w:r>
      <w:bookmarkEnd w:id="80"/>
    </w:p>
    <w:p>
      <w:pPr>
        <w:pStyle w:val="BookText"/>
        <w:rPr/>
      </w:pPr>
      <w:r>
        <w:rPr>
          <w:rFonts w:ascii="Amiri" w:hAnsi="Amiri" w:eastAsia="Amiri" w:cs="Amiri"/>
          <w:color w:val="111111"/>
          <w:sz w:val="28"/>
          <w:sz w:val="28"/>
          <w:szCs w:val="28"/>
          <w:rtl w:val="true"/>
          <w:lang w:bidi="ar-SA"/>
        </w:rPr>
        <w:t>و من جملة الاعيان التي يحرم التكسب بها المني، لما مر من عدم تعلق الملك بالاعيان النجسة، و لهذا كان الولد نماء الام في الحيوانات عرفاً و للأب في الانساب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مملوكاً لكان بمنزلة البذر المملوك، و لهذا حكم بتبعية الزرع للبذر دون الولد في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مانع آخر من التكسب به و هو عدم الانتفاع به لانه أن وقع خارج الرحم لا ينتفع به المشتري، و كذا لو وقع في باطن الرحم، لما عرفت من ان الولد نماء الام في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العلامة من المحرمات بيع عسيب الفحل </w:t>
      </w:r>
      <w:r>
        <w:rPr>
          <w:rStyle w:val="FootnoteAnchor"/>
          <w:rtl w:val="true"/>
        </w:rPr>
        <w:footnoteReference w:id="148"/>
      </w:r>
      <w:r>
        <w:rPr>
          <w:rFonts w:ascii="Amiri" w:hAnsi="Amiri" w:eastAsia="Amiri" w:cs="Amiri"/>
          <w:color w:val="111111"/>
          <w:sz w:val="28"/>
          <w:sz w:val="28"/>
          <w:szCs w:val="28"/>
          <w:rtl w:val="true"/>
          <w:lang w:bidi="ar-SA"/>
        </w:rPr>
        <w:t>، و هو ماؤه قبل الاستقرار، و كما أن الملاقيح هو ماؤه بعد الاستقرار كما عن جمع من الاصحاب، و ربما علل ذلك بعض اصحابنا بالجهالة و عدم القدرة على التسليم و جميع ما ذكر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دعوى كونه من الاعيان النجسة فلا يتعلق صفة الملك به فانما يسلم فيما وقع خارج الرحم و أما إذا دخل من الباطن الى الباطن فنجاسته في محل المنع، فعدم كونه مملوكا لنجاسته ممنوع، و أما كونه لا ينتفع به لكون الولد نماء الام فذلك مبني على عدم كونه مملوكا و هو ممنوع أيضا، و أما المنع من جهة الغرر و الجهالة و عدم القدرة على التسليم فانما تمنع من العقد الذي يفسده الغرر كالبيع و لا تمنع من العقد الذي يحتمل الغرر و الجهالة كالصلح و نحوه، على انا لو قلنا بنجاسته فوضعُه على الانقلاب يلحقه بالقابل للتطهير او به يكون مستثنى من قاعدة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انه يصح فيه الصلح و نحوه، فالقول بعدم جواز التكسب به مطلقاً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التكسب بما وقع منه خارج الرحم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3813587_3804643083"/>
      <w:bookmarkStart w:id="82" w:name="_Toc33"/>
      <w:bookmarkEnd w:id="81"/>
      <w:r>
        <w:rPr>
          <w:rtl w:val="true"/>
        </w:rPr>
        <w:t>التكسب بالابوال و الارواث</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الاعيان النجسة التي يحرم التكسب بها الابوال و الارواث مما لا يؤكل لحمه اذا كانت له نفس سائلة و تنقيح الكلام </w:t>
      </w:r>
      <w:r>
        <w:rPr>
          <w:rStyle w:val="FootnoteAnchor"/>
          <w:rtl w:val="true"/>
        </w:rPr>
        <w:footnoteReference w:id="149"/>
      </w:r>
      <w:r>
        <w:rPr>
          <w:rFonts w:ascii="Amiri" w:hAnsi="Amiri" w:eastAsia="Amiri" w:cs="Amiri"/>
          <w:color w:val="111111"/>
          <w:sz w:val="28"/>
          <w:sz w:val="28"/>
          <w:szCs w:val="28"/>
          <w:rtl w:val="true"/>
          <w:lang w:bidi="ar-SA"/>
        </w:rPr>
        <w:t>يتم برسم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أبوال ما لا يؤكل لحمه مما له نفس، و الظاهر انه لا اشكال بل لا خلاف في حرمة التكسب بها، لحرمتها و نجاستها و عدم الانتفاع بها منفعة مقصودة للعقلاء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ارواث ما لا يؤكل لحمه مما له نفس، و الظاهر أنه لا أشكال في عدم جواز التكسب بها بل في كتب بعض المتاخرين بلا خلاف معتد به أجده فيه، بل الاجماع بقسميه عليه، بل المنقول منها مستفيض فعن الخلاف إجماع الفرقة على تحريم بيع السرجين النجس </w:t>
      </w:r>
      <w:r>
        <w:rPr>
          <w:rStyle w:val="FootnoteAnchor"/>
          <w:rtl w:val="true"/>
        </w:rPr>
        <w:footnoteReference w:id="150"/>
      </w:r>
      <w:r>
        <w:rPr>
          <w:rFonts w:ascii="Amiri" w:hAnsi="Amiri" w:eastAsia="Amiri" w:cs="Amiri"/>
          <w:color w:val="111111"/>
          <w:sz w:val="28"/>
          <w:sz w:val="28"/>
          <w:szCs w:val="28"/>
          <w:rtl w:val="true"/>
          <w:lang w:bidi="ar-SA"/>
        </w:rPr>
        <w:t>، خلافا لأبي حنيفة، و في محكي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السرجين النجس إجماعا منا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العذرة و شراؤها حرام اجماعاً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المنتهى الاجماع على تحريم بيع العذرة </w:t>
      </w:r>
      <w:r>
        <w:rPr>
          <w:rStyle w:val="FootnoteAnchor"/>
          <w:rtl w:val="true"/>
        </w:rPr>
        <w:footnoteReference w:id="152"/>
      </w:r>
      <w:r>
        <w:rPr>
          <w:rFonts w:ascii="Amiri" w:hAnsi="Amiri" w:eastAsia="Amiri" w:cs="Amiri"/>
          <w:color w:val="111111"/>
          <w:sz w:val="28"/>
          <w:sz w:val="28"/>
          <w:szCs w:val="28"/>
          <w:rtl w:val="true"/>
          <w:lang w:bidi="ar-SA"/>
        </w:rPr>
        <w:t>، الى غير ذلك من الاجماعات المنقولة المنجبرة بما دلّ على حرمة بيع الاعيان النجسة التي هذه منها، مضافا الى ما قد عرفته من عدم تعلق صفة الملك بالاعيان النجسة خصوصا العذرات، لحكاية اتفاق علمائنا على عدم تعلق صفة الملك بها بالخصوص، و ان البيع مشروط بالملك لا أقل من انها ليسن متموّلة عرفا، و لهذا لم يجر عليها حكم الاموال من الغصب و السرقة و غيرهما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الى النصوص المستضيفة التي منها خبر يعقوب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 و في مرسل الدعائم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بيع العذرة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ميتة</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و ما في سندها من القصور مجبور بما سمعت من الادلة المتقدمة، نعم في رواية مضارب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 جمع الشيخ بينهما بحمل الاول على عذرة الانسان و الثاني</w:t>
      </w:r>
    </w:p>
    <w:p>
      <w:pPr>
        <w:pStyle w:val="BookText"/>
        <w:rPr/>
      </w:pPr>
      <w:r>
        <w:rPr>
          <w:rFonts w:ascii="Amiri" w:hAnsi="Amiri" w:eastAsia="Amiri" w:cs="Amiri"/>
          <w:color w:val="111111"/>
          <w:sz w:val="28"/>
          <w:sz w:val="28"/>
          <w:szCs w:val="28"/>
          <w:rtl w:val="true"/>
          <w:lang w:bidi="ar-SA"/>
        </w:rPr>
        <w:t xml:space="preserve">على عذرة البهائم </w:t>
      </w:r>
      <w:r>
        <w:rPr>
          <w:rStyle w:val="FootnoteAnchor"/>
          <w:rtl w:val="true"/>
        </w:rPr>
        <w:footnoteReference w:id="156"/>
      </w:r>
      <w:r>
        <w:rPr>
          <w:rFonts w:ascii="Amiri" w:hAnsi="Amiri" w:eastAsia="Amiri" w:cs="Amiri"/>
          <w:color w:val="111111"/>
          <w:sz w:val="28"/>
          <w:sz w:val="28"/>
          <w:szCs w:val="28"/>
          <w:rtl w:val="true"/>
          <w:lang w:bidi="ar-SA"/>
        </w:rPr>
        <w:t>، و لعله لأن الاول نصٌّ في عذرة الانسان، ظاهرٌ في عذرة غيره، بعكس الخبر الثاني، فيطرح ظاهر كل منهما بنص الآخر، و يقرَب هذا الجمع رواية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العذرة، و انا حاضر، فقال أني رجل ابيع العذرة،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بيعها و ثمنها،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فإن الجمع بين حكمين في كلام واحد لمتكلم واحد و مخاطب واحد يدل على ان تعارض الاولين ليس الا من حيث الدلالة، فلا يرجع فيه الى المرجحات السندية أو الخارجية، و يدفع ما يقال ان العلاج في الخبرين المتنافيين على وجه التباين الكلي هو الرجوع الى المرجحات الخارجية ثمّ التخيير و التوقف لا إلغاء ظهور كل منهما، و لهذا طعن على من جمع بين الامر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الامر على الاباحة و النهي على الكراهة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فالظاهر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عذرة البهائم الارواث الطاهرة و إنْ مثل بالابل و البقر و الغنم، كما انه يريد بعذرة الانسان الارواث النجسة و مثله جملة رواية الجواز في الاستبصار </w:t>
      </w:r>
      <w:r>
        <w:rPr>
          <w:rStyle w:val="FootnoteAnchor"/>
          <w:rtl w:val="true"/>
        </w:rPr>
        <w:footnoteReference w:id="158"/>
      </w:r>
      <w:r>
        <w:rPr>
          <w:rFonts w:ascii="Amiri" w:hAnsi="Amiri" w:eastAsia="Amiri" w:cs="Amiri"/>
          <w:color w:val="111111"/>
          <w:sz w:val="28"/>
          <w:sz w:val="28"/>
          <w:szCs w:val="28"/>
          <w:rtl w:val="true"/>
          <w:lang w:bidi="ar-SA"/>
        </w:rPr>
        <w:t xml:space="preserve">على عذرة غير الآدميين، فيكون مرجع التأويلين الى شي‌ء واحد؛ اذ لا فرق بين انواع ما يؤكل في جواز البيع كما لا فرق بين انواع ما لا يؤكل في عدم جوازه بل المنقول عنه في المبسوط و الخلاف </w:t>
      </w:r>
      <w:r>
        <w:rPr>
          <w:rStyle w:val="FootnoteAnchor"/>
          <w:rtl w:val="true"/>
        </w:rPr>
        <w:footnoteReference w:id="159"/>
      </w:r>
      <w:r>
        <w:rPr>
          <w:rFonts w:ascii="Amiri" w:hAnsi="Amiri" w:eastAsia="Amiri" w:cs="Amiri"/>
          <w:color w:val="111111"/>
          <w:sz w:val="28"/>
          <w:sz w:val="28"/>
          <w:szCs w:val="28"/>
          <w:rtl w:val="true"/>
          <w:lang w:bidi="ar-SA"/>
        </w:rPr>
        <w:t>التصريح بجواز بيع السراجين الطاهرة و المنع من بيع النجسة من دون تفصيل، بل عن الخلاف حكاية إجماع الفرقة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كلامه في الاستبصار محمول على إرادة البهائم التي ينتفع بعذارتها غالبا، و لذا خصها بالذكر في التهذيب و لم يذكر غيرها من الحيوانات المأكولة اللحم مع القطع بمساواته لها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يعلم أن الشيخ لا خلاف له في المسألة، فما عساه يتوهم من عبارته من جواز بيع عذرة غير الآدمي و ان كانت نجسة في غير محله </w:t>
      </w:r>
      <w:r>
        <w:rPr>
          <w:rStyle w:val="FootnoteAnchor"/>
          <w:rtl w:val="true"/>
        </w:rPr>
        <w:footnoteReference w:id="160"/>
      </w:r>
      <w:r>
        <w:rPr>
          <w:rFonts w:ascii="Amiri" w:hAnsi="Amiri" w:eastAsia="Amiri" w:cs="Amiri"/>
          <w:color w:val="111111"/>
          <w:sz w:val="28"/>
          <w:sz w:val="28"/>
          <w:szCs w:val="28"/>
          <w:rtl w:val="true"/>
          <w:lang w:bidi="ar-SA"/>
        </w:rPr>
        <w:t>و احتمل السبزواري حمل خبر المنع على</w:t>
      </w:r>
    </w:p>
    <w:p>
      <w:pPr>
        <w:pStyle w:val="BookText"/>
        <w:rPr/>
      </w:pPr>
      <w:r>
        <w:rPr>
          <w:rFonts w:ascii="Amiri" w:hAnsi="Amiri" w:eastAsia="Amiri" w:cs="Amiri"/>
          <w:color w:val="111111"/>
          <w:sz w:val="28"/>
          <w:sz w:val="28"/>
          <w:szCs w:val="28"/>
          <w:rtl w:val="true"/>
          <w:lang w:bidi="ar-SA"/>
        </w:rPr>
        <w:t xml:space="preserve">الكراهة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لا يخفى من البعد لمنافاته للفظ السحت و الحرام، و لان الجمع بين الاخبار فرع التكافؤ، و لا شك أن رواية المنع اقوى لاعتضادها بما سمعت، و احتمل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المنع على بلاد لا ينتفع به، و الجواز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على المتأمل بعده، لان السؤال عن البيع، و لا شك ان ما لا ينتفع به لا يسأل عن بيعه و احتمل بعض اصحابنا حمل خبر المنع على التقية لكونه مذهب أكثر العامة، و فيه ما لا يخفى من ان في ذلك طرح لأحد الدليلين و الجمع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ان ما ذكرناه في طريق الجمع بين الاخبار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ارتكبناه مراعاة لأولوية الحمل من الطرح و إلّا فرواية الجواز لا يجوز العمل بها من وجوه عديدة كما لا يخفى على المتأمل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قلنا بظهور لفظ العذرة في عذرة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المنقول عن جمع من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فثبوت الحكم في غيرها من عذرة غير مأكول اللحم ينشأ من الادلة المتقدمة التي دلت على المنع من بيع الاعيان النجسة و التكسب بها، و من الإجماعات المتقدمة الدالة على المنع من بيع السرجين النجس، و نُقل عن ظاهر الاردبيلي </w:t>
      </w:r>
      <w:r>
        <w:rPr>
          <w:rStyle w:val="FootnoteAnchor"/>
          <w:rtl w:val="true"/>
        </w:rPr>
        <w:footnoteReference w:id="162"/>
      </w:r>
      <w:r>
        <w:rPr>
          <w:rFonts w:ascii="Amiri" w:hAnsi="Amiri" w:eastAsia="Amiri" w:cs="Amiri"/>
          <w:color w:val="111111"/>
          <w:sz w:val="28"/>
          <w:sz w:val="28"/>
          <w:szCs w:val="28"/>
          <w:rtl w:val="true"/>
          <w:lang w:bidi="ar-SA"/>
        </w:rPr>
        <w:t xml:space="preserve">و الخراساني التوقف في حكم العذرة و غيرها من الارواث النجسة بل الميل الى جواز بيعها كما هو المحكي عن الفاضل القاساني </w:t>
      </w:r>
      <w:r>
        <w:rPr>
          <w:rStyle w:val="FootnoteAnchor"/>
          <w:rtl w:val="true"/>
        </w:rPr>
        <w:footnoteReference w:id="163"/>
      </w:r>
      <w:r>
        <w:rPr>
          <w:rFonts w:ascii="Amiri" w:hAnsi="Amiri" w:eastAsia="Amiri" w:cs="Amiri"/>
          <w:color w:val="111111"/>
          <w:sz w:val="28"/>
          <w:sz w:val="28"/>
          <w:szCs w:val="28"/>
          <w:rtl w:val="true"/>
          <w:lang w:bidi="ar-SA"/>
        </w:rPr>
        <w:t>، تمسكاً بالاصل و استضعافا لدليل المنع، و التفاتا الى ظهور الانتفاع بها في الزرع و الغرس و هو ضعيف لانقطاع الاصل بما سمعت من الادلة عامة و خاصة، و لان دليل المنع بعد الوقوف على الاجماعات المتقدمة الجابرة للأخبار التي مرت في غاية القوة، و لان الانتفاع المذكور و ان دلت الادلة على جوازه فهو من المنافع النادرة التي لا تُقابل العينُ من جهتها بالمال و لا تعدّ مالا لذلك، و كيف كان فالظاهر ان المناط في ما يؤكل و ما لا يؤكل حين الخروج لا حين التكوّن مثل موطوء الانسان من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العكس لو تكوّن بوله و روثه حال الحلّية قبل الوطء ثمّ خرج بعد الوطء فهو من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العكس كما لو تكون حال الجلل و خرج بعد تمام الاستبراء فهو من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ان نقول بنجاسة العذرة قبل الخروج من الباطن او بطهارتهما الى ان يخرجا او بنجاستهما و عدم تنجيسهما، فلا يفترق الحال في كون المناط حال الخروج لأنه مساق الادلة في المقام فتبصر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التكسب في أبوال ما يؤكل لحمه، و قد اختلف اصحابنا في ذلك على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بالمنع من التكسب فيها مطلقا من غير فرق بين أبوال الابل و غيره، و هو المنسوب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Style w:val="FootnoteAnchor"/>
          <w:rtl w:val="true"/>
        </w:rPr>
        <w:footnoteReference w:id="164"/>
      </w:r>
      <w:r>
        <w:rPr>
          <w:rFonts w:ascii="Amiri" w:hAnsi="Amiri" w:eastAsia="Amiri" w:cs="Amiri"/>
          <w:color w:val="111111"/>
          <w:sz w:val="28"/>
          <w:sz w:val="28"/>
          <w:szCs w:val="28"/>
          <w:rtl w:val="true"/>
          <w:lang w:bidi="ar-SA"/>
        </w:rPr>
        <w:t xml:space="preserve">و الفاضل يحيى بن سعيد في النزهة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بجواز التكسب بها مطلقا و هو المنسوب الى الحلي و العلامة في المختلف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بالمنع إلا في أبوال الابل للاستشفاء، و هو المنسوب الى الشيخين </w:t>
      </w:r>
      <w:r>
        <w:rPr>
          <w:rStyle w:val="FootnoteAnchor"/>
          <w:rtl w:val="true"/>
        </w:rPr>
        <w:footnoteReference w:id="167"/>
      </w:r>
      <w:r>
        <w:rPr>
          <w:rFonts w:ascii="IRNazanin" w:hAnsi="IRNazanin" w:eastAsia="IRNazanin"/>
          <w:color w:val="111111"/>
          <w:sz w:val="28"/>
          <w:sz w:val="28"/>
          <w:szCs w:val="28"/>
          <w:rtl w:val="true"/>
          <w:lang w:bidi="fa-IR"/>
        </w:rPr>
        <w:t xml:space="preserve">و سلار </w:t>
      </w:r>
      <w:r>
        <w:rPr>
          <w:rStyle w:val="FootnoteAnchor"/>
          <w:rtl w:val="true"/>
        </w:rPr>
        <w:footnoteReference w:id="168"/>
      </w:r>
      <w:r>
        <w:rPr>
          <w:rFonts w:ascii="Amiri" w:hAnsi="Amiri" w:eastAsia="Amiri" w:cs="Amiri"/>
          <w:color w:val="111111"/>
          <w:sz w:val="28"/>
          <w:sz w:val="28"/>
          <w:szCs w:val="28"/>
          <w:rtl w:val="true"/>
          <w:lang w:bidi="ar-SA"/>
        </w:rPr>
        <w:t>و أتباعهما و هو المختار، فلنا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التكسب فيما عدا بول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التكسب ببول الابل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الدعوى الاولى فمستندها أمور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شرب الابوال المذكورة، و لا اشكال في كون منفعتها الغالبة الشرب، و متى حرمت المنفعة الغالبة المقصودة حرم التكسب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تحريم شربها فللقطع باستخباثها كما هو الظاهر، أو لاحتماله الموجب لاجتنابه من باب المقدمة للأمر</w:t>
      </w:r>
    </w:p>
    <w:p>
      <w:pPr>
        <w:pStyle w:val="BookText"/>
        <w:rPr/>
      </w:pPr>
      <w:r>
        <w:rPr>
          <w:rFonts w:ascii="Amiri" w:hAnsi="Amiri" w:eastAsia="Amiri" w:cs="Amiri"/>
          <w:color w:val="111111"/>
          <w:sz w:val="28"/>
          <w:sz w:val="28"/>
          <w:szCs w:val="28"/>
          <w:rtl w:val="true"/>
          <w:lang w:bidi="ar-SA"/>
        </w:rPr>
        <w:t>باجتناب الخبيث الواقعي الذي لا يتم الا باجتناب جميع المحتملات و للاولوية المستفادة من تحريم الفرث و المثانة التي هي مجمع البول بناءً على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الى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القطع بالخباثة، فتحريمهما مع ذلك يستلزم تحريم البول القريب من القطع بالاستخباث بالاضافة اليهما بطريق أولى، و يؤيد الاولوية المذكورة ظهور النصوص في أشدّية حكم البول من الدواب الثلاثة بالنسبة الى الروث حتى ظن جماعة الفرق بينهما فحكموا بنجاسة البول دون الروث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 تحريم الاضعف، و هو الروث، ثبت تحريم الاشد، و هو البول بطريق اولى، و متى ما ثبت حرمة أبوال الدواب الثلاثة ثبت حرمة أبوال غيرها لعدم القائل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الشرب هو المنفعة الغالبة هنا فأمر واضح، و أما انه كلما حرمت منفعته الغالبة حرم التكسب به فقد اثبتناه في ما مر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انه يمكن الاستناد بعد إثبات تحريمها في حرمة التكسب بها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حرم الله شيئا حرم ثمنه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فباعوها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أجراء حكم الاموال بل أحكام الاملاك عليها عرفا، و لهذا لا يتعلق بها حكم الاموال من السرقة و الغصب و الاتلاف، و متى ما سقطت عن حكم المالية عرفا لم يجز التكسب بها، لان ما لا يعد في العرف مالا لا يجوز التكسب 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يحكى عن كشف الرموز </w:t>
      </w:r>
      <w:r>
        <w:rPr>
          <w:rStyle w:val="FootnoteAnchor"/>
          <w:rtl w:val="true"/>
        </w:rPr>
        <w:footnoteReference w:id="171"/>
      </w:r>
      <w:r>
        <w:rPr>
          <w:rFonts w:ascii="Amiri" w:hAnsi="Amiri" w:eastAsia="Amiri" w:cs="Amiri"/>
          <w:color w:val="111111"/>
          <w:sz w:val="28"/>
          <w:sz w:val="28"/>
          <w:szCs w:val="28"/>
          <w:rtl w:val="true"/>
          <w:lang w:bidi="ar-SA"/>
        </w:rPr>
        <w:t xml:space="preserve">من ان مستند المنع عموم الاخبار الواردة بالمنع من التصرف في الابوال، فإن مقتضاه ورود نصوص بالمنع و إن لم نجدها في كتب الحديث، و يشهد له فتوى الشيخ في النهاية بالمنع </w:t>
      </w:r>
      <w:r>
        <w:rPr>
          <w:rStyle w:val="FootnoteAnchor"/>
          <w:rtl w:val="true"/>
        </w:rPr>
        <w:footnoteReference w:id="172"/>
      </w:r>
      <w:r>
        <w:rPr>
          <w:rFonts w:ascii="Amiri" w:hAnsi="Amiri" w:eastAsia="Amiri" w:cs="Amiri"/>
          <w:color w:val="111111"/>
          <w:sz w:val="28"/>
          <w:sz w:val="28"/>
          <w:szCs w:val="28"/>
          <w:rtl w:val="true"/>
          <w:lang w:bidi="ar-SA"/>
        </w:rPr>
        <w:t>، مع انها متون اخبار كما صرح به</w:t>
      </w:r>
    </w:p>
    <w:p>
      <w:pPr>
        <w:pStyle w:val="BookText"/>
        <w:rPr/>
      </w:pPr>
      <w:r>
        <w:rPr>
          <w:rFonts w:ascii="Amiri" w:hAnsi="Amiri" w:eastAsia="Amiri" w:cs="Amiri"/>
          <w:color w:val="111111"/>
          <w:sz w:val="28"/>
          <w:sz w:val="28"/>
          <w:szCs w:val="28"/>
          <w:rtl w:val="true"/>
          <w:lang w:bidi="ar-SA"/>
        </w:rPr>
        <w:t>غير واحد من الاصحاب و يؤيده ما يحكى عن ابن ادريس في دره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خبر أورده شيخنا إيراداً لا اعتقاداً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الدعوى الثانية فمستندها الإجماع المنقول عن جامع المقاصد </w:t>
      </w:r>
      <w:r>
        <w:rPr>
          <w:rStyle w:val="FootnoteAnchor"/>
          <w:rtl w:val="true"/>
        </w:rPr>
        <w:footnoteReference w:id="174"/>
      </w:r>
      <w:r>
        <w:rPr>
          <w:rFonts w:ascii="Amiri" w:hAnsi="Amiri" w:eastAsia="Amiri" w:cs="Amiri"/>
          <w:color w:val="111111"/>
          <w:sz w:val="28"/>
          <w:sz w:val="28"/>
          <w:szCs w:val="28"/>
          <w:rtl w:val="true"/>
          <w:lang w:bidi="ar-SA"/>
        </w:rPr>
        <w:t xml:space="preserve">و ايضاح النافع </w:t>
      </w:r>
      <w:r>
        <w:rPr>
          <w:rStyle w:val="FootnoteAnchor"/>
          <w:rtl w:val="true"/>
        </w:rPr>
        <w:footnoteReference w:id="175"/>
      </w:r>
      <w:r>
        <w:rPr>
          <w:rFonts w:ascii="Amiri" w:hAnsi="Amiri" w:eastAsia="Amiri" w:cs="Amiri"/>
          <w:color w:val="111111"/>
          <w:sz w:val="28"/>
          <w:sz w:val="28"/>
          <w:szCs w:val="28"/>
          <w:rtl w:val="true"/>
          <w:lang w:bidi="ar-SA"/>
        </w:rPr>
        <w:t>و هو العمدة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العلامة في النهاية </w:t>
      </w:r>
      <w:r>
        <w:rPr>
          <w:rStyle w:val="FootnoteAnchor"/>
          <w:rtl w:val="true"/>
        </w:rPr>
        <w:footnoteReference w:id="176"/>
      </w:r>
      <w:r>
        <w:rPr>
          <w:rFonts w:ascii="Amiri" w:hAnsi="Amiri" w:eastAsia="Amiri" w:cs="Amiri"/>
          <w:color w:val="111111"/>
          <w:sz w:val="28"/>
          <w:sz w:val="28"/>
          <w:szCs w:val="28"/>
          <w:rtl w:val="true"/>
          <w:lang w:bidi="ar-SA"/>
        </w:rPr>
        <w:t xml:space="preserve">و ابن سعيد </w:t>
      </w:r>
      <w:r>
        <w:rPr>
          <w:rStyle w:val="FootnoteAnchor"/>
          <w:rtl w:val="true"/>
        </w:rPr>
        <w:footnoteReference w:id="177"/>
      </w:r>
      <w:r>
        <w:rPr>
          <w:rFonts w:ascii="Amiri" w:hAnsi="Amiri" w:eastAsia="Amiri" w:cs="Amiri"/>
          <w:color w:val="111111"/>
          <w:sz w:val="28"/>
          <w:sz w:val="28"/>
          <w:szCs w:val="28"/>
          <w:rtl w:val="true"/>
          <w:lang w:bidi="ar-SA"/>
        </w:rPr>
        <w:t xml:space="preserve">لا يقدح بذلك كما لا يخفى، و ما يقال من جواز شربها اختياراً استنادا الى اجماع المرتضى </w:t>
      </w:r>
      <w:r>
        <w:rPr>
          <w:rStyle w:val="FootnoteAnchor"/>
          <w:rtl w:val="true"/>
        </w:rPr>
        <w:footnoteReference w:id="178"/>
      </w:r>
      <w:r>
        <w:rPr>
          <w:rFonts w:ascii="Amiri" w:hAnsi="Amiri" w:eastAsia="Amiri" w:cs="Amiri"/>
          <w:color w:val="111111"/>
          <w:sz w:val="28"/>
          <w:sz w:val="28"/>
          <w:szCs w:val="28"/>
          <w:rtl w:val="true"/>
          <w:lang w:bidi="ar-SA"/>
        </w:rPr>
        <w:t>على جواز شرب أبوال مأكول اللحم اختيارا، و شموله لأبوال غير الابل لا يقدح في الاستدلال فيكون المقتضي موجودا و المانع مفقودا، فيجوز التكسب بها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لمنع الاجماع المذكور بشهادة قضية التتبّع بخلافه، خصوصا بعد شموله لا بوال غير الابل، كما أن قضية الوجدان تشهد باستخباث بول الابل و انه مشارك لغيره في الاستخباث الموجب للتحريم، و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المحققين من منع استخباثه، لان العرب لا تستخبثه بل تتداوى به و تشربه عند إعواز الماء و قلته، و هم المرجع في التمييز بين الطيبات و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دعوى انهم المرجع في التمييز بعد ما نشاهده منهم من تناول المحرمات و عدم اجتناب الخبائث و اكل الضب و اليربوع و كل ما دبّ و درج مشكل جدا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دلالة الاخبار على جواز شرب أبوال الابل اختياراً واضحة المنع، لان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قوما اعتلّوا بالمدينة ان يشربوا الابوال فشُفوا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و منها خبر الجعفري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 الابل خير من ألبانها،</w:t>
      </w:r>
    </w:p>
    <w:p>
      <w:pPr>
        <w:pStyle w:val="BookText"/>
        <w:rPr/>
      </w:pPr>
      <w:r>
        <w:rPr>
          <w:rFonts w:ascii="Amiri" w:hAnsi="Amiri" w:eastAsia="Amiri" w:cs="Amiri"/>
          <w:color w:val="111111"/>
          <w:sz w:val="28"/>
          <w:sz w:val="28"/>
          <w:szCs w:val="28"/>
          <w:rtl w:val="true"/>
          <w:lang w:bidi="ar-SA"/>
        </w:rPr>
        <w:t>و يجعلُ الله الشفاء في ألبانها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و منها خبر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شرب ابوال الابل و البقر و الغنم للاستشفاء،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 منها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الابل و البقر ينتفع به من الوجع، هل يجوز ان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و منها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بول البقر يشربه الرجل، فان كان محتاجاً اليه يتداوى بشربه، فلا بأس و كذلك بول الابل و الغنم</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الى غير ذلك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ترى كلها انما دلت على جواز شرب الابوال المذكورة عند الضرورة المبيحة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يقتصر فيها على بول الابل بل الحقَّ به بول البقر و الغنم،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بول الابل و الغنم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يشعر بما ذكرناه اتمّ اشعار، خصوصا بعد ان كان السؤال عن بول البقر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انه لو كان كذلك لم يكن وجه لاختصاص بول الابل بذلك، فلا بد من حمل الاخبار على الحاجة غير الموصلة الى حد الضرورة كما يقضي به خبر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لبول الابل كما هو صريح الاخبار المذكورة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حمل الاخبار على الحاجة غير الموصلة الى حد الضرورة فلا اختصاص لبول الابل أيضا، بل بول الغنم و البقر كذلك كما هو صريح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نقول ان الاخبار لا دلالة لها على جواز شرب البول المذكور اختياراً، بل يجوز ذلك إما عند الضرورة أو الحاجة، و متى ما كان محرما اختياراً لا يجوز التكسب به و إلا لجاز التكسب بكل محرم، لأنه يحل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بينه و بين الادوية التي لا تحل الا عند الاضطرار اليها؟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عرفي، فان اهل العرف يعدّون الادوية مالا و لا يعدون المحرم مالا و إن حلّ عند الضرورة، و يمكن الفرق بأن حلية الادوية حال المرض ليست لأجل الضرورة بل لأجل تبدّل عنوان الضرر بعنوان النفع و هو أمر غير التحليل للضرورة و كذلك التحليل عند الحاجة لا يجوّز التكسب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مطلقاً و إن حلّ عند الضرورة، إذ لو كان المراد من الخبر أن كلّ ما حرّم الله شيئاً في كل الاحوال حرّم ثمنه لما حرم ثمن شي‌ء، لانه ما من شي‌ء إلى و يحلُّ في حال من الاحوال، فاذا كان مفاد الدليل ذلك كان التكسب بالأبوال المذكورة محرّما و إن حلّت عند الاضطرار و الحاجة، فالعمدة في الباب إنما هو الاجماع المتقدم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جواز التكسب به بقصد الاستشفاء من المتبايعين أو من المشتري خاصة أو لا يتقيّد؟، وجهان مبنيان على أن التعليل في كلام القوم للاستثناء أو للمستثنى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الاقتصار في الجواز على قصد شرائه للاستشفاء أولى، كما أن الأولى الاقتصار في الجواز على مقدار الحاجة، و المرجع في معرفة الداء و ما به الاستشفاء الى التجربة و قول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 في انعقاد الاجماع على جواز التكسب به للاستشفاء دون غيره مع ان غيره من أبوال مأكول اللحم يجوز الاستشفاء به مع الضرورة، مع ان كثرة الاضطرار الى التداوي و الاستشفاء به صيّرته مالا دون غيره، فانه و إن جاز الاستشفاء به عند الضرورة الا انها لا تدعو الى ذلك الا نادرا فيكون الاستشفاء ببول الابل من المنافع الغالبة التي يعد من جهتها مالا دون الاستشفاء بغيره من الأبوال، فانه لا يعد الاستشفاء بها من المنافع الغالبة التي يكون من جهتها مالا، فيكون الاستشفاء بها عند الضرورة كتحليل بقية المحرمات عند الضرورة، فكما لا يجوز التكسب ببقية المحرمات و إن حلت عند الاضطرار لا يجوز التكسب بغير بول الابل، و إن جاز الاستشفاء به عند الضرورة، أو إن السر ما تخيّله البعض من أن بول الابل يجوز الاستشفاء به عند</w:t>
      </w:r>
    </w:p>
    <w:p>
      <w:pPr>
        <w:pStyle w:val="BookText"/>
        <w:rPr/>
      </w:pPr>
      <w:r>
        <w:rPr>
          <w:rFonts w:ascii="Amiri" w:hAnsi="Amiri" w:eastAsia="Amiri" w:cs="Amiri"/>
          <w:color w:val="111111"/>
          <w:sz w:val="28"/>
          <w:sz w:val="28"/>
          <w:szCs w:val="28"/>
          <w:rtl w:val="true"/>
          <w:lang w:bidi="ar-SA"/>
        </w:rPr>
        <w:t>الحاجة غير الموصلة الى حد الضرورة للنص دون غيره من الابوال، فلا يجوز الاستشفاء به الا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مشكل، لما عرفت من التساوي بينه و بين بول البقر و الغنم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يخلو عن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أحتج المجوّز للتكسب بأبوال ما يؤكل لحمه مطلقا من غير فرق بين بول الابل و بين غيره، و هم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جوّز شربها اختياراً، و استند الى انها يجوز الانتفاع بها في الشرب و هي منفعة غالبة مقصودة للعقلاء، و كل عين يجوز الانتفاع بها كذلك يجوز التكسب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الكبرى فثابتة بما مرّ، و أما الصغرى فثابتة بالاصل و الاجماع الذي حكاه المرتضى في الانتصار </w:t>
      </w:r>
      <w:r>
        <w:rPr>
          <w:rStyle w:val="FootnoteAnchor"/>
          <w:rtl w:val="true"/>
        </w:rPr>
        <w:footnoteReference w:id="186"/>
      </w:r>
      <w:r>
        <w:rPr>
          <w:rFonts w:ascii="Amiri" w:hAnsi="Amiri" w:eastAsia="Amiri" w:cs="Amiri"/>
          <w:color w:val="111111"/>
          <w:sz w:val="28"/>
          <w:sz w:val="28"/>
          <w:szCs w:val="28"/>
          <w:rtl w:val="true"/>
          <w:lang w:bidi="ar-SA"/>
        </w:rPr>
        <w:t xml:space="preserve">على جواز شربها اختياراً و بالموثق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و بالاخبار المتكثرة المتقدمة الدالة على جواز التداوي و الاستشفاء ببول الابل و البقر و الغنم، و حملُها على الضرورة المجوّزة لذلك مسقط لخصوصية بول الابل مع ان فيها ما هو صريح بذلك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 الابل خير من ألبانها، و يجعل الله الشفاء في ألبانها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هذا مع المناقشة في أدلة التحريم من منع القطع بالاستخباث الموجب للتحريم، و عدم كفاية الاحتمال لعموم أدلة الحِل كتابا و سنة، فكما ان احتمال النجاسة لا يوجب الاجتناب، فكذلك احتمال الاستخباث لا يوجب الاجتناب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التكليف باجتناب الخبيث غير مشروط بالعلم بالخباثة، بل هو مطلق، و من شأنه توقف الامتثال فيه بالتنزه عن محتملاته، و ان هو الا كالتكليف باجتناب السمومات و المضرات ممنوعة، لان مبنى الحرمة في السمومات و المضرات على الخوف و المخاطرة و نحوهما مما يكفي فيه الاحتمال المعتد به، بخلاف الاول الذي قد يُدّعى عدم تحقق الخباثة في نفس الامر فيه لان مبناها النفرة الوجدانية، و الفرض انتفاؤها فلا يتصوّر تحققها في نفس الامر، و مع التسليم فلا يجب الاجتناب لعمومات الحِل كتابا و سنة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الاولوية المدّعاة بالنسبة الى المثانة التي هي مجمع البول لان تحريم</w:t>
      </w:r>
    </w:p>
    <w:p>
      <w:pPr>
        <w:pStyle w:val="BookText"/>
        <w:rPr/>
      </w:pPr>
      <w:r>
        <w:rPr>
          <w:rFonts w:ascii="Amiri" w:hAnsi="Amiri" w:eastAsia="Amiri" w:cs="Amiri"/>
          <w:color w:val="111111"/>
          <w:sz w:val="28"/>
          <w:sz w:val="28"/>
          <w:szCs w:val="28"/>
          <w:rtl w:val="true"/>
          <w:lang w:bidi="ar-SA"/>
        </w:rPr>
        <w:t>المثانة اما للنص المجبور بالشهرة كما علم في محله، و أما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الاولوية المدعاة في كون التحريم في المثانة للاستخباث، و هو ممنوع، فالاولوية المدّعاة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حصر محرمات الذبيحة في ما عدا البول في النصوص و اسقاط البول و عدّ ما سواه مما يشعر بتحليلِه و منعِ ما ذكر في زيادة وجه الاولوية بالنسبة الى أبوال الدواب الثلاثة و ارواثها، اذ دلالة النصوص على أشدّية البول لا تقتضي حرمة الاسهل و هو الروث حتى تقتضي حرمة الاشد و هو البول، خصوصا بعد حمل تلك النصوص على ضرب من الكراهة و لو من جهة الخباثة التي لم تصل الى حد يوجب التنجيس، و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الاصل فمقطوع بما دلّ على التحريم، و أما اجماع المرتضى </w:t>
      </w:r>
      <w:r>
        <w:rPr>
          <w:rStyle w:val="FootnoteAnchor"/>
          <w:rtl w:val="true"/>
        </w:rPr>
        <w:footnoteReference w:id="189"/>
      </w:r>
      <w:r>
        <w:rPr>
          <w:rFonts w:ascii="Amiri" w:hAnsi="Amiri" w:eastAsia="Amiri" w:cs="Amiri"/>
          <w:color w:val="111111"/>
          <w:sz w:val="28"/>
          <w:sz w:val="28"/>
          <w:szCs w:val="28"/>
          <w:rtl w:val="true"/>
          <w:lang w:bidi="ar-SA"/>
        </w:rPr>
        <w:t>فمردود بشهادة التتبّع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الموثق فلا يدل الا على الطهارة، و أما الاخبار الواردة في ابوال الابل و البقر و الغنم فلا تدل الا على جواز شربها للتداوي عند الحاجة، فان اريد منها الضرورة فلا ريب انها مسوّغة لتناول جميع المحرمات و ان اريد ما هو اعم من ذلك كان اعتبار الحاجةِ في الاباحة اختيارا مخالفا للإجماع فيتعيّن طرح الاخبار لذلك، و أما المناقشة في ادلة التحريم، فاما منع القطع بالاستخباث فهو مكابرة في مقابلة العيان و الوجدان، و أما دعوى جواز ارتكاب محتمل الاستخباث فلا يضرنا بعد القطع بالاستخباث، كما انا لمناقشة في زيادة الاولوية لا تفيد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انا لو سلمنا الصغرى فلا نسلّم الكبرى و نمنع الملازمة بين ما يجوز شربه و ما يجوز التكسب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عُدّ في العرف مالا لذلك جوّزنا التكسب به، مع ان الرجوع الى العرف يقضي بخلافه كما عرفت من عدم اجراء احكام الاموال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لك ما في بعض عبائر من عاصرناه حيث قال فرعان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بول الابل من أبوال ما يؤكل لحمه المحكوم بطهارته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بجواز شربها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جماعة من القدماء و المتأخرين، بل عن المرتضى 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 بيعها، و ان قلنا بحرمة شربها كما هو</w:t>
      </w:r>
    </w:p>
    <w:p>
      <w:pPr>
        <w:pStyle w:val="BookText"/>
        <w:rPr/>
      </w:pPr>
      <w:r>
        <w:rPr>
          <w:rFonts w:ascii="Amiri" w:hAnsi="Amiri" w:eastAsia="Amiri" w:cs="Amiri"/>
          <w:color w:val="111111"/>
          <w:sz w:val="28"/>
          <w:sz w:val="28"/>
          <w:szCs w:val="28"/>
          <w:rtl w:val="true"/>
          <w:lang w:bidi="ar-SA"/>
        </w:rPr>
        <w:t xml:space="preserve">مذهب جماعة آخرين لاستخباثها ففي جواز بيعها قولان </w:t>
      </w:r>
      <w:r>
        <w:rPr>
          <w:rStyle w:val="FootnoteAnchor"/>
          <w:rtl w:val="true"/>
        </w:rPr>
        <w:footnoteReference w:id="190"/>
      </w:r>
      <w:r>
        <w:rPr>
          <w:rFonts w:ascii="Amiri" w:hAnsi="Amiri" w:eastAsia="Amiri" w:cs="Amiri"/>
          <w:color w:val="111111"/>
          <w:sz w:val="28"/>
          <w:sz w:val="28"/>
          <w:szCs w:val="28"/>
          <w:rtl w:val="true"/>
          <w:lang w:bidi="ar-SA"/>
        </w:rPr>
        <w:t>فإنه صريح في جواز البيع على تقدير القول بجواز الشرب، بل صريحه ترتيب الخلاف على القول بحرمة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منع الملازمة، لان جواز البيع يتبع المالية عرفاً، و لا ملازمة بين جواز الشرب و بينها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ان الماء على ساحل البحر يجوز شربه و لا يجوز بيعه لعدم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حرم شربها اختيارا و اجاز بيعها و التكسب بها استنادا الى ان لها منفعة ظاهرة و هي الشرب و لو عند الضرورة، و هي كافية في جواز البيع، و الفرق بينها و بين ذي المنفعة غير المقصودة حكم العرف بأنه لا منفعة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 اصل المنفعة المذكورة مجوّزةً للبيع يستلزم تجويز بيع جميع المحرمات، لان ما من محرّم الا و يجوز اكله عند الضرورة، مع ان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قاض بعدم جواز بيعها، لان مفاده ان كل ما حرم حال الاختيار حرم ثمنه مطلقا؛ لأن الله لم يحرّم شيئا في جميع الاحوال فلا يبقى للدليل موردٌ إذا اريد منه ذلك، و المفروض ان الأبوال محرمة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حرم شربها لكنها غير محرمة الانتفاع مطلقا بل يجوز الانتفاع بها بغير الاكل فلا تكون موردا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اطلق 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شي‌ءٍ 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التحريم ينصرف الى تحريم جميع المنافع او الى تحريم المنفعة الظاهرة و هي في الأبوال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ينتقض ذلك بالطين المحرم الاكل مع انه يجوز بيعه لان الاكل منفعة نادرة للطين، أو غيرها اهم منها، بخلاف الأبوال فان منفعتها الظاهرة الشرب كما لا يخفى، و لا ينتقض ذلك بالادوية المحرمة حال الصحة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انه يجوز بيعها لحليتها حال الضرورة و هو حال المرض، لان التحريم حال الصحة للضرر و تحليلها حال المرض للنفع، فهو من تبدّل العنوان لأنها محرمة ذاتا و قد</w:t>
      </w:r>
    </w:p>
    <w:p>
      <w:pPr>
        <w:pStyle w:val="BookText"/>
        <w:rPr/>
      </w:pPr>
      <w:r>
        <w:rPr>
          <w:rFonts w:ascii="Amiri" w:hAnsi="Amiri" w:eastAsia="Amiri" w:cs="Amiri"/>
          <w:color w:val="111111"/>
          <w:sz w:val="28"/>
          <w:sz w:val="28"/>
          <w:szCs w:val="28"/>
          <w:rtl w:val="true"/>
          <w:lang w:bidi="ar-SA"/>
        </w:rPr>
        <w:t>حلّت للضرورة، و لو كان كل ما يحرم في حال و يحل في آخر يحرم بيعه لما جاز بيع شي‌ء، لان كل شي‌ء قد يحرم في حال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ينزل خبر تحف العقول حيث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يكون لهم فيه الصلاح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منه جهة الصلاح الثابتة حالة الاختيار دون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يقال أن الشيخ في الخلاف في باب الأطعمة روى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اذا حرم أكل شي‌ء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مردود بضعف السند و عدم الجابر له متناً و دلالةً، مع أنه معارض بجملة من الأدلة في مقامات عديدة هذا و قد ظهر مما ذكرنا دليل المانع من التكسب بالابوال مطلقا و هو مردود في أبوال الابل بالاجماعين المنقولين عن الايضاح </w:t>
      </w:r>
      <w:r>
        <w:rPr>
          <w:rStyle w:val="FootnoteAnchor"/>
          <w:rtl w:val="true"/>
        </w:rPr>
        <w:footnoteReference w:id="193"/>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94"/>
      </w:r>
      <w:r>
        <w:rPr>
          <w:rFonts w:ascii="Amiri" w:hAnsi="Amiri" w:eastAsia="Amiri" w:cs="Amiri"/>
          <w:color w:val="111111"/>
          <w:sz w:val="28"/>
          <w:sz w:val="28"/>
          <w:szCs w:val="28"/>
          <w:rtl w:val="true"/>
          <w:lang w:bidi="ar-SA"/>
        </w:rPr>
        <w:t>، كما عرفت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التكسب في ارواث ما يؤكل لحمه، و الظاهر انه لا كلام و لا اشكال في جواز بيعها اذا كانت لها منفعة محللة مقصودة بل عن الخلاف نفي الخلاف فيه </w:t>
      </w:r>
      <w:r>
        <w:rPr>
          <w:rStyle w:val="FootnoteAnchor"/>
          <w:rtl w:val="true"/>
        </w:rPr>
        <w:footnoteReference w:id="195"/>
      </w:r>
      <w:r>
        <w:rPr>
          <w:rFonts w:ascii="Amiri" w:hAnsi="Amiri" w:eastAsia="Amiri" w:cs="Amiri"/>
          <w:color w:val="111111"/>
          <w:sz w:val="28"/>
          <w:sz w:val="28"/>
          <w:szCs w:val="28"/>
          <w:rtl w:val="true"/>
          <w:lang w:bidi="ar-SA"/>
        </w:rPr>
        <w:t xml:space="preserve">و عن المرتضى حكاية الاجماع عليه </w:t>
      </w:r>
      <w:r>
        <w:rPr>
          <w:rStyle w:val="FootnoteAnchor"/>
          <w:rtl w:val="true"/>
        </w:rPr>
        <w:footnoteReference w:id="196"/>
      </w:r>
      <w:r>
        <w:rPr>
          <w:rFonts w:ascii="Amiri" w:hAnsi="Amiri" w:eastAsia="Amiri" w:cs="Amiri"/>
          <w:color w:val="111111"/>
          <w:sz w:val="28"/>
          <w:sz w:val="28"/>
          <w:szCs w:val="28"/>
          <w:rtl w:val="true"/>
          <w:lang w:bidi="ar-SA"/>
        </w:rPr>
        <w:t xml:space="preserve">، و يحكى عن سلّار </w:t>
      </w:r>
      <w:r>
        <w:rPr>
          <w:rStyle w:val="FootnoteAnchor"/>
          <w:rtl w:val="true"/>
        </w:rPr>
        <w:footnoteReference w:id="197"/>
      </w:r>
      <w:r>
        <w:rPr>
          <w:rFonts w:ascii="Amiri" w:hAnsi="Amiri" w:eastAsia="Amiri" w:cs="Amiri"/>
          <w:color w:val="111111"/>
          <w:sz w:val="28"/>
          <w:sz w:val="28"/>
          <w:szCs w:val="28"/>
          <w:rtl w:val="true"/>
          <w:lang w:bidi="ar-SA"/>
        </w:rPr>
        <w:t xml:space="preserve">و عن المفيد </w:t>
      </w:r>
      <w:r>
        <w:rPr>
          <w:rStyle w:val="FootnoteAnchor"/>
          <w:rtl w:val="true"/>
        </w:rPr>
        <w:footnoteReference w:id="198"/>
      </w:r>
      <w:r>
        <w:rPr>
          <w:rFonts w:ascii="Amiri" w:hAnsi="Amiri" w:eastAsia="Amiri" w:cs="Amiri"/>
          <w:color w:val="111111"/>
          <w:sz w:val="28"/>
          <w:sz w:val="28"/>
          <w:szCs w:val="28"/>
          <w:rtl w:val="true"/>
          <w:lang w:bidi="ar-SA"/>
        </w:rPr>
        <w:t xml:space="preserve">حرمة بيع العذرة و الابوال كلها إلا بول الابل للاستشفاء، و ليس له مستند سوى تحريم الخبائث بدعوى ان التحريم يعم جميع انواع الانتفاعات حتى البيع و نحوه، و قد عرفت غير مرة ان المراد من التحريم في ذلك الاكل خصوصا بعد مقابلته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 سوى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حرّم الله شيئا حرم ثمنه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و قد عرفت ايضا ان المراد تحريم جميع الانتفاعات أو تحريم المنفعة الغالبة المقصودة و منفعة الروث</w:t>
      </w:r>
      <w:bookmarkStart w:id="83" w:name="pg2491_24151"/>
    </w:p>
    <w:p>
      <w:pPr>
        <w:pStyle w:val="BookText"/>
        <w:rPr/>
      </w:pPr>
      <w:bookmarkEnd w:id="83"/>
      <w:r>
        <w:rPr>
          <w:rFonts w:ascii="Amiri" w:hAnsi="Amiri" w:eastAsia="Amiri" w:cs="Amiri"/>
          <w:color w:val="111111"/>
          <w:sz w:val="28"/>
          <w:sz w:val="28"/>
          <w:szCs w:val="28"/>
          <w:rtl w:val="true"/>
          <w:lang w:bidi="ar-SA"/>
        </w:rPr>
        <w:t>الظاهرة الغالبة الايقاد و نحوه دون الاكل فهو كالطين و شبهه، و سوى خبر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الحلال من البيوع كل ما كان حلالا من المأكول و المشروب و غير ذلك مما هو قوام للناس و مباحٌ لهم الانتفاع، و ما كان محرما اصله منهيا عنه لم يجز بيعه و لا شراؤه، و في دلالته نظر واضح كما لا يخفى</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3813589_3804643083"/>
      <w:bookmarkStart w:id="85" w:name="_Toc34"/>
      <w:bookmarkEnd w:id="84"/>
      <w:r>
        <w:rPr>
          <w:rtl w:val="true"/>
        </w:rPr>
        <w:t>التكسب بالكلب و الخنزير البريين</w:t>
      </w:r>
      <w:bookmarkEnd w:id="85"/>
    </w:p>
    <w:p>
      <w:pPr>
        <w:pStyle w:val="BookText"/>
        <w:rPr/>
      </w:pPr>
      <w:r>
        <w:rPr>
          <w:rFonts w:ascii="Amiri" w:hAnsi="Amiri" w:eastAsia="Amiri" w:cs="Amiri"/>
          <w:color w:val="111111"/>
          <w:sz w:val="28"/>
          <w:sz w:val="28"/>
          <w:szCs w:val="28"/>
          <w:rtl w:val="true"/>
          <w:lang w:bidi="ar-SA"/>
        </w:rPr>
        <w:t xml:space="preserve">و من جملة ما يحرم التكسب به الكلب و الخنزير البريان، و المراد بالكلب هنا كلب الهراش، و عن التحرير حكاية الاجماع على حرمة التكسب بما عدا الكلاب الاربعة </w:t>
      </w:r>
      <w:r>
        <w:rPr>
          <w:rStyle w:val="FootnoteAnchor"/>
          <w:rtl w:val="true"/>
        </w:rPr>
        <w:footnoteReference w:id="201"/>
      </w:r>
      <w:r>
        <w:rPr>
          <w:rFonts w:ascii="Amiri" w:hAnsi="Amiri" w:eastAsia="Amiri" w:cs="Amiri"/>
          <w:color w:val="111111"/>
          <w:sz w:val="28"/>
          <w:sz w:val="28"/>
          <w:szCs w:val="28"/>
          <w:rtl w:val="true"/>
          <w:lang w:bidi="ar-SA"/>
        </w:rPr>
        <w:t xml:space="preserve">، و عن التذكرة الكلب ان كان عقوراً حرم بيعه عند علمائنا </w:t>
      </w:r>
      <w:r>
        <w:rPr>
          <w:rStyle w:val="FootnoteAnchor"/>
          <w:rtl w:val="true"/>
        </w:rPr>
        <w:footnoteReference w:id="202"/>
      </w:r>
      <w:r>
        <w:rPr>
          <w:rFonts w:ascii="Amiri" w:hAnsi="Amiri" w:eastAsia="Amiri" w:cs="Amiri"/>
          <w:color w:val="111111"/>
          <w:sz w:val="28"/>
          <w:sz w:val="28"/>
          <w:szCs w:val="28"/>
          <w:rtl w:val="true"/>
          <w:lang w:bidi="ar-SA"/>
        </w:rPr>
        <w:t xml:space="preserve">و عن المبسوط انه لا يصح بيع الخنزير و لا اجارته و لا الانتفاع به اجماعاً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الى ما مرّ من عدم قبولها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يجوز بيعهما لا يجوز بيع اجزائهما من غير فرق بين ما تحله الحياة منها و بين ما لا تحله، لنجاسة الجميع كما عرفت ذلك في كتاب الطهارة مفصّلًا، فجميع ما دلّ على عدم جواز بيع الاعيان النجسة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خالف في ذلك المرتضى فذهب الى طهارة ما لا تحله الحياة من أجزائهما </w:t>
      </w:r>
      <w:r>
        <w:rPr>
          <w:rStyle w:val="FootnoteAnchor"/>
          <w:rtl w:val="true"/>
        </w:rPr>
        <w:footnoteReference w:id="204"/>
      </w:r>
      <w:r>
        <w:rPr>
          <w:rFonts w:ascii="Amiri" w:hAnsi="Amiri" w:eastAsia="Amiri" w:cs="Amiri"/>
          <w:color w:val="111111"/>
          <w:sz w:val="28"/>
          <w:sz w:val="28"/>
          <w:szCs w:val="28"/>
          <w:rtl w:val="true"/>
          <w:lang w:bidi="ar-SA"/>
        </w:rPr>
        <w:t xml:space="preserve">فيلزمه القول بجواز التكسب به، لان له منفعة مقصودة للعقلاء، و عبّر في الشرائع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 و جميع أجزائه و جلد الكلب و ما يكون منه</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و لعله لبيان ان الخنزير لا يجوز بيع جملته و لا أجزائه، و الكلب لا يجوز بيع أجزائه و ان جاز بيع جملته، كما في الكلاب الاربعة، و لهذا عدل عن لفظ الكلب الى جلد الكلب و ما يكون منه، و يحتمل أن يرجع ضمير منه الا الكلب و إلى الجلد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فعدم جواز بيع كلب الهراش البري مما لا كلام فيه، و انما قيدناه بالبري لاخراج كلب الماء، فانه يجوز بيعه و التكسب به، لقبوله التذكية و الانتفاع بجلده حتى ان جمعا من اصحابنا ذهبوا الى أن الخزّ جلد كلب الماء فراجع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عن المقنع </w:t>
      </w:r>
      <w:r>
        <w:rPr>
          <w:rStyle w:val="FootnoteAnchor"/>
          <w:rtl w:val="true"/>
        </w:rPr>
        <w:footnoteReference w:id="206"/>
      </w:r>
      <w:r>
        <w:rPr>
          <w:rFonts w:ascii="IRNazanin" w:hAnsi="IRNazanin" w:eastAsia="IRNazanin"/>
          <w:color w:val="111111"/>
          <w:sz w:val="28"/>
          <w:sz w:val="28"/>
          <w:szCs w:val="28"/>
          <w:rtl w:val="true"/>
          <w:lang w:bidi="fa-IR"/>
        </w:rPr>
        <w:t xml:space="preserve">و مطاعم القواعد </w:t>
      </w:r>
      <w:r>
        <w:rPr>
          <w:rStyle w:val="FootnoteAnchor"/>
          <w:rtl w:val="true"/>
        </w:rPr>
        <w:footnoteReference w:id="207"/>
      </w:r>
      <w:r>
        <w:rPr>
          <w:rFonts w:ascii="Amiri" w:hAnsi="Amiri" w:eastAsia="Amiri" w:cs="Amiri"/>
          <w:color w:val="111111"/>
          <w:sz w:val="28"/>
          <w:sz w:val="28"/>
          <w:szCs w:val="28"/>
          <w:rtl w:val="true"/>
          <w:lang w:bidi="ar-SA"/>
        </w:rPr>
        <w:t>جواز الاستقاء بجلد الخنزير لغير الطهارة، و عليه فالظاهر جواز التكسب به لأنها من المنافع المقصودة للعقلاء اللهم الا ان تقول انه لا دليل عندنا</w:t>
      </w:r>
      <w:bookmarkStart w:id="86" w:name="pg2491_24152"/>
    </w:p>
    <w:p>
      <w:pPr>
        <w:pStyle w:val="BookText"/>
        <w:rPr/>
      </w:pPr>
      <w:bookmarkEnd w:id="86"/>
      <w:r>
        <w:rPr>
          <w:rFonts w:ascii="Amiri" w:hAnsi="Amiri" w:eastAsia="Amiri" w:cs="Amiri"/>
          <w:color w:val="111111"/>
          <w:sz w:val="28"/>
          <w:sz w:val="28"/>
          <w:szCs w:val="28"/>
          <w:rtl w:val="true"/>
          <w:lang w:bidi="ar-SA"/>
        </w:rPr>
        <w:t xml:space="preserve">على جواز التكسب بكل ما يجوز الانتفاع به، و على تقدير ثبوت ذلك فهو اصل، فما دلّ على عدم جواز التكسب بالأعيان النجسة، و ما دل على عدم جواز التكسب بالكلب و الخنزير الشامل لهما و لجميع أجزائهما يخصص ذلك الاصل، و أما شعر الخنزير فقد جزم العلامة في القواعد في المطاعم </w:t>
      </w:r>
      <w:r>
        <w:rPr>
          <w:rStyle w:val="FootnoteAnchor"/>
          <w:rtl w:val="true"/>
        </w:rPr>
        <w:footnoteReference w:id="208"/>
      </w:r>
      <w:r>
        <w:rPr>
          <w:rFonts w:ascii="Amiri" w:hAnsi="Amiri" w:eastAsia="Amiri" w:cs="Amiri"/>
          <w:color w:val="111111"/>
          <w:sz w:val="28"/>
          <w:sz w:val="28"/>
          <w:szCs w:val="28"/>
          <w:rtl w:val="true"/>
          <w:lang w:bidi="ar-SA"/>
        </w:rPr>
        <w:t xml:space="preserve">بحرمة استعمال شعره و هو المحكي عند السرائر </w:t>
      </w:r>
      <w:r>
        <w:rPr>
          <w:rStyle w:val="FootnoteAnchor"/>
          <w:rtl w:val="true"/>
        </w:rPr>
        <w:footnoteReference w:id="209"/>
      </w:r>
      <w:r>
        <w:rPr>
          <w:rFonts w:ascii="Amiri" w:hAnsi="Amiri" w:eastAsia="Amiri" w:cs="Amiri"/>
          <w:color w:val="111111"/>
          <w:sz w:val="28"/>
          <w:sz w:val="28"/>
          <w:szCs w:val="28"/>
          <w:rtl w:val="true"/>
          <w:lang w:bidi="ar-SA"/>
        </w:rPr>
        <w:t xml:space="preserve">، و ظاهرهما الاطلاق، بل عن السرائر ان الاخبار بذلك متواترة و ان نقل عن من ادعى ممن تأخر عنه عدم العثور على خبر واحد يدل على ذلك، و عن العلامة في المختلف </w:t>
      </w:r>
      <w:r>
        <w:rPr>
          <w:rStyle w:val="FootnoteAnchor"/>
          <w:rtl w:val="true"/>
        </w:rPr>
        <w:footnoteReference w:id="210"/>
      </w:r>
      <w:r>
        <w:rPr>
          <w:rFonts w:ascii="Amiri" w:hAnsi="Amiri" w:eastAsia="Amiri" w:cs="Amiri"/>
          <w:color w:val="111111"/>
          <w:sz w:val="28"/>
          <w:sz w:val="28"/>
          <w:szCs w:val="28"/>
          <w:rtl w:val="true"/>
          <w:lang w:bidi="ar-SA"/>
        </w:rPr>
        <w:t xml:space="preserve">جواز استعماله فيما لا يشترط بالطهارة و تبعه على ذلك الفاضل الهندي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سواء أضطر الى استعماله او لا، و قيده جمع من اصحابنا بصورة الاضطرار، و هم ان ارادوا بالاضطرار الضرورة المبيحة لكل المحرمات فلا وجه للتقييد، و ان ارادوا بالضرورة و لو عدم كمال العمل بدونه كان مخالفا لنا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الاقوى عدم جواز استعماله مطلقا الا في مقام الضرورة المبيحة لكل محرم كما هو المشهور بين أصحابنا، و قد ادّعى في السرائر </w:t>
      </w:r>
      <w:r>
        <w:rPr>
          <w:rStyle w:val="FootnoteAnchor"/>
          <w:rtl w:val="true"/>
        </w:rPr>
        <w:footnoteReference w:id="212"/>
      </w:r>
      <w:r>
        <w:rPr>
          <w:rFonts w:ascii="Amiri" w:hAnsi="Amiri" w:eastAsia="Amiri" w:cs="Amiri"/>
          <w:color w:val="111111"/>
          <w:sz w:val="28"/>
          <w:sz w:val="28"/>
          <w:szCs w:val="28"/>
          <w:rtl w:val="true"/>
          <w:lang w:bidi="ar-SA"/>
        </w:rPr>
        <w:t>تواتر الاخبار على ذلك 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ورد في خبر برد الاسكاف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سليمان الاسكاف </w:t>
      </w:r>
      <w:r>
        <w:rPr>
          <w:rStyle w:val="FootnoteAnchor"/>
          <w:rtl w:val="true"/>
        </w:rPr>
        <w:footnoteReference w:id="214"/>
      </w:r>
      <w:r>
        <w:rPr>
          <w:rFonts w:ascii="Amiri" w:hAnsi="Amiri" w:eastAsia="Amiri" w:cs="Amiri"/>
          <w:color w:val="111111"/>
          <w:sz w:val="28"/>
          <w:sz w:val="28"/>
          <w:szCs w:val="28"/>
          <w:rtl w:val="true"/>
          <w:lang w:bidi="ar-SA"/>
        </w:rPr>
        <w:t>من جواز استعمال ما لا دسم له فهو مردود بعدم القول بهذا التفصيل من أصحابنا</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3813591_3804643083"/>
      <w:bookmarkStart w:id="88" w:name="_Toc35"/>
      <w:bookmarkEnd w:id="87"/>
      <w:r>
        <w:rPr>
          <w:rtl w:val="true"/>
        </w:rPr>
        <w:t>التكسب بالمرتد الفطري</w:t>
      </w:r>
      <w:bookmarkEnd w:id="8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ما يحرم التكسب به من اعيان النجاسة المرتد الفطري بناء على عدم قبول توبته كما صرح به جماعة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قال في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يقبل التطهير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أحترز عما يقبله</w:t>
      </w:r>
    </w:p>
    <w:p>
      <w:pPr>
        <w:pStyle w:val="BookText"/>
        <w:rPr/>
      </w:pPr>
      <w:r>
        <w:rPr>
          <w:rFonts w:ascii="Amiri" w:hAnsi="Amiri" w:eastAsia="Amiri" w:cs="Amiri"/>
          <w:color w:val="111111"/>
          <w:sz w:val="28"/>
          <w:sz w:val="28"/>
          <w:szCs w:val="28"/>
          <w:rtl w:val="true"/>
          <w:lang w:bidi="ar-SA"/>
        </w:rPr>
        <w:t xml:space="preserve">و لو بالاسلام كالمرتد و لو عن فطرة على أصح القولين </w:t>
      </w:r>
      <w:r>
        <w:rPr>
          <w:rStyle w:val="FootnoteAnchor"/>
          <w:rtl w:val="true"/>
        </w:rPr>
        <w:footnoteReference w:id="215"/>
      </w:r>
      <w:r>
        <w:rPr>
          <w:rFonts w:ascii="Amiri" w:hAnsi="Amiri" w:eastAsia="Amiri" w:cs="Amiri"/>
          <w:color w:val="111111"/>
          <w:sz w:val="28"/>
          <w:sz w:val="28"/>
          <w:szCs w:val="28"/>
          <w:rtl w:val="true"/>
          <w:lang w:bidi="ar-SA"/>
        </w:rPr>
        <w:t>، 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المرتد عن فطرة فالقول بجواز بيعه ضعيف جدا لعدم قبول توبته فلا يقبل التطهير</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ثمّ ذكر جماعة ممن جوّز بيعه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من جوّز بيعه بنى على قبول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بل صريحهما ان بيع المرتد الفطري مبني على قبوله التطهير بالاسلام، و هو مشكل جدا، لان ما يتوقف الانتفاع به على تطهيره يتوقف جواز بيعه على قبوله التطهير و عدمه، كالماء و نحوه، و أما ما لا يتوقف الانتفاع به على تطهيره كالكلاب الاربعة فانه يجوز بيعها و ان لم تقبل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نظيرهما، فدعوى ان القول بجواز بيع الكافر انما هو لقبوله التطهير بالاسلام، و القول بجواز بيع المرتد مبني على القول بقبول توبته، فان قلنا به جاز بيعه و الا فلا كما ترى، بل ربما ادّعى بعض من تأخر من اصحابنا ان الاجماع منعقد على عدم كون المانع من بيعه عدم قبوله التطهير بالتوبة، و مما يؤيد ما ذكرناه بناء الاصحاب على كون المرتد عن فطرة و ان لم نقل بقبول توبته مملوكا لمالكه و مالا له، و يجوز الانتفاع به و الاستخدام ما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المانع من صحة بيعه كونه في معرض القتل و كونه واجب الاتلاف شرعا، فلا يدخل من هذه الجهة في الاموال و الماليّة معتبرة في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الشهيد في المسالك </w:t>
      </w:r>
      <w:r>
        <w:rPr>
          <w:rStyle w:val="FootnoteAnchor"/>
          <w:rtl w:val="true"/>
        </w:rPr>
        <w:footnoteReference w:id="217"/>
      </w:r>
      <w:r>
        <w:rPr>
          <w:rFonts w:ascii="Amiri" w:hAnsi="Amiri" w:eastAsia="Amiri" w:cs="Amiri"/>
          <w:color w:val="111111"/>
          <w:sz w:val="28"/>
          <w:sz w:val="28"/>
          <w:szCs w:val="28"/>
          <w:rtl w:val="true"/>
          <w:lang w:bidi="ar-SA"/>
        </w:rPr>
        <w:t>في رهن المرتد جواز رهنه، لبقاء ماليته الى زمان القتل و هو من الوهن بمكان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يبني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قبوله التطهير و عدمه يريد هذا المعنى، لبقاء ماليته على القول بقبوله التطهير لقبول توبته، و عدم بقائها على القول بعدم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ان النجاسةَ من حيث هي مانعٌ، و لكنه خلاف ما يظهر من عباراتهم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المرتد عن فطرة، و أما الكافر الاصلي و المرتد عن ملة فالظاهر جواز بيعه بلا خلاف ظاهر بل ادّعى عليه الاجماع جماعة، و ليس بالبعيد كما لا يخفى على من تتبع موارد كلامهم في مظان المسألة و الله العالم</w:t>
      </w:r>
      <w:r>
        <w:rPr>
          <w:rFonts w:eastAsia="Amiri" w:cs="Amiri" w:ascii="Amiri" w:hAnsi="Amiri"/>
          <w:color w:val="111111"/>
          <w:sz w:val="28"/>
          <w:szCs w:val="28"/>
          <w:rtl w:val="true"/>
          <w:lang w:bidi="ar-SA"/>
        </w:rPr>
        <w:t>.</w:t>
      </w:r>
      <w:bookmarkStart w:id="89" w:name="pg2491_24154"/>
    </w:p>
    <w:p>
      <w:pPr>
        <w:pStyle w:val="Heading6"/>
        <w:numPr>
          <w:ilvl w:val="5"/>
          <w:numId w:val="1"/>
        </w:numPr>
        <w:rPr/>
      </w:pPr>
      <w:bookmarkStart w:id="90" w:name="__RefHeading___Toc3813593_3804643083"/>
      <w:bookmarkStart w:id="91" w:name="_Toc36"/>
      <w:bookmarkEnd w:id="89"/>
      <w:bookmarkEnd w:id="90"/>
      <w:r>
        <w:rPr>
          <w:rtl w:val="true"/>
        </w:rPr>
        <w:t>التكسب بالعصير العنبي</w:t>
      </w:r>
      <w:bookmarkEnd w:id="91"/>
    </w:p>
    <w:p>
      <w:pPr>
        <w:pStyle w:val="Heading6"/>
        <w:numPr>
          <w:ilvl w:val="5"/>
          <w:numId w:val="1"/>
        </w:numPr>
        <w:rPr/>
      </w:pPr>
      <w:bookmarkStart w:id="92" w:name="__RefHeading___Toc3813595_3804643083"/>
      <w:bookmarkStart w:id="93" w:name="_Toc37"/>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و من جملة الاعيان التي يجوز بيعها و التكسب بها العصير العنبي إذا غلا و اشتد و لم يذهب ثلثاه لعمومات البيع و التجارة، و لأصالة بقاء ملكيته و ماليته، و عدم خروجها عنها بالنجاسة، غاية الامر انه مال معيوب قابل لزوال عيبه بالنقص، فحكمه حكم النجس بالعرض القابل للتطهير فلا تشمله رواية تحف العقول و 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شيئاً حرم ثمنه</w:t>
      </w:r>
      <w:r>
        <w:rPr>
          <w:rFonts w:eastAsia="Amiri" w:cs="Amiri" w:ascii="Amiri" w:hAnsi="Amiri"/>
          <w:color w:val="111111"/>
          <w:sz w:val="28"/>
          <w:szCs w:val="28"/>
          <w:rtl w:val="true"/>
          <w:lang w:bidi="ar-SA"/>
        </w:rPr>
        <w:t>)</w:t>
      </w:r>
    </w:p>
    <w:p>
      <w:pPr>
        <w:pStyle w:val="BookText"/>
        <w:rPr/>
      </w:pPr>
      <w:r>
        <w:rPr>
          <w:rStyle w:val="FootnoteAnchor"/>
          <w:rtl w:val="true"/>
        </w:rPr>
        <w:footnoteReference w:id="218"/>
      </w:r>
      <w:r>
        <w:rPr>
          <w:rFonts w:ascii="Amiri" w:hAnsi="Amiri" w:eastAsia="Amiri" w:cs="Amiri"/>
          <w:color w:val="111111"/>
          <w:sz w:val="28"/>
          <w:sz w:val="28"/>
          <w:szCs w:val="28"/>
          <w:rtl w:val="true"/>
          <w:lang w:bidi="ar-SA"/>
        </w:rPr>
        <w:t xml:space="preserve">لأن نجاسته و حرمة شربه عرضيان، و الظاهر من الخبرين المتقدمين إرادة الاعيان النجسة و المحرمة بقول مطلق لا ما يعرض له النجاسة في حال دون آخر، بل و لا يشمله معقد اجماع التذكرة </w:t>
      </w:r>
      <w:r>
        <w:rPr>
          <w:rStyle w:val="FootnoteAnchor"/>
          <w:rtl w:val="true"/>
        </w:rPr>
        <w:footnoteReference w:id="219"/>
      </w:r>
      <w:r>
        <w:rPr>
          <w:rFonts w:ascii="Amiri" w:hAnsi="Amiri" w:eastAsia="Amiri" w:cs="Amiri"/>
          <w:color w:val="111111"/>
          <w:sz w:val="28"/>
          <w:sz w:val="28"/>
          <w:szCs w:val="28"/>
          <w:rtl w:val="true"/>
          <w:lang w:bidi="ar-SA"/>
        </w:rPr>
        <w:t xml:space="preserve">على فساد بيع نجس العين، لان المراد بالعين الحقيقية و العصير ليس منها، و في بعض كتب المتأخرين و يمكن أن ينسب القول بجواز بيع العصير العنبي الى كل من قيد الاعيان النجسة المحرم بيعها بعدم قابليتها للتطهير، و عن مفتاح الكرامة انه استظهر المنع من بيعه للعمومات و خصوص الاخبار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غلا فلا يحل بيعه</w:t>
      </w:r>
      <w:r>
        <w:rPr>
          <w:rFonts w:eastAsia="Amiri" w:cs="Amiri" w:ascii="Amiri" w:hAnsi="Amiri"/>
          <w:color w:val="111111"/>
          <w:sz w:val="28"/>
          <w:szCs w:val="28"/>
          <w:rtl w:val="true"/>
          <w:lang w:bidi="ar-SA"/>
        </w:rPr>
        <w:t>)</w:t>
      </w:r>
    </w:p>
    <w:p>
      <w:pPr>
        <w:pStyle w:val="BookText"/>
        <w:rPr/>
      </w:pPr>
      <w:r>
        <w:rPr>
          <w:rStyle w:val="FootnoteAnchor"/>
          <w:rtl w:val="true"/>
        </w:rPr>
        <w:footnoteReference w:id="220"/>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بعته قبل أن يكون خمرا و هو حلال فلا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221"/>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عن حاله و غلا فلا خير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الجميع نظر، أما العمومات ففيها ما عرفت، و أما الاخبار الخاصة فهي منزّلة على النهي عن بيعه من غير اعتبار الاعلام، أو هي كناية عن عدم جواز الانتفاع به قبل ذهاب الثلثين، فلا تشمل بيعه بقصد التطهير مع أعلام المشتري، و كيف كان فالظاهر أنه يكفي في جواز بيعه بقاء ماليته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أعيان النجاسات، و أما المتنجس بالعارض فالظاهر جواز الانتفاع به، و كونه مملوكا كما ان الظاهر جواز تمليكه مجانا و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الانتفاع به فالأصل جواز الانتفاع بالأعيان المتنجسة إلا ما خرج بالدليل كالأكل و الشرب و الاستصباح بالدهن المتنجس تحت الظلال وفاقا لأكثر أساطين المتاخرين، و صرح جمع من اصحابنا المعاصرين بان القاعدة فيه المنع من التصرف الا ما خرج بالدليل كالاستصباح بالدهن المتنجس تحت السماء و بيعه ليعمل صابوناً على رواية، و الاقوى الاول، لأصالة الجواز و قاعدة حل الانتفاع بما في الارض، و لا دافع لذلك سوى ما يُتخيَّل من بعض الآيات و الاخبار و الاجماعات المنقولة، و الكل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الآيات فمنها قوله تعالى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فانها دلت على وجوب اجتناب كل رجس، و الرجس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الظاهر من الرجس ما كانت ذاته كذلك لا ما عرض له ذلك مع انها لو عمت ذلك للزم اجتناب كل متنجس مع ان اكثر المتنجسات لا يجب اجتنابها، فيكون خارجها اكثر من داخلها، مع أن الآية إنما أمرت باجتناب ما كان رجسا من عمل الشيطان، فأما أن يكون المراد منها أن ما كان ذاته رجساً من عمل الشيطان كالخمر النجس و الميسر النجس معنى يجب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تشمل الآية المتنجس بالعارض فانه ليس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يكون المراد منها الامر باجتناب الاستعمال على حذف مضاف في صدر الآية و يكون الغرض انما استعمال الخمر و الميسر، و عليه فيكون المأمور باجتنابه كل استعمال ثبت كونه رجساً، و لم يثبت كون استعمال الاعيان المتنجسة بالعارض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فالآية لا تدل على المطلوب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بناء على ان الرُّجز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المراد بالرجز ما كان كذلك في ذاته فلا تشمل المتنجس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آية تحريم الخبائث </w:t>
      </w:r>
      <w:r>
        <w:rPr>
          <w:rStyle w:val="FootnoteAnchor"/>
          <w:rtl w:val="true"/>
        </w:rPr>
        <w:footnoteReference w:id="225"/>
      </w:r>
      <w:r>
        <w:rPr>
          <w:rFonts w:ascii="Amiri" w:hAnsi="Amiri" w:eastAsia="Amiri" w:cs="Amiri"/>
          <w:color w:val="111111"/>
          <w:sz w:val="28"/>
          <w:sz w:val="28"/>
          <w:szCs w:val="28"/>
          <w:rtl w:val="true"/>
          <w:lang w:bidi="ar-SA"/>
        </w:rPr>
        <w:t>بناء على أن كل متنجس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الظاهر من ذلك تحريم اكلها بقرينة قوله تعالى</w:t>
      </w:r>
      <w:bookmarkStart w:id="94" w:name="pg2491_24156"/>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الاخبار فمنها خبر تحف العقول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 فان ذلك كله حرام محرم للنهي عن أكله و شربه و امساكه و جميع التقلب فيه، فجميع التقلب في ذلك حرام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 فيه أن المراد بوجوه النجس الاعيان النجسة دون المتنجسة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الامر بإهراق بعض المائعات المتنجسة في بعض الاخبار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ذلك كله كناية عن عدم الانتفاع بها في الاكل و الشرب، و أما الاجماعات فمرهونة بقضية التتبع، فإنّ تتبع كلام القوم يقضي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أنه يجوز الانتفاع بالاعيان المتنجسة الا ما دلّ الدليل على خلافه، و الظاهر أنها مملوكة، لاستصحاب ملكها قبل ملاقاة النجاسة لها، و ليس عندنا في الادلة ما يقتضي خروجها عن الملك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كانت مملوكة لها منافع محللة جاز تمليكها مجانا، لان كل مملوك يجوز الانتفاع به يجوز تمليكه مجانا، و الظاهر ايضا انها يجوز تمليكها بالعوض، لان لها منافع محللة مقصودة للعقلاء تُحسب من جهتها مالا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مملوك يكون كذلك يجوز تمليكه بالعوض الا إذا أدل الدليل على عدم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فالمتنجس إما أن يكون جامداً أو مائعاً، و المائع إما أن يكون قابلًا للتطهير أولا، فينبغي البحث في مقامات ثلاثة</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3813597_3804643083"/>
      <w:bookmarkStart w:id="96" w:name="_Toc38"/>
      <w:bookmarkEnd w:id="95"/>
      <w:r>
        <w:rPr>
          <w:rtl w:val="true"/>
        </w:rPr>
        <w:t>المقام الاول</w:t>
      </w:r>
      <w:r>
        <w:rPr>
          <w:rtl w:val="true"/>
        </w:rPr>
        <w:t xml:space="preserve">: </w:t>
      </w:r>
      <w:r>
        <w:rPr>
          <w:rtl w:val="true"/>
        </w:rPr>
        <w:t>في الجامد</w:t>
      </w:r>
      <w:bookmarkEnd w:id="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بين اصحابنا في جواز بيعه كما أن عمومات البيع تقضي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المحكي عن المبسوط التفصيل بين ما كانت نجاسته ثخينة تمنع من النظر اليه، و بين ما كانت نجاسته رقيقة لا تمنع من النظر اليه، فمنع من بيع الاول و جوّز بيع الثاني، و استند في المنع من بيع الاول مرة الى جهالة المبيع لمنعها من الاطلاع عليه و أخرى الى انضمامها اليه في البيع </w:t>
      </w:r>
      <w:r>
        <w:rPr>
          <w:rStyle w:val="FootnoteAnchor"/>
          <w:rtl w:val="true"/>
        </w:rPr>
        <w:footnoteReference w:id="229"/>
      </w:r>
      <w:r>
        <w:rPr>
          <w:rFonts w:ascii="Amiri" w:hAnsi="Amiri" w:eastAsia="Amiri" w:cs="Amiri"/>
          <w:color w:val="111111"/>
          <w:sz w:val="28"/>
          <w:sz w:val="28"/>
          <w:szCs w:val="28"/>
          <w:rtl w:val="true"/>
          <w:lang w:bidi="ar-SA"/>
        </w:rPr>
        <w:t>، و كلاهما مردودان، أما الاول فكونه خروج عن محل الكلام، لأن الكلام من حيث النجاسة لا من حيث الجهالة، و إلا لو فرض التصاق</w:t>
      </w:r>
      <w:bookmarkStart w:id="97" w:name="pg2491_24157"/>
    </w:p>
    <w:p>
      <w:pPr>
        <w:pStyle w:val="BookText"/>
        <w:rPr/>
      </w:pPr>
      <w:bookmarkEnd w:id="97"/>
      <w:r>
        <w:rPr>
          <w:rFonts w:ascii="Amiri" w:hAnsi="Amiri" w:eastAsia="Amiri" w:cs="Amiri"/>
          <w:color w:val="111111"/>
          <w:sz w:val="28"/>
          <w:sz w:val="28"/>
          <w:szCs w:val="28"/>
          <w:rtl w:val="true"/>
          <w:lang w:bidi="ar-SA"/>
        </w:rPr>
        <w:t>شي‌ء طاهر به يمنع النظر و المشاهدة بحيث يكون المبيع مجهولا لم 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فظاهر المنع لان انضمامهما مع المبيع يتبع قصد المتعاقدين، فان قصدا ذلك بطل و الا فلا، على ان التفصيل حينئذ بين الرقيقة و الثخينة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جواز بيعه، و أما وجوب الاعلام بالنجاسة فكلام آخر يأتي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3813599_3804643083"/>
      <w:bookmarkStart w:id="99" w:name="_Toc39"/>
      <w:bookmarkEnd w:id="98"/>
      <w:r>
        <w:rPr>
          <w:rtl w:val="true"/>
        </w:rPr>
        <w:t>المقام الثاني</w:t>
      </w:r>
      <w:r>
        <w:rPr>
          <w:rtl w:val="true"/>
        </w:rPr>
        <w:t xml:space="preserve">: </w:t>
      </w:r>
      <w:r>
        <w:rPr>
          <w:rtl w:val="true"/>
        </w:rPr>
        <w:t>في المائع</w:t>
      </w:r>
      <w:bookmarkEnd w:id="99"/>
    </w:p>
    <w:p>
      <w:pPr>
        <w:pStyle w:val="BookText"/>
        <w:rPr/>
      </w:pPr>
      <w:r>
        <w:rPr>
          <w:rFonts w:ascii="Amiri" w:hAnsi="Amiri" w:eastAsia="Amiri" w:cs="Amiri"/>
          <w:color w:val="111111"/>
          <w:sz w:val="28"/>
          <w:sz w:val="28"/>
          <w:szCs w:val="28"/>
          <w:rtl w:val="true"/>
          <w:lang w:bidi="ar-SA"/>
        </w:rPr>
        <w:t xml:space="preserve">الذي يقبل التطهير كالماء المتنجس، و المعروف بين اصحابنا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بيعه لإمكان تطهيره عملا بالاصل من غير معارض، لأن المعتبر في المبيع الطهارة فعلا أو قوة، و الماء باعتبار إمكان تطهيره بالمعتصم طاهر بالقوة، لذا جاز بيع الثياب المتنجسة و الكافر و العصير بعد الغليان، لقبولها التطهير بالغسل بالماء و الاسلام و ذهاب الثلثين، و لو كانت الطهارة الفعلية شرط في صحة البيع لما جاز بيعها الا بعد تطهيرها، و منه بيع الذهب و الفضة الذائبتين إذا تنجّستا لقبول ظاهرهما التطهير بعد الجمود و لا تمس الحاجة الى باطنهما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عن الشيخ في المبسوط المنع من الاشربةِ المحظورةِ أو شي‌ءٍ من المحرمات و النجاسات و تبعه على ذلك بعض أساطين المتأخرين استنادا الى بعض الأخبار المانعة من بيع الخمر المعللة ذلك بالنجاسة، و بعض الاخبار المعللة جواز بيع العنب ممن يُعلَم أنه يعمله خمرا بانه باعه حلالا في الآن الذي يحل اكله و شربه، و بعض الاخبار الآمرة بإهراق الماء النجس و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ضعيف، 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يسري التعليل الى مماثله و هو النجس ذاتا أو الذي لا يقبل التطهير، و أما سريانه الى ما يقبل التطهير فممنوع أشد المنع، و أما الثاني فكونه يحل بيعه في الآن الذي يحل أكله و شربه لا يقتضي عدم جواز البيع في الآن الذي لا يحل اكله و شربه، على أنه في كل آن يحل أكله و شربه لقبوله التطهير، فهو مما يحل أكله و شربه في كل آن و لو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فهو للمبالغة في الكف و عدم المباشرة، و هو لا يقضي بعدم جواز البيع</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3813601_3804643083"/>
      <w:bookmarkStart w:id="101" w:name="_Toc40"/>
      <w:bookmarkEnd w:id="100"/>
      <w:r>
        <w:rPr>
          <w:rtl w:val="true"/>
        </w:rPr>
        <w:t>المقام الثالث</w:t>
      </w:r>
      <w:r>
        <w:rPr>
          <w:rtl w:val="true"/>
        </w:rPr>
        <w:t xml:space="preserve">: </w:t>
      </w:r>
      <w:r>
        <w:rPr>
          <w:rtl w:val="true"/>
        </w:rPr>
        <w:t>في المائعات المتنجسة التي لا تقبل التطهير</w:t>
      </w:r>
      <w:bookmarkEnd w:id="1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كالزيت و العسل و السمن و المياه المضافة، و قد اختلف اصحابنا في جواز التكسب بها و عدمه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جواز التكسب بها مطلقاً سواء فرض لها منفعة محللة أو لا، و سواء كان البيع على المستحل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بجواز بيعها على المستحل و هو مختارُ جمعٍ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بجواز بيع ما يقصد مزجه بالماء المطلق الى ان يصير ماء لطهارة المضاف باستهلاكه و هو المنسوب للمحقق الثاني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بجواز التكسب بها مطلقا الا ما دل الدليل على خلافه، كأن دل الدليل على عدم جواز التكسب به و ان كانت له منفعة محللة، أو دل الدليل على عدم جواز الانتفاع به، و إليه يعود قول العلامة بجواز التكسب بها لقبولها الطهارة و إن خالف في القليل </w:t>
      </w:r>
      <w:r>
        <w:rPr>
          <w:rStyle w:val="FootnoteAnchor"/>
          <w:rtl w:val="true"/>
        </w:rPr>
        <w:footnoteReference w:id="231"/>
      </w:r>
      <w:r>
        <w:rPr>
          <w:rFonts w:ascii="Amiri" w:hAnsi="Amiri" w:eastAsia="Amiri" w:cs="Amiri"/>
          <w:color w:val="111111"/>
          <w:sz w:val="28"/>
          <w:sz w:val="28"/>
          <w:szCs w:val="28"/>
          <w:rtl w:val="true"/>
          <w:lang w:bidi="ar-SA"/>
        </w:rPr>
        <w:t>، كما ان اليه يعود قول المحقق الثاني بجواز التكسب لما لا يتوقف الانتفاع به على طهارته كالمائعات المقصود منها الصبغ، و هذا هو الاقوى لما عرفت من اصالة جواز الانتفاع بها الا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عين مملوكة يجوز الانتفاع بها منفعة مقصودة للعقلاء يجوز التكسب بها، و هذه الكلية المدعاة ثابتة</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يكون لهم فيه الصلاح من جهة من الجهات، فهذا كله حلال بيعه و شراؤه و امساكه و استعماله وهبته و عاريته</w:t>
      </w:r>
      <w:r>
        <w:rPr>
          <w:rFonts w:eastAsia="Amiri" w:cs="Amiri" w:ascii="Amiri" w:hAnsi="Amiri"/>
          <w:color w:val="111111"/>
          <w:sz w:val="28"/>
          <w:szCs w:val="28"/>
          <w:rtl w:val="true"/>
          <w:lang w:bidi="ar-SA"/>
        </w:rPr>
        <w:t>)</w:t>
      </w:r>
    </w:p>
    <w:p>
      <w:pPr>
        <w:pStyle w:val="BookText"/>
        <w:rPr/>
      </w:pPr>
      <w:r>
        <w:rPr>
          <w:rStyle w:val="FootnoteAnchor"/>
          <w:rtl w:val="true"/>
        </w:rPr>
        <w:footnoteReference w:id="232"/>
      </w:r>
      <w:r>
        <w:rPr>
          <w:rFonts w:ascii="Amiri" w:hAnsi="Amiri" w:eastAsia="Amiri" w:cs="Amiri"/>
          <w:color w:val="111111"/>
          <w:sz w:val="28"/>
          <w:sz w:val="28"/>
          <w:szCs w:val="28"/>
          <w:rtl w:val="true"/>
          <w:lang w:bidi="ar-SA"/>
        </w:rPr>
        <w:t xml:space="preserve">،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دعائم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الحلال من البيوع كل ما كان حلالا من المأكول و المشروب و غير ذلك مما هو قوام للناس و يباح لهم الانتفاع به، و ما كان محرما اصله منهيا عنه لم يجز بيعه و لا شراؤه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3"/>
      </w:r>
      <w:r>
        <w:rPr>
          <w:rFonts w:ascii="Amiri" w:hAnsi="Amiri" w:eastAsia="Amiri" w:cs="Amiri"/>
          <w:color w:val="111111"/>
          <w:sz w:val="28"/>
          <w:sz w:val="28"/>
          <w:szCs w:val="28"/>
          <w:rtl w:val="true"/>
          <w:lang w:bidi="ar-SA"/>
        </w:rPr>
        <w:t xml:space="preserve">، و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مأمور به على العباد، و قوام لهم في امورهم من وجوه الصلاح الذي لا يقيمهم غيره مما يأكلون و يشربون و يلبسون و ينكحون و يملكون و يستعملون، فهذا كله حلال</w:t>
      </w:r>
    </w:p>
    <w:p>
      <w:pPr>
        <w:pStyle w:val="BookText"/>
        <w:rPr/>
      </w:pPr>
      <w:r>
        <w:rPr>
          <w:rFonts w:ascii="Amiri" w:hAnsi="Amiri" w:eastAsia="Amiri" w:cs="Amiri"/>
          <w:color w:val="111111"/>
          <w:sz w:val="28"/>
          <w:sz w:val="28"/>
          <w:szCs w:val="28"/>
          <w:rtl w:val="true"/>
          <w:lang w:bidi="ar-SA"/>
        </w:rPr>
        <w:t>بيعه و شراؤه و هبته و عاريته</w:t>
      </w:r>
      <w:r>
        <w:rPr>
          <w:rFonts w:eastAsia="Amiri" w:cs="Amiri" w:ascii="Amiri" w:hAnsi="Amiri"/>
          <w:color w:val="111111"/>
          <w:sz w:val="28"/>
          <w:szCs w:val="28"/>
          <w:rtl w:val="true"/>
          <w:lang w:bidi="ar-SA"/>
        </w:rPr>
        <w:t>)</w:t>
      </w:r>
    </w:p>
    <w:p>
      <w:pPr>
        <w:pStyle w:val="BookText"/>
        <w:rPr/>
      </w:pPr>
      <w:r>
        <w:rPr>
          <w:rStyle w:val="FootnoteAnchor"/>
          <w:rtl w:val="true"/>
        </w:rPr>
        <w:footnoteReference w:id="234"/>
      </w:r>
      <w:r>
        <w:rPr>
          <w:rFonts w:ascii="Amiri" w:hAnsi="Amiri" w:eastAsia="Amiri" w:cs="Amiri"/>
          <w:color w:val="111111"/>
          <w:sz w:val="28"/>
          <w:sz w:val="28"/>
          <w:szCs w:val="28"/>
          <w:rtl w:val="true"/>
          <w:lang w:bidi="ar-SA"/>
        </w:rPr>
        <w:t>، و يؤيده أن جمعا من أصحابنا جعلوا جواز بيع النجس و المتنجس دائرا مدار جواز الانتفاع به و عدمه، كما لا يخفى على من تتبع كلامهم في المباحث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المانع مطلقاً بعموم ما دل على المنع من التكسب بالنجس و الحرام، و ليس هو الا ما في خبر تحف العقول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 فهذا كله حرام محرم، لان ذلك كله منهي عن اكله و شربه و لبسه و ملكه و إمساكه و التقلب فيه، فجميع تقلبه في ذلك حرام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و النبوي المشهور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اذا حرم الله شيئا حرم ثمنه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و قد عرفت مراراً أن المراد من وجوه النجس خصوص الاعيان النجسة دون المتنجس بالعارض، لان المتنجس بالعارض ليس وجها من وجوه النجس، و 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حرام، و التحريم المطلق ينصرف الى تحريم جميع المنافع أو المنفعة الظاهرة المقصودة، و ما حرمت جميع منافعه أو منفعته المقصودة لا يجوز التكسب به، و ليس المتنجس بالعارض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نعثر على ما يدل على المنع من التكسب بالحرام و النجس على سبيل العموم سوى ما ذكرنا و آية الخمر </w:t>
      </w:r>
      <w:r>
        <w:rPr>
          <w:rStyle w:val="FootnoteAnchor"/>
          <w:rtl w:val="true"/>
        </w:rPr>
        <w:footnoteReference w:id="237"/>
      </w:r>
      <w:r>
        <w:rPr>
          <w:rFonts w:ascii="Amiri" w:hAnsi="Amiri" w:eastAsia="Amiri" w:cs="Amiri"/>
          <w:color w:val="111111"/>
          <w:sz w:val="28"/>
          <w:sz w:val="28"/>
          <w:szCs w:val="28"/>
          <w:rtl w:val="true"/>
          <w:lang w:bidi="ar-SA"/>
        </w:rPr>
        <w:t xml:space="preserve">الآمرة باجتناب الرجس التي عرفت ما فيها مرارا، و استدل أيضا بالاجماع المحكي عن الغنية </w:t>
      </w:r>
      <w:r>
        <w:rPr>
          <w:rStyle w:val="FootnoteAnchor"/>
          <w:rtl w:val="true"/>
        </w:rPr>
        <w:footnoteReference w:id="238"/>
      </w:r>
      <w:r>
        <w:rPr>
          <w:rFonts w:ascii="IRNazanin" w:hAnsi="IRNazanin" w:eastAsia="IRNazanin"/>
          <w:color w:val="111111"/>
          <w:sz w:val="28"/>
          <w:sz w:val="28"/>
          <w:szCs w:val="28"/>
          <w:rtl w:val="true"/>
          <w:lang w:bidi="fa-IR"/>
        </w:rPr>
        <w:t xml:space="preserve">و المنتهى </w:t>
      </w:r>
      <w:r>
        <w:rPr>
          <w:rStyle w:val="FootnoteAnchor"/>
          <w:rtl w:val="true"/>
        </w:rPr>
        <w:footnoteReference w:id="239"/>
      </w:r>
      <w:r>
        <w:rPr>
          <w:rFonts w:ascii="Amiri" w:hAnsi="Amiri" w:eastAsia="Amiri" w:cs="Amiri"/>
          <w:color w:val="111111"/>
          <w:sz w:val="28"/>
          <w:sz w:val="28"/>
          <w:szCs w:val="28"/>
          <w:rtl w:val="true"/>
          <w:lang w:bidi="ar-SA"/>
        </w:rPr>
        <w:t>، و ظاهر لك و 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اجماع الغنية فقال ابن زهرة بعد ان أشترط في المبيع ان يكون مما ينتفع به منفعة محللة،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شرطنا في المنفعة أن تكون مباحة تحفظا من المنافع المحرمة، و يدخل في ذلك كل نجس لا يمكن تطهيره عدا ما استثني من بيع الكلب المعلّم للصيد و الزيت</w:t>
      </w:r>
    </w:p>
    <w:p>
      <w:pPr>
        <w:pStyle w:val="BookText"/>
        <w:rPr/>
      </w:pPr>
      <w:r>
        <w:rPr>
          <w:rFonts w:ascii="Amiri" w:hAnsi="Amiri" w:eastAsia="Amiri" w:cs="Amiri"/>
          <w:color w:val="111111"/>
          <w:sz w:val="28"/>
          <w:sz w:val="28"/>
          <w:szCs w:val="28"/>
          <w:rtl w:val="true"/>
          <w:lang w:bidi="ar-SA"/>
        </w:rPr>
        <w:t>النجس للاستصباح تحت السماء، و هو إجماع الطائفة</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 ظاهر العبارة المذكورة ان الاجماع منقول على اشتراط ان يكون المبيع مما ينتفع به منفعة محللة، و ليس دخول كل نجس لا يقبل التطهير من معقد الاجماع بل هو فتوى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 الفتوى من معقد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نقل الاجماع عن ظاهر المسالك فقال في المسالك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مائع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فرق في عدم جواز بيعها عن القول بعدم قبولها الطهارة بين صلاحيتها للانتفاع على بعض الوجوه و عدمه، و لا بين الاعلام بحالها و عدمه على ما نص عليه الاصحاب </w:t>
      </w:r>
      <w:r>
        <w:rPr>
          <w:rStyle w:val="FootnoteAnchor"/>
          <w:rtl w:val="true"/>
        </w:rPr>
        <w:footnoteReference w:id="241"/>
      </w:r>
      <w:r>
        <w:rPr>
          <w:rFonts w:ascii="Amiri" w:hAnsi="Amiri" w:eastAsia="Amiri" w:cs="Amiri"/>
          <w:color w:val="111111"/>
          <w:sz w:val="28"/>
          <w:sz w:val="28"/>
          <w:szCs w:val="28"/>
          <w:rtl w:val="true"/>
          <w:lang w:bidi="ar-SA"/>
        </w:rPr>
        <w:t>لأن قضية تتبع كلام الاصحاب يقضي بخلافه، لان جمعا منهم جعلوا جواز البيع و عدمه دائرا مدار جواز الانتفاع و عدمه، كما يظهر منه حكاية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إجماع المنتهى الذي حكاه فلم أقف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أيضا ببعض النصوص الناهية عن بيع جملة من هذه المائعات، كالمرق و العجين النجس و السمن و الزيت مع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تلك النصوص لا يمكن العمل بها لمعارضتها بمثلها مما دل على جواز بيعها على المستحل كما ستسمع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القول بالمنع مطلقا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القول بجواز البيع على المستحل دون غيره </w:t>
      </w:r>
      <w:r>
        <w:rPr>
          <w:rStyle w:val="FootnoteAnchor"/>
          <w:rtl w:val="true"/>
        </w:rPr>
        <w:footnoteReference w:id="242"/>
      </w:r>
      <w:r>
        <w:rPr>
          <w:rFonts w:ascii="Amiri" w:hAnsi="Amiri" w:eastAsia="Amiri" w:cs="Amiri"/>
          <w:color w:val="111111"/>
          <w:sz w:val="28"/>
          <w:sz w:val="28"/>
          <w:szCs w:val="28"/>
          <w:rtl w:val="true"/>
          <w:lang w:bidi="ar-SA"/>
        </w:rPr>
        <w:t xml:space="preserve">، أما عدم الجواز على غير المستحل فمستنده ما سمعت من أدلة المانع مطلقا، و قد عرفت ما فيها، و أما الجواز على المستحل فمستنده الأذن بذلك في بعض الاخبار، كخبر زكريا بن آدم الوارد في المرق و في العجين إذا قطر فيه خمر أو نبيذ أو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من اليهود و النصارى فأنهم يستحلون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 صحيح حفص في عجين يعجن من الماء النجس، كيف يصنع به؟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يباع ممن يستحل الميتة </w:t>
      </w:r>
      <w:r>
        <w:rPr>
          <w:rStyle w:val="FootnoteAnchor"/>
          <w:rtl w:val="true"/>
        </w:rPr>
        <w:footnoteReference w:id="244"/>
      </w:r>
      <w:r>
        <w:rPr>
          <w:rFonts w:ascii="Amiri" w:hAnsi="Amiri" w:eastAsia="Amiri" w:cs="Amiri"/>
          <w:color w:val="111111"/>
          <w:sz w:val="28"/>
          <w:sz w:val="28"/>
          <w:szCs w:val="28"/>
          <w:rtl w:val="true"/>
          <w:lang w:bidi="ar-SA"/>
        </w:rPr>
        <w:t>و لا يخفى عليك أنه بعد العمل بأدلة المانع مطلقا لا يمكن</w:t>
      </w:r>
    </w:p>
    <w:p>
      <w:pPr>
        <w:pStyle w:val="BookText"/>
        <w:rPr/>
      </w:pPr>
      <w:r>
        <w:rPr>
          <w:rFonts w:ascii="Amiri" w:hAnsi="Amiri" w:eastAsia="Amiri" w:cs="Amiri"/>
          <w:color w:val="111111"/>
          <w:sz w:val="28"/>
          <w:sz w:val="28"/>
          <w:szCs w:val="28"/>
          <w:rtl w:val="true"/>
          <w:lang w:bidi="ar-SA"/>
        </w:rPr>
        <w:t xml:space="preserve">تخصيصها بالخبرين المذكورين لقصورهما عن مقاومة تلك الادلة، خصوصا بعد معارضتهما بمرسل ابن أبي عمير الآمر بدفن العجين النجس الناهي عن بيعه </w:t>
      </w:r>
      <w:r>
        <w:rPr>
          <w:rStyle w:val="FootnoteAnchor"/>
          <w:rtl w:val="true"/>
        </w:rPr>
        <w:footnoteReference w:id="245"/>
      </w:r>
      <w:r>
        <w:rPr>
          <w:rFonts w:ascii="Amiri" w:hAnsi="Amiri" w:eastAsia="Amiri" w:cs="Amiri"/>
          <w:color w:val="111111"/>
          <w:sz w:val="28"/>
          <w:sz w:val="28"/>
          <w:szCs w:val="28"/>
          <w:rtl w:val="true"/>
          <w:lang w:bidi="ar-SA"/>
        </w:rPr>
        <w:t>مضافاً الى كون الكفار مكلفين بالفروع، فيكون حالهم كحال المسلمين، فالبيع عليهم يكون من باب الاعانة على الاثم، مضافا الى لزوم استحلال الثمن المقبوض بالبيع الفاسد، فلا بد من حمل الخبرين المذكورين على تقدير العمل بأدلة المانع أو مطلقا على التقية او على البيع من الحربي فيكون من باب الاستنقاذ لا من باب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بالجواز في ما يقصد مزجه بالماء المطلق فإن لم نقل بجواز الانتفاع به على حاله أو لم نقل بجواز بيعه لذلك الانتفاع فلا وجه للقول بجواز بيعه لذلك، لان هذه المنفعة من المنافع النادرة التي لا يجوز البيع لأجلها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تعليل الشرائع الجواز بقبولها التطهير فمما لا وجه له لتعذر تطهيرها بدون استهلاكها في الماء المطلق، و ذلك لا يعد تطهيراً، بل من الاتلاف و الاضمحلال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امتنع الانتفاع بها باقية على حالها لم يجز بيعها، و دعوى ان استهلاكها و صيرورتها ماء مطلقا من جملة المنافع التي يجوز البيع لاجلها مما لا وجه له، لأنها من المنافع النادرة التي لا يجوز البيع لها، فالحقُّ جواز بيع المائعات المتنجسة و إن لم نقل بقبولها التطهير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أنه يجوز التكسب بالدهن المتنجس بالعارض، و على القول بعدم جواز التكسب بالمائع المتنجس بالعارض الذي لا يقبل التطهير يجوز التكسب بالدهن المتنجس بالعارض حيوانياً كان أو غيره بإجماع أصحابنا محصلًا و منقولًا نقلًا مستفيضاً 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خصص ذلك بالزيت </w:t>
      </w:r>
      <w:r>
        <w:rPr>
          <w:rStyle w:val="FootnoteAnchor"/>
          <w:rtl w:val="true"/>
        </w:rPr>
        <w:footnoteReference w:id="246"/>
      </w:r>
      <w:r>
        <w:rPr>
          <w:rFonts w:ascii="Amiri" w:hAnsi="Amiri" w:eastAsia="Amiri" w:cs="Amiri"/>
          <w:color w:val="111111"/>
          <w:sz w:val="28"/>
          <w:sz w:val="28"/>
          <w:szCs w:val="28"/>
          <w:rtl w:val="true"/>
          <w:lang w:bidi="ar-SA"/>
        </w:rPr>
        <w:t>و هو محجوج بالاجماع و بالاخبار المستفيضة التي منها خبر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تقع في السمن أو في الزيت فتموت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جامداً فتطرحها و ما حولها و تأكل ما بقي، و إن كان ذائبا فأسرج به، و اعلمهم إذا بعته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خبر معاوية بن وهب</w:t>
      </w:r>
    </w:p>
    <w:p>
      <w:pPr>
        <w:pStyle w:val="BookText"/>
        <w:rPr/>
      </w:pPr>
      <w:r>
        <w:rPr>
          <w:rFonts w:ascii="Amiri" w:hAnsi="Amiri" w:eastAsia="Amiri" w:cs="Amiri"/>
          <w:color w:val="111111"/>
          <w:sz w:val="28"/>
          <w:sz w:val="28"/>
          <w:szCs w:val="28"/>
          <w:rtl w:val="true"/>
          <w:lang w:bidi="ar-SA"/>
        </w:rPr>
        <w:t xml:space="preserve">و 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جرذ مات في زيت، ما تقول في بيع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 بيّنه لمن اشتراه ليستصبح به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خبر اسماعيل بن عبد الخالق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سعيد الأعرج السّمان و أنا حاضر عن الزيت و السمن و العسل تقع فيه الفأرة فتموت، كيف يصنع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الزيت فلا تبعه الإجابة لمن تبينُ له فيباع للسراج، و أما الأكل فلا، و أما السمن، فإن كان ذائباً فهو كذلك، و إن كان جامداً و الفأرة في أعلاه فيؤخذ ما تحتها و ما حولها، ثمّ لا بأس به، و العسل كذلك، إن كان جامداً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يعضد هذه الأخبار الدالة على جواز الاستصباح به، كخبر معاوية بن وهب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جرذ مات في زيت أو سمن أو عسل،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السمن و الزيت، فيؤخذ الجرذ و ما حوله و الزيت يستصبح به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التفرقة بين الزيت و السمن و العسل لجمود السمن و العسل غالبا و ذوبان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فيه، فان كان جامدا فألقها و ما يليها، و إن كان ذائبا فلا تأكله و استصبح به، و الزيت مثل ذلك</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قلنا بعدم جواز الانتفاع بالمائع النجس الذي لا يقبل التطهير، و إن قلنا بجواز الانتفاع به مطلقا كما هو الاصل و المختار، كان التكسب بذلك مما لا كلام فيه لأنه على وفق القانون الذي حررناه و هو أن كل ما يجوز الانتفاع به من الاعيان نفعا يعتد به يجوز التكسب به، فعلى القول بالمنع من الانتفاع بالمائع المتنجس الذي لا يقبل التطهير يكون الدهن مستثنى لجواز الانتفاع به بالاستصباح كما هو مدلول النصوص معقد الاجماع، و على القول بالمنع من التكسب بالمائعات المتنجسة التي لا تقبل التطهير للدليل و إن جاز الانتفاع بها، يكون الدهن مستثنى لجواز التكسب به كما هو معقد</w:t>
      </w:r>
    </w:p>
    <w:p>
      <w:pPr>
        <w:pStyle w:val="BookText"/>
        <w:rPr/>
      </w:pPr>
      <w:r>
        <w:rPr>
          <w:rFonts w:ascii="Amiri" w:hAnsi="Amiri" w:eastAsia="Amiri" w:cs="Amiri"/>
          <w:color w:val="111111"/>
          <w:sz w:val="28"/>
          <w:sz w:val="28"/>
          <w:szCs w:val="28"/>
          <w:rtl w:val="true"/>
          <w:lang w:bidi="ar-SA"/>
        </w:rPr>
        <w:t xml:space="preserve">الاجماع و مدلول الاخبار أيضا، و على القول بجواز الانتفاع بالاعيان المائعة المتنجسة التي لا تقبل التطهير يكون الدهن مستثنى لعدم جواز الاستصباح به تحت الظلال لمرسل المبسوط </w:t>
      </w:r>
      <w:r>
        <w:rPr>
          <w:rStyle w:val="FootnoteAnchor"/>
          <w:rtl w:val="true"/>
        </w:rPr>
        <w:footnoteReference w:id="252"/>
      </w:r>
      <w:r>
        <w:rPr>
          <w:rFonts w:ascii="Amiri" w:hAnsi="Amiri" w:eastAsia="Amiri" w:cs="Amiri"/>
          <w:color w:val="111111"/>
          <w:sz w:val="28"/>
          <w:sz w:val="28"/>
          <w:szCs w:val="28"/>
          <w:rtl w:val="true"/>
          <w:lang w:bidi="ar-SA"/>
        </w:rPr>
        <w:t xml:space="preserve">و نفي الخلاف في السرائر </w:t>
      </w:r>
      <w:r>
        <w:rPr>
          <w:rStyle w:val="FootnoteAnchor"/>
          <w:rtl w:val="true"/>
        </w:rPr>
        <w:footnoteReference w:id="253"/>
      </w:r>
      <w:r>
        <w:rPr>
          <w:rFonts w:ascii="Amiri" w:hAnsi="Amiri" w:eastAsia="Amiri" w:cs="Amiri"/>
          <w:color w:val="111111"/>
          <w:sz w:val="28"/>
          <w:sz w:val="28"/>
          <w:szCs w:val="28"/>
          <w:rtl w:val="true"/>
          <w:lang w:bidi="ar-SA"/>
        </w:rPr>
        <w:t>، و كيف كان فتنقيح المقام يتم برسم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المتقدمة وجوب الاعلام بالنجاسة، قال بعض أساطين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قلنا باعتبار اشتراط الاستصباح أو تواطئهما عليه في صحة العقد فلا أشكال في وجوب الاعلام لتوقف العقد على العلم بالنجاسة</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و ظاهره أن يكون حينئذ وجوب الاعلام شرطياً أي شرط في صحة العقد، و هو كما ترى لأنه لا يتوقف اشتراط الاستصباح و تواطؤهما عليه على الاعلام بالنجاسة، و الظاهر من النصوص المتقدمة أن وجوب الاعلام شرعيا لا شرطيا، فلا فرق حينئذ بين الاعلام قبل العقد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شرط في لزوم العقد لا في صحته، فلو اعلمه بعد العقد لم يسقط خياره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المعاوضات، لو كان أحد العوضين متنجساً ثمنا كان أو مثمنا جامدا كان أو مائعا يقبل التطهير أولا، فهل يجب على صاحبه الاخبار بنجاسته أولا؟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يثبت الخيار مع عدم الإخبار أولا؟ ظاهر الاصحاب وجوب الاعلام و ثبوت الخيار مع عدمه، و علّل ذلك بعض اصحابنا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النجاسة عيب خفي، فيجب إظهارها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 فيه انهم صرحوا أن العيب ما زاد أو نقص عن الخلقة الاصلية، و النجاسة ليست كذلك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يكون المنشأ في ذلك قاعدة حرمة الغش و التدليس لأن عدم الاعلام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المشتري أقدم على البيع طاهرا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و لا يفسد العقد لخروج متعلق النهي عن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ذلك ثبوت الخيار، و لذا إن الاصحاب حكموا بثبوت الخيار هنا، و المدار في الخيار إن جعلناه من</w:t>
      </w:r>
    </w:p>
    <w:p>
      <w:pPr>
        <w:pStyle w:val="BookText"/>
        <w:rPr/>
      </w:pPr>
      <w:r>
        <w:rPr>
          <w:rFonts w:ascii="Amiri" w:hAnsi="Amiri" w:eastAsia="Amiri" w:cs="Amiri"/>
          <w:color w:val="111111"/>
          <w:sz w:val="28"/>
          <w:sz w:val="28"/>
          <w:szCs w:val="28"/>
          <w:rtl w:val="true"/>
          <w:lang w:bidi="ar-SA"/>
        </w:rPr>
        <w:t>العيب واضح، و إن جعلناه من التدليس فمدرك الخيار مشكل، لأن التدليس لا يثبت خيارا مستقلًا، بل هو إما يرجع الى خيار العيب أو الوصف أو الغبن أو غير ذلك من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تطهيره أو عدم قبوله التطهير يوجب نقصا في القيمة و ضررا على المشتري فالقول بالخيار للضرر و الضرار لدخول الغبن لا بأس به، و إن كان تطهيره لا يوجب نقصا في شي‌ء من الاشياء و لا يحتاج الى مئونة، كبعض الجوامد المتنجسة من قبيل الاحجار فثبوت الخيار مشكل، و لكن ظاهر كلام اصحابنا ثبوته مطلقا، فعلى هذا يكون وجوب الاعلام على القاعدة من غير فرق بين المائع و الجامد و لا بين الدهن و غيره، و إن قلنا إن وجوب الاعلام جاء به الدليل في خصوص المقام فلا ينبغي التعدي عنه، و دعوى تنقيح المناط بين المقام و غيره غير منقحة لأن المناط بينه و بين الاعيان القابلة للتطهير غير منقح، و بينه و بين الاعيان غير القابلة للتطهير و إن كان منقحا، لكن لا يجوز التكسب بها على المشهور، و أما على ما ذهبنا اليه من جواز التكسب بها فالأمر واضح، و لا فرق في وجوب الاعلام بين بيعه من الكافر و غيره و بين من لا يبالي بالنجاسة و غيره، و بين كون المشتري قائلا بنجاسته أو بعدم نجاسته، و الوجه في الكل كونه نجسا عند البائع فيحصل الغش بعدم الاعلام و هو محرم و إن كان لا فائدة في الاعلام في بعض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مذهب البائع الطهارة و مذهب المشتري النجاسة لم يجب الاعلام لعدم التدليس بالنظر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اشكال، بل هذا أولى بوجوب الاعلام من عكسه و ان كان العكس أوفق بالقاعدة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باب المعاوضات بين مناولة البائع للمشتري و عدمه لما ذكرناه من الغش و التدليس، و المنقول عن جدي المرحوم التفرقة جمعا بين الاخبار المتقدمة فحَملَها على المناولة، و بين خبر عبد الله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أعار الرجل ثوبا فصلى فيه و هو لا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 قلت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أعلمه،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و خبر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يرى في ثوب أخيه دما و هو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 حتى ينصرف من صلاته</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فحملها على عدم المناولة، و انت خبير بأن الخبرين المذكورين ليسا في المعاوضات و أخذ صاحب الحدائق بالاخبار المانعة من الاعلام نظرا الى أن الطهارة و النجاسة و الحل و الحرمة من الاحكام العلمية و ليست من الأحكام الواقعية النفس الأمرية، و استشكل في التوفيق بين الاخبار و لم يتخلص </w:t>
      </w:r>
      <w:r>
        <w:rPr>
          <w:rStyle w:val="FootnoteAnchor"/>
          <w:rtl w:val="true"/>
        </w:rPr>
        <w:footnoteReference w:id="258"/>
      </w:r>
      <w:r>
        <w:rPr>
          <w:rFonts w:ascii="Amiri" w:hAnsi="Amiri" w:eastAsia="Amiri" w:cs="Amiri"/>
          <w:color w:val="111111"/>
          <w:sz w:val="28"/>
          <w:sz w:val="28"/>
          <w:szCs w:val="28"/>
          <w:rtl w:val="true"/>
          <w:lang w:bidi="ar-SA"/>
        </w:rPr>
        <w:t>، و هو مناف لإجماع الأصحاب و روايات الباب فلا ينبغي الالتفات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أحد فعلا غير جائز باعتقاد الجواز خطأً او سهواً أو جهلًا، هل يجب أعلامه أم لا؟ فيه أشكال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كان متعلقا بالنفس أو العرض، كما لو اراد قتل احد باعتقاد انه قاتل أبيه، و ليس كذلك، و نظائره نفساً و طرفاً، أو يريد الجماع مع زوجة الغير باعتقاد انها زوجته يجب الاعلام حفظا للنفس و العرض عن التلف، و لان المفهوم من الآثار المعهودة من الشريعة الاهتمام بهما، و تعلق غرض الشارع بعدم اختلالهما و ان كان مالا كما لو أراد احد أن يأكل مال أحد باعتقاد انه ماله، ففي وجوب الاعلام أشكال، و حكي عن البعض الوجوب ايضا، نظر الى حق المسلم على المسلم لكنه لم يثبت و الأصل البراءة، نعم ليس له ان يكون سببا له كأن يعطيه مال الغير فيصرفه باعتقاد أنه ماله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كان غير الثلاثة المذكورة بل كان حكما كما لو رأيته يتوضأ أو يصلي بالنجس باعتقاد الطهارة، فعن البعض أنه ان كان هذا الحكم علميا كالصلاة مع النجاسة لم يجب الاعلام، و ان كان وجوديا كالوضوء بالنجس وجب الاعلام، و يحتمل التفصيل في تلك الصورة بين المناولة و غيرها فيحرم في الاول دون الثاني، فلو أعطاه ماء نجسا ليتوضأ به وجب الاعلام، و كذلك لو اعطاه ثوبا نجسا ليصلي فيه، و أما اذا لم يناوله فلا يجب الاعلام سواء كان وجودياً أو علمياً، و يحتمل القول بعدم الوجوب مطلقا في</w:t>
      </w:r>
    </w:p>
    <w:p>
      <w:pPr>
        <w:pStyle w:val="BookText"/>
        <w:rPr/>
      </w:pPr>
      <w:r>
        <w:rPr>
          <w:rFonts w:ascii="Amiri" w:hAnsi="Amiri" w:eastAsia="Amiri" w:cs="Amiri"/>
          <w:color w:val="111111"/>
          <w:sz w:val="28"/>
          <w:sz w:val="28"/>
          <w:szCs w:val="28"/>
          <w:rtl w:val="true"/>
          <w:lang w:bidi="ar-SA"/>
        </w:rPr>
        <w:t>الوجودي و العلمي و المناولة و غيرها، للأصل و لما يظهر من إطلاق بعض الاخبار بجواز إعادة الثوب الذي لا يصلي فيه، فإنه مطلق بالنسبة الى إرادة المستعير الصلاة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باب المعاوضات، و أما فيها كما لو باعه نجسا فاللازم الاعلام مطلقاً سواء ناوله أولا، حذراً من التدليس و هذا ليس كمناولة الماء النجس للوضوء أو الشرب لأن هذا معاوضة مقابلة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ذلك فلا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يجب الاعلام بالنجاسة بالدهن المتنجس و كذلك أيضا يجب الاعلام بجلود الميتة إذا قلنا بجواز التكسب بها لبعض الانتفاعات، كاستقاء الماء بها للمزارع و البساتين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وجب الاعلام وجب القبول و التصديق، لان صاحب اليد مصدّق من غير فرق بين أن يكون خبره على وفق الاصل أو على خلافه و و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تصديقه سواء كان عدلا او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المتقدمة الآمرة بالأعلام بنجاسة الدهن المستصبح به، لأنه لو لا وجوب التصديق و القبول لما وجب الاعلام، لان فائدته منحصرة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الفائدة لا تنحصر في ذلك بل لعلها التنبيه للاستفسار و السؤال و التبيين في ذلك الخبر الى ان يحصل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عن ظاهر الاخبار الآمرة بالاعلام، على انه مضافا لما ذكرنا يظهر من صاحب الحدائق في بعض عبائره دعوى ظهور الاتفاق على تصديق صاحب اليد في النجاسة و الطهارة </w:t>
      </w:r>
      <w:r>
        <w:rPr>
          <w:rStyle w:val="FootnoteAnchor"/>
          <w:rtl w:val="true"/>
        </w:rPr>
        <w:footnoteReference w:id="259"/>
      </w:r>
      <w:r>
        <w:rPr>
          <w:rFonts w:ascii="Amiri" w:hAnsi="Amiri" w:eastAsia="Amiri" w:cs="Amiri"/>
          <w:color w:val="111111"/>
          <w:sz w:val="28"/>
          <w:sz w:val="28"/>
          <w:szCs w:val="28"/>
          <w:rtl w:val="true"/>
          <w:lang w:bidi="ar-SA"/>
        </w:rPr>
        <w:t xml:space="preserve">، على أن جملة من الاخبار تدل على ذلك كخبر قرب الاسناد عن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أعار رجلًا ثوباً يصلي فيه و هو لا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 فانه حكم باعادة الصلاة على المستعير بعد الاعلام و خبر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يأتي السوق فيشتري جبة فراء لا يدري أ ذكيّة أم غير ذكية أ يصلي فيها؟ فقال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ليس عليكم المسألة، 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الخوارج ضيقوا على</w:t>
      </w:r>
    </w:p>
    <w:p>
      <w:pPr>
        <w:pStyle w:val="BookText"/>
        <w:rPr/>
      </w:pPr>
      <w:r>
        <w:rPr>
          <w:rFonts w:ascii="Amiri" w:hAnsi="Amiri" w:eastAsia="Amiri" w:cs="Amiri"/>
          <w:color w:val="111111"/>
          <w:sz w:val="28"/>
          <w:sz w:val="28"/>
          <w:szCs w:val="28"/>
          <w:rtl w:val="true"/>
          <w:lang w:bidi="ar-SA"/>
        </w:rPr>
        <w:t>أنفسهم بجهالتهم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الدين أوسع من ذلك</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فإن ظاهر الخبر حيث جعل الاشياء على الطهارة و الحل، و نفي وجوب السؤال عن كل فرد و التضييق أنه مع السؤال يقبل قول المسئول و ألا لما كان بالسؤال 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الجلود و الفراء </w:t>
      </w:r>
      <w:r>
        <w:rPr>
          <w:rStyle w:val="FootnoteAnchor"/>
          <w:rtl w:val="true"/>
        </w:rPr>
        <w:footnoteReference w:id="262"/>
      </w:r>
      <w:r>
        <w:rPr>
          <w:rFonts w:ascii="Amiri" w:hAnsi="Amiri" w:eastAsia="Amiri" w:cs="Amiri"/>
          <w:color w:val="111111"/>
          <w:sz w:val="28"/>
          <w:sz w:val="28"/>
          <w:szCs w:val="28"/>
          <w:rtl w:val="true"/>
          <w:lang w:bidi="ar-SA"/>
        </w:rPr>
        <w:t>يشتريها الرجل من أسواق الجبل، أ يسألُ عن ذكاته إذا كان البائع مسلما غير عارف؟ فقال عليكم أن تسألوا إذا رأيتم المشركين يبيعون ذلك فإذا رايتموهم يصلون فيه فلا تسألوهم</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فإن الاظهر من معنى الخبر انكم اذ رأيتم المشركين يبيعون تلك فاسألوا لانه لعل المسلم أخذها من مشرك، و ان رأيتم المسلمين يصلون فيها فلا تسألوهم، لان صلاتهم فيه دليل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الاخبار التي تدل على قبول خبر ذي اليد في الطهارة موثق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يأتي بشراب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مطبوخ على الثلث،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مسلماً او عارفاً ورعا بامرنا فلا بأس</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 لا فرق في قبول خبر ذي يد بين خروجه عن ملكه و عدمه بعد ان يكون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خرج عن يده و هو في ملكه لم يقبل قوله الا أن يقبل خبر العدل في ذلك مطلقا كما هو الاقوى استناداً إلى مفهوم آية النبأ </w:t>
      </w:r>
      <w:r>
        <w:rPr>
          <w:rStyle w:val="FootnoteAnchor"/>
          <w:rtl w:val="true"/>
        </w:rPr>
        <w:footnoteReference w:id="265"/>
      </w:r>
      <w:r>
        <w:rPr>
          <w:rFonts w:ascii="Amiri" w:hAnsi="Amiri" w:eastAsia="Amiri" w:cs="Amiri"/>
          <w:color w:val="111111"/>
          <w:sz w:val="28"/>
          <w:sz w:val="28"/>
          <w:szCs w:val="28"/>
          <w:rtl w:val="true"/>
          <w:lang w:bidi="ar-SA"/>
        </w:rPr>
        <w:t xml:space="preserve">، و خصوص صحيح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يرى في ثوب أخيه دما، و هو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يؤذيه حتى ينصرف</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بيع الدهن المتنجس اشتراط الاستصباح به تحت السماء صريحا في ضمن العقد أو يكفي في صحة البيع قصد ذلك من المتعاقدين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يشترط شي‌ء منهما؟ وجوه بل أقوال، يظهر من الحلي في محكي السرائر الأول، حيث قال فيه بعد ذكر جواز الاستصباح بالأدهان المتنجسة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بيعه</w:t>
      </w:r>
    </w:p>
    <w:p>
      <w:pPr>
        <w:pStyle w:val="BookText"/>
        <w:rPr/>
      </w:pPr>
      <w:r>
        <w:rPr>
          <w:rFonts w:ascii="IRNazanin" w:hAnsi="IRNazanin" w:eastAsia="IRNazanin"/>
          <w:color w:val="111111"/>
          <w:sz w:val="28"/>
          <w:sz w:val="28"/>
          <w:szCs w:val="28"/>
          <w:rtl w:val="true"/>
          <w:lang w:bidi="fa-IR"/>
        </w:rPr>
        <w:t>بهذا الشرط عندنا</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و يظهر من محكي الخلاف الثاني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بيعه لمن يستصبح به تحت السماء، دليلنا إجماع الفرقة و أخبارهم،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مطلقاً </w:t>
      </w:r>
      <w:r>
        <w:rPr>
          <w:rStyle w:val="FootnoteAnchor"/>
          <w:rtl w:val="true"/>
        </w:rPr>
        <w:footnoteReference w:id="268"/>
      </w:r>
      <w:r>
        <w:rPr>
          <w:rFonts w:ascii="Amiri" w:hAnsi="Amiri" w:eastAsia="Amiri" w:cs="Amiri"/>
          <w:color w:val="111111"/>
          <w:sz w:val="28"/>
          <w:sz w:val="28"/>
          <w:szCs w:val="28"/>
          <w:rtl w:val="true"/>
          <w:lang w:bidi="ar-SA"/>
        </w:rPr>
        <w:t>، و هو ظاهر في كفاية القصد كما يظهر من عبارة المبسوط، بل هو ظاهر كل من عبر بقبوله يجوز بيعه للاستصباح، و الاقوى الثاني وفاقا لجماعة من أعيان الاصحاب نظرا الى أن جواز الاستصباح به تحت السماء مثبت لماليته، و متى ما كان مالا جاز بيعه، و لا دخل لقصد ذلك في تحقق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ان ما تتحقق به المالية من المنافع في غير الدهن المتنجس لا يعتبر في صحة بيعه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وجود المنفعة التي تتحقق بها المالية كاف في صحة البيع سواء قصدت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فالقصد لا مدار عليه في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قصد المنفعة المحرمة مبطل للبيع كما ستعرف ذلك مفصلا إن شاء الله تعالى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الاصحاب وجوب الاستصباح بالدهن المتنجس تحت السماء، بل عن السرائر نفي الخلاف في حرمة الاستصباح به تحت الظلال </w:t>
      </w:r>
      <w:r>
        <w:rPr>
          <w:rStyle w:val="FootnoteAnchor"/>
          <w:rtl w:val="true"/>
        </w:rPr>
        <w:footnoteReference w:id="269"/>
      </w:r>
      <w:r>
        <w:rPr>
          <w:rFonts w:ascii="Amiri" w:hAnsi="Amiri" w:eastAsia="Amiri" w:cs="Amiri"/>
          <w:color w:val="111111"/>
          <w:sz w:val="28"/>
          <w:sz w:val="28"/>
          <w:szCs w:val="28"/>
          <w:rtl w:val="true"/>
          <w:lang w:bidi="ar-SA"/>
        </w:rPr>
        <w:t>، و لعله المستند في الحكم، مضافا الى ما أرسله الشيخ في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اصحابنا انه يستصبح به تحت السماء دون السقف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الحكم في غاية الاشكال لخلو الاخبار الكثيرة الواردة في مقام البيان عن هذا القيد و انحصار المستند في المرسل المجبور بما سمعت من الشهرة و نفي الخلاف، و لعل الجملة الخبرية في المرسل محمولة على الاستحباب أو على الارشاد لئلا يتأثر السقف بالدخان من النجس، و فصّل العلامة في المختلف بين ما إذا علم بتصاعد شي‌ء من أجزاء الدهن و ما إذا لم يعلم، فوافق المشهور في الأول و خالفهم في الثاني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لابتنائه على تحريم تنجيس</w:t>
      </w:r>
    </w:p>
    <w:p>
      <w:pPr>
        <w:pStyle w:val="BookText"/>
        <w:rPr/>
      </w:pPr>
      <w:r>
        <w:rPr>
          <w:rFonts w:ascii="Amiri" w:hAnsi="Amiri" w:eastAsia="Amiri" w:cs="Amiri"/>
          <w:color w:val="111111"/>
          <w:sz w:val="28"/>
          <w:sz w:val="28"/>
          <w:szCs w:val="28"/>
          <w:rtl w:val="true"/>
          <w:lang w:bidi="ar-SA"/>
        </w:rPr>
        <w:t>السقف و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قال بعض اصحابنا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 من حكم يكون الاستصباح تعبّدا لا لنجاسة الدخان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فعلى القول بوجوب الاستصباح به تحت السماء لا بد من مراعاة كون الاستصباح به تحتها، فلا بد من كونه مكشوفا لها غير محجوب عنها بحاجز مشبكا أو لا، مرتفعا أو لا، كثيفا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على القول بعدم جواز التكسب بالمائع الذي لا يقبل التطهير لا فرق بين تعقّب الجمود له و عدمه بعد الاشتراك في عدم قبول التطهير الذي هو مناط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يخرج عن ذلك ما يقبل ظاهره التطهير بعد الجمود كالفضة و الذهب و القير و نحوهما إذا تنجست مائعة ثمّ جمدتْ، فلا بأس بالتكسب بها مائعة، لأن لها حالة يقبل ظاهرها التطهير فيها، و به يحصل النفع المقصود منها لعدم توقف الانتفاع بها على طهارة باطنها غالبا، و من ذلك يعلم خروج العجين النجس و نحوه بناء على أن له حالة تجفيف يقبل فيها التطهير أيضا، و ربما ألحق بعض اصحابنا الصابون مدّعيا أنه كالصبغ،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أشكال حينئذ بالغسل بما يبقى من رغوته المتنجسة، لكنه كما ترى، و الاولى الاستناد في ذلك الى السيرة إن كانت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أطبق أصحابنا على أن حرمة البيع في المقام تقضي بفساده و عدم ترتب الآثار عليه حتى من القائلين بعدم اقتضاء النهي في المعاملة الفساد، و ذلك إما لانعقاد الاجماع عندهم على ذلك و إن منعوه في غير هذا المقام، و أما لدلالة حرمة الثمن على ذلك، فان معنى حرمته حرمة أخذه و امساكه و التصرف فيه، و ليس ذلك الا لعدم انتقاله للبائع و بقائه على ملك المشتري و هو لا يجامع الصحة، و إما للقاعدة الشرعية المستفادة من الادلة الآتية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ما تعلق النهي بركنه من المعاملات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هذه من القواعد المحررة و الاصول المعتبرة، و لا ربط لها بالقول بدلالة النهي على الفساد، بل هي ثابتة حتى على القول بعدم دلالة النهي على الفساد، و يدل عليها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 معظم الاصحاب اليها و بناؤهم عليها، فان الفقهاء لم يزالوا كافة يستدلون في ابواب الفقه بالنهي على الفساد، و هو واضح لمن تتبع، و لا نقول بأنه دال على الفساد شرعاً، كما ادّعاه المرتضى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يستلزم النقل في مدلول النهي، بل الظاهر انه على معناه اللغوي و العرفي، لكن هذا التمسك و الاجماع كاشف إما عن وجود قرينة عندهم أو دليل يدل على ذلك، فيكون النهي أمارة محققة للموضوع و العلم بالفساد للقاعدة المذكورة، و لو كان ذلك لدلالة النهي على الفساد لما استدل به من منع دلالة النهي على الفساد، و حيث كان أصحابنا متسالمون على الفساد فيما لو تعلق النهي باركان المعاملة دون ما لو تعلق بأمر خارج، يكشف ذلك عن ثبوت القاعدة المدلول عليها عندهم في خصوص ما لو تعلق النهي بالاركان، بل بتتبّع كلامهم فيما لو تعلق النهي بامر خارج و حكمهم بعدم الفساد في ذلك يقتضي عثورهم على الدليل أو القرينة في خصوص ما لو تعلق النهي بالأركان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الذي حكاه المرتضى </w:t>
      </w:r>
      <w:r>
        <w:rPr>
          <w:rStyle w:val="FootnoteAnchor"/>
          <w:rtl w:val="true"/>
        </w:rPr>
        <w:footnoteReference w:id="274"/>
      </w:r>
      <w:r>
        <w:rPr>
          <w:rFonts w:ascii="Amiri" w:hAnsi="Amiri" w:eastAsia="Amiri" w:cs="Amiri"/>
          <w:color w:val="111111"/>
          <w:sz w:val="28"/>
          <w:sz w:val="28"/>
          <w:szCs w:val="28"/>
          <w:rtl w:val="true"/>
          <w:lang w:bidi="ar-SA"/>
        </w:rPr>
        <w:t>و غيره على ذلك فإنْ أراد به الاجماع على الفساد المنهي عنه فهو مسلّم و لا يستلزم دلالة النهي على الفساد فتتم حجة لنا على المطلوب، و إن أراد به الاجماع على دلالة النهي على الفساد فهو ممنوع لمصير المشهور الى عدم دلالة النهي على الفساد، فحينئذ ناخذ به في فساد المنهي عنه دون دلالة النهي على الفساد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مورده أعم من القاعدة المذكورة لحكايته على فساد المنهي عنه مطلقا و إن لم يكن النهي متعلقا بالاركان لا يضر في الاستدلال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فانّا وجدنا كثيرا من المعاملات المنهي عنها لركنها فاسدة بحيث لم يبق لنا بحث في فسادها، بل كان فسادها أمرا معلوما، إما من اجماع أو غيره، فاذا كان الغالب في المنهي عنه لذلك ذلك كان المشكوك به ملحقا بالأعم الاغلب و إن لم يدل دليل خاص على فساده، و الظاهر حجية الغلبة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الواردة في نكاح العبد بغير اذن سيده، و انه يصح معللا ذلك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عصى الله و انما عصى سيده</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فان الظاهر من التعليل أن كل عقد مشتمل على معصية 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معصية السيد معصية الله ايضاً، فينبغي أنّ يكون العقد فاسدا،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التعليل أنّ ما كان معصية الله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كان محرما بأصل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فاسداً، بخلاف ما لو كان التحريم لأمر خارج فانه لا يفسد كما يقضي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عصى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إنما يدل على ما ذكرناه من القاعدة، لأنّا إنما أثبتناها في ما لو كان التحريم ناشئاً من احد أركان المعاملة، و حيث كان نكاح العبد ليس فيه تحريم من أصل العقد و لا من أحد أركانه، و انما هو من أمر خارج و هو عدم إذن المولى لم يكن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ربط له بدلالة النهي على الفساد، بل يكون النهي دالا على تحريم المعاملة، و الاخبار المذكورة دالة على فساد كل معاملة محرمة باصل الشرع، فالاخبار الواردة منشأ القاعدة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الاخبار المذكورة تدل على أن العقد المنذور تركُه باطل، كما لو حلف على أن لا يبيع أو نذر كذلك، لاشتمال العقد المذكور على معصية الله بمخالفة النذر أو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الامر كذلك، لأن الظاهر من الخبر أن كل عقد يكون معصية لله، لو خُلّي و نفسه من دون أمر خارج يكون باطلا، و العقد المنذورُ تركُه إنما كان معصية بتوسط النذر و اليمين، و ليس النذر و اليمين إلا كإذن المولى في عقد عبده، فمنْعُ الله عن العقد المنذورُ تركُه بواسطة الزام العبد نفسه بتركه العقد باليمين، كما أن منع الله من عقد العبد بواسطة منع سيده عنه و كيف كان فالظاهر من الخبر أن كل عقد يكون معصية لله بنفسه من دون توسط أمر آخر يكون فاسدا، و العقد المنذور و المحلوف على تركه ليس كذلك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نمنع حجبه الخبر للمناقشة في سنده و في حجيته في مثل المقام،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سنده فمعتبر و تلقي الاصحاب له بالقبول و تكرر نقله في كتبهم كافٍ في ذلك، و أما</w:t>
      </w:r>
    </w:p>
    <w:p>
      <w:pPr>
        <w:pStyle w:val="BookText"/>
        <w:rPr/>
      </w:pPr>
      <w:r>
        <w:rPr>
          <w:rFonts w:ascii="Amiri" w:hAnsi="Amiri" w:eastAsia="Amiri" w:cs="Amiri"/>
          <w:color w:val="111111"/>
          <w:sz w:val="28"/>
          <w:sz w:val="28"/>
          <w:szCs w:val="28"/>
          <w:rtl w:val="true"/>
          <w:lang w:bidi="ar-SA"/>
        </w:rPr>
        <w:t xml:space="preserve">حجيته في مثل المقام فلا كلام فيها، لأن الغرض إثبات قاعدة فقهية به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ما تعلق النهي بركنه من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إثبات مسألة أصولية و هي دلالة النهي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المقامين بون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نجعل النهي المذكور أمارة كاشفة عن فساد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بعدم ظهور النواهي في فساد المنهي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 الخبر و بين عدم ظهور النواهي في ذلك، لأنا ندّعي دلالة الخبر على فساد المنهي عنه لا دلالة الخبر على دلالة النواهي على فساد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ادّعينا دلالة الخبر على دلالة النواهي على الفساد أمكن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تنزّلا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من النواهي عدم فساد المنهي عنه و كانت معارضة للخبر المذكور كان مقدما عليها أيضا لأنه من قبيل القرينة على صرف ظاهر النواهي، لأنه يكون نظير ما 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نهيتك عن شي‌ء فهو فاسد، فهذا صارف لظواهر النواهي و الخبر المذكور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المشهور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فانه دال على فساد المعاملة المنهي عن أحد أركانها و هو المبيع، و بضميمة عدم القول بالفصل بالاركان يتم المطلوب، و بيان دلالته على الفساد أن معنى حرمة الثمن هو حرمة أخذه و إمساكه و التصرف فيه، و ليس ذلك الا لعدم تملكه، و عدمُ تمليكهِ لا يجامع صحة المعاملة، لأن صحتها عبارة عن ترتب الاثر عليها الذي هو الملك و التمليك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ليست من لوازم الملك الذي يقتضي انتفاؤها بانتفائه، أ لا ترى أن الذمي لا يجوز له التصرف بالخمر و الخنزير و لا إمساكهما و لا أخذهما، لأنه مكلف بالفروع كالمسلمين مع أنه يملكهما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ليس ملكا واقعيا، لكن الشريعة أقرتهم على ما يرونه من صحة تملكها فجرى عليها حكم الملك من عدم جواز الاتلاف و وجوب الرد و الضمان و نحو ذلك فكان حكما ثانويا، و إلا فليس ذلك من الأملاك الواقعية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حرمة نفس المعاملة لا تستلزم عدم الملك، كذلك حرمة الثمن و التصرف فيه لا تستلزم عدم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انه كم من مالك لا يجوز له التصرف في ملكه، و لا يجوز له المطالبة به، كمن اشترى شيئاً مغصوباً و دفع ثمنه فانه لا تجوز له المطالبة بالثمن و إن كانت عينه باقية كما هو المشهور، بل حكى على ذلك الاجماع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ردّه له البائع جاز له التصرف فيه، و مثله المدّعي لا تجوز له المطالبة بالمال الذي حلف عليه المنكر، و لا يجوز له التصرف فيه و إن كان ماله 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نقول إن حرمة الثمن تدل على الفساد لغة أو عقلا بل نظراً </w:t>
      </w:r>
      <w:r>
        <w:rPr>
          <w:rStyle w:val="FootnoteAnchor"/>
          <w:rtl w:val="true"/>
        </w:rPr>
        <w:footnoteReference w:id="277"/>
      </w:r>
      <w:r>
        <w:rPr>
          <w:rFonts w:ascii="Amiri" w:hAnsi="Amiri" w:eastAsia="Amiri" w:cs="Amiri"/>
          <w:color w:val="111111"/>
          <w:sz w:val="28"/>
          <w:sz w:val="28"/>
          <w:szCs w:val="28"/>
          <w:rtl w:val="true"/>
          <w:lang w:bidi="ar-SA"/>
        </w:rPr>
        <w:t>الى قواعد الشرع لأن المعلوم من قواعده ان الملك له لوازم شرعية تثبت بثبوته و ينتفي بانتفائها الا ما خارج بدليل، و خروج الموارد المذكورة ببعض الادلة الخاصة لا ينافي ما ذكرناه من قواعد الشريعة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الفساد في كل ما لم تُعلم صحته أو فساده من المعاملات، و تقرير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علمنا صحته من المعاملات حكمنا بها، و ما علمنا فساده حكمنا به، و ما لم نعلم صحته أو فساده سواء ظننا أحدهما ظنا غير معتبر شرعا أولا، فالاصل الفقاهتي التعليقي فيه الفساد و نعني بالاصل الفقاهتي ما كان حجيته تعبدية لا من حيث الوصف، أي حصول الظن كأصالة الحاق الولد بالفراش، و أصالة الملكية في يد المسلم و أصالة الطهارة في الاشياء، و يقابله الاصل الاجتهادي، و هو ما كانت حجيته من حيث إفادته الظن كأصالة البراءة و الاستصحاب، و بالتعليقي هو ما توقف العمل به على الفحص عن المعارض كالاصول المذكورة، و يقابله التنجيزي و هو ما لا يتوقف العمل به على الفحص عن المعارض كقاعدة عدم التكليف بما لا يطاق، و قاعدة وجوب مقدمة الواجب، و قاعدة اقتضاء الامر بالشي‌ء، النهي عن الضد، و قاعدة عدم اجتماع الامر و النهي، و معنى كون الاصل الفساد في المشكوك به أن الفقيه إذا شك في صحة بيع المعاطاة و الفضولي و تفحص الأدلة الظنية المعتبرة على المقدار المعتبر في الفحص على رأيه فيه و لم يجد شيئا يدل على الصحة أو الفساد يبني على الفساد بمقتضى القاعدة الفقهية التعبدية، لأن الصحة مفهومها وجودي و هو</w:t>
      </w:r>
    </w:p>
    <w:p>
      <w:pPr>
        <w:pStyle w:val="BookText"/>
        <w:rPr/>
      </w:pPr>
      <w:r>
        <w:rPr>
          <w:rFonts w:ascii="Amiri" w:hAnsi="Amiri" w:eastAsia="Amiri" w:cs="Amiri"/>
          <w:color w:val="111111"/>
          <w:sz w:val="28"/>
          <w:sz w:val="28"/>
          <w:szCs w:val="28"/>
          <w:rtl w:val="true"/>
          <w:lang w:bidi="ar-SA"/>
        </w:rPr>
        <w:t xml:space="preserve">الاتيان بالشي‌ء على وجهه، و لا فرق في ذلك بين العبادات و المعاملات، فالصحة في العبادات عبارة عن كون العبادة تامة الاجزاء و الشرائط و مرفوعة الموانع مع كونها مأمورا بها، فلو شك في الجزء أو الشرط أو المانع لم يتحقق مفهوم الصحة و مقوماتها، و كذا لو علم بتماميتها و شك في تعلق الامر بها كصلاة الضحى لم تتحقق الصحة ايضاً، و في المعاملات عبارة عن سببيتها للأثر المطلوب و ترتب ذلك الأثر عليها كتمليك العين و المنفعة في البيع و الصلح، و المنفعة فقط في الاجارة و العارية، و البضع في النكاح، فمتى ما شك في سببيتها و لم يعثر بعد الفحص على دليل يدل على ذلك يبني على فسادها و عدم السببية للأصل الفقاهتي التعبدي، فكما ان يد المسلم قاضية بالملكية و الفراش قاضٍ بكون الولد له الشك </w:t>
      </w:r>
      <w:r>
        <w:rPr>
          <w:rStyle w:val="FootnoteAnchor"/>
          <w:rtl w:val="true"/>
        </w:rPr>
        <w:footnoteReference w:id="278"/>
      </w:r>
      <w:r>
        <w:rPr>
          <w:rFonts w:ascii="Amiri" w:hAnsi="Amiri" w:eastAsia="Amiri" w:cs="Amiri"/>
          <w:color w:val="111111"/>
          <w:sz w:val="28"/>
          <w:sz w:val="28"/>
          <w:szCs w:val="28"/>
          <w:rtl w:val="true"/>
          <w:lang w:bidi="ar-SA"/>
        </w:rPr>
        <w:t>مع عدم العثور على دليل الصحة قاضٍ بإفساد العقد من غير فرق بين الشك أو الظن غير المعتبر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مدرك هذا الاصل الاجماع محصلًا و منقولًا عن جملة من اساطين اصحابنا، و له مدارك أُخر ليس هذا محل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اثبات الفساد بطريق آخر، و هو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 عدم الصحة في المشكوك به، لأن احكام الشارع كلها توقيفية، و منها الصحة، و الاصل عدمها، فيكون الاصل من الاصول العقلية الاجتهادية و هو استصحاب العدم الّا انه يحتاج في اثبات الفساد الى دليل، و هو اما قاعدة عدم الدليل دليل العدم، و انتفاء الواسطة بين الصحيح و الفاسد، فانتفاء الصحة يستلزم ثبوت الفساد، او دعوى ان الفساد امر عدمي و هو عبارة عن عدم الصحة فتأمل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ثبتت اصالة الفساد في ما لم يدل دليل على صحته من المعاملات، فنقول ان المنهي عنه لركنه فاسد، لأن النهي دل على التحريم، فيخصص به ما دلَّ على حلية البيع و جوار الصلح و وجوب الوفاء بالعقود، لأن التعارض بينهما بالعموم او الخصوص المطلقين فيخرج المنهي عن عموم ادلة الاباحة و الجوار، و الصحة و ان كانت من الاحكام الوضعية لكنها تابعة في هذه الادلة للحكم التكليفي، بمعنى انَّ الصحة قد استفيدت من ادلة الإباحة و لزوم الوفاء، فمتى زال الحل بالنهي فلا وجه لبقاء الصحة، و الغرض ان المنهي عنه لركنه بخروجه عن ادلة الصحة يبقى بلا دليل فيرجع</w:t>
      </w:r>
      <w:bookmarkStart w:id="102" w:name="pg2491_24175"/>
    </w:p>
    <w:p>
      <w:pPr>
        <w:pStyle w:val="BookText"/>
        <w:rPr/>
      </w:pPr>
      <w:bookmarkEnd w:id="102"/>
      <w:r>
        <w:rPr>
          <w:rFonts w:ascii="Amiri" w:hAnsi="Amiri" w:eastAsia="Amiri" w:cs="Amiri"/>
          <w:color w:val="111111"/>
          <w:sz w:val="28"/>
          <w:sz w:val="28"/>
          <w:szCs w:val="28"/>
          <w:rtl w:val="true"/>
          <w:lang w:bidi="ar-SA"/>
        </w:rPr>
        <w:t>الى اصالة الفساد الاولية، و هو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المنهي عنه لركنه فاسد الّا ان النهي يدل على الفساد،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يتجه فيما لو كان دليل الصحة منحصر في العمومات التكليفية، و ليس كذلك لأن عندنا عمومات وضعية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و نحوه لا تنافي بينها و بين التحريم فلا تخصص به و هي كافية في اثبات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الوضعية مع عدم وجودها في كثير من الابواب و اخصيتها من المدعي لبيان حكم آخر و لا دلالة فيها على اثبات الصحة حتى يتمسك بها، و بالجملة المعاملة المنهي عنها لركنها فاسدة فتبصّر</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3813603_3804643083"/>
      <w:bookmarkStart w:id="104" w:name="_Toc41"/>
      <w:bookmarkEnd w:id="103"/>
      <w:r>
        <w:rPr>
          <w:rtl w:val="true"/>
        </w:rPr>
        <w:t>[</w:t>
      </w:r>
      <w:r>
        <w:rPr>
          <w:rtl w:val="true"/>
        </w:rPr>
        <w:t>النوع الثاني مما يحرم التكسب به ما كان محرما لتحريم الغاية التي وضع لها ذلك الشي‌ء</w:t>
      </w:r>
      <w:r>
        <w:rPr>
          <w:rtl w:val="true"/>
        </w:rPr>
        <w:t>]</w:t>
      </w:r>
      <w:bookmarkEnd w:id="104"/>
    </w:p>
    <w:p>
      <w:pPr>
        <w:pStyle w:val="Heading6"/>
        <w:numPr>
          <w:ilvl w:val="5"/>
          <w:numId w:val="1"/>
        </w:numPr>
        <w:rPr/>
      </w:pPr>
      <w:bookmarkStart w:id="105" w:name="__RefHeading___Toc3813605_3804643083"/>
      <w:bookmarkStart w:id="106" w:name="_Toc42"/>
      <w:bookmarkEnd w:id="105"/>
      <w:r>
        <w:rPr>
          <w:rtl w:val="true"/>
        </w:rPr>
        <w:t>التكسب بآلات اللهو</w:t>
      </w:r>
      <w:bookmarkEnd w:id="106"/>
    </w:p>
    <w:p>
      <w:pPr>
        <w:pStyle w:val="Heading6"/>
        <w:numPr>
          <w:ilvl w:val="5"/>
          <w:numId w:val="1"/>
        </w:numPr>
        <w:rPr/>
      </w:pPr>
      <w:bookmarkStart w:id="107" w:name="__RefHeading___Toc3813607_3804643083"/>
      <w:bookmarkStart w:id="108" w:name="_Toc43"/>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النوع الثاني مما يحرم التكسب به ما كان محرما لتحريم الغاية التي وضع لها ذلك الشي‌ء كآلات اللهو، مثل العود و المزامير و هياكل العبادة المبتدعة كالصليب و الصنم و آلات القمار كالنرد و الشطرنج</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 بالضم الذي يضرب به و هو عود اللهو</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قصبة يزمر بها، و تسمى الشبابة و الجمع مزامير</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صليب النصارى هيكل مربع يدّعي </w:t>
      </w:r>
      <w:r>
        <w:rPr>
          <w:rStyle w:val="FootnoteAnchor"/>
          <w:rtl w:val="true"/>
        </w:rPr>
        <w:footnoteReference w:id="282"/>
      </w:r>
      <w:r>
        <w:rPr>
          <w:rFonts w:ascii="Amiri" w:hAnsi="Amiri" w:eastAsia="Amiri" w:cs="Amiri"/>
          <w:color w:val="111111"/>
          <w:sz w:val="28"/>
          <w:sz w:val="28"/>
          <w:szCs w:val="28"/>
          <w:rtl w:val="true"/>
          <w:lang w:bidi="ar-SA"/>
        </w:rPr>
        <w:t xml:space="preserve">النصارى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على خشبته على تلك الصورة، و عن مغرب اللغة انه شي‌ءٌ مثلث كالتماثيل تعبده النصارى</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 الصنم هو ما كان مصورا من حجر أو صفر و نحو ذلك، و الوثن ما كان من غير صورة،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شي‌ء واحد </w:t>
      </w:r>
      <w:r>
        <w:rPr>
          <w:rStyle w:val="FootnoteAnchor"/>
          <w:rtl w:val="true"/>
        </w:rPr>
        <w:footnoteReference w:id="284"/>
      </w:r>
      <w:r>
        <w:rPr>
          <w:rFonts w:ascii="Amiri" w:hAnsi="Amiri" w:eastAsia="Amiri" w:cs="Amiri"/>
          <w:color w:val="111111"/>
          <w:sz w:val="28"/>
          <w:sz w:val="28"/>
          <w:szCs w:val="28"/>
          <w:rtl w:val="true"/>
          <w:lang w:bidi="ar-SA"/>
        </w:rPr>
        <w:t xml:space="preserve">، و النرد هو النرد شير الذي هو من موضوعات سابور بن اردشير بن بابك، و اردشير بن بابك أول ملوك الساسانية، شبّه رقعتَه بوجهِ الأرض، و التقسيمَ الرباعيّ بالكعاب الاربعة، و الرقومَ المجعولةَ ثلاثين بثلاثين يوما، و السوادَ و البياض بالليل و النهار، و البيوتَ الاثني عشرية بالشهور، و الكعاب بالاقضية السماوية للّعب بها و الكسب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الشطرنج لعبة معروفة اخذا من الشطارة او التشطّر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البرابط، قال 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البَربَط كجعفر شي‌ء من ملاهي العجم يشبه صدر</w:t>
      </w:r>
      <w:bookmarkStart w:id="109" w:name="pg2491_24176"/>
    </w:p>
    <w:p>
      <w:pPr>
        <w:pStyle w:val="BookText"/>
        <w:rPr/>
      </w:pPr>
      <w:bookmarkEnd w:id="109"/>
      <w:r>
        <w:rPr>
          <w:rFonts w:ascii="Amiri" w:hAnsi="Amiri" w:eastAsia="Amiri" w:cs="Amiri"/>
          <w:color w:val="111111"/>
          <w:sz w:val="28"/>
          <w:sz w:val="28"/>
          <w:szCs w:val="28"/>
          <w:rtl w:val="true"/>
          <w:lang w:bidi="ar-SA"/>
        </w:rPr>
        <w:t>البط، معرَّب بربت أي صدر البط، لأن الصدر يقال له بالفارسية بر و الضارب به يضعه على صدره</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و كيف كان فالكلام في هذا القسم مما يحرم التكسب به في مقامات</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3813609_3804643083"/>
      <w:bookmarkStart w:id="111" w:name="_Toc44"/>
      <w:bookmarkEnd w:id="110"/>
      <w:r>
        <w:rPr>
          <w:rtl w:val="true"/>
        </w:rPr>
        <w:t>[</w:t>
      </w:r>
      <w:r>
        <w:rPr>
          <w:rtl w:val="true"/>
        </w:rPr>
        <w:t>المقام الأول</w:t>
      </w:r>
      <w:r>
        <w:rPr>
          <w:rtl w:val="true"/>
        </w:rPr>
        <w:t xml:space="preserve">] </w:t>
      </w:r>
      <w:r>
        <w:rPr>
          <w:rtl w:val="true"/>
        </w:rPr>
        <w:t>عمل آلات اللهو</w:t>
      </w:r>
      <w:bookmarkEnd w:id="111"/>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يجوز عمل آلات اللهو و هياكل العبادة المبتدعة و آلات القمار أو لا يجوز؟، و تخصيص الامور المذكورة من باب المثال، و المراد كل ما وضع لهذه الامور بحيث كان المقصود منها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الجواز كما هو صريح شرح الارشاد لفخر الاسلام و المقنعة </w:t>
      </w:r>
      <w:r>
        <w:rPr>
          <w:rStyle w:val="FootnoteAnchor"/>
          <w:rtl w:val="true"/>
        </w:rPr>
        <w:footnoteReference w:id="288"/>
      </w:r>
      <w:r>
        <w:rPr>
          <w:rFonts w:ascii="IRNazanin" w:hAnsi="IRNazanin" w:eastAsia="IRNazanin"/>
          <w:color w:val="111111"/>
          <w:sz w:val="28"/>
          <w:sz w:val="28"/>
          <w:szCs w:val="28"/>
          <w:rtl w:val="true"/>
          <w:lang w:bidi="fa-IR"/>
        </w:rPr>
        <w:t xml:space="preserve">و ظاهر السرائر </w:t>
      </w:r>
      <w:r>
        <w:rPr>
          <w:rStyle w:val="FootnoteAnchor"/>
          <w:rtl w:val="true"/>
        </w:rPr>
        <w:footnoteReference w:id="289"/>
      </w:r>
      <w:r>
        <w:rPr>
          <w:rFonts w:ascii="Amiri" w:hAnsi="Amiri" w:eastAsia="Amiri" w:cs="Amiri"/>
          <w:color w:val="111111"/>
          <w:sz w:val="28"/>
          <w:sz w:val="28"/>
          <w:szCs w:val="28"/>
          <w:rtl w:val="true"/>
          <w:lang w:bidi="ar-SA"/>
        </w:rPr>
        <w:t xml:space="preserve">، و يدل عليه الاجماع المنقول عن المنتهى حيث قال في المحكي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عمل الاصنام و غيرها من هياكل العبادة المبتدعة و آلات اللهو كالعود و المزمر و آلات القمار كالنرد و الشطرنج و الاربعة عشر و غيرها من آلات اللهو بلا خلاف بين علمائنا في ذلك</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الغنية </w:t>
      </w:r>
      <w:r>
        <w:rPr>
          <w:rStyle w:val="FootnoteAnchor"/>
          <w:rtl w:val="true"/>
        </w:rPr>
        <w:footnoteReference w:id="291"/>
      </w:r>
      <w:r>
        <w:rPr>
          <w:rFonts w:ascii="Amiri" w:hAnsi="Amiri" w:eastAsia="Amiri" w:cs="Amiri"/>
          <w:color w:val="111111"/>
          <w:sz w:val="28"/>
          <w:sz w:val="28"/>
          <w:szCs w:val="28"/>
          <w:rtl w:val="true"/>
          <w:lang w:bidi="ar-SA"/>
        </w:rPr>
        <w:t xml:space="preserve">الاجماع على تحريم أجر عملها و هو ظاهر في تحريم العمل، و عدم الملازمة بين تحريم الاجر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عملها لا تنافي الظهور فتأمل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مضافا الى الاجماع جملة من الاخبار منها المروي عن جامع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الشطرنج حرام و اكل ثمنه سحت و ايجادها كفر و اللعب بها شرك</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اتخاذها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المطلوب بوجه، بل يمكن الاستدلال عليه بما دل من الاخبار على أن الشارع لا يريد وجودها في الخارج لما فيه من الفساد، و لهذا أمر بكسرها على سبيل الفور و جعل ذلك من الواجبات الكفائية</w:t>
      </w:r>
      <w:bookmarkStart w:id="112" w:name="pg2491_24177"/>
    </w:p>
    <w:p>
      <w:pPr>
        <w:pStyle w:val="BookText"/>
        <w:rPr/>
      </w:pPr>
      <w:bookmarkEnd w:id="112"/>
      <w:r>
        <w:rPr>
          <w:rFonts w:ascii="Amiri" w:hAnsi="Amiri" w:eastAsia="Amiri" w:cs="Amiri"/>
          <w:color w:val="111111"/>
          <w:sz w:val="28"/>
          <w:sz w:val="28"/>
          <w:szCs w:val="28"/>
          <w:rtl w:val="true"/>
          <w:lang w:bidi="ar-SA"/>
        </w:rPr>
        <w:t xml:space="preserve">حتى انه لم يحكم بضمان متلفها حتى لو توقف اتلاف الصورة على اتلاف المادة، جوّزه الشارعُ بل أوجبه، و لم يترتب عليه ضمانٌ كما ستسمع هذا كله، مما يدل باوضح دلالة على حرمة عملها، بل بعد أن كان اتلافها من باب الامر بالمعروف و النهي عن المنكر، و ابقاؤها و عدم كسرها من باب الاعانة على الاثم، كان ايجادها من باب الاعانة على الاثم بطريق أولى، و يمكن الاستدلال على ذلك بخبر التحف حيث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حرّم الله الصناعات التي هي حرام كلها التي يجي‌ء منها الفساد محضا نظير البرابط و المزامير و الشطرنج و كل ملهوّ به و الصلبان و الاصنام و ما أشبه ذلك</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فحرام تعليمه و العمل به و أخذ الاجرة عليه و جميع التقلب فيه من جميع وجوه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الاجرة على عمله لا على العمل به،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التقلب فيه من جميع وجوه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ايضا، بل يمكن الاستدلال عليه بالمرسل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المقلب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كالمقلب لحم الخنزير</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لانه كناية عن تحريم التقلب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جدي المرحوم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الاجماع و الاخبار عدم جواز العمل و الاستعمال و الانتفاع و الابقاء و الاكتساب بجميع وجوهه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 w:name="__RefHeading___Toc3813611_3804643083"/>
      <w:bookmarkStart w:id="114" w:name="_Toc45"/>
      <w:bookmarkEnd w:id="113"/>
      <w:r>
        <w:rPr>
          <w:rtl w:val="true"/>
        </w:rPr>
        <w:t>[</w:t>
      </w:r>
      <w:r>
        <w:rPr>
          <w:rtl w:val="true"/>
        </w:rPr>
        <w:t>المقام الثاني</w:t>
      </w:r>
      <w:r>
        <w:rPr>
          <w:rtl w:val="true"/>
        </w:rPr>
        <w:t xml:space="preserve">:] </w:t>
      </w:r>
      <w:r>
        <w:rPr>
          <w:rtl w:val="true"/>
        </w:rPr>
        <w:t>استعمال آلات اللهو</w:t>
      </w:r>
      <w:bookmarkEnd w:id="1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يجوز استعمالها و الانتفاع بها بعد عملها؟ قد سمعت ما ادّعاه في شرح القواعد من ظاهر الاجماع و الاخبار على عدم جواز الاستعمال و الانتفاع بها بل هو صريح خبر ابي بصير حيث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الخائض يده فيها كالخايض يده في لحم الخنزير</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 مثله المرسل حيث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المقلب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كالمقلب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سيأتي إن شاء الله تعالى مما يدل على وجوب إتلافها، لأن وجودها مما يبعث على الفساد</w:t>
      </w:r>
      <w:r>
        <w:rPr>
          <w:rFonts w:eastAsia="Amiri" w:cs="Amiri" w:ascii="Amiri" w:hAnsi="Amiri"/>
          <w:color w:val="111111"/>
          <w:sz w:val="28"/>
          <w:szCs w:val="28"/>
          <w:rtl w:val="true"/>
          <w:lang w:bidi="ar-SA"/>
        </w:rPr>
        <w:t>.</w:t>
      </w:r>
      <w:bookmarkStart w:id="115" w:name="pg2491_24178"/>
    </w:p>
    <w:p>
      <w:pPr>
        <w:pStyle w:val="BookText"/>
        <w:rPr/>
      </w:pPr>
      <w:bookmarkEnd w:id="115"/>
      <w:r>
        <w:rPr>
          <w:rFonts w:ascii="Amiri" w:hAnsi="Amiri" w:eastAsia="Amiri" w:cs="Amiri"/>
          <w:color w:val="111111"/>
          <w:sz w:val="28"/>
          <w:sz w:val="28"/>
          <w:szCs w:val="28"/>
          <w:rtl w:val="true"/>
          <w:lang w:bidi="ar-SA"/>
        </w:rPr>
        <w:t>و من هنا يعلم انه لا فرق في حرمة الانتفاع بها بين كون الانتفاع بها في ما وضعت له أو في غيره، و بين كون المنفعة محللة أو محرمة كما يقضي به اطلاق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الانتفاع بها مع بقائها على هيئتها في الوجه المحلل، لانه قال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أمكن الانتفاع بها في غير الوجه المحرم على تلك الحالة منفعة مقصودة فاشتراها لتلك المنفعة لم يبعد جواز بيعها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المفهوم من الادلة أن ما صدق عليه اسم من هذه الاسماء لا يريد الشارع وجوده في الخارج لما يترتب عليه من الفساد، و لهذا أوجب إتلافه كفاية كما ستسمع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بجواز الانتفاع بها مع صدق الاسم عليها مما ينافي غرض الشارع</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3813613_3804643083"/>
      <w:bookmarkStart w:id="117" w:name="_Toc46"/>
      <w:bookmarkEnd w:id="116"/>
      <w:r>
        <w:rPr>
          <w:rtl w:val="true"/>
        </w:rPr>
        <w:t>[</w:t>
      </w:r>
      <w:r>
        <w:rPr>
          <w:rtl w:val="true"/>
        </w:rPr>
        <w:t>المقام الثالث</w:t>
      </w:r>
      <w:r>
        <w:rPr>
          <w:rtl w:val="true"/>
        </w:rPr>
        <w:t xml:space="preserve">:] </w:t>
      </w:r>
      <w:r>
        <w:rPr>
          <w:rtl w:val="true"/>
        </w:rPr>
        <w:t>إتلاف آلات اللهو</w:t>
      </w:r>
      <w:bookmarkEnd w:id="117"/>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أعدامها و اتلافها، و الظاهر انه واجب على سبيل الكفاية كما يستفاد من كلام الاصحاب، و ربما تشعر بذلك أخبار الباب، بل يمكن ادعاء الاجماع على ذلك، و الظاهر أنه من الواجبات الفورية، و كأنّ الحكمة فيه مضافا الى ما يترتب على وجودها من الفساد امتناع الناس من عملها و صنعها، و لا فرق في هذا الحكم بين المالك و غيره، و لا يسقط الوجوب بالقطع باتلاف المالك لها ما لم يتشاغل بذلك و الذي يجب اتلافه انما هو الصورة دون المادة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توقف تلف الصورة على تلف المادة وجب اتلافها و لا ضمان على المتلف، لأن المادة في ضمن الصورة غير مملوكة لمالكها بحكم الاستصحاب، و لان القول بخروجها بالتصوير عن الملك يقتضي القول بدخولها في الملك بعد الكسر، و كل منها لا دليل عليه مع مخالفته للأصل، بل القول بخروجها عن الملك بالتصوير يقتضي عدم ضمانها بالغصب و بالتلف و هو مشكل جدا، بل لأن الشارع المقدس اسقط احترامها و ماليتها فيما لو توقف تلف الصورة على تلفها، و لو لم يتوقف اتلاف الصورة على اتلاف المادة، فهل يجوز إتلاف المادة في ضمن إتلاف الصورة أو لا؟ وجهان ينشئان من إطلاق الأمر بالإتلاف و الكسر، و من حرمة التصرف في مال الغير إلا بقدر الضرورة</w:t>
      </w:r>
      <w:bookmarkStart w:id="118" w:name="pg2491_24179"/>
    </w:p>
    <w:p>
      <w:pPr>
        <w:pStyle w:val="BookText"/>
        <w:rPr/>
      </w:pPr>
      <w:bookmarkEnd w:id="118"/>
      <w:r>
        <w:rPr>
          <w:rFonts w:ascii="Amiri" w:hAnsi="Amiri" w:eastAsia="Amiri" w:cs="Amiri"/>
          <w:color w:val="111111"/>
          <w:sz w:val="28"/>
          <w:sz w:val="28"/>
          <w:szCs w:val="28"/>
          <w:rtl w:val="true"/>
          <w:lang w:bidi="ar-SA"/>
        </w:rPr>
        <w:t xml:space="preserve">المأذون فيه، و الذي يقوى في النظر الجواز و كونه مخيّرا في طرق الإتلاف، و عليه فهل يضمن المادة في صورة عدم التوقف أو لا؟ وجهان ينشئان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 من لزوم الفساد بالتضمين لتوقف الناس من الإتلاف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الإتلاف بإذن الشارع فلا يستعقب ضماناً، و مما ذكرنا يعلم أنه لا يجب على المتلف مراعاة الأقرب فالأقرب إلى حفظ المادة من أنواع الإتلاف، بل هو مخيّر في جميع كيفياته و جهاته و الله العالم بحقائق أحكامه</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3813615_3804643083"/>
      <w:bookmarkStart w:id="120" w:name="_Toc47"/>
      <w:bookmarkEnd w:id="119"/>
      <w:r>
        <w:rPr>
          <w:rtl w:val="true"/>
        </w:rPr>
        <w:t>[</w:t>
      </w:r>
      <w:r>
        <w:rPr>
          <w:rtl w:val="true"/>
        </w:rPr>
        <w:t>المقام الرابع</w:t>
      </w:r>
      <w:r>
        <w:rPr>
          <w:rtl w:val="true"/>
        </w:rPr>
        <w:t xml:space="preserve">:] </w:t>
      </w:r>
      <w:r>
        <w:rPr>
          <w:rtl w:val="true"/>
        </w:rPr>
        <w:t>التكسب بآلات اللهو</w:t>
      </w:r>
      <w:bookmarkEnd w:id="12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التكسب بالآلات المذكورة، و هو مقطوع به في كلام الاصحاب بل حكى عليه الاجماع جمع من المتأخرين، و الاخبار بذلك مستفيضة، منها المروي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بيعه و شراؤه و الانتفاع بشي‌ء من هذا حرام من الله محرم</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 المروي عن جامع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الشطرنج حرام و أكل ثمنه سحت</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و المروي عن الفصول المهمة 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فحرام تعليمه و تعلمه و العمل به و أخذ الاجرة عليه و جميع التقلب فيه من جميع الحركات كلها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و يدل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 لأن المفهوم من الخبر على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حرم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حرمه بشي‌ء مطلق، و تحريمه كذلك ينصرف الى تحريم منافعه الغالبة و هذه الاشياء منافعها الغالبة محرمة جزما، فان هذه الآلات من حيث هي انما ينتفع بها في المحرم، و لو أمكن الانتفاع بها بغير محرم فهي منفعة نادرة، و لا شك أن المنفعة المحرمة هي الغالبة فيها و يدل على</w:t>
      </w:r>
    </w:p>
    <w:p>
      <w:pPr>
        <w:pStyle w:val="BookText"/>
        <w:rPr/>
      </w:pPr>
      <w:r>
        <w:rPr>
          <w:rFonts w:ascii="Amiri" w:hAnsi="Amiri" w:eastAsia="Amiri" w:cs="Amiri"/>
          <w:color w:val="111111"/>
          <w:sz w:val="28"/>
          <w:sz w:val="28"/>
          <w:szCs w:val="28"/>
          <w:rtl w:val="true"/>
          <w:lang w:bidi="ar-SA"/>
        </w:rPr>
        <w:t>ذلك ايضاً ان دفعها للغير ببيع و نحوه من المعاونة على الاثم و العدوان المنهي عنها في صريح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التكسب بها على هيئتها و صورتها محرم جزما من غير فرق بين ان يكون التكسب بالهيئة أو بالمادة التي في ضمن الهيئة قال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بعد الحكم بتحريم التكسب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قصد الجهة المحللة و غيرها و لا بين قصد المادة و قصد الصورة</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و يظهر من بعض المعاصرين جواز التكسب بالمادة في ضمن الصورة،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هي الباعثة على بذل المال بازاء ذلك الشي‌ء و ان كان عنوان المبيع المبذول بإزائه الثمن هو ذلك الشي‌ء فهو حسن، لان بذل المال بازاء هذا الجسم المتشكَل بالشكل الخاص من حيث كونه مالا عرفا بذل للمال على الباطل، و ان أريد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المبيع هي المادة سواء تعلق البيع بها بالخصوص،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خشب هذا الصنم، أو في ضمن مجموع مركب كما لو وزن له وزنة حطب،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الحطب فظهر فيه صنم أو صليب، فالحكم ببطلان البيع في الاول و في مقدار الصنم في الثاني مشكل، لمنع شمول الادلة لمثل هذا الفرد، لان المتيقن من الدلالة المتقدمة حرمة المعاوضة على هذه الامور نظير المعاوضة على غيره من الاموال العرفية، و هو ملاحظة ما يتقوّم به مالية الشي‌ء من المادة و الهيئة و الاوصاف</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ملكية المادة في ضمن الصورة و ما ليتها، و لكن ظاهر الادلة المذكورة المنع من ذلك، لان ظاهرها عدم إرادة الشارع وجود تلك الاشياء في الخارج و عدم بقائها، و لا شك ان تجويز بيع المادة وسيلة لبقائها بل هو مثار لمادة الفساد التي يريد قمعها الشارع، فلسنا ندّعي ان مالية المادة لا تكون الا بشرط الصورة، بل نقول ان المادة و ان كانت مالا لكن الشارع نهى عن التكسب بها ما دامت على هذه</w:t>
      </w:r>
    </w:p>
    <w:p>
      <w:pPr>
        <w:pStyle w:val="BookText"/>
        <w:rPr/>
      </w:pPr>
      <w:r>
        <w:rPr>
          <w:rFonts w:ascii="Amiri" w:hAnsi="Amiri" w:eastAsia="Amiri" w:cs="Amiri"/>
          <w:color w:val="111111"/>
          <w:sz w:val="28"/>
          <w:sz w:val="28"/>
          <w:szCs w:val="28"/>
          <w:rtl w:val="true"/>
          <w:lang w:bidi="ar-SA"/>
        </w:rPr>
        <w:t>الصورة، لكونها مثارا للفساد، بل ربما يمكن ادعاء انه يصدق عرفا ان هذا بيع للشطرنج و ان كان المبيع المادة في ضمن الصورة، و هو منهي عنه كما هو صريح الادلة، بل ربما ندّعي ان المادة غير مستقرة البقاء، فلا يجوز التكسب بها من جهة أخرى، و هي ان دفع المال في مقابلها ما دامت على هذه الصورة سفه صرف، لأن الشارع أباح إتلافها في إتلاف صورتها لكل أحد فلا تكون مطمئنا ببقائها، فدفع المال في مقابلها سفه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دعوى جواز التكسب بالمادة في ضمن الصورة مما لا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امكن الانتفاع بها في غير الوجه المحرم على تلك الحالة منفعة مقصودة فاشتراها لتلك المنفعة لم يبعد جواز بيعها الا ان هذا الغرض نادر، فان الظاهر أن ذلك الموضوع المخصوص لا ينتفع به الا في المحرم غالبا، و النادر لا يقدح، و من ثمّ أطلقوا المنع من بيعها</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و ناقش فيه في جواهر الكلام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مدخلية المنفعة النادرة بعد فرض كون المقصد المعظم منه محرما كما هو المفروض في محل البحث</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و هي كما ترى، ثمّ قال و لو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للشي‌ء منفعتين مقصودتين إحداهما محللة و الاخرى محرمة دار الحكم مدار القصد</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و هل ذلك هو المراد له؟، الا انه خروج عن المقام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قصد المنفعة المحللة يخرجه عن صدق الاسم عليه عرفا خرج عن كونه آلة لهو و مع صدق الاسم عليه لا يجوز التكسب به مطلقا و ان كانت له منفعة محللة و ان قصدها حال التكسب و ان كانت غالبة لما عرفت من عدم جواز الانتفاع له بتلك المنفعة، و متى حرم الانتفاع بها لم يجز بيعه لها </w:t>
      </w:r>
      <w:r>
        <w:rPr>
          <w:rStyle w:val="FootnoteAnchor"/>
          <w:rtl w:val="true"/>
        </w:rPr>
        <w:footnoteReference w:id="312"/>
      </w:r>
      <w:r>
        <w:rPr>
          <w:rFonts w:ascii="Amiri" w:hAnsi="Amiri" w:eastAsia="Amiri" w:cs="Amiri"/>
          <w:color w:val="111111"/>
          <w:sz w:val="28"/>
          <w:sz w:val="28"/>
          <w:szCs w:val="28"/>
          <w:rtl w:val="true"/>
          <w:lang w:bidi="ar-SA"/>
        </w:rPr>
        <w:t>، كما هو واضح و في المحكي عن</w:t>
      </w:r>
      <w:bookmarkStart w:id="121" w:name="pg2491_24182"/>
    </w:p>
    <w:p>
      <w:pPr>
        <w:pStyle w:val="BookText"/>
        <w:rPr/>
      </w:pPr>
      <w:bookmarkEnd w:id="121"/>
      <w:r>
        <w:rPr>
          <w:rFonts w:ascii="Amiri" w:hAnsi="Amiri" w:eastAsia="Amiri" w:cs="Amiri"/>
          <w:color w:val="111111"/>
          <w:sz w:val="28"/>
          <w:sz w:val="28"/>
          <w:szCs w:val="28"/>
          <w:rtl w:val="true"/>
          <w:lang w:bidi="ar-SA"/>
        </w:rPr>
        <w:t xml:space="preserve">موضع من التذكرة جواز بيعها اذا كان لمكسورها قيمة و باعها صحيحة لتكسر، و كان المشتري ممن يوثق بديانته </w:t>
      </w:r>
      <w:r>
        <w:rPr>
          <w:rStyle w:val="FootnoteAnchor"/>
          <w:rtl w:val="true"/>
        </w:rPr>
        <w:footnoteReference w:id="313"/>
      </w:r>
      <w:r>
        <w:rPr>
          <w:rFonts w:ascii="Amiri" w:hAnsi="Amiri" w:eastAsia="Amiri" w:cs="Amiri"/>
          <w:color w:val="111111"/>
          <w:sz w:val="28"/>
          <w:sz w:val="28"/>
          <w:szCs w:val="28"/>
          <w:rtl w:val="true"/>
          <w:lang w:bidi="ar-SA"/>
        </w:rPr>
        <w:t xml:space="preserve">، و تبعه عليه جماعة من متأخري المتأخرين و جعله احد الوجهين في المسالك </w:t>
      </w:r>
      <w:r>
        <w:rPr>
          <w:rStyle w:val="FootnoteAnchor"/>
          <w:rtl w:val="true"/>
        </w:rPr>
        <w:footnoteReference w:id="314"/>
      </w:r>
      <w:r>
        <w:rPr>
          <w:rFonts w:ascii="Amiri" w:hAnsi="Amiri" w:eastAsia="Amiri" w:cs="Amiri"/>
          <w:color w:val="111111"/>
          <w:sz w:val="28"/>
          <w:sz w:val="28"/>
          <w:szCs w:val="28"/>
          <w:rtl w:val="true"/>
          <w:lang w:bidi="ar-SA"/>
        </w:rPr>
        <w:t xml:space="preserve">و محكي جامع المقاصد </w:t>
      </w:r>
      <w:r>
        <w:rPr>
          <w:rStyle w:val="FootnoteAnchor"/>
          <w:rtl w:val="true"/>
        </w:rPr>
        <w:footnoteReference w:id="315"/>
      </w:r>
      <w:r>
        <w:rPr>
          <w:rFonts w:ascii="Amiri" w:hAnsi="Amiri" w:eastAsia="Amiri" w:cs="Amiri"/>
          <w:color w:val="111111"/>
          <w:sz w:val="28"/>
          <w:sz w:val="28"/>
          <w:szCs w:val="28"/>
          <w:rtl w:val="true"/>
          <w:lang w:bidi="ar-SA"/>
        </w:rPr>
        <w:t>، بل في الاول أستحسنه بعد أن حكاه عن التذكرة مع زوال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منع مدخلية الكسر اللاحق في الحكم بالحرمة، ضرورة صدق كون العوض ثمن شطرنج مثلا، و إخراجه بعد ذلك عن الاسم بالكسر غير مجدٍ كما هو واضح بأدنى 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بشرط الكسر أو ممن يوثق بكسره صحيح لان أدلة المنع لا تشمل مثل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لان أدلة المنع مطلقة فتقييدها بغير هذه الصورة محتاج الى مقيد و هو في المقام مفقود</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3813617_3804643083"/>
      <w:bookmarkStart w:id="123" w:name="_Toc48"/>
      <w:bookmarkEnd w:id="122"/>
      <w:r>
        <w:rPr>
          <w:rtl w:val="true"/>
        </w:rPr>
        <w:t>بيع السلاح على أعداء الدين</w:t>
      </w:r>
      <w:bookmarkEnd w:id="1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ما يحرم التكسب به بيع السلاح على أعداء الدين، و انما يحرم ذلك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البائع إعانة اعداء الدين بذلك، و ذلك لتحقق التعاون المنهي عنه، و لا فرق في ذلك بين زمان الهدنة و غيره و لا بين كون المبيع سلاحاً أو غيره من الجِنة و نحوها بل يحرم بيع كل ما تتقوى به شوكتهم و تتقوّى به كلمتهم مع قصد ذلك، لأن ذلك ركون اليهم و تقوية لهم و اعلاء لشأنهم و اعانة لهم و قد نُهينا عن ذلك، بل أمرنا باذلالهم كما لا يخفى على من تامل الاخبار و حام حول تلك الديار و لا فرق ايضا بين الكفار و غيرهم من الظلمة كما لا يخفى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السلاح على أعداء الدين و الحرب قائمة، و ذلك للنصوص المتكثرة التي منها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السراج </w:t>
      </w:r>
      <w:r>
        <w:rPr>
          <w:rStyle w:val="FootnoteAnchor"/>
          <w:rtl w:val="true"/>
        </w:rPr>
        <w:footnoteReference w:id="316"/>
      </w:r>
      <w:r>
        <w:rPr>
          <w:rFonts w:ascii="Amiri" w:hAnsi="Amiri" w:eastAsia="Amiri" w:cs="Amiri"/>
          <w:color w:val="111111"/>
          <w:sz w:val="28"/>
          <w:sz w:val="28"/>
          <w:szCs w:val="28"/>
          <w:rtl w:val="true"/>
          <w:lang w:bidi="ar-SA"/>
        </w:rPr>
        <w:t>في جوابه حيث سئل عن بيع السلاح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تبعْه في فتنة</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 و صحيح علي بن جعفر المروي عن كتاب مسائله و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حمل المسلمين الى المشركين التجارة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يحلموا سلاحا فلا بأس</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حماد بن أنس </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كفر بالله العظيم من هذه الامة عشرة أصناف،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بائع السلاح من أهل الحرب</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هند السراج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أصلحك الله تعالى إني كنت أحمل السلاح الى الشام فابيعه منهم، فلما أن عرفني الله هذا الأمر ضقْتُ بذلك، و قلت لا أحمل الى أعداء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اليهم و بعهم فان الله يدفع بهم عدونا و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الحرب بيننا فلا تحملوا، فمن حمل الى عدونا سلاحا يستعين به علينا فهو مشترك</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 حسن ابي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حكم السراج</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يحمل لأهل الشام السُّرُج و أداتها؟،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أنتم اليوم بمنزلة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أنكم في هدنة، و ان كانت المباينة حرم عليكم أن تحملوا اليهم السروج و السلاح</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الى غير ذلك من النصوص الدالة على ذلك، و هي و إن اشتملتْ على ما دلّ بإطلاقه على حرمة بيعه مطلقاً، و اطلق المنع لإطلاقها بعض الاصحاب الا أنه يجب حمل المطلق</w:t>
      </w:r>
      <w:bookmarkStart w:id="124" w:name="pg2491_24184"/>
    </w:p>
    <w:p>
      <w:pPr>
        <w:pStyle w:val="BookText"/>
        <w:rPr/>
      </w:pPr>
      <w:bookmarkEnd w:id="124"/>
      <w:r>
        <w:rPr>
          <w:rFonts w:ascii="Amiri" w:hAnsi="Amiri" w:eastAsia="Amiri" w:cs="Amiri"/>
          <w:color w:val="111111"/>
          <w:sz w:val="28"/>
          <w:sz w:val="28"/>
          <w:szCs w:val="28"/>
          <w:rtl w:val="true"/>
          <w:lang w:bidi="ar-SA"/>
        </w:rPr>
        <w:t>منها على المقيد فيكون مدلولها حرمة البيع مع قيام الحرب من غير فرق بين قصد البائع الاعانة و عدمه، فما عن البعض من اعتبار الامرين من القصد و قيام الحرب في غير محله، فيكفي في التحريم حصول أحد الامرين من قيام الحرب و القصد، للنصوص في الاول و للإعانة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حصول الاعانة مع قيام الحرب و إن لم يحصل قصد الاعانة فيكون النهي عن الاعانة من جملة ما يدل على التحريم في الثاني مما لا وجه له لعدم صدق الاعانة مع عدم قصدها، و على تقدير تسليم صدقها فالمنهي عنه التعاون الذي لا يتحقق الا بقصد كل واحد منها اعانة الآخر و كون كل واحد منهما ظهيرا للآخر في وقوع الفعل، و إلا فدعوى أن المشاركة في شرائط وقوع الفعل من الاعانة كما ترى، ضرورة عدم امكان استقلال احد بالفعل مع جميع شرائطه، فيلزم أن يكون كل من أوجد بعض شرائط الفعل معينا للفاعل، و هذا مما تشهد به ضرورة العرف</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3813619_3804643083"/>
      <w:bookmarkStart w:id="126" w:name="_Toc49"/>
      <w:bookmarkEnd w:id="125"/>
      <w:r>
        <w:rPr>
          <w:rtl w:val="true"/>
        </w:rPr>
        <w:t>الإجارة و البيع للمحرمات</w:t>
      </w:r>
      <w:bookmarkEnd w:id="126"/>
    </w:p>
    <w:p>
      <w:pPr>
        <w:pStyle w:val="Heading6"/>
        <w:numPr>
          <w:ilvl w:val="5"/>
          <w:numId w:val="1"/>
        </w:numPr>
        <w:rPr/>
      </w:pPr>
      <w:bookmarkStart w:id="127" w:name="__RefHeading___Toc3813621_3804643083"/>
      <w:bookmarkStart w:id="128" w:name="_Toc50"/>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ما يحرم التكسب به إجارة السفن و المساكن للمحرمات و بيع العنب ليعمل خمرا و بيع الخشب ليعمل صنماً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التكسب بهذه الامور لا يخلو من صور، لأن المتبايعين إما أن يشترطا ذلك في ضمن العقد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إما أن يتفقا عليه بحيث يبنى العقد على ذلك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أما أن يكون ذلك مقصودا لهما أو للبائع فقط على أن يكون هو غاية العقد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إما ان يعلم البائع ان المشتري يعمل المبيع خمرا أو لا، فهنا مباحث</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3813623_3804643083"/>
      <w:bookmarkStart w:id="130" w:name="_Toc51"/>
      <w:bookmarkEnd w:id="129"/>
      <w:r>
        <w:rPr>
          <w:rtl w:val="true"/>
        </w:rPr>
        <w:t>المبحث الأول</w:t>
      </w:r>
      <w:r>
        <w:rPr>
          <w:rtl w:val="true"/>
        </w:rPr>
        <w:t xml:space="preserve">: </w:t>
      </w:r>
      <w:r>
        <w:rPr>
          <w:rtl w:val="true"/>
        </w:rPr>
        <w:t>ما اذا اشترط ذلك في متن العقد و اتفقا عليه بحيث بني العقد عليه،</w:t>
      </w:r>
      <w:bookmarkEnd w:id="13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كلام في البطلان، بل في 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خلاف أجده فيهما مع التصريح بالشرطية أو الاتفاق عليها على وجه يبنى العقد عليها</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بل نسبه في محكي مجمع</w:t>
      </w:r>
    </w:p>
    <w:p>
      <w:pPr>
        <w:pStyle w:val="BookText"/>
        <w:rPr/>
      </w:pPr>
      <w:r>
        <w:rPr>
          <w:rFonts w:ascii="IRNazanin" w:hAnsi="IRNazanin" w:eastAsia="IRNazanin"/>
          <w:color w:val="111111"/>
          <w:sz w:val="28"/>
          <w:sz w:val="28"/>
          <w:szCs w:val="28"/>
          <w:rtl w:val="true"/>
          <w:lang w:bidi="fa-IR"/>
        </w:rPr>
        <w:t xml:space="preserve">البرهان الى ظاهر الأصحاب </w:t>
      </w:r>
      <w:r>
        <w:rPr>
          <w:rStyle w:val="FootnoteAnchor"/>
          <w:rtl w:val="true"/>
        </w:rPr>
        <w:footnoteReference w:id="324"/>
      </w:r>
      <w:r>
        <w:rPr>
          <w:rFonts w:ascii="Amiri" w:hAnsi="Amiri" w:eastAsia="Amiri" w:cs="Amiri"/>
          <w:color w:val="111111"/>
          <w:sz w:val="28"/>
          <w:sz w:val="28"/>
          <w:szCs w:val="28"/>
          <w:rtl w:val="true"/>
          <w:lang w:bidi="ar-SA"/>
        </w:rPr>
        <w:t xml:space="preserve">، و عن المنتهى حكاية الإجماع </w:t>
      </w:r>
      <w:r>
        <w:rPr>
          <w:rStyle w:val="FootnoteAnchor"/>
          <w:rtl w:val="true"/>
        </w:rPr>
        <w:footnoteReference w:id="325"/>
      </w:r>
      <w:r>
        <w:rPr>
          <w:rFonts w:ascii="Amiri" w:hAnsi="Amiri" w:eastAsia="Amiri" w:cs="Amiri"/>
          <w:color w:val="111111"/>
          <w:sz w:val="28"/>
          <w:sz w:val="28"/>
          <w:szCs w:val="28"/>
          <w:rtl w:val="true"/>
          <w:lang w:bidi="ar-SA"/>
        </w:rPr>
        <w:t xml:space="preserve">عليه و عن الغنية الإجماع على عدم صحة اجارة المسكن ليحرز فيه الخمر أو الدكان ليباع فيه، كما عن الخلاف حكاية ذلك و نسبته الى أخبار الفرقة </w:t>
      </w:r>
      <w:r>
        <w:rPr>
          <w:rStyle w:val="FootnoteAnchor"/>
          <w:rtl w:val="true"/>
        </w:rPr>
        <w:footnoteReference w:id="326"/>
      </w:r>
      <w:r>
        <w:rPr>
          <w:rFonts w:ascii="Amiri" w:hAnsi="Amiri" w:eastAsia="Amiri" w:cs="Amiri"/>
          <w:color w:val="111111"/>
          <w:sz w:val="28"/>
          <w:sz w:val="28"/>
          <w:szCs w:val="28"/>
          <w:rtl w:val="true"/>
          <w:lang w:bidi="ar-SA"/>
        </w:rPr>
        <w:t>، و نفى عنه الخلاف بعض المعاصرين، و يدل عليه مضافا الى ذلك أنه من الاعانة على الاثم التي نهى الشارع عنها، و ان دفع المال في مقابلة ذلك مع الالزام، و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بصرفه في الجهة المحرمة التي نهى الشارع عنها و أسقطها من درجة الاعتبار أكل للمال بالباطل، فلا يجوز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أيضا مضافا لما مر خبر صابر </w:t>
      </w:r>
      <w:r>
        <w:rPr>
          <w:rStyle w:val="FootnoteAnchor"/>
          <w:rtl w:val="true"/>
        </w:rPr>
        <w:footnoteReference w:id="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يؤجر بيته فيباع فيه الخمر قال حرام أجرته</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و كيفية دلالة الخبر على المطلوب هو اما أن تنزّل على ما لو أشترط ذلك في ضمن العقد او تبانيا عليه و لا كلام في دلالة الخبر حينئذٍ، أولا يُتنزّل على ذلك بل على ما لو علم المؤجّر أن المستأجر يفعل ذلك، و متى حرمت الأجرة في هذه الصورة حرمت في صورة اشتراط الأمر المذكور و التباني عليه بطريق أولى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معارض بخبر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يؤاجر السفينة أو دابته لمن يحمل فيها أو عليها الخمر و الخنازير،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لكنه محمول على ما إذا اتفق الحمل من دون أن يؤخذ شرطا في العقد أو يقع التباني عليه لأن خبر صابر </w:t>
      </w:r>
      <w:r>
        <w:rPr>
          <w:rStyle w:val="FootnoteAnchor"/>
          <w:rtl w:val="true"/>
        </w:rPr>
        <w:footnoteReference w:id="331"/>
      </w:r>
      <w:r>
        <w:rPr>
          <w:rFonts w:ascii="Amiri" w:hAnsi="Amiri" w:eastAsia="Amiri" w:cs="Amiri"/>
          <w:color w:val="111111"/>
          <w:sz w:val="28"/>
          <w:sz w:val="28"/>
          <w:szCs w:val="28"/>
          <w:rtl w:val="true"/>
          <w:lang w:bidi="ar-SA"/>
        </w:rPr>
        <w:t>نص بصورة الاشتراط أو</w:t>
      </w:r>
    </w:p>
    <w:p>
      <w:pPr>
        <w:pStyle w:val="BookText"/>
        <w:rPr/>
      </w:pPr>
      <w:r>
        <w:rPr>
          <w:rFonts w:ascii="Amiri" w:hAnsi="Amiri" w:eastAsia="Amiri" w:cs="Amiri"/>
          <w:color w:val="111111"/>
          <w:sz w:val="28"/>
          <w:sz w:val="28"/>
          <w:szCs w:val="28"/>
          <w:rtl w:val="true"/>
          <w:lang w:bidi="ar-SA"/>
        </w:rPr>
        <w:t>التباني و ظاهر في صورة الاتفاق، و خبر ابن أذينة نص في صورة الاتفاق و ظاهر في صورة الاشتراط، و متى ما تعارضا اطّرح ظاهر كل منهما بنص الآخر فيبقى الأول نص في صورة الاشتراط و الثاني نص في صورة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بالتعارض و التساقط قلنا بالاجماعات و العمومات السابقة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الاستدلال على ذلك بمكاتبة ابن أذينة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خشب فباعه ممن يتخذه صلباناً؟،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 و رواية عمر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التوت أبيعه ممن يصنع الصليب أو الصنم؟،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 الاستدلال بفحوى الخبرين المذكورين؛ لأنه إذا حرم بيع الخشب ممن </w:t>
      </w:r>
      <w:r>
        <w:rPr>
          <w:rStyle w:val="FootnoteAnchor"/>
          <w:rtl w:val="true"/>
        </w:rPr>
        <w:footnoteReference w:id="334"/>
      </w:r>
      <w:r>
        <w:rPr>
          <w:rFonts w:ascii="Amiri" w:hAnsi="Amiri" w:eastAsia="Amiri" w:cs="Amiri"/>
          <w:color w:val="111111"/>
          <w:sz w:val="28"/>
          <w:sz w:val="28"/>
          <w:szCs w:val="28"/>
          <w:rtl w:val="true"/>
          <w:lang w:bidi="ar-SA"/>
        </w:rPr>
        <w:t>يعلم أنه يعمله صليباً او صنماً حرم بيعه بهذا الشرط و كذا في صورة التباني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 الخبرين المذكورين على صورة الاشتراط و التباني فبعيد جدا لانه لا يتعلق للمسلم غرض في جعل خشبته صليبا أو صنما حتى ننزّل الأخبار على صورة اشتراط التباني عليه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نزّلت خبر صابر </w:t>
      </w:r>
      <w:r>
        <w:rPr>
          <w:rStyle w:val="FootnoteAnchor"/>
          <w:rtl w:val="true"/>
        </w:rPr>
        <w:footnoteReference w:id="335"/>
      </w:r>
      <w:r>
        <w:rPr>
          <w:rFonts w:ascii="Amiri" w:hAnsi="Amiri" w:eastAsia="Amiri" w:cs="Amiri"/>
          <w:color w:val="111111"/>
          <w:sz w:val="28"/>
          <w:sz w:val="28"/>
          <w:szCs w:val="28"/>
          <w:rtl w:val="true"/>
          <w:lang w:bidi="ar-SA"/>
        </w:rPr>
        <w:t>على صورة الاشتراط؟،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المقامين؛ لأنه قد يتعلق للمسلم غرض في إجارة دكانه لبيع الخمر و هو زيادة أجرته أو غير ذلك من أنه إذا صار معلوما بذلك تزيد قيمة عينه، بخلاف صيرورة خشبه صنما، فانه لا حاجة له به، و لا فرق بين ما ذكر و بين غيره، فان كل ذي منفعة محللة أشترط صرفه في الحرام كان بيعه باطلا؛ لانه من أكل المال بالباطل، ثمّ لا فرق بين الشرط في ضمن العقد و التباني على صرفه في المحرم قبل العقد بحيث بني عليه، و لو فرض فرق فهو في لزوم الشرط و عدمه و ذلك لا دخل له في بطلان المعاملة، و من هنا يعلم أن فساد المعاملة ليس من جهة فساد الشرط، بل هي فاسدة حتى لو قلنا بأن فساد الشرط لا يستلزم فساد العقد؛ لأن فسادها من أكل المال بالباطل</w:t>
      </w:r>
      <w:r>
        <w:rPr>
          <w:rFonts w:eastAsia="Amiri" w:cs="Amiri" w:ascii="Amiri" w:hAnsi="Amiri"/>
          <w:color w:val="111111"/>
          <w:sz w:val="28"/>
          <w:szCs w:val="28"/>
          <w:rtl w:val="true"/>
          <w:lang w:bidi="ar-SA"/>
        </w:rPr>
        <w:t>.</w:t>
      </w:r>
      <w:bookmarkStart w:id="131" w:name="pg2491_24187"/>
    </w:p>
    <w:p>
      <w:pPr>
        <w:pStyle w:val="Heading6"/>
        <w:numPr>
          <w:ilvl w:val="5"/>
          <w:numId w:val="1"/>
        </w:numPr>
        <w:rPr/>
      </w:pPr>
      <w:bookmarkStart w:id="132" w:name="__RefHeading___Toc3813625_3804643083"/>
      <w:bookmarkStart w:id="133" w:name="_Toc52"/>
      <w:bookmarkEnd w:id="131"/>
      <w:bookmarkEnd w:id="132"/>
      <w:r>
        <w:rPr>
          <w:rtl w:val="true"/>
        </w:rPr>
        <w:t>المبحث الثاني</w:t>
      </w:r>
      <w:r>
        <w:rPr>
          <w:rtl w:val="true"/>
        </w:rPr>
        <w:t xml:space="preserve">: </w:t>
      </w:r>
      <w:r>
        <w:rPr>
          <w:rtl w:val="true"/>
        </w:rPr>
        <w:t>الاتفاق على المحرم في العقد، أن يتواطأ المتعاقدان على الانتفاع بالعين المستأجرة في خصوص المنفعة المحرمة قبل العقد أو بعده</w:t>
      </w:r>
      <w:bookmarkEnd w:id="133"/>
    </w:p>
    <w:p>
      <w:pPr>
        <w:pStyle w:val="BookText"/>
        <w:rPr/>
      </w:pPr>
      <w:r>
        <w:rPr>
          <w:rFonts w:ascii="Amiri" w:hAnsi="Amiri" w:eastAsia="Amiri" w:cs="Amiri"/>
          <w:color w:val="111111"/>
          <w:sz w:val="28"/>
          <w:sz w:val="28"/>
          <w:szCs w:val="28"/>
          <w:rtl w:val="true"/>
          <w:lang w:bidi="ar-SA"/>
        </w:rPr>
        <w:t>بلا فصل بحيث يبنى العقد على ذلك في المتقدم، و يحصل من لواحقه و توابعه في المتأخر، و الظاهر البطلان هنا؛ لأنا إن الحقنا ذلك بالشرط و جعلناه منه كما يظهر من كلام جمع من الأصحاب في باب الشروط فلا كلام؛ لأن جميع ما دل على البطلان في المقام الأول لا يدل هنا، و ان لم نلحقه بالشرط و نجعله منه فالبطلان واضح أيضا لانه يفترق المقام عن الشرط في اللزوم و عدمه، فان قلنا بكونه من باب الشرط كان لازما في ما يلزم و كان شرطا في متن العقد، و ان لم نقل بكونه من الشرط فلا يلزم، و أما في البطلان فلا فرق بينه و بين الشرط، لأن مناط البطلان صدق أكل المال بالباطل المنهي عنه في صريح الكتاب و هو صادق في الغرض المذكور فيكون البيع باطلا في الغرض المذكور لوجود مناط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فساد البيع في صورة الاشتراط ليس منشؤه سراية فساد الشرط الى فساد المشروط بل يلزم القول في البطلان هنا و إن لم نقل بالسراية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بطلان بيع الجارية المغنية و العبد المغني و المقامر، إذا كان للصفة المذكورة دخل في زيادة الثمن، و على ذلك تحمل النصوص الواردة في أن ثمن الجارية المغنية سحت، و انه قد تكون للرجل ملهية، و ما ثمنها الا كثمن الكلب، مضافا الى أن أكل ما قابل الصفة من الثمن أكل مال بالباطل و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القيد و المقيد، فيصح ما قابل المقيد و يبطل ما قابل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 عرفا، بل المعروف بين الأصحاب عدم توزيع الثمن على الصفة و الموصوف و القيد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أنهم يقولون أن الشروط لا تقابل بشي‌ء من الثمن و ان زاد الثمن بوجود الوصف و القيد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للوصف دخل في زيادة الثمن، و ان لم يكن كذلك بل كان من الدواعي و البواعث فلا كلام في صحة العقد حينئذ، بل قد عرفت فيما تقدم في آلات اللهو أن الثمن لا يوزع على المادة و الصورة مع أن الصورة جزءٌ، لكنْ حيث كان جزءا عقليا كان كالقيد للمادة فلا يقابل بمال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المبيع مركبا له أجزاء خاصة خارجية أو أمور متعددة وزع الثمن عليها و أنحل العقد عليه الى عقود</w:t>
      </w:r>
    </w:p>
    <w:p>
      <w:pPr>
        <w:pStyle w:val="BookText"/>
        <w:rPr/>
      </w:pPr>
      <w:r>
        <w:rPr>
          <w:rFonts w:ascii="Amiri" w:hAnsi="Amiri" w:eastAsia="Amiri" w:cs="Amiri"/>
          <w:color w:val="111111"/>
          <w:sz w:val="28"/>
          <w:sz w:val="28"/>
          <w:szCs w:val="28"/>
          <w:rtl w:val="true"/>
          <w:lang w:bidi="ar-SA"/>
        </w:rPr>
        <w:t>متعددة فيبطل في ما يبطل و يصح في ما يصح، كبيع الشاة و الخنزير أو الخل أو الخمر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عثرت على كلام لبعض الاصحاب كالأشكال على ما ذكرناه من الانحلال و هو أن العقد سبب في انتقال المبيع الى المشتري و الثمن الى البائع، فإن تمّ سبباً أثر في انتقال جميع المبيع و إلا فلا أثر له، و تبعيض المسبب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ان عاد التبعيض الا تبعيض السبب فلا سبب، و ان عاد الى تبعيض المسبب فهو محال عقلا بعد فرض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في الاسباب العقلية و أما في الاسباب الشرعية فلا، و العقد و ان كان سببا و لكنه يتعدد بتعدد متعلقه و ينحل الى عقود متعددة، و ليس ذلك من خواص العقد أيضا، بل الايقاع مثله فيما لو تعدد متعلق الايقاع أنحل الى إيقاعات متعددة، و ليس المراد من الانحلال الى متعدد عدها متعددة قطعا، حتى أن من نذر بيوعاً متعددة يبرّ نذره لو باع أمرا متعدداً بعقد واحد، أو من نذر طلاقات متعددة يبرّ نذره لو طلق نسوة متعددة بطلاق واحد؛ لان ذلك يتبع الاسم و هو لا يحصل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بحكم المتعدد، فالعقد الواحد المتعلق بأمور متعددة في حكم العقود المتعددة بالنظر الى الاحكام اللاحقة، كما أن المراد من الانحلال الى المتعدد المتعدد من جنس ذلك العقد، فالبيع ينحل الى بيوع و الطلاق الى طلاقات، كما أن المراد من المتعدد المجانس في مورد العقد لا في غير مورده، فلا ينحل بيع العين الى بيعين، بيع العين و بيع المنفعة؛ لأن المنفعة ليست موردا للعقد، كما لا ينحل الى بيع و اجارة لأن الاجارة ليست من المجانس فلا ينحل العقد الى البيع و إليها، كما أن المراد من المتعدد الذي يتعدد العقد بتعدده هو ما يكون قابلا لتعلق العقد به مستقلا، فلا ينحل عقد الامرأة الواحد الى عقدين لو ظهر نصفها مملوكا للغير لعدم قابلية النصف لتعلق العقد مستقلا، و يدل على الانحلال المذكور أمور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فانهم يحكمون في الفروع الكثيرة بالتعدد و الانحلال المذكور من دون نكير، و هو إجماع منهم و هو الحجة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فإن تتبعنا موارد العقود و الايقاعات فوجدناهم يحكمون بالانحلال المذكور في أغلب المقامات و الموارد و ذلك أما لنص او اجماع، فكذا في 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الاسباب الشرعية التي جعلها الشارع أسبابا للنقل أنها أسباب لنقل كل ما حكم الشارع بكونه قابلا للنقل و لتعلق تلك الاسباب، فكل عقد تعلق بمورد من الموارد أثر بجميع أجزائه القابلة لتعلق ذلك السبب، كتأثيره في المجموع المركب فتخلفُ بعض هذه الاجزاء لفقد شرط او وجود مانع لا يضرّ في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إن ظاهر التعلقِ بالامر المجموعي يمنعُ من الانحلال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قصاراه انا لا ندري ان هذا التعلق بهذه الامور ارتباطي، بمعنى أن التعلق بهذا الجزء موقوف على التعلق بالآخر أو الاصل عدم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على الانحلال المذكور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البائع و المشتري بيع المجموع بالمجموع فلو لم يسلّم بعض المبيع لم يكن بيعه البعض الآخر مقصودا للبائع و المشتري و العقود تابعة للمقصود، فيكون على تقدير الصحة في البعض ما قصد لم يقع و ما وقع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المبيع المعلومية و كل جزء غير معلوم ما يقابله من الثمن </w:t>
      </w:r>
      <w:r>
        <w:rPr>
          <w:rStyle w:val="FootnoteAnchor"/>
          <w:rtl w:val="true"/>
        </w:rPr>
        <w:footnoteReference w:id="337"/>
      </w:r>
      <w:r>
        <w:rPr>
          <w:rFonts w:ascii="Amiri" w:hAnsi="Amiri" w:eastAsia="Amiri" w:cs="Amiri"/>
          <w:color w:val="111111"/>
          <w:sz w:val="28"/>
          <w:sz w:val="28"/>
          <w:szCs w:val="28"/>
          <w:rtl w:val="true"/>
          <w:lang w:bidi="ar-SA"/>
        </w:rPr>
        <w:t>فلو انحل إلى بيوع متعددة كان كل مبيع غير معلوم الثمن فيكون البيع باطلا من جهة تطرق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الاول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بيع المجموع بالمجموع، و ان مقابلة الابعاض بالابعاض غير ملحوظة للبائع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الظاهر من المعاوضات مقابلة الابعاض بالابعاض خصوصا بعد ملاحظة المالية في الجميع و القيمة فيه و عدم رضا المشتري الا بالمجموع في بعض الموارد لا تنافي ذلك؛ لانه قد يتعلق غرض للمشتري بالهيئة التركّبية أحيانا كما لا يخفى، و الغالب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الثاني أن جهالة النسبة لا تنافي المعلومية فإنه إذا كان مجموع الثمن معلوما و مجموع المبيع معلوما فلا ضير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جهالة النسبة لا تنافي المعلومية، فإنه إذا كان مجموع الثمن</w:t>
      </w:r>
      <w:bookmarkStart w:id="134" w:name="pg2491_24190"/>
    </w:p>
    <w:p>
      <w:pPr>
        <w:pStyle w:val="BookText"/>
        <w:rPr/>
      </w:pPr>
      <w:bookmarkEnd w:id="134"/>
      <w:r>
        <w:rPr>
          <w:rFonts w:ascii="Amiri" w:hAnsi="Amiri" w:eastAsia="Amiri" w:cs="Amiri"/>
          <w:color w:val="111111"/>
          <w:sz w:val="28"/>
          <w:sz w:val="28"/>
          <w:szCs w:val="28"/>
          <w:rtl w:val="true"/>
          <w:lang w:bidi="ar-SA"/>
        </w:rPr>
        <w:t>معلوما و مجموع المبيع معلوما فلا ضير في جهالة ما يقابل الجزء بعد معلومية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لتمام الكل محل آخر</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3813627_3804643083"/>
      <w:bookmarkStart w:id="136" w:name="_Toc53"/>
      <w:bookmarkEnd w:id="135"/>
      <w:r>
        <w:rPr>
          <w:rtl w:val="true"/>
        </w:rPr>
        <w:t>المبحث الثالث</w:t>
      </w:r>
      <w:r>
        <w:rPr>
          <w:rtl w:val="true"/>
        </w:rPr>
        <w:t xml:space="preserve">: </w:t>
      </w:r>
      <w:r>
        <w:rPr>
          <w:rtl w:val="true"/>
        </w:rPr>
        <w:t>البيع و الايجار بقصد المحرّم، أن يبيع الخشب بقصد أن يعمله صنما أو صليبا،</w:t>
      </w:r>
      <w:bookmarkEnd w:id="136"/>
    </w:p>
    <w:p>
      <w:pPr>
        <w:pStyle w:val="BookText"/>
        <w:rPr/>
      </w:pPr>
      <w:r>
        <w:rPr>
          <w:rFonts w:ascii="Amiri" w:hAnsi="Amiri" w:eastAsia="Amiri" w:cs="Amiri"/>
          <w:color w:val="111111"/>
          <w:sz w:val="28"/>
          <w:sz w:val="28"/>
          <w:szCs w:val="28"/>
          <w:rtl w:val="true"/>
          <w:lang w:bidi="ar-SA"/>
        </w:rPr>
        <w:t>أو يؤجر الدار أو الدكان بقصد أن يصنع او يبيع فيه الخمر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البطلان في ما لو كان القصد من البائع و المشتري معا، و في ما لو كان القصد من البائع فقط، و يدل عليه مضافا الى الإعانة على الاثم الاجماع المنقول عن الخلاف و الغنية على عدم صحة إجارة المسكن ليحرز فيه الخمر أو الدكان ليباع فيه، بل عن الخلاف نسبته الى أخبار الفرقة و هذه العبارة التي نقل الاجماع عليها شاملة لصورة الاشتراط و التواطي و القصد فتخصيصها بالبعض دون البعض كصورة الاشتراط دون غيرها مما لا وجه له، أ لا ترى أنه في الجواهر بعد أن حكى عن ظاهر الاصحاب مساواة الحكم في الصور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الدليل على ما لا يندرج منه في آية التعاون الذي قد عرفت المراد منه، الاجماع المحكي </w:t>
      </w:r>
      <w:r>
        <w:rPr>
          <w:rStyle w:val="FootnoteAnchor"/>
          <w:rtl w:val="true"/>
        </w:rPr>
        <w:footnoteReference w:id="339"/>
      </w:r>
      <w:r>
        <w:rPr>
          <w:rFonts w:ascii="Amiri" w:hAnsi="Amiri" w:eastAsia="Amiri" w:cs="Amiri"/>
          <w:color w:val="111111"/>
          <w:sz w:val="28"/>
          <w:sz w:val="28"/>
          <w:szCs w:val="28"/>
          <w:rtl w:val="true"/>
          <w:lang w:bidi="ar-SA"/>
        </w:rPr>
        <w:t xml:space="preserve">، و الظاهر أنه أن اريد بالاجماع المحكي ما ذكرناه </w:t>
      </w:r>
      <w:r>
        <w:rPr>
          <w:rStyle w:val="FootnoteAnchor"/>
          <w:rtl w:val="true"/>
        </w:rPr>
        <w:footnoteReference w:id="340"/>
      </w:r>
      <w:r>
        <w:rPr>
          <w:rFonts w:ascii="Amiri" w:hAnsi="Amiri" w:eastAsia="Amiri" w:cs="Amiri"/>
          <w:color w:val="111111"/>
          <w:sz w:val="28"/>
          <w:sz w:val="28"/>
          <w:szCs w:val="28"/>
          <w:rtl w:val="true"/>
          <w:lang w:bidi="ar-SA"/>
        </w:rPr>
        <w:t>، بل يستفاد ذلك من كل من عبر كعبارة المحقق في الشرائع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إجارة المساكن و السفن للمحرمات و بيع العنب ليعمل خمرا و بيع الخشب ليعمل صنماً </w:t>
      </w:r>
      <w:r>
        <w:rPr>
          <w:rStyle w:val="FootnoteAnchor"/>
          <w:rtl w:val="true"/>
        </w:rPr>
        <w:footnoteReference w:id="341"/>
      </w:r>
      <w:r>
        <w:rPr>
          <w:rFonts w:ascii="Amiri" w:hAnsi="Amiri" w:eastAsia="Amiri" w:cs="Amiri"/>
          <w:color w:val="111111"/>
          <w:sz w:val="28"/>
          <w:sz w:val="28"/>
          <w:szCs w:val="28"/>
          <w:rtl w:val="true"/>
          <w:lang w:bidi="ar-SA"/>
        </w:rPr>
        <w:t xml:space="preserve">، و هُمُ العلامة في القواعد </w:t>
      </w:r>
      <w:r>
        <w:rPr>
          <w:rStyle w:val="FootnoteAnchor"/>
          <w:rtl w:val="true"/>
        </w:rPr>
        <w:footnoteReference w:id="342"/>
      </w:r>
      <w:r>
        <w:rPr>
          <w:rFonts w:ascii="Amiri" w:hAnsi="Amiri" w:eastAsia="Amiri" w:cs="Amiri"/>
          <w:color w:val="111111"/>
          <w:sz w:val="28"/>
          <w:sz w:val="28"/>
          <w:szCs w:val="28"/>
          <w:rtl w:val="true"/>
          <w:lang w:bidi="ar-SA"/>
        </w:rPr>
        <w:t xml:space="preserve">و التحرير </w:t>
      </w:r>
      <w:r>
        <w:rPr>
          <w:rStyle w:val="FootnoteAnchor"/>
          <w:rtl w:val="true"/>
        </w:rPr>
        <w:footnoteReference w:id="343"/>
      </w:r>
      <w:r>
        <w:rPr>
          <w:rFonts w:ascii="IRNazanin" w:hAnsi="IRNazanin" w:eastAsia="IRNazanin"/>
          <w:color w:val="111111"/>
          <w:sz w:val="28"/>
          <w:sz w:val="28"/>
          <w:szCs w:val="28"/>
          <w:rtl w:val="true"/>
          <w:lang w:bidi="fa-IR"/>
        </w:rPr>
        <w:t xml:space="preserve">و الارشاد </w:t>
      </w:r>
      <w:r>
        <w:rPr>
          <w:rStyle w:val="FootnoteAnchor"/>
          <w:rtl w:val="true"/>
        </w:rPr>
        <w:footnoteReference w:id="344"/>
      </w:r>
      <w:r>
        <w:rPr>
          <w:rFonts w:ascii="Amiri" w:hAnsi="Amiri" w:eastAsia="Amiri" w:cs="Amiri"/>
          <w:color w:val="111111"/>
          <w:sz w:val="28"/>
          <w:sz w:val="28"/>
          <w:szCs w:val="28"/>
          <w:rtl w:val="true"/>
          <w:lang w:bidi="ar-SA"/>
        </w:rPr>
        <w:t xml:space="preserve">و التذكرة </w:t>
      </w:r>
      <w:r>
        <w:rPr>
          <w:rStyle w:val="FootnoteAnchor"/>
          <w:rtl w:val="true"/>
        </w:rPr>
        <w:footnoteReference w:id="345"/>
      </w:r>
      <w:r>
        <w:rPr>
          <w:rFonts w:ascii="Amiri" w:hAnsi="Amiri" w:eastAsia="Amiri" w:cs="Amiri"/>
          <w:color w:val="111111"/>
          <w:sz w:val="28"/>
          <w:sz w:val="28"/>
          <w:szCs w:val="28"/>
          <w:rtl w:val="true"/>
          <w:lang w:bidi="ar-SA"/>
        </w:rPr>
        <w:t xml:space="preserve">و الشهيد في الدروس </w:t>
      </w:r>
      <w:r>
        <w:rPr>
          <w:rStyle w:val="FootnoteAnchor"/>
          <w:rtl w:val="true"/>
        </w:rPr>
        <w:footnoteReference w:id="346"/>
      </w:r>
      <w:r>
        <w:rPr>
          <w:rFonts w:ascii="Amiri" w:hAnsi="Amiri" w:eastAsia="Amiri" w:cs="Amiri"/>
          <w:color w:val="111111"/>
          <w:sz w:val="28"/>
          <w:sz w:val="28"/>
          <w:szCs w:val="28"/>
          <w:rtl w:val="true"/>
          <w:lang w:bidi="ar-SA"/>
        </w:rPr>
        <w:t xml:space="preserve">و اللمعة </w:t>
      </w:r>
      <w:r>
        <w:rPr>
          <w:rStyle w:val="FootnoteAnchor"/>
          <w:rtl w:val="true"/>
        </w:rPr>
        <w:footnoteReference w:id="347"/>
      </w:r>
      <w:r>
        <w:rPr>
          <w:rFonts w:ascii="Amiri" w:hAnsi="Amiri" w:eastAsia="Amiri" w:cs="Amiri"/>
          <w:color w:val="111111"/>
          <w:sz w:val="28"/>
          <w:sz w:val="28"/>
          <w:szCs w:val="28"/>
          <w:rtl w:val="true"/>
          <w:lang w:bidi="ar-SA"/>
        </w:rPr>
        <w:t xml:space="preserve">، و المحقق في النافع </w:t>
      </w:r>
      <w:r>
        <w:rPr>
          <w:rStyle w:val="FootnoteAnchor"/>
          <w:rtl w:val="true"/>
        </w:rPr>
        <w:footnoteReference w:id="348"/>
      </w:r>
      <w:r>
        <w:rPr>
          <w:rFonts w:ascii="Amiri" w:hAnsi="Amiri" w:eastAsia="Amiri" w:cs="Amiri"/>
          <w:color w:val="111111"/>
          <w:sz w:val="28"/>
          <w:sz w:val="28"/>
          <w:szCs w:val="28"/>
          <w:rtl w:val="true"/>
          <w:lang w:bidi="ar-SA"/>
        </w:rPr>
        <w:t>و يدل عليه أيضا النصوص الواردة عن</w:t>
      </w:r>
      <w:bookmarkStart w:id="137" w:name="pg2491_24191"/>
    </w:p>
    <w:p>
      <w:pPr>
        <w:pStyle w:val="BookText"/>
        <w:rPr/>
      </w:pPr>
      <w:bookmarkEnd w:id="137"/>
      <w:r>
        <w:rPr>
          <w:rFonts w:ascii="Amiri" w:hAnsi="Amiri" w:eastAsia="Amiri" w:cs="Amiri"/>
          <w:color w:val="111111"/>
          <w:sz w:val="28"/>
          <w:sz w:val="28"/>
          <w:szCs w:val="28"/>
          <w:rtl w:val="true"/>
          <w:lang w:bidi="ar-SA"/>
        </w:rPr>
        <w:t xml:space="preserve">أهل الخصوص كخبر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يؤجر بيته فيباع فيه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أجرته</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و ذيل مكاتبة ابن أذينة في الحسن أو الصحيح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 خشب فباعه ممن يتخذ صليبا،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 و خبر عمرو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التوت أبيعه ممن يصنع الصليب و الصنم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فانها شاملة بإطلاقها لصورة القصد، بل ربما يُدّعى كونها نصا فيها و ظاهرة في غيرها فتبصّر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يعارضها من الاخبار الدالة منزّلة على الصورتين الآتيتين أن شاء الله تعالى، كما تسمع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حصل القصد من البائع و المشتري أو من البائع فقط و أما لو حصل من المشتري فقط فالظاهر الصحة لقيام السيرة القطعية على صحة إجارة الدور و المساكن للملوك و الامراء و الوزراء و أعوانهم و أشياعهم و اتباعهم و بيع المطاعم و الملابس و السلاح عليهم مع أنه أنما يشترون ذلك للجنود و العساكر، فلو كان المقصود من المشتري مبطل لبطل العقد المذكور؛ لان الباطل من جانب باطل من الجانبين و السيرة القطعية على خلافه، و لا فرق في ذلك بين مخالفة البائع له في العقد و عدم قصد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دل على وجوب الوفاء بالعقد و حلّية البيع مع الشك في شمول دليل المنع لذلك مضافاً الى ما عرفت من السيرة</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3813629_3804643083"/>
      <w:bookmarkStart w:id="139" w:name="_Toc54"/>
      <w:bookmarkEnd w:id="138"/>
      <w:r>
        <w:rPr>
          <w:rtl w:val="true"/>
        </w:rPr>
        <w:t>المبحث الرابع</w:t>
      </w:r>
      <w:r>
        <w:rPr>
          <w:rtl w:val="true"/>
        </w:rPr>
        <w:t xml:space="preserve">: </w:t>
      </w:r>
      <w:r>
        <w:rPr>
          <w:rtl w:val="true"/>
        </w:rPr>
        <w:t>البيع و الإيجار مع العلم بالمحرم، أن يؤجر الدكان ممن يعلم أنه يبيع فيه الخمر أو يبيع الخشب ممن يعلم أنه يصنعه صليباً</w:t>
      </w:r>
      <w:r>
        <w:rPr>
          <w:rtl w:val="true"/>
        </w:rPr>
        <w:t>.</w:t>
      </w:r>
      <w:bookmarkEnd w:id="13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لأصحابنا أقوالًا ثلاثة، فقيل و هو المشهور شهرة عظيمة محصلة و منقولة في جواهر الكلام أنه يجوز على كراهة </w:t>
      </w:r>
      <w:r>
        <w:rPr>
          <w:rStyle w:val="FootnoteAnchor"/>
          <w:rtl w:val="true"/>
        </w:rPr>
        <w:footnoteReference w:id="352"/>
      </w:r>
      <w:r>
        <w:rPr>
          <w:rFonts w:ascii="Amiri" w:hAnsi="Amiri" w:eastAsia="Amiri" w:cs="Amiri"/>
          <w:color w:val="111111"/>
          <w:sz w:val="28"/>
          <w:sz w:val="28"/>
          <w:szCs w:val="28"/>
          <w:rtl w:val="true"/>
          <w:lang w:bidi="ar-SA"/>
        </w:rPr>
        <w:t xml:space="preserve">، و قيل بالتحريم و الفساد و هو المنسوب لجمع من الأصحاب منهم الشيخ في ظاهر التهذيب </w:t>
      </w:r>
      <w:r>
        <w:rPr>
          <w:rStyle w:val="FootnoteAnchor"/>
          <w:rtl w:val="true"/>
        </w:rPr>
        <w:footnoteReference w:id="353"/>
      </w:r>
      <w:r>
        <w:rPr>
          <w:rFonts w:ascii="Amiri" w:hAnsi="Amiri" w:eastAsia="Amiri" w:cs="Amiri"/>
          <w:color w:val="111111"/>
          <w:sz w:val="28"/>
          <w:sz w:val="28"/>
          <w:szCs w:val="28"/>
          <w:rtl w:val="true"/>
          <w:lang w:bidi="ar-SA"/>
        </w:rPr>
        <w:t xml:space="preserve">، و العلامة في المختلف </w:t>
      </w:r>
      <w:r>
        <w:rPr>
          <w:rStyle w:val="FootnoteAnchor"/>
          <w:rtl w:val="true"/>
        </w:rPr>
        <w:footnoteReference w:id="354"/>
      </w:r>
      <w:r>
        <w:rPr>
          <w:rFonts w:ascii="Amiri" w:hAnsi="Amiri" w:eastAsia="Amiri" w:cs="Amiri"/>
          <w:color w:val="111111"/>
          <w:sz w:val="28"/>
          <w:sz w:val="28"/>
          <w:szCs w:val="28"/>
          <w:rtl w:val="true"/>
          <w:lang w:bidi="ar-SA"/>
        </w:rPr>
        <w:t>و الشهيد في حواشي القواعد و الشهيد في</w:t>
      </w:r>
    </w:p>
    <w:p>
      <w:pPr>
        <w:pStyle w:val="BookText"/>
        <w:rPr/>
      </w:pPr>
      <w:r>
        <w:rPr>
          <w:rFonts w:ascii="Amiri" w:hAnsi="Amiri" w:eastAsia="Amiri" w:cs="Amiri"/>
          <w:color w:val="111111"/>
          <w:sz w:val="28"/>
          <w:sz w:val="28"/>
          <w:szCs w:val="28"/>
          <w:rtl w:val="true"/>
          <w:lang w:bidi="ar-SA"/>
        </w:rPr>
        <w:t xml:space="preserve">المسالك </w:t>
      </w:r>
      <w:r>
        <w:rPr>
          <w:rStyle w:val="FootnoteAnchor"/>
          <w:rtl w:val="true"/>
        </w:rPr>
        <w:footnoteReference w:id="355"/>
      </w:r>
      <w:r>
        <w:rPr>
          <w:rFonts w:ascii="Amiri" w:hAnsi="Amiri" w:eastAsia="Amiri" w:cs="Amiri"/>
          <w:color w:val="111111"/>
          <w:sz w:val="28"/>
          <w:sz w:val="28"/>
          <w:szCs w:val="28"/>
          <w:rtl w:val="true"/>
          <w:lang w:bidi="ar-SA"/>
        </w:rPr>
        <w:t xml:space="preserve">و الروضة </w:t>
      </w:r>
      <w:r>
        <w:rPr>
          <w:rStyle w:val="FootnoteAnchor"/>
          <w:rtl w:val="true"/>
        </w:rPr>
        <w:footnoteReference w:id="356"/>
      </w:r>
      <w:r>
        <w:rPr>
          <w:rFonts w:ascii="Amiri" w:hAnsi="Amiri" w:eastAsia="Amiri" w:cs="Amiri"/>
          <w:color w:val="111111"/>
          <w:sz w:val="28"/>
          <w:sz w:val="28"/>
          <w:szCs w:val="28"/>
          <w:rtl w:val="true"/>
          <w:lang w:bidi="ar-SA"/>
        </w:rPr>
        <w:t>،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يلوح ذلك من جامع المقاصد </w:t>
      </w:r>
      <w:r>
        <w:rPr>
          <w:rStyle w:val="FootnoteAnchor"/>
          <w:rtl w:val="true"/>
        </w:rPr>
        <w:footnoteReference w:id="357"/>
      </w:r>
      <w:r>
        <w:rPr>
          <w:rFonts w:ascii="Amiri" w:hAnsi="Amiri" w:eastAsia="Amiri" w:cs="Amiri"/>
          <w:color w:val="111111"/>
          <w:sz w:val="28"/>
          <w:sz w:val="28"/>
          <w:szCs w:val="28"/>
          <w:rtl w:val="true"/>
          <w:lang w:bidi="ar-SA"/>
        </w:rPr>
        <w:t xml:space="preserve">، و هو خيرة الشهيد في النهاية في المساكن و الحمولات </w:t>
      </w:r>
      <w:r>
        <w:rPr>
          <w:rStyle w:val="FootnoteAnchor"/>
          <w:rtl w:val="true"/>
        </w:rPr>
        <w:footnoteReference w:id="358"/>
      </w:r>
      <w:r>
        <w:rPr>
          <w:rFonts w:ascii="Amiri" w:hAnsi="Amiri" w:eastAsia="Amiri" w:cs="Amiri"/>
          <w:color w:val="111111"/>
          <w:sz w:val="28"/>
          <w:sz w:val="28"/>
          <w:szCs w:val="28"/>
          <w:rtl w:val="true"/>
          <w:lang w:bidi="ar-SA"/>
        </w:rPr>
        <w:t xml:space="preserve">، و خيرة مجمع البرهان </w:t>
      </w:r>
      <w:r>
        <w:rPr>
          <w:rStyle w:val="FootnoteAnchor"/>
          <w:rtl w:val="true"/>
        </w:rPr>
        <w:footnoteReference w:id="359"/>
      </w:r>
      <w:r>
        <w:rPr>
          <w:rFonts w:ascii="Amiri" w:hAnsi="Amiri" w:eastAsia="Amiri" w:cs="Amiri"/>
          <w:color w:val="111111"/>
          <w:sz w:val="28"/>
          <w:sz w:val="28"/>
          <w:szCs w:val="28"/>
          <w:rtl w:val="true"/>
          <w:lang w:bidi="ar-SA"/>
        </w:rPr>
        <w:t xml:space="preserve">، و الرياض في باب الإجارة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ascii="Amiri" w:hAnsi="Amiri" w:eastAsia="Amiri" w:cs="Amiri"/>
          <w:color w:val="111111"/>
          <w:sz w:val="28"/>
          <w:sz w:val="28"/>
          <w:szCs w:val="28"/>
          <w:rtl w:val="true"/>
          <w:lang w:bidi="ar-SA"/>
        </w:rPr>
        <w:t>، و قيل بالتحريم و الصحة و هو المنسوب لابن المتوج</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المشهور على ما ذهبوا اليه بما دل على وجوب الوفاء بالعقود و حلية البيع و خصوص الأخبار التي منها صحيح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الرجل يؤجر سفينته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فيها أو عليها الخمر و الخنازير،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و مكاتبته الأخرى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له خشب فباعه ممن يتخذه برابط،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و خبر محمد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العصير فيصير خمرا قبل أن يقبض الثمن،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ثمرته ممن يعلم أنه يجعله حراما لم يكن بذلك بأس، و إما إذا كان عصيرا فلا يباع إلا بالنقد</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و خبر محمد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عصير العنب ممن يجعله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تبيعه حلالًا ليجعله حراماً </w:t>
      </w:r>
      <w:r>
        <w:rPr>
          <w:rStyle w:val="FootnoteAnchor"/>
          <w:rtl w:val="true"/>
        </w:rPr>
        <w:footnoteReference w:id="366"/>
      </w:r>
      <w:r>
        <w:rPr>
          <w:rFonts w:ascii="IRNazanin" w:hAnsi="IRNazanin" w:eastAsia="IRNazanin"/>
          <w:color w:val="111111"/>
          <w:sz w:val="28"/>
          <w:sz w:val="28"/>
          <w:szCs w:val="28"/>
          <w:rtl w:val="true"/>
          <w:lang w:bidi="fa-IR"/>
        </w:rPr>
        <w:t>فابعده الله و أسحقه</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صحيح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رجل له كرم، أ يبيع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التمر</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ممن يعلم انه يجعله خمرا أو مسكراً،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باعه حلالا في الآن الذي يحل شربه أو أكله </w:t>
      </w:r>
      <w:r>
        <w:rPr>
          <w:rStyle w:val="FootnoteAnchor"/>
          <w:rtl w:val="true"/>
        </w:rPr>
        <w:footnoteReference w:id="369"/>
      </w:r>
      <w:r>
        <w:rPr>
          <w:rFonts w:ascii="Amiri" w:hAnsi="Amiri" w:eastAsia="Amiri" w:cs="Amiri"/>
          <w:color w:val="111111"/>
          <w:sz w:val="28"/>
          <w:sz w:val="28"/>
          <w:szCs w:val="28"/>
          <w:rtl w:val="true"/>
          <w:lang w:bidi="ar-SA"/>
        </w:rPr>
        <w:t>فلا بأس ببيعه</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 و خبر أبي كهمس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نبيع تمرنا ممن نعلم أنه يصنعه خمراً</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و خبر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بيع العصير ممن يخمره،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حلال، ألسنا نبيع تمرنا ممن يجعله شرابا خبيثاً</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و 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بيع العصير ممن يصنعه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ممن يطبخه أو يصنعه خلا أحب الي و لا أرى بالاول بأساً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و خبر يزيد بن خليفة الحارثي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و أنا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الكرم فأبيعه عنبا،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يشتريه من يجعله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اذا كان عصيراً،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يشتريه مني عصيرا فيجعله خمرا في قربتي،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حلالا فجعله حراما فابعده الله تعالى</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الى غير ذلك من الاخبار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كانت معارضته بالاخبار المتقدمة الدالة على المنع بإطلاقها ألزم الجمع بين الاخبار بحمل الاخبار المانعة على صورة الاشتراط و التواطي و القصد منهما أو من البائع فقط، و هذه الاخبار على صورة العلم أو الظن و الشك، و لا تشمل الأخبار المذكورة صورة ما لو قصد البائع ذلك لظهورها في غير تلك الصورة، أ لا تنظر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تبيعه حلالًا ليجعله </w:t>
      </w:r>
      <w:r>
        <w:rPr>
          <w:rStyle w:val="FootnoteAnchor"/>
          <w:rtl w:val="true"/>
        </w:rPr>
        <w:footnoteReference w:id="375"/>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ألسنا نبيع تمرنا</w:t>
      </w:r>
      <w:bookmarkStart w:id="140" w:name="pg2491_24194"/>
    </w:p>
    <w:p>
      <w:pPr>
        <w:pStyle w:val="BookText"/>
        <w:rPr/>
      </w:pPr>
      <w:bookmarkEnd w:id="140"/>
      <w:r>
        <w:rPr>
          <w:rFonts w:ascii="Amiri" w:hAnsi="Amiri" w:eastAsia="Amiri" w:cs="Amiri"/>
          <w:color w:val="111111"/>
          <w:sz w:val="28"/>
          <w:sz w:val="28"/>
          <w:szCs w:val="28"/>
          <w:rtl w:val="true"/>
          <w:lang w:bidi="ar-SA"/>
        </w:rPr>
        <w:t>ممن يجعله شرابا خبيثاً</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فتبقى صورة قصد البائع مشمولة لأدلة المنع من غير معارض لظهور الأخبار المذكورة في غيرها، على أن الاخبار المذكورة لا أشكال في دلالتها و قوتها على المعارض من جهة تأيّدها بالسيرة على المعاملة مع الملوك و الأمراء فيما يعلم صرفه في تقوية الجنود و العساكر المساعدين لهم على الظلم و الباطل، و إجارة الدور و المساكن و المراكب لهم لذلك، و بيع المطاعم و المشارب للكفار في نهار شهر رمضان مع العلم بأكلهم فيه، و بيع بساتين العنب منهم مع العلم العادي بجعل بعضه خمرا و بيع القرطاس مع العلم بأن منهم ما يتخذ كتب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دلالة الاخبار بإمكان حملها على توهم البائع أن المشتري يعمله خمراً أو على ارادة رجوع الضمير الى مطلق العصير لا التمر المبيع، في خبر ابن أذينة باحتمال عمل الخمر فيه لإرادة التخليل أو الجبر عليه أو على كونه لأهل الذمة الذين لهم أن يفعلوا ذلك أو على عدم العلم بحمله في خبره الآخر، كله كما ترى</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3813631_3804643083"/>
      <w:bookmarkStart w:id="142" w:name="_Toc55"/>
      <w:bookmarkEnd w:id="141"/>
      <w:r>
        <w:rPr>
          <w:rtl w:val="true"/>
        </w:rPr>
        <w:t>مما لا يجوز التكسب به مما لا ينتفع به</w:t>
      </w:r>
      <w:bookmarkEnd w:id="142"/>
    </w:p>
    <w:p>
      <w:pPr>
        <w:pStyle w:val="BookText"/>
        <w:rPr/>
      </w:pPr>
      <w:r>
        <w:rPr>
          <w:rFonts w:ascii="Amiri" w:hAnsi="Amiri" w:eastAsia="Amiri" w:cs="Amiri"/>
          <w:color w:val="111111"/>
          <w:sz w:val="28"/>
          <w:sz w:val="28"/>
          <w:szCs w:val="28"/>
          <w:rtl w:val="true"/>
          <w:lang w:bidi="ar-SA"/>
        </w:rPr>
        <w:t>و تنقيح المسألة أن الاعيان التي يكتسب بها إما أن تكون مما لا ينتفع بها أصلا أو تكون مما ينتفع بها منفعة غير مستحسنة عند العقلاء كاللعب و نظائره، أو تكون مما ينتفع بها عند العقلاء منفعة مستحسنة، و لكنها غير مقصودة للعقلاء في المعاوضات و نحوها، أو تكون مقصودة للعقلاء في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ينتفع به أصلا، فلا يقبل الملك لعدم صدق اسمه عليه عرفا و لعدم شمول أدلة الملك من قبيل الحيازة و نحوها له و لا يقبل التمليك؛ لأن ما لا يقبل الملك لا يقبل التمليك لا مجانا و لا بالعوض؛ لأنه من جملة شروط التمليك، و المفروض عدمه، و لأصالة عدم تأثير الاسباب المملكة المتعلقة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إن قلنا إن من الاعيان ما لا ينتفع به أصلا و الا كانت المسألة فرضية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ينتفع به منفعة غير مستحسنة، فهو كما لا منفعة فيه أصلا؛ و ذلك لأن المدار في المنفعة و عدمها على المنفعة المستحسنة المعتبرة عند العقلاء</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ينتفع به منفعة مستحسنة عند العقلاء لكنها غير مقصودة في باب المعاوضات، فإما أن يكون عدم اعتبار المنفعة عند العقلاء في باب المعاوضات لخسته أو لقلته، أما الاول كالبصاق و غيره من فضلات الانسان كالشعر و نحوه و القمل و نحوه، فالظاهر انه لا يملك لعدم شمول أدلة الملك له، و عدم صدق اسم الملك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يثبت حق الاختصاص فيه على الظاهر لصدق الظلم بأخذه ممن هو في يده قهرا مع الاحتياج اليه، و لا يترتب عليه ضمانٌ بإتلافه، فلا يقبل التمليك لا مجانا و لا بالعوض،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ينتفع به لقلته كحبة الحنطة و نحوها، فالظاهر أنه مملوك لاستصحاب الملك في صورة بقاء الحبة بعد تلف الباقي؛ و لأنه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الملك إنْ جَمَعَ مقدارا من الحنطة حبة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مالكا لشي‌ء، و هو واضح البطلان، و احتمال ان للهيئة الاجتماعية مدخلا في حصول الملك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بعدم قبوله الملك، و هو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ضمانه بالاتلاف فعن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و لعله لان الضمان فرع المالية و هي مفقودة في ذلك و إن كان مملوكا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اتلف مال غيره فهو له ضامن</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و ليس بشي‌ء بل الظاهر انه يضمن بالمثل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و لظاهر الاصحاب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التمليك المجاني فالظاهر قبوله على أشكال ينشأ من لزوم السفه فيه، و أما التمليك بالعوض فالظاهر عدم قبولِه له لأصالة الفساد في المعاملات، فمع الشك في شمول العمومات لذلك </w:t>
      </w:r>
      <w:r>
        <w:rPr>
          <w:rStyle w:val="FootnoteAnchor"/>
          <w:rtl w:val="true"/>
        </w:rPr>
        <w:footnoteReference w:id="380"/>
      </w:r>
      <w:r>
        <w:rPr>
          <w:rFonts w:ascii="Amiri" w:hAnsi="Amiri" w:eastAsia="Amiri" w:cs="Amiri"/>
          <w:color w:val="111111"/>
          <w:sz w:val="28"/>
          <w:sz w:val="28"/>
          <w:szCs w:val="28"/>
          <w:rtl w:val="true"/>
          <w:lang w:bidi="ar-SA"/>
        </w:rPr>
        <w:t>و لأن المعاوضة المذكورة من المعاوضات السفهية التي دل الاجماع على بطلانها، مضافا الى اقتضاء الاصل البطلان مع الشك في شمول الأدلة لها، و دعوى أن المعاوضة السفهية ما صدرت من سفيه، و أما مع صدورها من عاقلين فلا دليل على البطلان كما ترى؛ ضرورة أن المراد بالمعاملة السفهية هو ما يعده أهل العرف سفها و إن صدر من عاقل</w:t>
      </w:r>
      <w:r>
        <w:rPr>
          <w:rFonts w:eastAsia="Amiri" w:cs="Amiri" w:ascii="Amiri" w:hAnsi="Amiri"/>
          <w:color w:val="111111"/>
          <w:sz w:val="28"/>
          <w:szCs w:val="28"/>
          <w:rtl w:val="true"/>
          <w:lang w:bidi="ar-SA"/>
        </w:rPr>
        <w:t>.</w:t>
      </w:r>
      <w:bookmarkStart w:id="143" w:name="pg2491_24196"/>
    </w:p>
    <w:p>
      <w:pPr>
        <w:pStyle w:val="BookText"/>
        <w:rPr/>
      </w:pPr>
      <w:bookmarkEnd w:id="143"/>
      <w:r>
        <w:rPr>
          <w:rFonts w:ascii="Amiri" w:hAnsi="Amiri" w:eastAsia="Amiri" w:cs="Amiri"/>
          <w:color w:val="111111"/>
          <w:sz w:val="28"/>
          <w:sz w:val="28"/>
          <w:szCs w:val="28"/>
          <w:rtl w:val="true"/>
          <w:lang w:bidi="ar-SA"/>
        </w:rPr>
        <w:t>هذا كله في ما لا تكون فيه منفعة مقصودة في باب المعاوضات لخسته أو لقلته، و أما ما تكون فيه منفعة مقصودة للعقلاء في باب المعاوضات فلا كلام في قبوله الملك و التمليك مجانا و بالعوض لأدلة الملك و التمليك، و سيأتي إن شاء الله تعالى مزيد بيان و تحقيق لهذه المسألة في شرائط المبيع فانتظر ذلك و الله العالم بحقائق احكامه</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3813633_3804643083"/>
      <w:bookmarkStart w:id="145" w:name="_Toc56"/>
      <w:bookmarkEnd w:id="144"/>
      <w:r>
        <w:rPr>
          <w:rtl w:val="true"/>
        </w:rPr>
        <w:t>عمل الصور المجسمة الحيوانية</w:t>
      </w:r>
      <w:bookmarkEnd w:id="145"/>
    </w:p>
    <w:p>
      <w:pPr>
        <w:pStyle w:val="BookText"/>
        <w:rPr/>
      </w:pPr>
      <w:r>
        <w:rPr>
          <w:rFonts w:ascii="Amiri" w:hAnsi="Amiri" w:eastAsia="Amiri" w:cs="Amiri"/>
          <w:color w:val="111111"/>
          <w:sz w:val="28"/>
          <w:sz w:val="28"/>
          <w:szCs w:val="28"/>
          <w:rtl w:val="true"/>
          <w:lang w:bidi="ar-SA"/>
        </w:rPr>
        <w:t>مما يحرم التكسب به ما نص الشارع على تحريمه عينا لذاته لا لنجاسته كالنوع الاول و هو الاعيان النجسة، و لا لغايته كالنوع الثاني و هو آلات اللهو و هياكل العبادة المبتدعة، و لا للهيئة كالنوع الثالث و هو ما لا ينتفع به كما سمعت و 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الصور المجسمة الحيوانية، و عن جمع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الصورة خاصة بالحيوان و ان التمثال يشمل الحيوان و الاشجار، فعليه يكون قيد الحيوانية توضيحيا، و المنقول عن الأكثر عدم التفرقة بين الصورة و التمثال، حتى ان المنقول عن البحار أن كلام الاكثر أوفق بكلام أهل اللغة، فانهم فسروا الصورة و المثال و التمثال بما يعم و يشمل غير الحيوان </w:t>
      </w:r>
      <w:r>
        <w:rPr>
          <w:rStyle w:val="FootnoteAnchor"/>
          <w:rtl w:val="true"/>
        </w:rPr>
        <w:footnoteReference w:id="381"/>
      </w:r>
      <w:r>
        <w:rPr>
          <w:rFonts w:ascii="Amiri" w:hAnsi="Amiri" w:eastAsia="Amiri" w:cs="Amiri"/>
          <w:color w:val="111111"/>
          <w:sz w:val="28"/>
          <w:sz w:val="28"/>
          <w:szCs w:val="28"/>
          <w:rtl w:val="true"/>
          <w:lang w:bidi="ar-SA"/>
        </w:rPr>
        <w:t xml:space="preserve">، و عليه يكون قيدا احترازيا، و يمكن أن يكون توضيحيا أيضا و إن قلنا بعموم الصورة للحيوان و غيره لظهورها في خصوص الحيوانية و إن شملت غيرها ايضا، كما انها ظاهرة في خصوص المجسمة كما فَهِم الاكثر منها ذلك و إن </w:t>
      </w:r>
      <w:r>
        <w:rPr>
          <w:rStyle w:val="FootnoteAnchor"/>
          <w:rtl w:val="true"/>
        </w:rPr>
        <w:footnoteReference w:id="382"/>
      </w:r>
      <w:r>
        <w:rPr>
          <w:rFonts w:ascii="Amiri" w:hAnsi="Amiri" w:eastAsia="Amiri" w:cs="Amiri"/>
          <w:color w:val="111111"/>
          <w:sz w:val="28"/>
          <w:sz w:val="28"/>
          <w:szCs w:val="28"/>
          <w:rtl w:val="true"/>
          <w:lang w:bidi="ar-SA"/>
        </w:rPr>
        <w:t>لم يكن جسما خارجا عنها، و ربما يعطي ذلك مقابلة الصورة بالنقش في بعض الاخبار، و على ذلك فيكون قيد المجسمة أيضا قيدا توضيحياً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الصورة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في الموضوع، و الثاني في الحكم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من الصورة ما يقصده المتكلمون و هو أن كل مادة متقوّمة بصورة، بل المراد منها عمل صورة لها نظير في الاعيان الخارجية، كما أنه ليس المراد من المجسمة ما اصطلح عليه المتكلمون من الجوهر القابل للابعاد، بل</w:t>
      </w:r>
    </w:p>
    <w:p>
      <w:pPr>
        <w:pStyle w:val="BookText"/>
        <w:rPr/>
      </w:pPr>
      <w:r>
        <w:rPr>
          <w:rFonts w:ascii="Amiri" w:hAnsi="Amiri" w:eastAsia="Amiri" w:cs="Amiri"/>
          <w:color w:val="111111"/>
          <w:sz w:val="28"/>
          <w:sz w:val="28"/>
          <w:szCs w:val="28"/>
          <w:rtl w:val="true"/>
          <w:lang w:bidi="ar-SA"/>
        </w:rPr>
        <w:t>المراد منها ما كان لها ظل عند حدوث الضوء فيه، فالنقش بالالوان على الجدران و إن كان جسما لكنه غير داخل في المجسمة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 أن الصورة إما مجسمة أولا، و كل منهما إما صورة حيوان أو غيره، فهذه أربعة صور، مجسمة لحيوان مجسم، و صور غير مجسمة لحيوان مجسم و هي المنقوشة على نحو الجدران و الفرش و الوسائد، و صور مجسمة لغير حيوان مجسم، كصورة الاشجار و النباتات المجسمة، و صور غير مجسمة لغير حيوان، كصورة الاشجار المنقوشة على نحو الوسائد و الجدران، و كل من الاربعة المذكورة إما أن تكون صورة الشي‌ء أو صورة صورته، فتكون الصور ثمانية، أما لو كان المصوَّر نفس الشي‌ء فصوره الاربعة المارة، و أما لو كان المصور صورته فصوره ايضا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مجسمة لصورة حيوان مجسمة، و صورة غير مجسمة لصورة حيوان مجسمة، و صورة مجسمة لصورة غير حيوان مجسمة، و صورة غير مجسمة لصورة غير حيوان 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صور ثمانية، و لك أن تقول إن المصورة إما حيوانٌ أو غيره، و كل منهما إما ان يكون المصور هو أو صورته، و الصورة إما مجسمة أو غير 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ثمانية صور، و لو زدت الوهمي هو و صورته كانت الصور ست عشرة؛ لان الوهمي إما حيوان أو غيره، و المصور إما هو أو صورته، و الصورة إما مجسمة أو غير 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ثمانية أقسام، فيكون مجموع الصور ست عشرة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هي الصورة المجسمة لحيوان مجسم فلا خلاف في حرمة عملها و لا كلام، بل الاجماع بقسميه عليه محصلا و منقولا نقلا مستفيضا كاد أن</w:t>
      </w:r>
    </w:p>
    <w:p>
      <w:pPr>
        <w:pStyle w:val="BookText"/>
        <w:rPr/>
      </w:pPr>
      <w:r>
        <w:rPr>
          <w:rFonts w:ascii="Amiri" w:hAnsi="Amiri" w:eastAsia="Amiri" w:cs="Amiri"/>
          <w:color w:val="111111"/>
          <w:sz w:val="28"/>
          <w:sz w:val="28"/>
          <w:szCs w:val="28"/>
          <w:rtl w:val="true"/>
          <w:lang w:bidi="ar-SA"/>
        </w:rPr>
        <w:t>يكون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بذلك مستفيضة، منها خبر المناهي عن الحسين بن زيد </w:t>
      </w:r>
      <w:r>
        <w:rPr>
          <w:rStyle w:val="FootnoteAnchor"/>
          <w:rtl w:val="true"/>
        </w:rPr>
        <w:footnoteReference w:id="3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التصاوير،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تعالى يوم القيامة أن ينفح فيها، و ليس بنافخ، و نهى أن يُنقش شي‌ءٌ من الحيوان على الخاتم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و منها خبر محمد بن مروان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يُعذَّبون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الحيوان يُعذَّب حتى ينفخ فيها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و منها المرسل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عُذّب و كلّف أن ينفخ فيها، و ليس بفاعل</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 و منها صحيح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تمثيل الشجر و الشمس و 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 و منها صحيح محمد بن أبي العباس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هي تماثيل الرجال و النساء، و لكنها الشجر و شبهه</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و منها خبر تحف العقول 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صنعة صنوف التصاوير ما لم يكن فيه مثال الروحاني فحلال تعلمه و تعليمه</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و ربما يشعر بذلك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بتماثيل الشجر</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الى غير ذلك من الاخبار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فيها من حيث السند مما لا وجه لها بعد انجبارها بما سمعت من الاجماع المحصل فضلا عن المنقول، كما أن المناقشة في دلالتها من الهذر؛ لأن الصورة إما خاصة بالمجسمة أو ظاهرة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فهي نص في الصور المجسمة، فلا ينبغي الريب في ذلك و لا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غير المجسمة لحيوان مجسم، فذهب جمع من اصحابنا الى تحريم عملها، و هو المنسوب الى ظاهر الشيخ في النهاية </w:t>
      </w:r>
      <w:r>
        <w:rPr>
          <w:rStyle w:val="FootnoteAnchor"/>
          <w:rtl w:val="true"/>
        </w:rPr>
        <w:footnoteReference w:id="392"/>
      </w:r>
      <w:r>
        <w:rPr>
          <w:rFonts w:ascii="Amiri" w:hAnsi="Amiri" w:eastAsia="Amiri" w:cs="Amiri"/>
          <w:color w:val="111111"/>
          <w:sz w:val="28"/>
          <w:sz w:val="28"/>
          <w:szCs w:val="28"/>
          <w:rtl w:val="true"/>
          <w:lang w:bidi="ar-SA"/>
        </w:rPr>
        <w:t xml:space="preserve">، و صريح السرائر </w:t>
      </w:r>
      <w:r>
        <w:rPr>
          <w:rStyle w:val="FootnoteAnchor"/>
          <w:rtl w:val="true"/>
        </w:rPr>
        <w:footnoteReference w:id="393"/>
      </w:r>
      <w:r>
        <w:rPr>
          <w:rFonts w:ascii="Amiri" w:hAnsi="Amiri" w:eastAsia="Amiri" w:cs="Amiri"/>
          <w:color w:val="111111"/>
          <w:sz w:val="28"/>
          <w:sz w:val="28"/>
          <w:szCs w:val="28"/>
          <w:rtl w:val="true"/>
          <w:lang w:bidi="ar-SA"/>
        </w:rPr>
        <w:t xml:space="preserve">، و المحكي عن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الميْسيّة و المسالك </w:t>
      </w:r>
      <w:r>
        <w:rPr>
          <w:rStyle w:val="FootnoteAnchor"/>
          <w:rtl w:val="true"/>
        </w:rPr>
        <w:footnoteReference w:id="394"/>
      </w:r>
      <w:r>
        <w:rPr>
          <w:rFonts w:ascii="Amiri" w:hAnsi="Amiri" w:eastAsia="Amiri" w:cs="Amiri"/>
          <w:color w:val="111111"/>
          <w:sz w:val="28"/>
          <w:sz w:val="28"/>
          <w:szCs w:val="28"/>
          <w:rtl w:val="true"/>
          <w:lang w:bidi="ar-SA"/>
        </w:rPr>
        <w:t xml:space="preserve">، و ايضاح النافع و الكفاية و مجمع البرهان، و تبعهم على ذلك جمع من المتأخرين منهم شيخنا المعاصر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استندوا في ذلك الى بعض الاخبار، فمنها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ان يُنقش شي‌ءٌ على الخاتم</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تزويق البيوت،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تزويق البيوت؟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تصاوير التماثيل</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و منها خبر تحف العقول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صنعة صنوف التصاوير ما لم يكن مثال الروحاني</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و مثّل مثالًا فقد خرج عن الاسلام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 و منها صحيح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تماثيل الشجر و الشمس و القمر، قال لا بأس ما لم يكن شيئاً من الحيوان</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توجيه الاستدلال ان النقش و المثال و التمثال إما صريح في الصورة غير المجسمة أو ظاهر فيها خصوصا بعد أن نهى عن النقش على الخاتم فإن النقش على الخاتم صريح في ذلك، كما أن تزويق البيوت كذلك، كما أن ذكر الشمس و القمر في خبر محمد بن مسلم قرينة واضحة على إرادة مجرد 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أيضا بالاخبار المتعددة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صورة كلفه الله تعالى يوم القيامة أن ينفخ فيها و ليس بنافخ</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قالوا و 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بالمجسمة من حيث ان نفح الروح لا يكون الا في الجسم، و كونُ النقش مما ينفخ فيه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لامكان النفخ في النقش باعتبار محله بل يمكن بدون ذلك الاعتبار، بل بملاحة لون النقش الذي هو في الحقيقة أجزاء من الصبغ، كما أمر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الاسد المنقوش على البساط بأخذ الساحر بمحضر الخليقة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ان جعل 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قرينة على إرادة خصوص المجسم من الصورة لا في غيرها؛ لأن غيرها لا ينفخ فيه بعيدٌ كل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أيدوا ذلك بان الحكمة في التحريم هي التشبيه في الخالق في ابداع الحيوانات و اعضائها على الأشكال المطبوعة التي يعجز البشر عن نقشها على ما هي عليه، فضلا عن ابداعها و اختراعها، و التشبيه المذكور يحصل بالنقش و التشكيل كما يحصل بغيره، و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الاخبار الأُوَل فالصريح منها محمول على الكراهية؛ لان اكثرها غير صريح بذلك، خصوصا بعد ملاحظة المحكي عن كشف اللثام من ترادف التصوير و المثال عند أهل اللغة </w:t>
      </w:r>
      <w:r>
        <w:rPr>
          <w:rStyle w:val="FootnoteAnchor"/>
          <w:rtl w:val="true"/>
        </w:rPr>
        <w:footnoteReference w:id="403"/>
      </w:r>
      <w:r>
        <w:rPr>
          <w:rFonts w:ascii="Amiri" w:hAnsi="Amiri" w:eastAsia="Amiri" w:cs="Amiri"/>
          <w:color w:val="111111"/>
          <w:sz w:val="28"/>
          <w:sz w:val="28"/>
          <w:szCs w:val="28"/>
          <w:rtl w:val="true"/>
          <w:lang w:bidi="ar-SA"/>
        </w:rPr>
        <w:t>، فالخروج عن مقتضى الاصل و اطلاق الآيات و الروايات في الاكتساب و المشي في طلب الرزق على أي وجه اتفق مشكل، فمن هنا ينبغي حملها على الكراهة، خصوصا بعد أن اشتملت بعض النصوص على نفي البأس اذا غيرّت رءوسها و في آخر قطّعت و في ثالث كسرت كما ستسمع بعضها ان شاء الله تعالى، و هي مشعرة بالتجسيم كما هو واضح</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الاخبار الأُخر فان قلنا بان الصورة ظاهرة في المجسمة كما هو ظاهر الأكثر فلا إشكال و الا </w:t>
      </w:r>
      <w:r>
        <w:rPr>
          <w:rStyle w:val="FootnoteAnchor"/>
          <w:rtl w:val="true"/>
        </w:rPr>
        <w:footnoteReference w:id="404"/>
      </w:r>
      <w:r>
        <w:rPr>
          <w:rFonts w:ascii="Amiri" w:hAnsi="Amiri" w:eastAsia="Amiri" w:cs="Amiri"/>
          <w:color w:val="111111"/>
          <w:sz w:val="28"/>
          <w:sz w:val="28"/>
          <w:szCs w:val="28"/>
          <w:rtl w:val="true"/>
          <w:lang w:bidi="ar-SA"/>
        </w:rPr>
        <w:t>في ظاهره لا من حيث أن النفح لا يكون الا في النقش، بل لأن ظاهر الاخبار المذكورة أن الصورة تامة و انها لا تنقص سوى الروح فيكلف بها المصور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فظهورها في المجسم مما لا اشكال فيه، بل مقابلة النقش للصورة</w:t>
      </w:r>
    </w:p>
    <w:p>
      <w:pPr>
        <w:pStyle w:val="BookText"/>
        <w:rPr/>
      </w:pPr>
      <w:r>
        <w:rPr>
          <w:rFonts w:ascii="Amiri" w:hAnsi="Amiri" w:eastAsia="Amiri" w:cs="Amiri"/>
          <w:color w:val="111111"/>
          <w:sz w:val="28"/>
          <w:sz w:val="28"/>
          <w:szCs w:val="28"/>
          <w:rtl w:val="true"/>
          <w:lang w:bidi="ar-SA"/>
        </w:rPr>
        <w:t>في خبر المناهي 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الحكمة المذكورة فهي حكمة لا يدور مدارها الحكم وجودا و عدما، فالقول بالجواز في الصورة المذكورة هو الاقوى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المجسمة لغير الحيوان فالظاهر عدم تحريم عملها وفاقاً لجماعة من اصحابنا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أصالة الاباحة، و ما دل على الرخصة من قبيل خبر محمد بن مسلم </w:t>
      </w:r>
      <w:r>
        <w:rPr>
          <w:rStyle w:val="FootnoteAnchor"/>
          <w:rtl w:val="true"/>
        </w:rPr>
        <w:footnoteReference w:id="405"/>
      </w:r>
      <w:r>
        <w:rPr>
          <w:rFonts w:ascii="Amiri" w:hAnsi="Amiri" w:eastAsia="Amiri" w:cs="Amiri"/>
          <w:color w:val="111111"/>
          <w:sz w:val="28"/>
          <w:sz w:val="28"/>
          <w:szCs w:val="28"/>
          <w:rtl w:val="true"/>
          <w:lang w:bidi="ar-SA"/>
        </w:rPr>
        <w:t xml:space="preserve">المار و رواية التحف المتقدمة </w:t>
      </w:r>
      <w:r>
        <w:rPr>
          <w:rStyle w:val="FootnoteAnchor"/>
          <w:rtl w:val="true"/>
        </w:rPr>
        <w:footnoteReference w:id="406"/>
      </w:r>
      <w:r>
        <w:rPr>
          <w:rFonts w:ascii="Amiri" w:hAnsi="Amiri" w:eastAsia="Amiri" w:cs="Amiri"/>
          <w:color w:val="111111"/>
          <w:sz w:val="28"/>
          <w:sz w:val="28"/>
          <w:szCs w:val="28"/>
          <w:rtl w:val="true"/>
          <w:lang w:bidi="ar-SA"/>
        </w:rPr>
        <w:t xml:space="preserve">و 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هي بتماثيل الرجال و النساء و لكنها الشجر و شبهه</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و عن القاضي </w:t>
      </w:r>
      <w:r>
        <w:rPr>
          <w:rStyle w:val="FootnoteAnchor"/>
          <w:rtl w:val="true"/>
        </w:rPr>
        <w:footnoteReference w:id="409"/>
      </w:r>
      <w:r>
        <w:rPr>
          <w:rFonts w:ascii="Amiri" w:hAnsi="Amiri" w:eastAsia="Amiri" w:cs="Amiri"/>
          <w:color w:val="111111"/>
          <w:sz w:val="28"/>
          <w:sz w:val="28"/>
          <w:szCs w:val="28"/>
          <w:rtl w:val="true"/>
          <w:lang w:bidi="ar-SA"/>
        </w:rPr>
        <w:t xml:space="preserve">و التقي اطلاق المنع و النهي عن تزويق البيوت الذي فسره بالتصاوير و التماثيل، و اطلاق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صورة الا محوتها، و لا كلبا الا قتلته</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و الاخبار المتكثرة الدالة على عدم نزول الملائكة بيتاً يكون فيه تماثيل، و الجميع كما ترى قاصر عن المعارضة لما مر مع ان الخبرين الاولين ضعيفي السند و الخبر الثالث محمول على الكراهة مع انه يمكن تنزيله على التماثيل لذي الروح مجسمة أو غير 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الرابعة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أرجعنا تصوير الصورة الى تصوير المصور فتحرم الاولى منها لعين ما مر؛ لأنها تكون صورة مجسمة لحيوان مجسم، و هي محرمة دون الصور الباقية، و ان لم نرجع تصوير الصورة الى تصوير المصور فالكل غير محرمة اقتصاراً على القدر المتيقن فيما خالف الاصل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 الثمان الوهمية فالظاهر أنها غير محرمة، و يمكن القول بتحريم الاولى منها، و اذا رجع تصوير الصورة الى تصوير المصور يكون المحرم منها اثنان، الاولى</w:t>
      </w:r>
    </w:p>
    <w:p>
      <w:pPr>
        <w:pStyle w:val="BookText"/>
        <w:rPr/>
      </w:pPr>
      <w:r>
        <w:rPr>
          <w:rFonts w:ascii="Amiri" w:hAnsi="Amiri" w:eastAsia="Amiri" w:cs="Amiri"/>
          <w:color w:val="111111"/>
          <w:sz w:val="28"/>
          <w:sz w:val="28"/>
          <w:szCs w:val="28"/>
          <w:rtl w:val="true"/>
          <w:lang w:bidi="ar-SA"/>
        </w:rPr>
        <w:t>و الخامسة، فيكون المحرم اثنان و اربعة من الصور الست عشرة التي ذكرنا فتبصّرْ،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عممنا المنع لتصوير غير الحيوان مجسماً أو غير مجسم كما عن التقي و القاضي، فالظاهر أن المراد بما يحرم تصويره من غير الحيوان ما كان مخلوقا لله تعالى على هيئة حسنة معجبة للناظر على وجه تميل النفس الى مشاهدتها، أما الى مشاهدة صورتها المجردة عن المادة أو الى مشاهدة صورتها مع المادة، و أما تصوير المصنوعات للعباد و إن كانت على هيئة حسنة تميل النفس الى مشاهدتها كالابنية و السفن و السلاح و غيرها فلا يكون محرماً؛ للشك في شمول الأدلة، فيبقى على حكم الاصل؛ و لإطلاق الامر بالاكتساب و المشي في طلب الرزق على أي وجه اتفق، و لأن الحكمة في التحريم هي التشبيه في الخالق في إبداع المخلوقات و اختراعها و هي غير حاصلة هنا، بل ربما يقال بعدم شمول الدليل لتصوير كل المخلوقات و إن كانت على هيئة حسنة تميل النفس الى مشاهدتها كالأراضي و الانهار و الاودية و الجبال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الورد و الاشجار و نحوها يقال بالتحريم على تقدير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للشك في شمول الادلة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خصصنا المنع في تصوير الحيوان صورة مجسمة أو مطلقة او عممنا المنع لتصوير غيره مجسماً أو مطلقا فالظاهر ان الممنوع منه التصوير المقصود منه الحكاية و التمثيل، فلو لم يكن ذلك مقصوداً للمصور، بل دعت الحاجة الى نقش صورة حيوان أو غيره، فالظاهر أنه لا بأس بذلك، للاقتصار على القدر المتيقن مما خالف الأصل، و لا أقل من الشك في شمول الدليل لذلك، فيبقى على مقتضى الأصل، بل ربما يكون ذلك ظاهر النصوص، لان التمثيل و التصوير ظاهر في قصد الحكاية كما لا يخفى على من مارس العرف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الصورة على الصدق العرفي، فنقص بعض الأجزاء التي لا تنافي الصدق العرفي لا تقدح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الناقص جزءاً يمنع من صدق الاسم عرفاً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ورد في بعض الأخبار الأمر بالتغيير، و في البعض الأمر بقطع رءوسها، و في البعض الأمر بكسر 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أعم من أن يصدق عليها الاسم أو لا عرفاً،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التغيير و الكسر المأمور به مما يمنع من صدق الاسم عرفاً، فلا يقاس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انما هو بعد عملها، و دعوى أنه يلزم تغييرها بعد عملها تغييراً يمنع من صدق الاسم أول الكلام كما ستعرف ذلك مفصلًا ان شاء الله تعالى، و كلامنا انما هو في العمل، أو عمل ما صدق عليه اسم الصورة محرم، فنقْص الجزء الذي لا يخل في الصدق العرفي لا يقدح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تصوير أجزاء الحيوان بتصويره في التحريم و أن صدق عليه اسم الجزء المصور و يمكن القول بالتحريم نظراً الى شمول بعض الأدلة لذلك و لكنه بعيد و الاحتياط غير خفي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الصنع من اثنين، فاما ان يكون على سبيل الدفعة أو التدريج، فان كان على سبيل الدفعة، فان كان كل منهما قاصداً للتصوير تعلق حكم التحريم بهما معاً، و ان كان كل واحد منهما قاصداً صنعة النصف لا غير فلا تحريم عليهما معاً، و أن كان على سبيل التدريج، فأما أن يكون التصوير مقصوداً لهما من أول وهلة أو لا، فان كان مقصوداً لهما كذلك تعلق التحريم بهما معاً، و ان لم يكن مقصوداً لهما من أول وهلة تعلق التحريم بالأخير، و مع التفريق يتعلق التحريم بالجامع أن لم يكن التصوير مقصوداً لهم و الا فيتعلق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خصصنا التحريم بتصوير الحيوان فكانت الصورة مشتركة بين الحيوان و غيره كان المدار على قصد الصانع ان لم يكن لها ظهور في أحدهما، فان كانت ظاهرة في أحدهما فان قصد بها الحكاية حرم عملها و الا فلا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أشتغل بالتصوير فَعَل حراماً من حيث التجري، و الأقدام على فعل المحرم لا باس به، و لكن من حيث التصوير ممنوع، لأن التصوير عبارة عن اتمام الصورة، فانما يتعلق به التحريم عند اتمامها، فيكون تعلق التحريم بالتشاغل</w:t>
      </w:r>
    </w:p>
    <w:p>
      <w:pPr>
        <w:pStyle w:val="BookText"/>
        <w:rPr/>
      </w:pPr>
      <w:r>
        <w:rPr>
          <w:rFonts w:ascii="Amiri" w:hAnsi="Amiri" w:eastAsia="Amiri" w:cs="Amiri"/>
          <w:color w:val="111111"/>
          <w:sz w:val="28"/>
          <w:sz w:val="28"/>
          <w:szCs w:val="28"/>
          <w:rtl w:val="true"/>
          <w:lang w:bidi="ar-SA"/>
        </w:rPr>
        <w:t>بالأجزاء مراعى بالإتيان بالجزء الذي يتم به الصورة، فان أتى به تعلق به التحريم، من حيث التصوير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معنى حرمة الفعل عرفاً حرمة التشاغل به عمداً، فلو تشاغل فعل حراماً من حيث التصوير، و لا تكون الحرمة من حيث تلك الحيثية مراعاة بالاتمام، و الفرق بين الواجب المتوقف استحقاق الثواب على إتمامه و بين المحرم الذي لا يتوقف استحقاق العقاب على إتمامه حكم أهل العرف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هيئة المنقوش، فنقْش هيئة الانسان قائماً تستدعي نقشه تام الأجزاء فلا يصدق عليه أنه صورة حتى يكون المنقوش تمام الأعضاء، بخلاف المنقوش جالساً فانه و ان كان المنقوش خصوص نصفه الأعلى، لكن حيث كان المنقوش على هيئة الجالس يصدق عليه في العرف انها صورة فينبغي التأمل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صدق عليه في العرف انها صورة فلا كلام، و الا فان كان قصده الاتمام فعل حراماً و ان كان قصده نقش النصف لا غير فلا حرمة و الله العالم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فظاهر النص و الفتوى جواز اقتناء الصورة و التماثيل، لحيوان كانت أو لغيره، مجسمة كانت أو لا ان عممنا تحريم عملها كاستعمالها و النظر اليها و الانتفاع بها و بيعها، قال في مجمع البرهان في باب لباس المصلي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الأخبار الصحيحة و أقوال الأصحاب عدم حرمة بقاء الصورة</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و قال في مفتاح الكرامة بعد نقل العبارة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كما قال كما بينا الحال في باب لباس المصلي و مكانه</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قال في جواهر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في عمل الصور، أما بيعها و اقتناؤها و استعمالها و الانتفاع</w:t>
      </w:r>
    </w:p>
    <w:p>
      <w:pPr>
        <w:pStyle w:val="BookText"/>
        <w:rPr/>
      </w:pPr>
      <w:r>
        <w:rPr>
          <w:rFonts w:ascii="Amiri" w:hAnsi="Amiri" w:eastAsia="Amiri" w:cs="Amiri"/>
          <w:color w:val="111111"/>
          <w:sz w:val="28"/>
          <w:sz w:val="28"/>
          <w:szCs w:val="28"/>
          <w:rtl w:val="true"/>
          <w:lang w:bidi="ar-SA"/>
        </w:rPr>
        <w:t>بها و النظر اليها و نحو ذلك فالأصل و العمومات و الإطلاقات تقتضي جوازه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و قال في مفتاح الكرامة بعد العبارة السابقة بقليل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تحصل أنه يجوز اقتناء ذي الصورة و بيعه و الانتفاع به على كراهية، اذ ليس هو مما صنع للحرام حتى يلزم إتلافه بل هو من الصنع الحرام فليلحظ ذلك و ليتأمل فيه</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أصالة الجواز و عمومات خلو الانتفاع و إطلاق الأمر بالاكتساب و المشي في طلب الرزق على أي وجه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الإجماع حتى أنه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لم نجد من أفتى بذلك عدا ما يحكى عن الأردبيلي من حرمة الابقاء، و يمكن دعوى الإجماع على خلافه</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أقول على أنك قد سمعت اطلاق كلام الأردبيلي في باب 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نقل عنه التفصيل في هذا الباب و انه أستظهر حرمة بقاء الصورة الظلية كأحداثها </w:t>
      </w:r>
      <w:r>
        <w:rPr>
          <w:rStyle w:val="FootnoteAnchor"/>
          <w:rtl w:val="true"/>
        </w:rPr>
        <w:footnoteReference w:id="416"/>
      </w:r>
      <w:r>
        <w:rPr>
          <w:rFonts w:ascii="Amiri" w:hAnsi="Amiri" w:eastAsia="Amiri" w:cs="Amiri"/>
          <w:color w:val="111111"/>
          <w:sz w:val="28"/>
          <w:sz w:val="28"/>
          <w:szCs w:val="28"/>
          <w:rtl w:val="true"/>
          <w:lang w:bidi="ar-SA"/>
        </w:rPr>
        <w:t xml:space="preserve">، و يمكن الاستدلال على ذلك ببعض الأخبار مثل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قمت أصلي و بين يدي الوسادة فيها تماثيل طير فجعلت عليها ثوباً، فلا بأس</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و رواية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الخاتم يكون فيه نقش تماثيل طير أو سبع، أ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و عنه ايضاً عن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البيت فيه صورة سمكة أو طير يعبث به أهل البيت، هل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يقطع رأسه و يفسد</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و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الوسادة و البساط يكون فيه التماثيل،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يكون في البيت،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يوطأ فلا بأس به</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و خبر أبي بصير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نبسط عندنا الوسائد فيها التماثيل و نفرشها، قال لا بأس منها بما يبسط و يفرش، و انما يكره ما نصب على الحائط و على السرائر</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 و خبر علي بن جعفر الآخر المروي في قرب الأسناد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 في بيته تماثيل أو في ستر و لم يعلم بها و هو يصلي في ذلك البيت ثمّ علم، ما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فيما لم يعلم شي‌ء فاذا علم فلينزع الستر و ليكسر رءوس التماثيل</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أكثر الأخبار المذكورة واردة في التماثيل التي تكون على الوسائد و البساط و بعضها في النقش على الخاتم و هذا خارج عن محل البحث لأن محل البحث انما هو في جواز إبقاء ما يحرم عمله و هو خصوص الصورة المجسمة، فهذه الأخبار خارجة عن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القول بتعميم التحريم لغير المجسمة فالاستدلال لها واضح، و أما على القول بتخصيصه في المجسم ففي الأخبار ما يدل على جواز إبقائها كرواية علي ابن جعفر الثانية فان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البيت فيه صورة سمكة أو طير يعبث به أهل البيت، هل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يقطع رأسه و يفسد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على المتأمل أن الخبر المذكور في مقامات يدل على أن الصورة 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تشعر باستقلال الصورة،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يعبث به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بذلك أيضاً،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يقطع رأسه و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أيضاً و رواية أبي بصير فإن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يكره ما نصب على الحائط و على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 في المجسمة، كما أن رواية علي بن جعفر الثالثة ظاهرة في ذلك 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فلينتزع الستر و ليكسر رءوس التماثيل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الخبر حيث أمر بكسر رءوس التماثيل أفاد وجوب إتلافها و عدم جواز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الخبر أن الأمر بالكسر انما هو من حيث كون البيت يصلى فيه و الصلاة في بيت فيه تماثيل مكروهة، فالأمر بالكسر لأجل دفع</w:t>
      </w:r>
    </w:p>
    <w:p>
      <w:pPr>
        <w:pStyle w:val="BookText"/>
        <w:rPr/>
      </w:pPr>
      <w:r>
        <w:rPr>
          <w:rFonts w:ascii="Amiri" w:hAnsi="Amiri" w:eastAsia="Amiri" w:cs="Amiri"/>
          <w:color w:val="111111"/>
          <w:sz w:val="28"/>
          <w:sz w:val="28"/>
          <w:szCs w:val="28"/>
          <w:rtl w:val="true"/>
          <w:lang w:bidi="ar-SA"/>
        </w:rPr>
        <w:t xml:space="preserve">الكراهة نظير خبر علي بن جعفر المتقدم فإنه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يقطع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كراهة الصلاة حتى يكسر رأسه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ما دل على كراهة الصلاة في بيت فيه تماثيل حتى تغير يدل على جواز إبقائها و الا كانت الصلاة محرمة فانه لو كان كسرها و إتلافها واجباً و الأمر بالشي‌ء يقتضي النهي عن ضده الخاص، فتكون الصلاة محرمة الا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في البيت الذي فيه تماثيل مجسمة مكروه لأنه لا يحرم عملها و لا يجب إتلافها، و أما اذا كانت التماثيل مجسمة فإنها كما يحرم عملها يجب إتلافها فتكون الصلاة في البيت الذي فيه تلك الصورة محرمة، و هو خلاف ما يقتضيه إطلاقهم كراهة الصلاة في البيت الذي فيه تماثيل حتى تغير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يحكى عن المقدس الأردبيلي في هذا الباب حرمة إبقاء الصورة الظلية كأحداثها، و استظهر بعض المعاصرين من بعض عبائر القدماء حرمة بيعها و ابتياعها،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مما يحرم الاكتساب به الخمر و صناعتها و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عمل الأصنام و الصلبان و التماثيل المجسمة و الشطرنج و 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بيعه و ابتياعه حرام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و عمل الأصنام و الصلبان و التماثيل المجسمة و الصور و الشطرنج و النرد و سائر أنواع القمار حتى لعب الصبيان بالجوز فالتجارة</w:t>
      </w:r>
    </w:p>
    <w:p>
      <w:pPr>
        <w:pStyle w:val="BookText"/>
        <w:rPr/>
      </w:pPr>
      <w:r>
        <w:rPr>
          <w:rFonts w:ascii="Amiri" w:hAnsi="Amiri" w:eastAsia="Amiri" w:cs="Amiri"/>
          <w:color w:val="111111"/>
          <w:sz w:val="28"/>
          <w:sz w:val="28"/>
          <w:szCs w:val="28"/>
          <w:rtl w:val="true"/>
          <w:lang w:bidi="ar-SA"/>
        </w:rPr>
        <w:t>فيها و التصرف فيها و التكسب بها محظور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نحوها ظاهر السرائر</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تحريم بيعها من العبائر المذكورة محل تأمل و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فيمكن الاستدلال على تحريم الابقاء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تحريم عمل الشي‌ء مبغوضية وجود المعمول ابتداءً و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ملازمة بين مبغوضية الايجاد و مبغوضية الوجود، و دعوى الظهور في ذلك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فهم ذلك من الدليل فلا نتحاشى منه، كما يفهم من عدم جواز ادخال النجاسة الى المسجد ارادة الشارع عدم وجودها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دعوى الملازمة في العكس، فان كل مبغوض الوجود مبغوض الايجاد و 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المتقدمة، فإنه بعد أن سأله عن تماثيل الشجر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و وجه الاستدلال بها بأن الظاهر من سؤال الراوي انما هو سؤاله عن الفعل المتعارف المتعلق بها و هو الاقتناء لأنه هو الفعل المتعارف و لانه هو الذي تعم به البلوى، و هو المسئول عنه غالباً دون العمل فإنه مختص بالنقّاش، فالسؤال عنه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السؤال عن الخمر سؤال عن شربها لا عن عملها، بل يمكن ذلك في الخمر لعدم اختصاص عملها ببعض الناس دون بعض، بخلاف عمل الصور فإنه خاص بالنقّاش، فضرْبُ السؤال عن الصور إلى السؤال عن عملها بعيدٌ، فاذا كان السؤال عن الاقتناء كانت الرواية دالة على عدم اقتناء صورة الحيوان و هو المطلوب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دعوى السؤال عن عملها ممنوعة لأن عملها من الأمور المركوزة في الأذهان بل السؤال عنه مقدم على السؤال عن الاقتناء لبعد احتمال حرمة اقتناء ما يحل عمله، فانما سأل عن الاقتناء بعد معرفة حرمة العمل</w:t>
      </w:r>
      <w:r>
        <w:rPr>
          <w:rFonts w:eastAsia="Amiri" w:cs="Amiri" w:ascii="Amiri" w:hAnsi="Amiri"/>
          <w:color w:val="111111"/>
          <w:sz w:val="28"/>
          <w:szCs w:val="28"/>
          <w:rtl w:val="true"/>
          <w:lang w:bidi="ar-SA"/>
        </w:rPr>
        <w:t>.</w:t>
      </w:r>
      <w:bookmarkStart w:id="146" w:name="pg2491_24209"/>
    </w:p>
    <w:p>
      <w:pPr>
        <w:pStyle w:val="Heading6"/>
        <w:numPr>
          <w:ilvl w:val="5"/>
          <w:numId w:val="1"/>
        </w:numPr>
        <w:rPr/>
      </w:pPr>
      <w:bookmarkStart w:id="147" w:name="__RefHeading___Toc3813635_3804643083"/>
      <w:bookmarkStart w:id="148" w:name="_Toc57"/>
      <w:bookmarkEnd w:id="146"/>
      <w:bookmarkEnd w:id="147"/>
      <w:r>
        <w:rPr>
          <w:rtl w:val="true"/>
        </w:rPr>
        <w:t>مسألة التكسب بالغناء</w:t>
      </w:r>
      <w:bookmarkEnd w:id="148"/>
    </w:p>
    <w:p>
      <w:pPr>
        <w:pStyle w:val="Heading6"/>
        <w:numPr>
          <w:ilvl w:val="5"/>
          <w:numId w:val="1"/>
        </w:numPr>
        <w:rPr/>
      </w:pPr>
      <w:bookmarkStart w:id="149" w:name="__RefHeading___Toc3813637_3804643083"/>
      <w:bookmarkStart w:id="150" w:name="_Toc58"/>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من جملة ما يحرم التكسب به لحرمته ذاتاً الغناء، و الكلام أما في موضوعه أو في حكمه أو مستثنياته، فينتظم البحث فيه في مقامات ثلاثة</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3813639_3804643083"/>
      <w:bookmarkStart w:id="152" w:name="_Toc59"/>
      <w:bookmarkEnd w:id="151"/>
      <w:r>
        <w:rPr>
          <w:rtl w:val="true"/>
        </w:rPr>
        <w:t>المقام الأول</w:t>
      </w:r>
      <w:r>
        <w:rPr>
          <w:rtl w:val="true"/>
        </w:rPr>
        <w:t xml:space="preserve">: </w:t>
      </w:r>
      <w:r>
        <w:rPr>
          <w:rtl w:val="true"/>
        </w:rPr>
        <w:t>في موضوعه</w:t>
      </w:r>
      <w:bookmarkEnd w:id="152"/>
    </w:p>
    <w:p>
      <w:pPr>
        <w:pStyle w:val="Heading6"/>
        <w:numPr>
          <w:ilvl w:val="5"/>
          <w:numId w:val="1"/>
        </w:numPr>
        <w:rPr/>
      </w:pPr>
      <w:bookmarkStart w:id="153" w:name="__RefHeading___Toc3813641_3804643083"/>
      <w:bookmarkStart w:id="154" w:name="_Toc60"/>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قال في محكي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ككساء من الصوت ما طُرّب به</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 و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رفع صوتاً و والاه فصوته عند العرب غناء</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 و نقل في محكي النهاية عن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تحسين الصوت و ترقيقه</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و عن بعض كتب اللغة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ترجيع الصوت و 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مد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رفع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المصباح المنير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الى غير ذلك من كلمات أهل اللغة المختلفة في تفسيره غاية الاختلاف و ليس الاختلاف في كلامهم مبنياً على التعارض حتى ينظر في التعادل و يرجح الأكثر أو الأبصر او على الجمع فيؤخذ بالجامع للصفات لأنه المتيقن و الأصل جواز ما عداه، أو بالجميع عملا بقول المثبت فيما أثبته و رداً للنافي فيما نفاه، بل أنما قصدهم كما لا يخفى على من مارس كلامهم في بيانهم لمعاني الألفاظ الشائعة المشهورة الدوران حول العرف و الإشارة اليه و بيان المعنى العام ليحترز عن إدخاله في جنس آخر كبيان أن الغناء من مقولة الأصوات و كيفياتها، كما أن غرضهم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انها من مقولة النبات و انها من هذا الجنس لا من غيره، و لهذا ترى من عد للغناء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 و عرفي قبل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ترى بينهم معركة و نزاعاً مع اختلاف العبارات و تفاوت الكلمات بل و لا من نسب اليهم الخلاف في مفهومه مع كثرة ما اختلفوا فيه من القيود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 اختلاف كلماتهم هو أنه اذا تطابق العرف و اللغة في لفظ قالوا أنه معروف أو أشاروا اليه إشارة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الصوت، 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w:t>
      </w:r>
    </w:p>
    <w:p>
      <w:pPr>
        <w:pStyle w:val="BookText"/>
        <w:rPr/>
      </w:pPr>
      <w:r>
        <w:rPr>
          <w:rFonts w:ascii="Amiri" w:hAnsi="Amiri" w:eastAsia="Amiri" w:cs="Amiri"/>
          <w:color w:val="111111"/>
          <w:sz w:val="28"/>
          <w:sz w:val="28"/>
          <w:szCs w:val="28"/>
          <w:rtl w:val="true"/>
          <w:lang w:bidi="ar-SA"/>
        </w:rPr>
        <w:t xml:space="preserve">أعظم الشواهد على أنهم يريدون المعنى العرفي، و الا فكيف يصح لصاحب المصباح المنير أن يقتصر في تعريفه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لصاحب الصحاح أن يقتصر في تعريفه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السماع</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 و لابن الأثير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اذ من خفض صوتاً و والى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دأب اللغويين تمييز الصورة عما عداها فيكتفون بالتعاريف اللفظية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فتعريفهم الغناء بذلك لا يدل على ارادة المعنى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بالصوت و السماع خالٍ عن التمييز فلا مناص عن توجيه كلامهم بما ذكرناه، و مما يرشد الى ذلك و يشير اليه ما حكاه في مفتاح الكرامة عن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أحاله على العرف</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يتعرض لمعنى آخر فيه الصغاني في كتابه الذي جعله تكملة للصحاح و منه أخذ صاحب القاموس ما زاده على الصحاح، و ايضاً لو كان هناك مخالفة لأشار اليها صاحب القاموس و غيره</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 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الغناء ككساء، الصوت المشتمل على الترجيع المطرب أو ما يسمى بالعرف غناءً و ان لم يطرب</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و هو لا يقتضي عدم تطابق اللغة و العرف حيث ذكر له معنى آخر غير المعنى العرفي لأنه تبع في ذلك بعض الفقهاء، و هو وهم كما قيل و ستعرف ذلك مفصلًا أن شاء الله تعالى فتلخص مما ذكرنا أن كلام اللغويين يحوم حول العرف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الاختلاف الذي وقع في كلامهم أنما هو للإشارة الا المعنى العام و هو أنه من مقولة الصوت أو كيفياته و ليس غرضهم من ذلك التعريف التام كما لا يخفى على كل من مارس كلامهم</w:t>
      </w:r>
      <w:r>
        <w:rPr>
          <w:rFonts w:eastAsia="Amiri" w:cs="Amiri" w:ascii="Amiri" w:hAnsi="Amiri"/>
          <w:color w:val="111111"/>
          <w:sz w:val="28"/>
          <w:szCs w:val="28"/>
          <w:rtl w:val="true"/>
          <w:lang w:bidi="ar-SA"/>
        </w:rPr>
        <w:t>.</w:t>
      </w:r>
      <w:bookmarkStart w:id="155" w:name="pg2491_24211"/>
    </w:p>
    <w:p>
      <w:pPr>
        <w:pStyle w:val="Heading6"/>
        <w:numPr>
          <w:ilvl w:val="5"/>
          <w:numId w:val="1"/>
        </w:numPr>
        <w:rPr/>
      </w:pPr>
      <w:bookmarkStart w:id="156" w:name="__RefHeading___Toc3813643_3804643083"/>
      <w:bookmarkStart w:id="157" w:name="_Toc61"/>
      <w:bookmarkEnd w:id="155"/>
      <w:bookmarkEnd w:id="156"/>
      <w:r>
        <w:rPr>
          <w:rtl w:val="true"/>
        </w:rPr>
        <w:t>تعريف الغناء عند الفقهاء</w:t>
      </w:r>
      <w:bookmarkEnd w:id="157"/>
    </w:p>
    <w:p>
      <w:pPr>
        <w:pStyle w:val="BookText"/>
        <w:rPr/>
      </w:pPr>
      <w:r>
        <w:rPr>
          <w:rFonts w:ascii="Amiri" w:hAnsi="Amiri" w:eastAsia="Amiri" w:cs="Amiri"/>
          <w:color w:val="111111"/>
          <w:sz w:val="28"/>
          <w:sz w:val="28"/>
          <w:szCs w:val="28"/>
          <w:rtl w:val="true"/>
          <w:lang w:bidi="ar-SA"/>
        </w:rPr>
        <w:t xml:space="preserve">هذا كله في كلام اللغويين، و أما الفقهاء فاختلفت كلماتهم في بيان هذا الموضوع كاختلاف كلمات اللغويين، فعن الشرائع في باب الشهادات </w:t>
      </w:r>
      <w:r>
        <w:rPr>
          <w:rStyle w:val="FootnoteAnchor"/>
          <w:rtl w:val="true"/>
        </w:rPr>
        <w:footnoteReference w:id="434"/>
      </w:r>
      <w:r>
        <w:rPr>
          <w:rFonts w:ascii="Amiri" w:hAnsi="Amiri" w:eastAsia="Amiri" w:cs="Amiri"/>
          <w:color w:val="111111"/>
          <w:sz w:val="28"/>
          <w:sz w:val="28"/>
          <w:szCs w:val="28"/>
          <w:rtl w:val="true"/>
          <w:lang w:bidi="ar-SA"/>
        </w:rPr>
        <w:t xml:space="preserve">و التحرير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 الإرشاد </w:t>
      </w:r>
      <w:r>
        <w:rPr>
          <w:rStyle w:val="FootnoteAnchor"/>
          <w:rtl w:val="true"/>
        </w:rPr>
        <w:footnoteReference w:id="436"/>
      </w:r>
      <w:r>
        <w:rPr>
          <w:rFonts w:ascii="Amiri" w:hAnsi="Amiri" w:eastAsia="Amiri" w:cs="Amiri"/>
          <w:color w:val="111111"/>
          <w:sz w:val="28"/>
          <w:sz w:val="28"/>
          <w:szCs w:val="28"/>
          <w:rtl w:val="true"/>
          <w:lang w:bidi="ar-SA"/>
        </w:rPr>
        <w:t xml:space="preserve">و تعليقه و ش في شهاداته و جامع المقاصد </w:t>
      </w:r>
      <w:r>
        <w:rPr>
          <w:rStyle w:val="FootnoteAnchor"/>
          <w:rtl w:val="true"/>
        </w:rPr>
        <w:footnoteReference w:id="437"/>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الصوت المشتمل على الترجيع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المفاتيح أنه المشهور و عن السرائر </w:t>
      </w:r>
      <w:r>
        <w:rPr>
          <w:rStyle w:val="FootnoteAnchor"/>
          <w:rtl w:val="true"/>
        </w:rPr>
        <w:footnoteReference w:id="438"/>
      </w:r>
      <w:r>
        <w:rPr>
          <w:rFonts w:ascii="Amiri" w:hAnsi="Amiri" w:eastAsia="Amiri" w:cs="Amiri"/>
          <w:color w:val="111111"/>
          <w:sz w:val="28"/>
          <w:sz w:val="28"/>
          <w:szCs w:val="28"/>
          <w:rtl w:val="true"/>
          <w:lang w:bidi="ar-SA"/>
        </w:rPr>
        <w:t xml:space="preserve">و ايضاح النافع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المطرب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العلامة في شهادات القواعد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ترجيع الصوت و مده</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 ذلك مما ينادي بأعلى صوت أنهم يحومون حول المعنى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أنه هو المعنى المشهور و أن العرف لا يحكم بسواه و انه هو الذي اتفق عليه كلمات اللغويين و كلمات الفقهاء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قال بعض أصحابنا المتأخرين،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التطريب في الصوت مده و تحسينه</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كما في الصحاح </w:t>
      </w:r>
      <w:r>
        <w:rPr>
          <w:rStyle w:val="FootnoteAnchor"/>
          <w:rtl w:val="true"/>
        </w:rPr>
        <w:footnoteReference w:id="441"/>
      </w:r>
      <w:r>
        <w:rPr>
          <w:rFonts w:ascii="Amiri" w:hAnsi="Amiri" w:eastAsia="Amiri" w:cs="Amiri"/>
          <w:color w:val="111111"/>
          <w:sz w:val="28"/>
          <w:sz w:val="28"/>
          <w:szCs w:val="28"/>
          <w:rtl w:val="true"/>
          <w:lang w:bidi="ar-SA"/>
        </w:rPr>
        <w:t xml:space="preserve">و غيره، و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الأطراب كالتطرب و التغني</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و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طرب في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و مده</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فقد تحصل ان المراد هنا بالإطراب و التطريب غير الطرب بمعنى الخفة لشدة حزن أو سرور كما توهمه صاحب مجمع البحرين و غيره من أصحابنا كما ستعرفه، فكأنه قال</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الصوت</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ما مد و حسن و رجع، فانطبق على المشهور أن الترجيع تقارب حركات الصوت و النفس فكان الترجيع لازماً للإطراب و التطريب،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ذكر المد و الترجيع و التطريب فلا حاجة به الا تضمين و لا تحميل، كما أن من ذكر التطريب و الأطراب كذلك، لأنه لا يكون بدون مد و ترجيع، و أن من ذكر المد و الترجيع فقد حمل أحدهما و ضمنه معنى التحسين و التطريب و الترقيق و أبقى الآخر على معناه الأصلي، كما أن من أقتصر على أحدهما حمله و ضمنه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ينطبق على المشهور ما نقله في النهاية عن الشافعي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تحسين الصوت و ترقيقه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المشار اليه،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رفع صوتاً و والاه فصوته عند العرب 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بالموالاة الترجيع، و بذلك ينزل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ما في شهادات الكتاب و بعض كتب اللغة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ترجيع الصوت و 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السرائر و ايضاح النافع من أنه الصوت المطرب لأنه كما في القاموس و قول من قال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رفع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غناء، و قوله في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 ثمّ 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العرف لا يحكم بسوى المعنى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جمعا من أصحابنا اقتصروا عليه في بيان موضوع الغناء مع انه من الألفاظ التي نهي عنها في الشريعة، و تحمل على المعنى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لها معنى لغوي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ذكره المشهور هو المعنى العرفي فقد ثبت المطلوب، و ان كان المعنى العرفي غيره لزم عليهم بيانه، فعدم بيانه مع بيان المعنى المشهور بيان لعدمه لأن الألفاظ اذا لم تثبت لها حقائق شرعية تحمل على المعاني العرفية و ان خالفت المعنى اللغوي؛ لان العرف مقدم على اللغة في مقام التعارض، فيلزم الفقيه بيان المعنى المراد من اللفظ و هو المعنى العرفي، فبيان المعنى المذكور و عدم التعرض للمعنى العرفي بكل وجه مما يشعر بأنه هو المعنى العرفي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قد يكون اقتصار بعض الاصحاب على ذلك في بيان الموضوع المذكور من جهة كونه الفرد المتيقن؛ لأن موضوع الغناء لمّا كان مشتبها لغة و عرفا، و كان هذا هو الفرد المتيقن ذكروه؛ لأنه مورد التحريم و ما عداه يُتمسك فيه باصالة الاباحة فأرادوا بذلك بيان مورد التحريم أو أنه أظهر أفراد الغناء لغة و عرفا، فعرفوه بما</w:t>
      </w:r>
    </w:p>
    <w:p>
      <w:pPr>
        <w:pStyle w:val="BookText"/>
        <w:rPr/>
      </w:pPr>
      <w:r>
        <w:rPr>
          <w:rFonts w:ascii="Amiri" w:hAnsi="Amiri" w:eastAsia="Amiri" w:cs="Amiri"/>
          <w:color w:val="111111"/>
          <w:sz w:val="28"/>
          <w:sz w:val="28"/>
          <w:szCs w:val="28"/>
          <w:rtl w:val="true"/>
          <w:lang w:bidi="ar-SA"/>
        </w:rPr>
        <w:t xml:space="preserve">يميّزه في الجملة و أحالوا غيره على العرف، كما أنّ في سابقه أن في جملة من كلام أهل اللغة أن الطرب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خفة تعتري الانسان لشدة حزن أو سرور</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و متى كان هذا معنى الطرب كان التطريب ايجاد هذه الحالة و كذا الاطراب، و إلا لزِم الاشتراك اللفظي مع انهم لم يذكروا للطرب معنى آخر ليشتق منه لفظ التطريب و الاطراب، مضافا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ما ذكر في معنى التطريب إنما هو للفعل القائم بذي الصوت لا الاطراب القائم بالصوت، و هو المأخوذ في تعريف الغناء عند المشهور دون فعل الشخص، فيمكن أن يكون معنى تطريب الشخص في صوته ايجاد سبب الطرب بمعنى الخفة، و سببه هو تحسين الصوت و مده و ترجيعه، كما أن تحزين الشخص و تفريحه ايجاد سبب الحزن و الفرح، فتفسير التطريب و الاطراب بما ذكر لا ينافي تفسير الطرب بالخفة، على أن يكون التطريب التحسين، و الترجيع يستلزم كون الطرب الحسن و الرجوع، و هذا لا يقوله أحد، بخلاف ما لو جعلنا التطريب بمعنى ايجاد سبب الطرب بذلك المعنى، فإنه يكون بمعنى التخفيف بذلك السبب، فيناسب كون الاطراب الخفة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لا يمكن إرادة المد و التحسين و الترجيع من الطرب المأخوذ في تعريف الاكثر للغناء، و هو مد الصوت المشتمل على الترجيع المطرب، فيتعيّن بما ذكرنا حمل الطرب المأخوذ في تعريف الاكثر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الخفة التي تعتري الانسان لشدة حزن أو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المنقول عن الصحاح في تفسيره و عن اساس الزمخشري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خفة لهمٍّ أو سرور</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و المراد بالطرب في تعريف المشهور ما كان مطربا في الجملة للمغني او المستمع أو ما كان من شأنه ذلك، و ليس المراد منه المطرب بالفعل خصوصاً بالنسبة الى كل أحد؛ إذ لو كان المراد منه ذلك اشكل الحال بخروج اكثر ما هو غناء عرفا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هذه الحيثية ألحق الشهيدُ الثاني في الروضة ذلك</w:t>
      </w:r>
      <w:bookmarkStart w:id="158" w:name="pg2491_24214"/>
    </w:p>
    <w:p>
      <w:pPr>
        <w:pStyle w:val="BookText"/>
        <w:rPr/>
      </w:pPr>
      <w:bookmarkEnd w:id="158"/>
      <w:r>
        <w:rPr>
          <w:rFonts w:ascii="Amiri" w:hAnsi="Amiri" w:eastAsia="Amiri" w:cs="Amiri"/>
          <w:color w:val="111111"/>
          <w:sz w:val="28"/>
          <w:sz w:val="28"/>
          <w:szCs w:val="28"/>
          <w:rtl w:val="true"/>
          <w:lang w:bidi="ar-SA"/>
        </w:rPr>
        <w:t>بتعريف المشهور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يسمى في العرف غناء</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 و تبعه في مجمع الفائدة </w:t>
      </w:r>
      <w:r>
        <w:rPr>
          <w:rStyle w:val="FootnoteAnchor"/>
          <w:rtl w:val="true"/>
        </w:rPr>
        <w:footnoteReference w:id="449"/>
      </w:r>
      <w:r>
        <w:rPr>
          <w:rFonts w:ascii="Amiri" w:hAnsi="Amiri" w:eastAsia="Amiri" w:cs="Amiri"/>
          <w:color w:val="111111"/>
          <w:sz w:val="28"/>
          <w:sz w:val="28"/>
          <w:szCs w:val="28"/>
          <w:rtl w:val="true"/>
          <w:lang w:bidi="ar-SA"/>
        </w:rPr>
        <w:t xml:space="preserve">و مجمع البحرين </w:t>
      </w:r>
      <w:r>
        <w:rPr>
          <w:rStyle w:val="FootnoteAnchor"/>
          <w:rtl w:val="true"/>
        </w:rPr>
        <w:footnoteReference w:id="450"/>
      </w:r>
      <w:r>
        <w:rPr>
          <w:rFonts w:ascii="Amiri" w:hAnsi="Amiri" w:eastAsia="Amiri" w:cs="Amiri"/>
          <w:color w:val="111111"/>
          <w:sz w:val="28"/>
          <w:sz w:val="28"/>
          <w:szCs w:val="28"/>
          <w:rtl w:val="true"/>
          <w:lang w:bidi="ar-SA"/>
        </w:rPr>
        <w:t>على ذلك لادخال ما لا يكون منه مطربا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بأنّا إذا أردنا من الطرب الشأنية </w:t>
      </w:r>
      <w:r>
        <w:rPr>
          <w:rStyle w:val="FootnoteAnchor"/>
          <w:rtl w:val="true"/>
        </w:rPr>
        <w:footnoteReference w:id="451"/>
      </w:r>
      <w:r>
        <w:rPr>
          <w:rFonts w:ascii="Amiri" w:hAnsi="Amiri" w:eastAsia="Amiri" w:cs="Amiri"/>
          <w:color w:val="111111"/>
          <w:sz w:val="28"/>
          <w:sz w:val="28"/>
          <w:szCs w:val="28"/>
          <w:rtl w:val="true"/>
          <w:lang w:bidi="ar-SA"/>
        </w:rPr>
        <w:t>فيكون معناه انه ما كان شأنه الاطراب و إن لم يكن مطربا بالفعل لوجود مانع، أغنانا ذلك عن الحاق ما ألحقوه لعدم انفكاك الغناء عرفا عن ذلك، كما أنه لعل الذي دعا هذا المتأخر الى حمل التطريب على التحسين و الترجيع و المد كما سمعت ذلك فيما مرّ هو خياله أن المراد من المطرب ما كان مطربا بالفعل فمن هنا فرّ الى ذلك، و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محيص عن الرجوع الى العرف الذي هو المرجع و المفزع في فهم المعاني من المباني و هو لا يكال بمكيال و لا يوزن بميزان، فقد تراه يرى تحقق الغناء في صوت خال عن الحسن و الرقة مشتمل على الخشونة و الغلظ، و في خال عن المد مشتمل على التقطيع و التكسير، و في خال عن الترجيع متصف بالخفاء، و في مهيّج للطرب بمعنى الخفة المقرونة بالانشراح و اللذة، و في مفرحٍ للفؤاد مهيج على البكاء للعشاق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للفقيه الماهر سوى الرجوع اليه و التعويل عليه، و لو فرض ثبوت معنى لغوي يغاير العرفي وجب الرجوع الى العرفي أيضاً</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3813645_3804643083"/>
      <w:bookmarkStart w:id="160" w:name="_Toc62"/>
      <w:bookmarkEnd w:id="159"/>
      <w:r>
        <w:rPr>
          <w:rtl w:val="true"/>
        </w:rPr>
        <w:t>المقام الثاني</w:t>
      </w:r>
      <w:r>
        <w:rPr>
          <w:rtl w:val="true"/>
        </w:rPr>
        <w:t xml:space="preserve">: </w:t>
      </w:r>
      <w:r>
        <w:rPr>
          <w:rtl w:val="true"/>
        </w:rPr>
        <w:t>في حكمه</w:t>
      </w:r>
      <w:bookmarkEnd w:id="1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محرم لنفسه اجماعا محصلا و منقولا نقلا متواتراً، و الكتاب العزيز و السنة المتواترة شاهدان عليه، فالأدلة الثلاثة متفقة على تحريمه كما أن تعلمه و تعليمه بفعله لا بجنسه و فصله و استماعه مراعيا صفته أو لا، دون مجرد سماعه، و أخذُ الاجرة عليه محرمٌ كذلك، و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حكمه فلا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w:t>
      </w:r>
    </w:p>
    <w:p>
      <w:pPr>
        <w:pStyle w:val="BookText"/>
        <w:rPr/>
      </w:pPr>
      <w:r>
        <w:rPr>
          <w:rFonts w:ascii="IRNazanin" w:hAnsi="IRNazanin" w:eastAsia="IRNazanin"/>
          <w:color w:val="111111"/>
          <w:sz w:val="28"/>
          <w:sz w:val="28"/>
          <w:szCs w:val="28"/>
          <w:rtl w:val="true"/>
          <w:lang w:bidi="fa-IR"/>
        </w:rPr>
        <w:t xml:space="preserve">البرهان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تحريمه و تحريم الاجرة عليه و تعلمه و تعليمه و استماعه سواء كان ذلك في قرآن أو دعاء أو شعر أو غيرهما</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بل ربما ادّعى بعض أصحابنا أنه من الضروريات و ان حكمه عند الامامية حكم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دعوى الضرورة و الاجماع على تحريمه فقد عرفت، و أما الكتاب المجيد فآيات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ففي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 و منها قوله تعالى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ففي خبر ابن مسكان عن 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 و في خبر مهران بن محمد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و في خبر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يَشْهَدُونَ</w:t>
      </w:r>
    </w:p>
    <w:p>
      <w:pPr>
        <w:pStyle w:val="BookText"/>
        <w:rPr/>
      </w:pP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ففي خبر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ففي خبر الخزاز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بالمدينة فاتينا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نزلتم،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فلان صاحب القيان،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كراماً، فوالله ما علمنا ما أراد به فظننّا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تفضلوا عليه فعدنا اليه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ما أردت بقولك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كراما،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الله تعالى يقول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و القيان جمع قينة، و القينة الامة المغنية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السنة فمضافا الى ما سمعت منها في تفسير الكتاب ضروب، منها يدل على تحريم الغناء لخبر الشحام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عشر النفاق</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و خبره الآخر،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الغناء لا يؤمن فيه الفجيعة و لا يجاب فيه الدعوة و لا يدخله الملك</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و خبر الحسن بن هارون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مجلس لا ينظر الله الى أهله</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و خبر ابراهيم بن محمد المدني عمن ذكره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سئل عن الغناء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بيوتا الله معرض عنها</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 و خبر ياسر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نزَّه نفسه عن الغناء فان في الجنة شجرة يأمر الله الرياح ان تحركها فيَسمع لها صوتاً لم يُسمع بمثله، و من لم يتنزّه عنه لم يسمعه</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و خبر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العباسي ذكر انك ترخّص في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الزنديق، ما هكذا قلت له، يسألني عن الغناء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إذا ميز الله بين الحق و الباطل فاين يكون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 و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الجارية لها 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اشتريتها فذكرتك الجنة، يعني بقراءة القرآن و الزهد و الفضائل التي ليست بغناء، فاما الغناء فمحظور</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و خبر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أوعد الله عليه النار، 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 و عن المقنع 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الاصوات الغناء</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و خبر الحسين بن هارون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يورث النفاق و يعقب الفقر</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و خبر عبد الله بن أبي بكر عن محمد عمرو بن حزم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اجتنبوا الغناء، اجتنبوا قول الزور، فما 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الغناء، اجتنبوا، فضاق بي المجلس، و علمت انه يعنيني</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ضرب منها دل على حرمة شراء الجارية المغنية، كخبر سعيد بن محمد الطاطري عن أبيه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بيع الجواري 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شراؤهن و بيعهن حرام و تعليمهن كفر و استماعهن نفاق</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و خبر ابراهيم بن ابي البلاد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اوصى اسحاق بن عمر عند وفاته بجوار له مغنيات أن يُبَعنَ و يحمل ثمنهن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الجواري بثلاث مائة الف درهم، و حملت ثمنهن اليه،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لك يقال له اسحاق بن عمر أوصى عند وفاته ببيع جوار مغنيات و حمل الثمن اليك و قد فعلت و بعتهن، و هذا الثمن ثلاث مائة الف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ان هذا سحت و تعليمهن كفر، و الاستماع منهن نفاق و ثمنهنّ سحت</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و خبر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المغنية،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للرجل الجارية تلهيه، و ما ثمنها الا ثمن الكلب و ثمن الكلب سحت و السحت في النار</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ضرب منها دل على حرمة كسبها، كخبر نضر بن قابوس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المغنية ملعونة، ملعون من أكل كسبها</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و روي في الفقيه ان اجر المغنية سحت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 منها دل على حرمة استماعه كخبر عنبسة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استماع الغناء و اللهو ينبت النفاق في القلب كما ينبت الماء الزرع</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الى غير ذلك من الاخبار نقلنا منها بعضا، و من أراد استقصاءها فليرجع الى كتب الأخبار، 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الدالة على تحريم الغناء مطلقا من غير تغيير خمسة و عشرين خبرا و هي بين صريحة الدلالة على ذلك و بين ظاهرة فيها، و ثلاثة اخبار دالة على تحريم استماع الغناء، و خمسة أخبار دالة على تحريم ثمن المغنية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الحاصل بعد التأمل في ما ذكرناه من الأدلة يحصل للفقيه القطع بتحريم الغناء من غير فرق بين ان يقترن بمحرم خارجي أو لا، و الظاهر انه لم يزل المذهب كذلك حتى قام الكاشاني </w:t>
      </w:r>
      <w:r>
        <w:rPr>
          <w:rStyle w:val="FootnoteAnchor"/>
          <w:rtl w:val="true"/>
        </w:rPr>
        <w:footnoteReference w:id="481"/>
      </w:r>
      <w:r>
        <w:rPr>
          <w:rFonts w:ascii="Amiri" w:hAnsi="Amiri" w:eastAsia="Amiri" w:cs="Amiri"/>
          <w:color w:val="111111"/>
          <w:sz w:val="28"/>
          <w:sz w:val="28"/>
          <w:szCs w:val="28"/>
          <w:rtl w:val="true"/>
          <w:lang w:bidi="ar-SA"/>
        </w:rPr>
        <w:t xml:space="preserve">و الخراساني ففصلوا ما اقترن بمحرم خارجي و بين غيره، و حكموا بتحريم الأول دون الثاني و الظاهر أنهما تبعا في ذلك من جعل الله الرشد في خلافه و هو الغزالي، قال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يظهر من مجموع الاخبار الواردة فيه اختصاص حرمة الغناء و ما يتعلق به من الاجر و التعليم و الاستماع و البيع و الشراء كلها بما كان على النحو المعهود المتعارف في زمن بني أمية و بني العباس من دخول الرجال عليهن و تكلمهن بالاباطيل و لعبهن بالملاهي من العيدان و القضيب و غيرها دون ما سوى ذلك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بالتي تدخل عليها الرجال</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ثمّ قال بعد ذلك بيسير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فلا بأس بسماع التغني بالاشعار المتضمنة ذكر الجنة و النار و التشويق الى دار القرار و وصف نِعَم الله الملك الجبار و ذكر العبادات و الترغيب في الخيرات و الزهد في الفانيات و نحو ذلك</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أنهم اما ان يريدوا عدم كون المجرد عن هذه المحرمات الخارجية غناء، و هو مردود باتفاق كلام أهل اللغة و فقهائنا على ان الغناء من مقولة الصوت و من كيفيته و لا ربط له بأمر خارجي، بل الرجوع الى العرف يكذب هذه الدعوى كما لا يخفى على من مارسه، و أما ان يريدوا انه و ان كان غناءً و لكن المحرم من الغناء هو ما</w:t>
      </w:r>
    </w:p>
    <w:p>
      <w:pPr>
        <w:pStyle w:val="BookText"/>
        <w:rPr/>
      </w:pPr>
      <w:r>
        <w:rPr>
          <w:rFonts w:ascii="Amiri" w:hAnsi="Amiri" w:eastAsia="Amiri" w:cs="Amiri"/>
          <w:color w:val="111111"/>
          <w:sz w:val="28"/>
          <w:sz w:val="28"/>
          <w:szCs w:val="28"/>
          <w:rtl w:val="true"/>
          <w:lang w:bidi="ar-SA"/>
        </w:rPr>
        <w:t>اقترن بمحرم خارجي لعدم الدليل على تحريم ما عداه، فيرجع فيه الى أصل الاباحة، لان الاخبار المتقدمة انما دلت على تحريم القول الزور و اللغو و لهو الحديث و أما ما لم يكن كذلك من الغناء فلا دليل على حرمته، و هو مردود بالاجماعات المتقدمة المنقولة بل الاجماع المحصل فضلا عن المنقول الدالة على تحريم مطلق الغناء من غير فرق بين المقترن بالمحرم و غيره، و مع قطع النظر عن الاجماعات، فاطلاق الاخبار المتقدمة كاف في ذلك، على أن ما دل على تحريم القول الزور و لهو الحديث شامل لذلك لأنه من ذلك و لو باعتبار الكيفية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الاستناد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الاخبار الخاصة كخبر علي بن جعفر المروي عن قرب الاسناد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الغناء هل يصلح في الفطر و الاضحى؟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يعصى به</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وجه له إذ هو مع قصوره عن معارضة ما سمعت من الاخبار المجبورة بما سمعت من الاجماعات مضطرب لأن علي بن جعفر رواه في المحكي من كتابه بابدال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يعص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يصفه بالزمارة أو يجعل صوته كالزمار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بد من حمله أما على التقية أو على إرادة خصوص العرس في اليومين أو على إرادة التغني بالشعر على وجه لا يصل إلى حد الغناء فيكون ذلك هو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من الحمل فلا بد من اطّراحه لقوة المعارض</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ذلك الاستناد الى بعض الروايات الدالة على حسن صوت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 و صوت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قيل ان صوت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له الطير، و صوت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له بعض المارين </w:t>
      </w:r>
      <w:r>
        <w:rPr>
          <w:rStyle w:val="FootnoteAnchor"/>
          <w:rtl w:val="true"/>
        </w:rPr>
        <w:footnoteReference w:id="486"/>
      </w:r>
      <w:r>
        <w:rPr>
          <w:rFonts w:ascii="Amiri" w:hAnsi="Amiri" w:eastAsia="Amiri" w:cs="Amiri"/>
          <w:color w:val="111111"/>
          <w:sz w:val="28"/>
          <w:sz w:val="28"/>
          <w:szCs w:val="28"/>
          <w:rtl w:val="true"/>
          <w:lang w:bidi="ar-SA"/>
        </w:rPr>
        <w:t>، فيكون ذلك حجة على جواز الغناء المجرد عن المحرمات الخارجية ضرورة حصول الفرق بين الحس الذي هو من عطاء الرحمن و التحسين الناشئ من الترجيع الناشئ من دعوة الشيطان، و ما أحسن تشبيه ذلك بامرأة ذات جمال و أخرى متحلية لتميل قلوب الرجال و استندوا الى بعض الاخبار كخبر ابي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تدخل عليها الرجال حرام</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خبره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المغنية التي تزف العرائس ليس به بأس، ليست بالتي تدخل عليها الرجال</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 و خبر يونس؛ لان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ميز الله بين الحق و الباطل، أين يكون الغناء؟</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 و الخبر الآخر الذي 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عليك لو اشتريتها فذكرتك الجنة</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و غيرها من الاخبار التي يستشم منها أن تحريم الغناء من حيث اقترانه بمحرم خارجي، و هي على تقدير صحة سندها و صراحتها ليست لها قابلية معارضة بعض ما مر من الادلة فلا بد من اطراحها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الغريب ما وقع للفاضلين المذكورين </w:t>
      </w:r>
      <w:r>
        <w:rPr>
          <w:rStyle w:val="FootnoteAnchor"/>
          <w:rtl w:val="true"/>
        </w:rPr>
        <w:footnoteReference w:id="492"/>
      </w:r>
      <w:r>
        <w:rPr>
          <w:rFonts w:ascii="Amiri" w:hAnsi="Amiri" w:eastAsia="Amiri" w:cs="Amiri"/>
          <w:color w:val="111111"/>
          <w:sz w:val="28"/>
          <w:sz w:val="28"/>
          <w:szCs w:val="28"/>
          <w:rtl w:val="true"/>
          <w:lang w:bidi="ar-SA"/>
        </w:rPr>
        <w:t xml:space="preserve">من الفتوى بذلك بل أعرب من ذلك متابعة بعض من تأخر عنهما لهما في ذلك، خصوصا بعد ان لم يكن لهما موافق ممن تقدمهما من الاصحاب، و أما دعوى أن الشيخ في الاستبصار ممن يفتي بذلك و أنه موافق لهما في ذلك فهو تقوُّلٌ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قال في الاستبصار بعد نقل الاخبار الدالة على نفي البأس عن كسب المغنيات في الاعراس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هذه الاخبار الرخصة في من لا يتكلم بالاباطيل و لا يلعب بالملاهي و العيدان و أشباهها و لا بالقصب و غيره، بل يكون ممن يزف العروس و يتكلم عندها بإنشاد الشعر و القول البعيد عن الفحش و الاباطيل، و أما ما عدا هؤلاء ممن يتغنين بسائر انواع الملاهي فلا يجوز على حال سواء كان في الاعراس أو غيرها</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و هو صريح في حرمة التغني</w:t>
      </w:r>
      <w:bookmarkStart w:id="161" w:name="pg2491_24222"/>
    </w:p>
    <w:p>
      <w:pPr>
        <w:pStyle w:val="BookText"/>
        <w:rPr/>
      </w:pPr>
      <w:bookmarkEnd w:id="161"/>
      <w:r>
        <w:rPr>
          <w:rFonts w:ascii="Amiri" w:hAnsi="Amiri" w:eastAsia="Amiri" w:cs="Amiri"/>
          <w:color w:val="111111"/>
          <w:sz w:val="28"/>
          <w:sz w:val="28"/>
          <w:szCs w:val="28"/>
          <w:rtl w:val="true"/>
          <w:lang w:bidi="ar-SA"/>
        </w:rPr>
        <w:t xml:space="preserve">بسائر أنواع الملاهي في الاعراس و غيرها و في جواز التغني بالشعر و القول البعيد عن الفحش في الاعراس و لا دلالة فيه على جواز التغني بذلك في غير الاعراس فما زعمه في الوافي </w:t>
      </w:r>
      <w:r>
        <w:rPr>
          <w:rStyle w:val="FootnoteAnchor"/>
          <w:rtl w:val="true"/>
        </w:rPr>
        <w:footnoteReference w:id="494"/>
      </w:r>
      <w:r>
        <w:rPr>
          <w:rFonts w:ascii="Amiri" w:hAnsi="Amiri" w:eastAsia="Amiri" w:cs="Amiri"/>
          <w:color w:val="111111"/>
          <w:sz w:val="28"/>
          <w:sz w:val="28"/>
          <w:szCs w:val="28"/>
          <w:rtl w:val="true"/>
          <w:lang w:bidi="ar-SA"/>
        </w:rPr>
        <w:t>من أنه موافق لهما في الفتوى تقوّل عليه فتبصّرْ</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3813647_3804643083"/>
      <w:bookmarkStart w:id="163" w:name="_Toc63"/>
      <w:bookmarkEnd w:id="162"/>
      <w:r>
        <w:rPr>
          <w:rtl w:val="true"/>
        </w:rPr>
        <w:t>المقام الثالث</w:t>
      </w:r>
      <w:r>
        <w:rPr>
          <w:rtl w:val="true"/>
        </w:rPr>
        <w:t xml:space="preserve">: </w:t>
      </w:r>
      <w:r>
        <w:rPr>
          <w:rtl w:val="true"/>
        </w:rPr>
        <w:t>في المستثنيات</w:t>
      </w:r>
      <w:bookmarkEnd w:id="163"/>
    </w:p>
    <w:p>
      <w:pPr>
        <w:pStyle w:val="Heading6"/>
        <w:numPr>
          <w:ilvl w:val="5"/>
          <w:numId w:val="1"/>
        </w:numPr>
        <w:rPr/>
      </w:pPr>
      <w:bookmarkStart w:id="164" w:name="__RefHeading___Toc3813649_3804643083"/>
      <w:bookmarkStart w:id="165" w:name="_Toc64"/>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3813651_3804643083"/>
      <w:bookmarkStart w:id="167" w:name="_Toc65"/>
      <w:bookmarkEnd w:id="166"/>
      <w:r>
        <w:rPr>
          <w:rtl w:val="true"/>
        </w:rPr>
        <w:t>أحدها</w:t>
      </w:r>
      <w:r>
        <w:rPr>
          <w:rtl w:val="true"/>
        </w:rPr>
        <w:t xml:space="preserve">: </w:t>
      </w:r>
      <w:r>
        <w:rPr>
          <w:rtl w:val="true"/>
        </w:rPr>
        <w:t>في القرآن،</w:t>
      </w:r>
      <w:bookmarkEnd w:id="167"/>
    </w:p>
    <w:p>
      <w:pPr>
        <w:pStyle w:val="BookText"/>
        <w:rPr/>
      </w:pPr>
      <w:r>
        <w:rPr>
          <w:rFonts w:ascii="Amiri" w:hAnsi="Amiri" w:eastAsia="Amiri" w:cs="Amiri"/>
          <w:color w:val="111111"/>
          <w:sz w:val="28"/>
          <w:sz w:val="28"/>
          <w:szCs w:val="28"/>
          <w:rtl w:val="true"/>
          <w:lang w:bidi="ar-SA"/>
        </w:rPr>
        <w:t>يظهر من بعض أصحابنا جواز التغني بالقرآن، و قصارى ما يمكن أن يكون لهم مستند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الغناء فيه؛ لأنه ما اقترن بمحرم خارجي كاللعب بآلات اللهو و دخول النساء على الرجال و نحوهما من المحرمات، و المفروض عدم ذلك، و فيه ما عرفت سابقاً من اتفاق اهل اللغة و الفقهاء على انه من مقولة الاصوات أو من كيفياتها، و لا دخل للمحرم الخارجي في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تلك الكيفية الخاصة لا يعدها أهل العرف في قراءة القرآن غناءً و إن عدت في غيرها غناءً، و المفروض انكم وكلتم الموضوع إلى العرف كما هو الدأب و الديدن في سائر الموضوعات،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ناشئ من اشتباه العرف، و إلا فبعد فرض الغناء من الكيفيات الخاصة للّفظ، فأيّ دخل لخصوص اللفظ في ذلك؟، فمتى تحققت تلك الكيفية الخاصة و وجدت ينبغي تحقق الغناء و وجوده في أي لفظ كان سواء القرآن و غيره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إن كان من الكيفيات الخاصة للفظ لكن لا مطلقا بل الكيفية الخاصة المتخذة للّهو و انشراح النفس و الطرب كما عساه يومي اليه لهوُ الحديث، و أخْذ الطرب في تعريفه، و معروفية مجالس الغناء بذلك، فهذه الكيفية و إن ساوت كيفية القراءة في القرآن أو نقصت عنها لكن هذه الكيفية غناء، و كيفية القراءة ليست</w:t>
      </w:r>
    </w:p>
    <w:p>
      <w:pPr>
        <w:pStyle w:val="BookText"/>
        <w:rPr/>
      </w:pPr>
      <w:r>
        <w:rPr>
          <w:rFonts w:ascii="Amiri" w:hAnsi="Amiri" w:eastAsia="Amiri" w:cs="Amiri"/>
          <w:color w:val="111111"/>
          <w:sz w:val="28"/>
          <w:sz w:val="28"/>
          <w:szCs w:val="28"/>
          <w:rtl w:val="true"/>
          <w:lang w:bidi="ar-SA"/>
        </w:rPr>
        <w:t>غناء لاتخاذ هذه الكيفية للهو و الطرب دون كيفية القراءة، و لعله يؤيد ذلك استثناء النوح منه و عدم ادخاله في موضوعه باعتبار عدم اتخاذه للهو و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الكيفية الخاصة للفظ إن كانت متخذة للهو كان غناءً عرفاً،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لأخذ ذلك في حقيقة الغناء، بل إطلاق كلام أهل اللغة و الفقهاء يرد ذلك، و تعارف استعمال تلك الكيفية الخاصة في مجلس اللهو يصيّر ذلك مأخوذا في حقيقته و لا شك أن من الغناء و الاصوات الشجية المثيرة للحزن و البكاء كما يستعمله العشاق غالبا، بل هو نوع من الطرب و لهذا قالوا في تفسير الطرب انه خفة لسرور أو حزن حتى أنه حكي عن القاموس التصريح بوهم </w:t>
      </w:r>
      <w:r>
        <w:rPr>
          <w:rStyle w:val="FootnoteAnchor"/>
          <w:rtl w:val="true"/>
        </w:rPr>
        <w:footnoteReference w:id="495"/>
      </w:r>
      <w:r>
        <w:rPr>
          <w:rFonts w:ascii="Amiri" w:hAnsi="Amiri" w:eastAsia="Amiri" w:cs="Amiri"/>
          <w:color w:val="111111"/>
          <w:sz w:val="28"/>
          <w:sz w:val="28"/>
          <w:szCs w:val="28"/>
          <w:rtl w:val="true"/>
          <w:lang w:bidi="ar-SA"/>
        </w:rPr>
        <w:t xml:space="preserve">من خص ذلك بالسرور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و ان لم يكن مأخوذا في مطلق الموضوع لكنه مأخوذ في الموضوع الذي هو متعلق الحكم التحريمي لإشعار أدلة التحريم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في ما مر اطلاق الادلة المتكثرة التي كادت تكون متواترة، بل صرح بعض أصحابنا بتواترها بحرمة الغناء فلا وجه بعد للتقييد، و لو فرض في بعض الادلة اشعار بذلك فليس له قابلية تقييد ما مر من المطلقات فاللازم الحكم بتحريم مطلق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لك فساد كلام بعض من عاصرناه من المتأخرين </w:t>
      </w:r>
      <w:r>
        <w:rPr>
          <w:rStyle w:val="FootnoteAnchor"/>
          <w:rtl w:val="true"/>
        </w:rPr>
        <w:footnoteReference w:id="497"/>
      </w:r>
      <w:r>
        <w:rPr>
          <w:rFonts w:ascii="Amiri" w:hAnsi="Amiri" w:eastAsia="Amiri" w:cs="Amiri"/>
          <w:color w:val="111111"/>
          <w:sz w:val="28"/>
          <w:sz w:val="28"/>
          <w:szCs w:val="28"/>
          <w:rtl w:val="true"/>
          <w:lang w:bidi="ar-SA"/>
        </w:rPr>
        <w:t>حيث يظهر من كلامه ان المحرم هو ذلك، فان كان هو الغناء فلا كلام، و ان كان الغناء أعم لزم تقييد المحرم بذلك، و ان كان اخص لزم تعميم المحرم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اليه بعضهم من أن بين ما دل على حرمة الغناء و ما دل على استحباب قراءة القرآن عموم و خصوص من وجه، و ما دل على استحباب القراءة أرجح من جهة موافقته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هذا ليس من تعارض العموم المحتاج الى ترجيح بل فهم أهل العرف كاف فيه نحو العام و الخاص و المطلق و المقيد، و الا لتحقق</w:t>
      </w:r>
    </w:p>
    <w:p>
      <w:pPr>
        <w:pStyle w:val="BookText"/>
        <w:rPr/>
      </w:pPr>
      <w:r>
        <w:rPr>
          <w:rFonts w:ascii="Amiri" w:hAnsi="Amiri" w:eastAsia="Amiri" w:cs="Amiri"/>
          <w:color w:val="111111"/>
          <w:sz w:val="28"/>
          <w:sz w:val="28"/>
          <w:szCs w:val="28"/>
          <w:rtl w:val="true"/>
          <w:lang w:bidi="ar-SA"/>
        </w:rPr>
        <w:t xml:space="preserve">التعارض بين جميع أدلة المحرمات و أدلة السنن حتى الزنا و اللواط و الغيبة و الكذب و السب و الشتم و نحوها حيث تقع بالتماس المؤمن أو مع العلم بإدخال السرور عليه، فلو حكّمنا أدلة السنن على أدلة التحريم بموافقتها للأصل لم يبق حرام، و هو باطل بضرورة الشرع، على أن الظاهر من أدلة تحريم الغناء أنه قبيح لا يقبل التخصيص لجعله من قول الزور و لهو الحديث على أنه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أجتمع الحلال مع الحرام الا و غلب الحرام الحلال</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على أن ذلك جار في مطلق الاقوال اذا حصل فيها نوع رجحان بأي نحو كان، و في شرح القواعد 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يثبت حيث يجعل الغناء من الاصوات، أما لو جعلناه من الكيفيات كما هو الاقوى فلا معارضة إذ لا مناقضة لعدم وحدة الموضوع</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إذ لا فرق في تحقق التعارض بين جعل الغناء من الاصوات او من الكيفيات فتبصّر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الاخبار الخاصة التي منها خبر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القرآن فرفعت به صوتي جاءني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ترائي بهذا أهلك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أقرأ قراءة بين القراءتين تسمع أهلك و رجع بالقرآن صوتك فان الله تعالى يحب الصوت الحسن يرجع به ترجيعاً</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و خبر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 حلية القرآن الصوت الحسن</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 و خبر عقبة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صوتا بالقرآن و كان السقاءون يمرون فيقفون ببابه يستمعون القرآن</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 و خبر النوفلي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الصوت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القرآن فربما مر به المار فصعق من حسن صوته</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الى غير ذلك من</w:t>
      </w:r>
    </w:p>
    <w:p>
      <w:pPr>
        <w:pStyle w:val="BookText"/>
        <w:rPr/>
      </w:pPr>
      <w:r>
        <w:rPr>
          <w:rFonts w:ascii="Amiri" w:hAnsi="Amiri" w:eastAsia="Amiri" w:cs="Amiri"/>
          <w:color w:val="111111"/>
          <w:sz w:val="28"/>
          <w:sz w:val="28"/>
          <w:szCs w:val="28"/>
          <w:rtl w:val="true"/>
          <w:lang w:bidi="ar-SA"/>
        </w:rPr>
        <w:t xml:space="preserve">الاخبار و هي خالية عن الدلالة على جواز التغني بالقرآن و ان دلت على تحسين الصوت في القرآن، و ليس كل تحسين غناء كما ان أخبار سيد الساجدين لا دلالة فيها الا على حسن صوته، و قد عرفت في ما مر ان الغناء غير حسن الصوت الذي هو من خواص الانبياء، حتى ورد في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بعث الله نبيا الا حسن صوته</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و قد عرفت ذلك مفصلا في ما مر، و على تقدير دلالة الاخبار المذكورة فليست لها قابلية معارضة ما سمعت من الاخبار المتقدمة المجبورة بما علمت من الادلة المتقدمة فاما ان تؤول او تطرح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الاخبار النبوية منها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و خبر عبد الرحمن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سعداً و قد كف بصره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 فاخبرته، فقال مرحباً يا ابن اخي، بلغني انك حسن الصوت بالقرآن،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نزل بحزن فإذا قرأتموه فابكوا فان لم تبكوا فتباكوا، فمن لم يتغن بالقرآن فليس منا</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و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يأذن الله لشي‌ء من أهل الارض الا لأصوات المؤمنين و الصوت الحسن في بالقرآن</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قال و هذه الاخبار دالة على جواز التغني بالقرآن بل على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اما الخبر الثالث فمعناه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صم إذا سمعوا خيرا ذكرت به و ان ذكرت بشرّ عندهم أذنُ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فان قلت كيف يصح 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من أهل الارض و هو يقال سامع لكل مسموع؟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يتقبل، على حد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خاطبته بكلام فلم يسمعه، و هذا كلام لا اسمعه، و هذا الخبر لا دلالة فيه على جواز التغني؛ للفرق الواضح بين الصوت الحسن و بين الغناء، و أما الخبران الاولان فيحتمل فيهما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يستغن و هذا كثير في شعر العرب، نظيره قال الأعشى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امرأً زمنا بالعراقْ عفيفَ المناخ طويل التَّغنّ</w:t>
      </w:r>
    </w:p>
    <w:p>
      <w:pPr>
        <w:pStyle w:val="BookText"/>
        <w:rPr/>
      </w:pPr>
      <w:r>
        <w:rPr>
          <w:rFonts w:ascii="IRNazanin" w:hAnsi="IRNazanin" w:eastAsia="IRNazanin"/>
          <w:color w:val="111111"/>
          <w:sz w:val="28"/>
          <w:sz w:val="28"/>
          <w:szCs w:val="28"/>
          <w:rtl w:val="true"/>
          <w:lang w:bidi="fa-IR"/>
        </w:rPr>
        <w:t xml:space="preserve">و قال الآخر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كلانا غنيٌ عن اخيه حياته و نحن إذا متنا أشد تغانيا</w:t>
      </w:r>
    </w:p>
    <w:p>
      <w:pPr>
        <w:pStyle w:val="BookText"/>
        <w:rPr/>
      </w:pPr>
      <w:r>
        <w:rPr>
          <w:rFonts w:ascii="Amiri" w:hAnsi="Amiri" w:eastAsia="Amiri" w:cs="Amiri"/>
          <w:color w:val="111111"/>
          <w:sz w:val="28"/>
          <w:sz w:val="28"/>
          <w:szCs w:val="28"/>
          <w:rtl w:val="true"/>
          <w:lang w:bidi="ar-SA"/>
        </w:rPr>
        <w:t>و يؤيد ذلك ما روي عن ابن مسعود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عمران فهو غني</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كنز الصعلوك سورة آل عمران يقوم بها في آخر الليل</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 و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لحامل القرآن أن يظن أن أحداً أعطي أفضل مما أعطي لأنه لو ملك الدنيا بأسرها كان القرآن أفضل مما ملكه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يتغنَّ</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من لم يستعذب و يستحل و يتلذذ، فمن لم يتلذذ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أهل الطرب يتلذذون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منا، و سمى ذلك تغنيا لمشابهته الغناء في أن كل منهما صوت يتلذذ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التغني المقام من قبيل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الرجل بالمقام إذا طال مقامه به و منه المغنى و المغاني 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لَمْ يَغْنَوْا فِيهَا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أي لم يقيموا فيها</w:t>
      </w:r>
      <w:bookmarkStart w:id="168" w:name="pg2491_24227"/>
    </w:p>
    <w:p>
      <w:pPr>
        <w:pStyle w:val="BookText"/>
        <w:rPr/>
      </w:pPr>
      <w:bookmarkEnd w:id="168"/>
      <w:r>
        <w:rPr>
          <w:rFonts w:ascii="Amiri" w:hAnsi="Amiri" w:eastAsia="Amiri" w:cs="Amiri"/>
          <w:color w:val="111111"/>
          <w:sz w:val="28"/>
          <w:sz w:val="28"/>
          <w:szCs w:val="28"/>
          <w:rtl w:val="true"/>
          <w:lang w:bidi="ar-SA"/>
        </w:rPr>
        <w:t>فيكون معنى الحديث من لم يقم على القران و تجاوزه الى سواه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قد يتعدى القران الى غيره قلت ليس ذلك تعدّ للقرآن لأنه هو الدال على وجوب اتباعها هذا كله مع ان الاخبار نبوية غير معلومة السند و على تقدير صحتها و صراحتها لا بد من تأويلها أو طرحها لعدم قابليتها لمعارضة ما مر خصوصا بعد ان كان ظاهرها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ان في خبر النوفلي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القرآن بالحان العرب و اصواتها و إياكم و لحون أهل الفسق و أهل الكبائر فانه سيجي‌ء من بعدي أقوام يرجعون القرآن ترجيع الغناء و النوح و الرهبانية، لا يجوز تراقيهم، قلوبهم مقلوبة و قلوب من يعجبه شأنهم</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و في ما رواه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 إضاعة الصلوات و أتباع الشهوات و الميل الى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يكون أقوام يتعلمون القرآن لغير الله و يتخذونه مزامير، و يكون أقوام يتفقهون لغير الله و تكثر أولاد الزنا و يتغنون بالقرآن</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بعض الاخبار أنه متى حصل الاشتباه لشخص في أمر خيل في نفسه الحق و الباطل و رأى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الأمرين أقرب فيلحقه به، و لا شك ان الغناء هو مثار الفساد و هو المحرك للشهوات الباعث على الزنا في الأجنبيات و على اللواط في الأولاد، قال جدي في شرح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فالذي يقع في نظري أن الغناء في باب الطاعات كقراءة القرآن أعظم من الغناء في غيرها في العصيان لزيادة الذنب الفظيع بازدياد معصية التشريع</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 w:name="__RefHeading___Toc3813653_3804643083"/>
      <w:bookmarkStart w:id="170" w:name="_Toc66"/>
      <w:bookmarkEnd w:id="169"/>
      <w:r>
        <w:rPr>
          <w:rtl w:val="true"/>
        </w:rPr>
        <w:t>ثانيها</w:t>
      </w:r>
      <w:r>
        <w:rPr>
          <w:rtl w:val="true"/>
        </w:rPr>
        <w:t xml:space="preserve">: </w:t>
      </w:r>
      <w:r>
        <w:rPr>
          <w:rtl w:val="true"/>
        </w:rPr>
        <w:t>مراثي سيد الشهداء،</w:t>
      </w:r>
      <w:bookmarkEnd w:id="17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حكى في جامع المقاصد </w:t>
      </w:r>
      <w:r>
        <w:rPr>
          <w:rStyle w:val="FootnoteAnchor"/>
          <w:rtl w:val="true"/>
        </w:rPr>
        <w:footnoteReference w:id="520"/>
      </w:r>
      <w:r>
        <w:rPr>
          <w:rFonts w:ascii="Amiri" w:hAnsi="Amiri" w:eastAsia="Amiri" w:cs="Amiri"/>
          <w:color w:val="111111"/>
          <w:sz w:val="28"/>
          <w:sz w:val="28"/>
          <w:szCs w:val="28"/>
          <w:rtl w:val="true"/>
          <w:lang w:bidi="ar-SA"/>
        </w:rPr>
        <w:t xml:space="preserve">عن بعضهم القول باباحته فيها، و مال اليه في مجمع البرهان </w:t>
      </w:r>
      <w:r>
        <w:rPr>
          <w:rStyle w:val="FootnoteAnchor"/>
          <w:rtl w:val="true"/>
        </w:rPr>
        <w:footnoteReference w:id="521"/>
      </w:r>
      <w:r>
        <w:rPr>
          <w:rFonts w:ascii="Amiri" w:hAnsi="Amiri" w:eastAsia="Amiri" w:cs="Amiri"/>
          <w:color w:val="111111"/>
          <w:sz w:val="28"/>
          <w:sz w:val="28"/>
          <w:szCs w:val="28"/>
          <w:rtl w:val="true"/>
          <w:lang w:bidi="ar-SA"/>
        </w:rPr>
        <w:t xml:space="preserve">و الكفاية </w:t>
      </w:r>
      <w:r>
        <w:rPr>
          <w:rStyle w:val="FootnoteAnchor"/>
          <w:rtl w:val="true"/>
        </w:rPr>
        <w:footnoteReference w:id="522"/>
      </w:r>
      <w:r>
        <w:rPr>
          <w:rFonts w:ascii="IRNazanin" w:hAnsi="IRNazanin" w:eastAsia="IRNazanin"/>
          <w:color w:val="111111"/>
          <w:sz w:val="28"/>
          <w:sz w:val="28"/>
          <w:szCs w:val="28"/>
          <w:rtl w:val="true"/>
          <w:lang w:bidi="fa-IR"/>
        </w:rPr>
        <w:t>، و اعتمده بعض من تأخر من</w:t>
      </w:r>
    </w:p>
    <w:p>
      <w:pPr>
        <w:pStyle w:val="BookText"/>
        <w:rPr/>
      </w:pP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استناداً الى الأصل لانتفاء ما يدل على تحريمه على سبيل العموم من الأخبار، و الإجماع ممنوع في المقام، و لان البكاء و الابكاء أمر مطلوب على سيد الشهداء فكثر التحريض عليه في الأخبار، حتى لو فرض وجود ما يدل على تحريم الغناء على سبيل العموم كان بينه و بين ما دل على استحباب البكاء عموم من وجه، و مع فقد المرجحات يرجع الى الأصل و هو الاباحة، على أنه قد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لأبي هارون المكفوف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أنشدني كما تنشدون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ترثيه عند قبره</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و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متعارف في بلاد المسلمين في زمن الشارع إلى زمان هذا من غير نكير، و يؤيد ذلك جواز النياحة و جواز أخذ الأجرة عليها؛ لأنها ملازمة للغناء على الظاهر، و لأن تحريم الغناء للطرب، و المراثي ليس فيها طرب و أنما هي لمطلق الحزن، و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يدل على تحريم الغناء على سبيل العموم فهو النصوص المتقدمة الدالة على تحريم الغناء بهذا اللفظ، و هو مفرد محلى باللام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الإجماع منقول على تحريم الغناء و هو عام كما عرفت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المفرد المحلى مستفاد من الحكمة، و ما كان كذلك يكون بحكم المطلق في الانصراف الى الأفراد المتعارفة، و مراثي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 بتعلق الأحكام بالطبائع و الماهيات يكون المفرد المحلى باللام مفيدا للعموم اللغوي، أما لأن للطبيعة علة لثبوت الحكم، و ان ثبوت الحكم للماهية مستلزم</w:t>
      </w:r>
    </w:p>
    <w:p>
      <w:pPr>
        <w:pStyle w:val="BookText"/>
        <w:rPr/>
      </w:pPr>
      <w:r>
        <w:rPr>
          <w:rFonts w:ascii="Amiri" w:hAnsi="Amiri" w:eastAsia="Amiri" w:cs="Amiri"/>
          <w:color w:val="111111"/>
          <w:sz w:val="28"/>
          <w:sz w:val="28"/>
          <w:szCs w:val="28"/>
          <w:rtl w:val="true"/>
          <w:lang w:bidi="ar-SA"/>
        </w:rPr>
        <w:t>لثبوت الحكم لافرادها، و ان لم تكن علة فيكون تحريم الغناء كتحريم الزنا و الربا و الخمر و بيع الغرر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التعارض بين ما دل على تحريم الغناء و ما دل على استحباب البكاء فقد عرفت في ما مر انه ليس من التعارض الذي يرجع فيه الى المرجحات، بل فهم اهل العرف تحكيم النواهي كاف في المقام كفهمهم تحكيم الخاص على العام و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ما ورد في الاخبار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الحرام و الحلال الا و غلب الحرام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يكفي في ترجيح جانب النهي، الى غير ذلك مما مر مما يرجح جانب النهي،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ابي هارون </w:t>
      </w:r>
      <w:r>
        <w:rPr>
          <w:rStyle w:val="FootnoteAnchor"/>
          <w:rtl w:val="true"/>
        </w:rPr>
        <w:footnoteReference w:id="527"/>
      </w:r>
      <w:r>
        <w:rPr>
          <w:rFonts w:ascii="Amiri" w:hAnsi="Amiri" w:eastAsia="Amiri" w:cs="Amiri"/>
          <w:color w:val="111111"/>
          <w:sz w:val="28"/>
          <w:sz w:val="28"/>
          <w:szCs w:val="28"/>
          <w:rtl w:val="true"/>
          <w:lang w:bidi="ar-SA"/>
        </w:rPr>
        <w:t>، فلا دلالة فيه الا على أن الرقة في الرثاء مطلوبة و هو امر غير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ادعاء السيرة على ذلك فهو في محل المنع، بل ربما يُدّعى ان سيرة العلماء الابرار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يستعمله بعض الاعاجم في الرثاء من الغناء فهو نظير استعمالهم تشبيه الرجال بالنساء في بعض 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ناشئاً عن عمل العارفين و لا عن سيرة المتدينين، و أما ما ذكره مؤيدا من جواز النياحة و اخذ الاجرة عليها فذلك لخروجها عن موضوع الغناء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تحريم الغناء للطرب، و المراثي لا طرب فيها فقد عرفت ما فيه حيث ان جمعا من اهل اللغة صرحوا بأن الطرب عبارة عن خفة تعتري الانسان لسرور او هم حتى ان بعضهم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 بالسرور وهم</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هذا ان لم نقل بخروجه عن موضوع الغناء و دخوله في موضوع النياحة التي ستعرف جوازها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قلنا بذلك فلا كلام</w:t>
      </w:r>
      <w:r>
        <w:rPr>
          <w:rFonts w:eastAsia="Amiri" w:cs="Amiri" w:ascii="Amiri" w:hAnsi="Amiri"/>
          <w:color w:val="111111"/>
          <w:sz w:val="28"/>
          <w:szCs w:val="28"/>
          <w:rtl w:val="true"/>
          <w:lang w:bidi="ar-SA"/>
        </w:rPr>
        <w:t>.</w:t>
      </w:r>
      <w:bookmarkStart w:id="171" w:name="pg2491_24230"/>
    </w:p>
    <w:p>
      <w:pPr>
        <w:pStyle w:val="BookText"/>
        <w:rPr/>
      </w:pPr>
      <w:bookmarkEnd w:id="171"/>
      <w:r>
        <w:rPr>
          <w:rFonts w:ascii="Amiri" w:hAnsi="Amiri" w:eastAsia="Amiri" w:cs="Amiri"/>
          <w:color w:val="111111"/>
          <w:sz w:val="28"/>
          <w:sz w:val="28"/>
          <w:szCs w:val="28"/>
          <w:rtl w:val="true"/>
          <w:lang w:bidi="ar-SA"/>
        </w:rPr>
        <w:t xml:space="preserve">و كيف كان فإن قلنا بجوازه في المراثي، فإن كان المنشأ عدم وجود ما يدل على العموم و الرجوع الى الاصل او عدم وجود الطرب فيها، و الغناء ما كان غير ذلك، فلا ينبغي الاقتصار على مراثي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كان المنشأ بقية ما سمعت من الادلة فالاقتصار على مراثي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لمخالفة الحكم للعمومات، فيقتصر فيه على مورد المخصص</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3813655_3804643083"/>
      <w:bookmarkStart w:id="173" w:name="_Toc67"/>
      <w:bookmarkEnd w:id="172"/>
      <w:r>
        <w:rPr>
          <w:rtl w:val="true"/>
        </w:rPr>
        <w:t>ثالثها</w:t>
      </w:r>
      <w:r>
        <w:rPr>
          <w:rtl w:val="true"/>
        </w:rPr>
        <w:t xml:space="preserve">: </w:t>
      </w:r>
      <w:r>
        <w:rPr>
          <w:rtl w:val="true"/>
        </w:rPr>
        <w:t>الحداء</w:t>
      </w:r>
      <w:bookmarkEnd w:id="17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استثناه المحقق و العلامة في القواعد </w:t>
      </w:r>
      <w:r>
        <w:rPr>
          <w:rStyle w:val="FootnoteAnchor"/>
          <w:rtl w:val="true"/>
        </w:rPr>
        <w:footnoteReference w:id="529"/>
      </w:r>
      <w:r>
        <w:rPr>
          <w:rFonts w:ascii="Amiri" w:hAnsi="Amiri" w:eastAsia="Amiri" w:cs="Amiri"/>
          <w:color w:val="111111"/>
          <w:sz w:val="28"/>
          <w:sz w:val="28"/>
          <w:szCs w:val="28"/>
          <w:rtl w:val="true"/>
          <w:lang w:bidi="ar-SA"/>
        </w:rPr>
        <w:t xml:space="preserve">و الشهيد في الدروس في باب الشهادات </w:t>
      </w:r>
      <w:r>
        <w:rPr>
          <w:rStyle w:val="FootnoteAnchor"/>
          <w:rtl w:val="true"/>
        </w:rPr>
        <w:footnoteReference w:id="530"/>
      </w:r>
      <w:r>
        <w:rPr>
          <w:rFonts w:ascii="Amiri" w:hAnsi="Amiri" w:eastAsia="Amiri" w:cs="Amiri"/>
          <w:color w:val="111111"/>
          <w:sz w:val="28"/>
          <w:sz w:val="28"/>
          <w:szCs w:val="28"/>
          <w:rtl w:val="true"/>
          <w:lang w:bidi="ar-SA"/>
        </w:rPr>
        <w:t xml:space="preserve">و كأنه قال به الاردبيلي </w:t>
      </w:r>
      <w:r>
        <w:rPr>
          <w:rStyle w:val="FootnoteAnchor"/>
          <w:rtl w:val="true"/>
        </w:rPr>
        <w:footnoteReference w:id="531"/>
      </w:r>
      <w:r>
        <w:rPr>
          <w:rFonts w:ascii="Amiri" w:hAnsi="Amiri" w:eastAsia="Amiri" w:cs="Amiri"/>
          <w:color w:val="111111"/>
          <w:sz w:val="28"/>
          <w:sz w:val="28"/>
          <w:szCs w:val="28"/>
          <w:rtl w:val="true"/>
          <w:lang w:bidi="ar-SA"/>
        </w:rPr>
        <w:t xml:space="preserve">، و نسب ذلك الى المشهور في محكي الكفاية </w:t>
      </w:r>
      <w:r>
        <w:rPr>
          <w:rStyle w:val="FootnoteAnchor"/>
          <w:rtl w:val="true"/>
        </w:rPr>
        <w:footnoteReference w:id="532"/>
      </w:r>
      <w:r>
        <w:rPr>
          <w:rFonts w:ascii="Amiri" w:hAnsi="Amiri" w:eastAsia="Amiri" w:cs="Amiri"/>
          <w:color w:val="111111"/>
          <w:sz w:val="28"/>
          <w:sz w:val="28"/>
          <w:szCs w:val="28"/>
          <w:rtl w:val="true"/>
          <w:lang w:bidi="ar-SA"/>
        </w:rPr>
        <w:t>، و هو بالضم كدُعاء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الصوت على نحو مخصوص لسير الابل، و لا دليل على استثنائه سوى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المسافر الحداء و الشعر ما كان ليس فيه خنا</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انه قال لعبد الله بن رواحة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حرك بالنوق فاندفع يرتجز و كان جيد الحداء و كان مع الرجال، فتبعه أنجشة و كان مع النساء،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لأنجشة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رفقا بالقوارير</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يعني النساء و يحتمل النوق لحرقة 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مع ضعف سند الاول و عامية الثاني دلالة الا على جواز الحداء، و كونه من الغناء أول الكلام بل قضية العرف تشهد بخلافه؛ لأن الظاهر انه قسيم للغناء، فيكون خارجا عن الموضوع لا عن الحكم، و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بعد دخوله في الموضوع يشكل استثناؤه؛</w:t>
      </w:r>
      <w:bookmarkStart w:id="174" w:name="pg2491_24231"/>
    </w:p>
    <w:p>
      <w:pPr>
        <w:pStyle w:val="BookText"/>
        <w:rPr/>
      </w:pPr>
      <w:bookmarkEnd w:id="174"/>
      <w:r>
        <w:rPr>
          <w:rFonts w:ascii="Amiri" w:hAnsi="Amiri" w:eastAsia="Amiri" w:cs="Amiri"/>
          <w:color w:val="111111"/>
          <w:sz w:val="28"/>
          <w:sz w:val="28"/>
          <w:szCs w:val="28"/>
          <w:rtl w:val="true"/>
          <w:lang w:bidi="ar-SA"/>
        </w:rPr>
        <w:t>لعدم وجود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ما يدل على حرمة الغناء مطلقاً فوق حد الاحصاء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أن لم يكن داخلا في الموضوع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استثنيناه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دخوله فيه من الحكم فيلزم الاقتصار على خصوص الحداء لسير الابل دون غيرها من البغال و الحمير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حرج في أصوات الملاحين عند جرّ السفن و لا في اصوات الأمهات لنوم الاطفال و لا في الاصوات التي تكون من الالفاظ كالهلهولة و نحوها، و لا في الترديد المسمى بالحوراب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لخروجه عن موضوع الغناء، فان دخل فيه كلا او بعضاً حرم كما لو دخل في عنوان آخر من العناوين المحرمة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3813657_3804643083"/>
      <w:bookmarkStart w:id="176" w:name="_Toc68"/>
      <w:bookmarkEnd w:id="175"/>
      <w:r>
        <w:rPr>
          <w:rtl w:val="true"/>
        </w:rPr>
        <w:t>رابعها</w:t>
      </w:r>
      <w:r>
        <w:rPr>
          <w:rtl w:val="true"/>
        </w:rPr>
        <w:t xml:space="preserve">: </w:t>
      </w:r>
      <w:r>
        <w:rPr>
          <w:rtl w:val="true"/>
        </w:rPr>
        <w:t>غناء المغنية في الأعراس اذا لم تتكلم بالباطل و لم تلعب بالملاهي</w:t>
      </w:r>
      <w:bookmarkEnd w:id="176"/>
    </w:p>
    <w:p>
      <w:pPr>
        <w:pStyle w:val="BookText"/>
        <w:rPr/>
      </w:pPr>
      <w:r>
        <w:rPr>
          <w:rFonts w:ascii="Amiri" w:hAnsi="Amiri" w:eastAsia="Amiri" w:cs="Amiri"/>
          <w:color w:val="111111"/>
          <w:sz w:val="28"/>
          <w:sz w:val="28"/>
          <w:szCs w:val="28"/>
          <w:rtl w:val="true"/>
          <w:lang w:bidi="ar-SA"/>
        </w:rPr>
        <w:t xml:space="preserve">و لم تدخل عليها الرجال لورود الرخصة في اباحة اجرها المستلزم لإباحة غناها، كما التزم به جمع من اصحابنا، و في اكثر كتب الاصحاب ذكر القيود الثلاثة، و عن النهاية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 المختلف </w:t>
      </w:r>
      <w:r>
        <w:rPr>
          <w:rStyle w:val="FootnoteAnchor"/>
          <w:rtl w:val="true"/>
        </w:rPr>
        <w:footnoteReference w:id="536"/>
      </w:r>
      <w:r>
        <w:rPr>
          <w:rFonts w:ascii="IRNazanin" w:hAnsi="IRNazanin" w:eastAsia="IRNazanin"/>
          <w:color w:val="111111"/>
          <w:sz w:val="28"/>
          <w:sz w:val="28"/>
          <w:szCs w:val="28"/>
          <w:rtl w:val="true"/>
          <w:lang w:bidi="fa-IR"/>
        </w:rPr>
        <w:t xml:space="preserve">و النافع </w:t>
      </w:r>
      <w:r>
        <w:rPr>
          <w:rStyle w:val="FootnoteAnchor"/>
          <w:rtl w:val="true"/>
        </w:rPr>
        <w:footnoteReference w:id="537"/>
      </w:r>
      <w:r>
        <w:rPr>
          <w:rFonts w:ascii="Amiri" w:hAnsi="Amiri" w:eastAsia="Amiri" w:cs="Amiri"/>
          <w:color w:val="111111"/>
          <w:sz w:val="28"/>
          <w:sz w:val="28"/>
          <w:szCs w:val="28"/>
          <w:rtl w:val="true"/>
          <w:lang w:bidi="ar-SA"/>
        </w:rPr>
        <w:t>اسقاط القيد الوسط، و كأنه لأن اللعب بالملاهي و إن كان محرماً لكنه لا يحرّم الغناء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فالمنشأ في ذلك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 المغنية التي تزف العرائس ليس به بأس، ليست بالتي تدخل عليها الرجال</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سأله عن كسب المغنيات التي تدخل عليها الرجال حرام، و التي تدعى الى الاعراس ليس به بأس</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المغنية التي تزف العرائس لا بأس بكسبها</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 و فيه ان الاخبار المذكورة ليست فيها دلالة على المدّعى؛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البأس عن كسب المغنية التي تزف العرائس</w:t>
      </w:r>
    </w:p>
    <w:p>
      <w:pPr>
        <w:pStyle w:val="BookText"/>
        <w:rPr/>
      </w:pPr>
      <w:r>
        <w:rPr>
          <w:rFonts w:ascii="Amiri" w:hAnsi="Amiri" w:eastAsia="Amiri" w:cs="Amiri"/>
          <w:color w:val="111111"/>
          <w:sz w:val="28"/>
          <w:sz w:val="28"/>
          <w:szCs w:val="28"/>
          <w:rtl w:val="true"/>
          <w:lang w:bidi="ar-SA"/>
        </w:rPr>
        <w:t>و عن أجرها، و لا دلالة فيها على نفي الباس عن الاجر على الغناء، و لا على نفي البأس عن الاكتساب بالغناء، كما انه على تقدير دلالتها على ذلك لا يستلزم ذلك جواز غناءها في الأعراس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تُدّعى الملازمة بين جواز أخذ الاجر عليه و بين حلّيته كما ادعى ذلك بعض اصحابنا بل ادّعى الضرورة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فالاخبار المذكورة قوية مجبورة بالشهرة المنقولة ظاهرة الدلالة و إن لم تكن نصاً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بالجواز مما لا باس به، و على تقديره فيلزم الاقتصار على النكاح دون ملك اليمين، و في اجراء الحكم على النكاح المنقطع وجه ليس بالبعيد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الختان و نحوه من اسباب الفرح فلا يجري فيها الحكم جزما، بل يلزم في النكاح الاقتصار على المعتاد بل على الاقل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اقتصاراً على القدر المتيقَّن في ما خالف دليل التحريم، و يظهر من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القول بالتحريم و عدم الالتفات الى الاخبار المذكورة،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ظهر مما مر أنه لا ينبغي صدور الاستثناء من أهل النظر، كيف لا و تحريم الغناء كتحريم الزنا و اخباره متواترة و ادلته متكاثرة عبّر عنه بقول الزور و لهو الحديث في القرآن، و نادت الاخبار بأنه المحرك على الفجور و العصيان، فكأن تحريمه من الامور العقلية التي لا تقبل تقييداً و لا تخصيصاً بالكلية، و كيف يخطر بالبال او يجري في الخيال ان يقع مثل هذا الكلام من سادات الانام الآمرين بترك الشبهات خوفاً من الوقوع بالمحرمات، مع انه مؤذن بجواز ما فيه معظم اللهو عن ذكر المعاد و مؤدّ الى الزنا و اللواط اللذين هما رأس الفساد، على ان في ضعف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ما يخرجها عن محل الاعتبار و موافقتها للتقية يرفع اعتبارها في مقابلة ما مرّ بالكلية، و لو كانت في غاية الكثرة ما عادلت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مع انها في نهاية الندرة، و لو فرق بين الحق و الباطل لرأيته في القسم الثاني بديهة، و ربما كان قبحه في غير الاعراس اقل منه</w:t>
      </w:r>
    </w:p>
    <w:p>
      <w:pPr>
        <w:pStyle w:val="BookText"/>
        <w:rPr/>
      </w:pPr>
      <w:r>
        <w:rPr>
          <w:rFonts w:ascii="Amiri" w:hAnsi="Amiri" w:eastAsia="Amiri" w:cs="Amiri"/>
          <w:color w:val="111111"/>
          <w:sz w:val="28"/>
          <w:sz w:val="28"/>
          <w:szCs w:val="28"/>
          <w:rtl w:val="true"/>
          <w:lang w:bidi="ar-SA"/>
        </w:rPr>
        <w:t xml:space="preserve">فيها،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بالتحريم هو المشهور على الظاهر؛ لان كل من حرم الغناء و لم يستثنِ فهو من المحرّمين، و حاله كحال المصرحين، و هم عدد كثير من الفحول و الاساطين، لكنه بعيد عن طريقة المخالفين و المتصوفين</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ما لا يخفى من منع كون تحريم الغناء من الامور العقلية؛ لان الشارع قد حلّل جملة من اسباب الطرب كتقبيل المحبوب و ضمه و المسامرة معه و غير ذلك مما يفيد الانسان طرباً اشد من طرب الغناء، فليس تحريمه الا سمعياً، و قد عرفت ان دليل الجواز معتبر في نفسه و مجبور بالشهرة المنقولة كما سمعت، فلا محيص عن العمل به، لانه هو مقتضى قواعد الاطلاق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الاقتصار على المغنية دون المغني مضافاً الى ما مر، و دلالة الاخبار على جواز أخذ الاجرة عليه كافية في الدلالة على جوازه لتحريمه أعواض المحرمات المستفاد من الادلة السابقة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فحيث عرفت في ما سبق ان موضوع الغناء موكول الى العرف فاعلم ان خطاب كل وقت محمول على عرفه، و نحن مكلفون بما دل عليه الخطاب عند زمن الصدور و بما فهمه المشافهون منه لاشتراكنا معهم في ما كلفوا به، و لم يكلفوا إلا بما فهموه من الخطابات حين صدورها، فلو ثبت للفظ عرف جديد بعد زمن الصدور لم يكن عليه مدار، و كان المدار على عرف زمن الصدور، فلو ثبت في العرف الجديد تخصيص الغناء بما لم يكن في قرآن أو تعزية أو ذكر أو دعاء أو أذان أو مدح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عليه مدار </w:t>
      </w:r>
      <w:r>
        <w:rPr>
          <w:rStyle w:val="FootnoteAnchor"/>
          <w:rtl w:val="true"/>
        </w:rPr>
        <w:footnoteReference w:id="542"/>
      </w:r>
      <w:r>
        <w:rPr>
          <w:rFonts w:ascii="Amiri" w:hAnsi="Amiri" w:eastAsia="Amiri" w:cs="Amiri"/>
          <w:color w:val="111111"/>
          <w:sz w:val="28"/>
          <w:sz w:val="28"/>
          <w:szCs w:val="28"/>
          <w:rtl w:val="true"/>
          <w:lang w:bidi="ar-SA"/>
        </w:rPr>
        <w:t xml:space="preserve">لان المعلوم من تتبّع كلمات اهل اللغة و اصول الامويين و العباسيين و ابراهيم شيخ المغنين ان الكثير أو الاكثر او الأحق في تسميته غناءً ما كان في القرآن و مدح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في أيامهم الفرق من جهة ذوات الكلمات، و انما المدار على كيفيات الاصوات، و هو الظاهر من كلام اهل اللغة قدمائهم و متأخريهم ممن</w:t>
      </w:r>
    </w:p>
    <w:p>
      <w:pPr>
        <w:pStyle w:val="BookText"/>
        <w:rPr/>
      </w:pPr>
      <w:r>
        <w:rPr>
          <w:rFonts w:ascii="Amiri" w:hAnsi="Amiri" w:eastAsia="Amiri" w:cs="Amiri"/>
          <w:color w:val="111111"/>
          <w:sz w:val="28"/>
          <w:sz w:val="28"/>
          <w:szCs w:val="28"/>
          <w:rtl w:val="true"/>
          <w:lang w:bidi="ar-SA"/>
        </w:rPr>
        <w:t>عاصر زمن ورود النهي أو تقدمه او تأخر عنه، و ما رأينا أحداً منهم أخذ قيد عدم القرآنية و المدح و الذكر و نحوها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خطأ العرف الجديد بالتخصيص، كما ظهر خطأ من بنى على ذلك أخذاً به زاعماً أنه بمنزلة المرآة الكاشفة عن العرف، كما أخطأ العرف و من أخذ به بديهةً بتخصيص اسم الغناء غير الخارجي على وفق العربية و الفصاحة كما قد يتخيله العوام، و ليس ذلك بأول قارورة كسرت في الاسلام، فقد أخطأ العرف و الاخذ به في كثير من المقامات، فلا يحمل لفظ الغناء على المعنى الجديد كما لا تحمل الفاظ التربة و القهوة و اللبن و الساعة على المعاني الجديدة المعروفة عند اهل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فينبغي الرجوع الى العرف الصحيح في موضوعه الذي لا ريب في شموله للمقامات المعلومة و شعبها المعروفة عند أهل الفن، بل لا ريب في تناوله لغير ذلك مما يستعمله سواد الناس من الكيفيات المخصوصة، بل الورع يقتضي اجتناب جميع الأفراد المشكوك في اندراجها في موضوعه و أن كان الأصل يقتضي الاباحة في شبهة الموضوع الراجعة الى شبهة الحكم، قال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يسهل الخطب في ما اشتبه أنه من الغناء أو من غيره أن الغناء اسم لما هو في نفس الأمر كذلك، لكن التكليف بما هو في نفس الأمر لا يصح الا مع العلم به، و غاية الامر كفاية الظن الاجتهادي في تعيينه، فلو فرض انتفاء الظن كما لو حصل الشك في بعض أفراد الصوت فيصير من حيث أنه مجهول كذلك مجهول الحكم فيدخل في شبهة نفس الحكم، و الأصل فيها الإباحة و عدم وجوب الاجتناب</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دعوى عدم صحة التكليف بما في نفس الأمر الا مع العلم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التكليف بالمجمل مما لا كلام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خاص بما يكون للمكلف طريق للامتثال فيه و هو الإتيان بجميع محتملاته، فلو لم يكن للمكلف طريق للامتثال منعناه، و مع توجه التكليف يلزمه الاتيان بجميع المحتملات، كما ان دعوى أن الشبهة في مصداق الموضوع فترجع الى الشبهة في الحكم لا تخلو من تأمل، بل يمكن ادعاء</w:t>
      </w:r>
      <w:bookmarkStart w:id="177" w:name="pg2491_24235"/>
    </w:p>
    <w:p>
      <w:pPr>
        <w:pStyle w:val="BookText"/>
        <w:rPr/>
      </w:pPr>
      <w:bookmarkEnd w:id="177"/>
      <w:r>
        <w:rPr>
          <w:rFonts w:ascii="Amiri" w:hAnsi="Amiri" w:eastAsia="Amiri" w:cs="Amiri"/>
          <w:color w:val="111111"/>
          <w:sz w:val="28"/>
          <w:sz w:val="28"/>
          <w:szCs w:val="28"/>
          <w:rtl w:val="true"/>
          <w:lang w:bidi="ar-SA"/>
        </w:rPr>
        <w:t>كون الشبهة هنا من الشبهة في مفهوم الموضوع فيلزم الاجتناب، لأنه من قبيل التكليف بالمجمل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 ذلك بمنع كون المقام من ذلك بعد معلومية جملة من الأفراد الذي يحتمل كون تمام ماهية الغناء مما اشتملت عليه فيشك حينئذ في حرمة الزائد و ينفى بأصل البراءة، و لا يعارض ذلك حرمة الغناء؛ لأحتمال كون تمام ماهيته ما في الأفراد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الذمة قد اشتغلت بوجوب اجتناب المحرم، و مع ارتكاب الفرد المشكوك به لا يعلم الفراغ و الامتثال،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الأفراد المشتبهة فرد محرم حتى يجب اجتناب الجميع، و أحد المحتملات اباحتها جميعاً أو انحصار الحرمة في الأفراد المعلومة فإذا كان كذلك فالقول بلزوم الاجتناب للمقدمة مما لا ينبغي هنا فتبصرْ</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3813659_3804643083"/>
      <w:bookmarkStart w:id="179" w:name="_Toc69"/>
      <w:bookmarkEnd w:id="178"/>
      <w:r>
        <w:rPr>
          <w:rtl w:val="true"/>
        </w:rPr>
        <w:t xml:space="preserve">و من جملة ما يحرم التكسب به </w:t>
      </w:r>
      <w:r>
        <w:rPr>
          <w:rtl w:val="true"/>
        </w:rPr>
        <w:t>( (</w:t>
      </w:r>
      <w:r>
        <w:rPr>
          <w:rtl w:val="true"/>
        </w:rPr>
        <w:t>معونة الظالمين</w:t>
      </w:r>
      <w:r>
        <w:rPr>
          <w:rtl w:val="true"/>
        </w:rPr>
        <w:t>))</w:t>
      </w:r>
      <w:bookmarkEnd w:id="17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محرمة ذاتاً، و كل ما كان كذلك يحرم التكسب به، أما الكبرى فواضحة؛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حرم الله شيئاً حرم ثمنه</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و أما الصغرى فأوضح لثبوتها بالعقل و النقل كتابا و سنة و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العقل المستقل يدرك مبغوضية الظلم ابتداءً، و متى أدرك ذلك أدرك مبغوضية الإعانة عليه، و هو 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 من الثاني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و لأن الإعانة تستلزم الركون،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 و أما الثاني من الثاني فالأخبار المستفيضة التي كادت أن تكون متواترة التي منها خبر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صحبة العاصين و معونة الظالمين</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 و خبر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العامل بالظلم و المعين له و الراضي به شركاء ثلاثتهم</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 و خبر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أعوان الظلمة يوم القيامة في سرادق من النار حتى يحكم الله بين العباد</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و خبر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 و خبر السكوني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أعوان الظلمة؟، و من لاق لهم دواة أو ربط كيساً أو مد لهم مدة قلم، فاحشروهم معهم</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و ما رواه ورّام بن أبي فراس في كتابه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ظالم ليعينه، و يعلم أنه ظالم فقد خرج من الإسلام</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الظلمة و أعوان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برى لهم قلما و لاق لهم دواة فيُجمعون في تابوت من حديد ثمّ يرمى بهم في جهنم</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إلى غير ذلك من الأخبار التي تجوز حد الإحصاء التي لا يعبأ بضعف أسانيد بعضها بعد اعتضاد بعضها ببعض</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الإجماع المنقول على لسان جماعة من الفحول، بل ربما يمكن دعوى صدق اسم الظالم على الظلم في بعض الموارد كما يصدق اسم المتلف على موجد سبب الإتلاف، و ذلك كمل لو أعان بإيجاد السبب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فكل ما دل على حرمة الظلم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إن حرمة إعانة الظلمة مما لا كلام فيها، حتى أن جمعا من أصحابنا عدوها من الكبائر، بل في رواية سليمان الجعفري المروية عن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الدخول في أعمالهم و العون لهم و السعي في حوائجهم عديل الكفر و النظر إليهم على العمد من الكبائر التي يستحق بها النار</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و حيث ثبت أن معونة الظالمين من المحرمات فلا بد من التأمل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لعد كل ما له مدخلية في حصول الفعل و تحققه من الإعانة عليه، ضرورة أن شرائط الفعل التي لا يمكن وجوده بدونها و موانعه التي لا يمكن صدوره بدون عدمها من الأشياء التي لا يمكن استقلال الإنسان بها و صدورها جميعا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أوجد شيئا من شرائط الفعل أو فعل شيئا من موانعه كان معينا على إيجاد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 من القول؛ انه يلزم على هذا أن يكون كل الناس من أعوان الظلمة أو جلهم، على أن قضية الرجوع إلى العرف في معنى المعونة تكذب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لا يصدق على صانع السيف أنه معين للقاتل به و لا على باني الدار أنه معين لصانع الخمر فيها، و لا بائع الخشب ممن يعمله صنما أو صليبا أو بائع العنب ممن يعمله خمرا أنه معين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كذلك لكان واجد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على الإثم، لأنه خالق الأسباب و الآلات، فليست الأمور المذكورة من الإعانة جزما، بل هي من الأمور المباحة، و الظالم مكلف بالترك، فلا بد من ميزان يرجع إليه في أمثال هذه المقامات، و ليس سوى العرف، و الظاهر أن الافعال في العرف قسمان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تصدق المعونة فيها من دون قصد ترتب الظلم و المعصية، كأَنْ يكون الانسان من أجناد الظلمة و كتّابهم و وزرائهم فان من صار من هؤلاء كان معيناً للظلمة و إن لم يقصد ترتب المعصية و الظلم على ذلك، بل ربما يمكن ادعاء ان قصد العدم لا يصرف ذلك عن كونه من المعونة، فهذه من الافعال الصريحة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لا يصدق المعونة فيه الا مع القصد، فهو من الافعال المشتركة من قبيل بيع السلاح و الامتعة على السلطان، فانه إن قصد بذلك تقوية شوكته و تقويم أمره كان إعانة له،</w:t>
      </w:r>
    </w:p>
    <w:p>
      <w:pPr>
        <w:pStyle w:val="BookText"/>
        <w:rPr/>
      </w:pPr>
      <w:r>
        <w:rPr>
          <w:rFonts w:ascii="Amiri" w:hAnsi="Amiri" w:eastAsia="Amiri" w:cs="Amiri"/>
          <w:color w:val="111111"/>
          <w:sz w:val="28"/>
          <w:sz w:val="28"/>
          <w:szCs w:val="28"/>
          <w:rtl w:val="true"/>
          <w:lang w:bidi="ar-SA"/>
        </w:rPr>
        <w:t>و إن لم يقصد بذلك ذلك فلا، و مثله بناء الدور للجنود، فانه إن قصد بذلك ترويج امره و عدم تعطيل أموره كان معيناً، و ان قصد بذلك غير ذلك لم يكن معيناً له، فينبغي للفقيه النبيه ان يميز بين الأفعال بالنظر الى الصدق العرفي، بل ربما يدّعى أن بعض الافعال ظاهر في الاعانة، فلو عرض له قصد مغاير صرفه، فهو من الاعانة مع القصد و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قصدُ الخلافِ يصرفه، من قبيل تردد بعض الاجلاء و العلماء الى الظلمة و مكاتبتهم لهم، فانه ربما تتقوى بذلك شوكتهم و تعلو بذلك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يكون المقصود من ذلك قضاء حوائج الضعفاء و الفقراء أو بعض الدواعي و المقتضيات الى غير ذلك، فينبغي التأمل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فرق في تحريم الفعل المقصود منه المعونة بين السبب في إيجابه و فعله المعونة فقط أو هي و أمر آخر من الأمور المحللة كابتغاء الاجرة و نحوها، سواء كان كل واحد مستقل في السببية بحيث لو أنفرد كان باعثاً مستقلًا على ايجاد الفعل، أو كان المجموع المركب باعثاً بحيث لو أنفرد احدهما لم يوجد الفعل، او كانت المعونة سبباً اصلياً، أو الآخر تابعاً او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معونة الظالم التي سمعت الاخبار في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 تحقق المعونة حصول الفعل الذي قصد ترتبه على ذلك الفعل أو لا، مثل من صَنَع سيفاً لظالم بقصد ان يقتل فيه عبداً صالحاً فلم يقتله؟ و هل يقال انه أعانه على المعصية أولا؟ الظاهر الاول و إن لم يصدر الفعل ممن قصد اعانته عليه خلافاً لبعض الاصحاب، فالظاهر منهم ان التحريم لا للإعانة بل لأمر آخر، و هو مردود بشهادة العرف بخلافه، و أنّ الظاهر في بادي الرأي ان الاعانة على الفعل انما تحصل اذا وجد، و إن لم يوجد فلا فعل حتى يعان عليه فتبصرْ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يعتبر في تحقق قصد الاعانة العلم او الظن بصدور الفعل منه؛ لانه مع العلم او الظن بعدم صدور الفعل من المعان لا يعقل تحقق قصد الاعانة، و الظاهر كفاية الشك في تحقق قصد الاعانة، كما انه يعتبر في صدق الاعانة عرفاً علمه او ظنه او احتماله مدخلية عمله في الفعل المعان عليه، فلو علم عدم مدخلية فعله كمن يصنع</w:t>
      </w:r>
    </w:p>
    <w:p>
      <w:pPr>
        <w:pStyle w:val="BookText"/>
        <w:rPr/>
      </w:pPr>
      <w:r>
        <w:rPr>
          <w:rFonts w:ascii="Amiri" w:hAnsi="Amiri" w:eastAsia="Amiri" w:cs="Amiri"/>
          <w:color w:val="111111"/>
          <w:sz w:val="28"/>
          <w:sz w:val="28"/>
          <w:szCs w:val="28"/>
          <w:rtl w:val="true"/>
          <w:lang w:bidi="ar-SA"/>
        </w:rPr>
        <w:t xml:space="preserve">سيفاً لشخص ليقتل به آخر مع انه 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لا مدخلية لسيفه في ذلك، بل هو مقتول صنع السيف أم لا، فلا اعانة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الظالمين هنا حكام الجور مخالفين كانوا او موافقين، فان اعانتهم على ظلمهم محرمة مطلقاً، بل ربما يعم العنوانُ الظالم لنفسه، فتدخل العُصاة في الظالمين، فتحرم اعانتهم على معاصيهم، فيكون المراد من الظالمين الظالمين لأنفسهم كالعاصين، و لغيرهم في اموالهم و ابدانهم و اعراضهم أو اديانهم كالافتاء و القضاء ممن ليس له اهلية ذلك، فعلى هذا تكون الادلة المتقدمة الدالة على حرمة اعانة الظالمين دالة على حرمة اعانة العصاة على معاصيهم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عن شمول لفظ الظالمين للعصاة فلا إباء عن شمول حكمهم لهم؛ لان اعانتهم على معاصيهم محرمة بالاجماع،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و لا فرق في حرمة اعانة الظلمة على ظلمهم بين ان يكونوا عاصين بذلك او لا، فالمعذور في ظلمه بجهل او نقص او تقية تحرم اعانته و إن لم يعص بظلمه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الادلة المتقدمة الدالة على حرمة اعانة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الادلة بعد امعان النظر فيها ان الاعانة على ظلم الناس ليس سبيلها سبيل الاعانة على بقية المعاصي، بل الاعانة على ظلم الناس حرام و إن كانت غير مستلزمة لحصوله، و في غيره الامر أيسر من ذلك كما لا يخفى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ما مر في تحريم اعانة الظلمة على ظلمهم او على غيره من المحرمات، و أما اعانتهم على المباحات كبناء القناطر و المساجد، و مثلها الاعمال لهم كخياطة ثيابهم و بناء دورهم و نحوها، فان صدرت هذه الامور عن ميل اليهم بسبب ظلمهم و كبرهم و جبروتهم، أو بقصد السعي في اعلاء شانهم و رفع منزلتهم و حصول الاقتدار لهم على رعيتهم او تكثير سوادهم فلا كلام في حرمتها، و إن خلت من تلك الاحوال فقد ورد في جملة النصوص تحريمها،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تعنهم على بناء مسجد</w:t>
      </w:r>
      <w:r>
        <w:rPr>
          <w:rFonts w:eastAsia="IRNazanin" w:cs="IRNazanin"/>
          <w:color w:val="111111"/>
          <w:sz w:val="28"/>
          <w:szCs w:val="28"/>
          <w:rtl w:val="true"/>
          <w:lang w:bidi="fa-IR"/>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سئل عن الرجل منا يصيبه الضيق و الشدة فيدْعى الى البناء يبنيه او النهر يكريه او المسنّاة يصلحها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اني عقدت لهم عقدة أو و كيت لهم وكاءً، و ان لي ما بين لابتيها، لا و لا مَدّة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أعوان الظلمة في سرادق من نار حتى يحكم الله بين العباد</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عذافر نبئتُ أنك تعامل أبا ايوب و الربيع، فما حالك إذا نودي بك في أعوان الظلمة؟</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و عن ابي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منك حسن جميل ما خلا شيئاً واحداً،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إكراؤك جمالك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أكريته اشراً و لا بطراً و لا للصيد و لا للهو، و لكن أكريته لهذا الطريق يعني طريق مكة و لا أتولاه بنفسي، و لكن أبعث معه غلماني،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أيقع كراك عليهم؟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بقاءهم حتى يخرج كراك؟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بقاءهم فهو منهم، و من كان منهم كان ورد النار،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فبعت جمالي عن آخرها، الخبر</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إلى غير ذلك من الأخبار الدالة على حرمة إعانة الظلمة مطلقاً، و هم حكام الجور من المخالفين المدّعين للخلافة و الإمامة، و يؤيدها الاعتبار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نقل عن العلامة الطباطبائي أنه إذا انعقد إجماع على هذا التفصيل، و إلا فالمتجه التحريم مطلقا </w:t>
      </w:r>
      <w:r>
        <w:rPr>
          <w:rStyle w:val="FootnoteAnchor"/>
          <w:rtl w:val="true"/>
        </w:rPr>
        <w:footnoteReference w:id="561"/>
      </w:r>
      <w:r>
        <w:rPr>
          <w:rFonts w:ascii="Amiri" w:hAnsi="Amiri" w:eastAsia="Amiri" w:cs="Amiri"/>
          <w:color w:val="111111"/>
          <w:sz w:val="28"/>
          <w:sz w:val="28"/>
          <w:szCs w:val="28"/>
          <w:rtl w:val="true"/>
          <w:lang w:bidi="ar-SA"/>
        </w:rPr>
        <w:t xml:space="preserve">، لاستفاضة النصوص في المنع عن إعانتهم في المباح بطريق العموم و الخصوص مع اعتبار سندها و موافقتها الاعتبار، فإن إعانتهم في المباحات تفضي إلى إعانتهم في المحرمات كما أشير إليه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بني أمية</w:t>
      </w:r>
    </w:p>
    <w:p>
      <w:pPr>
        <w:pStyle w:val="BookText"/>
        <w:rPr/>
      </w:pPr>
      <w:r>
        <w:rPr>
          <w:rFonts w:ascii="Amiri" w:hAnsi="Amiri" w:eastAsia="Amiri" w:cs="Amiri"/>
          <w:color w:val="111111"/>
          <w:sz w:val="28"/>
          <w:sz w:val="28"/>
          <w:szCs w:val="28"/>
          <w:rtl w:val="true"/>
          <w:lang w:bidi="ar-SA"/>
        </w:rPr>
        <w:t>وجدوا من يكتب لهم و يجبي لهم الفي‌ء و يقاتل عنهم و يشهد جماعاتهم ما سلبونا حقنا، و لو تركهم الناس و ما في أيديهم ما وجدوا شيئا إلا ما وقع في أيديهم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و لو لا أن ذلك لا ينفك عن الميل و الركون إليهم و حب بقائهم كما أشير إليه في رواية صفوان و غيرها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حرمت إعانتهم على المباح و الأفعال المباحة لهم مطلقا كما هو مورد الأخبار لم يقم للمسلمين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الدراهم و الدنانير و أكثر ما يخرج من المعادن المنطبعة مما تصل إلى أيدي الناس من أيديهم و بالمعاملة معهم، و كذا الزراعات و توابعها مما تكون غالبا معهم، على أن سد باب المعاملة معهم مثير للفساد و باعث على أذية العباد، خصوصا من الفرقة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يخطر بالبال و يجري في الخيال أن أئمتنا مع حثهم لنا تشييع جنائز القوم و عيادة مرضاهم و الصلاة معهم و إظهار المحبة لهم يأمروننا بتجنب معاملتهم و ترك الدخول معهم في مباحاتهم و التنفر منهم ظاهرا و التباعد عنهم، و كثرة الأخبار على حد يبعد خفاؤها على الأصحاب مع تركهم العمل بظاهرها يرفعها عن الاعتبار، فلا بد من تنزيلها إما على إرادة قصد المعونة لهم على ظلمهم فيدخل في ما قصد به الحرام، أو على حصول الميل لهم فيدخل في الركون أو على من أعد نفسه لذلك بحيث يعد من أعوانهم كخياط السلطان،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علق سوطا بين يدي سلطان جائر جعل الله ذلك السوط يوم القيامة ثعبانا من نار يسلطه الله عليه يوم القيامة في نار جهنم</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و إلا فالأخذ بظاهر الأخبار مما لا وجه له، و كفى بالسيرة القطعية المأخوذة خلفا بعد سلف شاهدا على ما ذكرنا و أوضحنا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أن الذين أمرنا بزيادة التنفر منهم و التباعد عنهم و ألا نحب بقاءهم و أن نحب فناءهم هم أهل الباطل، و أما من كان من أهل الحق و إن حصل منه ظلم لا تشمله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الأخبار المتقدمة محمولة على الكراهة كما يقضي</w:t>
      </w:r>
      <w:bookmarkStart w:id="180" w:name="pg2491_24242"/>
    </w:p>
    <w:p>
      <w:pPr>
        <w:pStyle w:val="BookText"/>
        <w:rPr/>
      </w:pPr>
      <w:bookmarkEnd w:id="180"/>
      <w:r>
        <w:rPr>
          <w:rFonts w:ascii="Amiri" w:hAnsi="Amiri" w:eastAsia="Amiri" w:cs="Amiri"/>
          <w:color w:val="111111"/>
          <w:sz w:val="28"/>
          <w:sz w:val="28"/>
          <w:szCs w:val="28"/>
          <w:rtl w:val="true"/>
          <w:lang w:bidi="ar-SA"/>
        </w:rPr>
        <w:t xml:space="preserve">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أني عقدت لهم عقدة أو و كيت لهم وكاءً</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 في حق سلاطين الجور أيضا من المخالفين و هم الذين كانوا في زمن صدور الأخبار، و أما سلاطين أهل الحق فالظاهر عدم كراهة إعانتهم على المباحات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كراهة الأعمال المباحة لهم، لكن لا على وجه يعد من أعوانهم و مقوّية سلطانهم، بل لا يبعد عدم الحرمة في حب بقائهم، خصوصا إذا كان بقصد صحيح كإعلاء كلمة أهل الحق و عزهم</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3813661_3804643083"/>
      <w:bookmarkStart w:id="182" w:name="_Toc70"/>
      <w:bookmarkEnd w:id="181"/>
      <w:r>
        <w:rPr>
          <w:rtl w:val="true"/>
        </w:rPr>
        <w:t>النوح بالباطل</w:t>
      </w:r>
      <w:bookmarkEnd w:id="182"/>
    </w:p>
    <w:p>
      <w:pPr>
        <w:pStyle w:val="BookText"/>
        <w:rPr/>
      </w:pPr>
      <w:r>
        <w:rPr>
          <w:rFonts w:ascii="Amiri" w:hAnsi="Amiri" w:eastAsia="Amiri" w:cs="Amiri"/>
          <w:color w:val="111111"/>
          <w:sz w:val="28"/>
          <w:sz w:val="28"/>
          <w:szCs w:val="28"/>
          <w:rtl w:val="true"/>
          <w:lang w:bidi="ar-SA"/>
        </w:rPr>
        <w:t>و من جملة ما يحرم التكسب به النوح بالباطل، أما إذا كان بالحق فلا بأس بالتكسب به للجمع بين ما دل من الأخبار على الجواز و ما دل على المنع بحمل ما دل على الجواز على النوح بالحق، و ما دل على المنع على النوح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دل على الجواز فأخبار منها خبر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أوقف لي من مالي كذا و كذا لنوادب يندبنني عشر سنين بمنى بأيام منى</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و خبر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الوليد بن المغيرة، فقالت أم سلمة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المغيرة قد أقاموا مناحة، فأذهبُ إليهم؟ فأذن لها فلبست ثيابها و تهيأت، و كانت من حسنها كأنها جان، و كانت إذا قامت فأرخت شعرها على جسدها و عقدت بطرفيه خلخالها، فندبت ابن عمها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أنعى الوليد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العشيرة حامي الحقيقة ماجد يسمو إلى طلب الوتيرة قد كان غيثا في السنين و جعفرا غدقا و ميرة</w:t>
      </w:r>
    </w:p>
    <w:p>
      <w:pPr>
        <w:pStyle w:val="BookText"/>
        <w:rPr/>
      </w:pPr>
      <w:r>
        <w:rPr>
          <w:rFonts w:ascii="Amiri" w:hAnsi="Amiri" w:eastAsia="Amiri" w:cs="Amiri"/>
          <w:color w:val="111111"/>
          <w:sz w:val="28"/>
          <w:sz w:val="28"/>
          <w:szCs w:val="28"/>
          <w:rtl w:val="true"/>
          <w:lang w:bidi="ar-SA"/>
        </w:rPr>
        <w:t xml:space="preserve">فما عاب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لا قال شيئاً</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و خبر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بأجر النائحة التي تنوح على الميت</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النائحة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به، قد نيح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 هذا مضافاً إلى السيرة القطعية و نوح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أبيها، مما حكاه المخالف و المؤالف، و نوح الفاطميات على سيد الشهداء بكربلاء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الأخبار المانعة، فمنها خبر الزعفراني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أنعم الله عليه بنعمة فجاء عند تلك النعمة بمزمار فقد كفر، و من أصيب بمصيبة فجاء عند تلك المصيبة بنائحة فقد كفر</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 و خبر الحسين بن زيد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الرنة عند المصيبة، و نهى عن النياحة و الاستماع إليها، و نهى عن تصفيق الوجه</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و خبر عبد الله بن الحسين بن زيد بن علي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في أمتي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في الأحساب و الطعن في الأنساب و الاستقاء بالنجوم و النياحة، و إن النائحة إذا لم تتب قبل موتها تقوم يوم القيامة و عليها سربال من قطران و درع من حرب</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 و يشهد لهذا الجمع ما روي عن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بكسب النائحة إذا قالت صدقاً</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حديث خديجة بنت عمر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عمي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تحتاج المرأة إلى النوح لتسيل دمعتها، و لا ينبغي لها أن تقول هجرا، فإذا جاء الليل فلا تؤذي الملائكة بالنوح</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القول بكراهة النوح مطلقا لما رواه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النوح فكرهه</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و يمكن تخصيص الكراهة بخصوص المشارطة كخبر حنان بن سدير،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امرأة معنا في الحي و لها جارية نائحة فجاءت إلى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أنت تعلم أن معيشتي من الله ثمّ من هذه الجارية، فأحب أن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فإن كان حلالًا و إلا بعتها و أكلت من ثمنها حتى يأتي الله بالفرج، فقال لها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إني لأعظم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أسأله عن هذه المسألة، فلما قدمنا عليه أخبرته أنا بذلك،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تشارط؟ قلت و الله ما أدري أ تشارط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لا تشارط و تقبل ما أعطيت</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و يمكن تخصيص الكراهة بالليل للخبر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النوح بالباطل هو القول الكاذب كما دل عليه مفهوم الخبر المتقدم، أو الهجر كما اشتمل عليه الخبر الآخر، و الهجر بالضم الإفحاش و الخنا كما عن الصحاح </w:t>
      </w:r>
      <w:r>
        <w:rPr>
          <w:rStyle w:val="FootnoteAnchor"/>
          <w:rtl w:val="true"/>
        </w:rPr>
        <w:footnoteReference w:id="578"/>
      </w:r>
      <w:r>
        <w:rPr>
          <w:rFonts w:ascii="Amiri" w:hAnsi="Amiri" w:eastAsia="Amiri" w:cs="Amiri"/>
          <w:color w:val="111111"/>
          <w:sz w:val="28"/>
          <w:sz w:val="28"/>
          <w:szCs w:val="28"/>
          <w:rtl w:val="true"/>
          <w:lang w:bidi="ar-SA"/>
        </w:rPr>
        <w:t>، فيكون النوح بالباطل عبارة عن وصفه بما لم يكن فيه، أو بما كان فيه من الأوصاف القبيحة و الأفعال المذمومة شرعاً كذكره بالتهتك بالمحرمات كنهب أموال الناس و الزنا و اللواط و قتل النفوس و نحو 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المبالغة ليست منه، و عن جامع المقاصد أنه يدخل فيه أو يلحق به ما لو سمع صوتها الأجانب </w:t>
      </w:r>
      <w:r>
        <w:rPr>
          <w:rStyle w:val="FootnoteAnchor"/>
          <w:rtl w:val="true"/>
        </w:rPr>
        <w:footnoteReference w:id="579"/>
      </w:r>
      <w:r>
        <w:rPr>
          <w:rFonts w:ascii="Amiri" w:hAnsi="Amiri" w:eastAsia="Amiri" w:cs="Amiri"/>
          <w:color w:val="111111"/>
          <w:sz w:val="28"/>
          <w:sz w:val="28"/>
          <w:szCs w:val="28"/>
          <w:rtl w:val="true"/>
          <w:lang w:bidi="ar-SA"/>
        </w:rPr>
        <w:t>، و هو غريب، إذ ليس ذلك من النوح بالباطل جزماً،</w:t>
      </w:r>
    </w:p>
    <w:p>
      <w:pPr>
        <w:pStyle w:val="BookText"/>
        <w:rPr/>
      </w:pPr>
      <w:r>
        <w:rPr>
          <w:rFonts w:ascii="Amiri" w:hAnsi="Amiri" w:eastAsia="Amiri" w:cs="Amiri"/>
          <w:color w:val="111111"/>
          <w:sz w:val="28"/>
          <w:sz w:val="28"/>
          <w:szCs w:val="28"/>
          <w:rtl w:val="true"/>
          <w:lang w:bidi="ar-SA"/>
        </w:rPr>
        <w:t xml:space="preserve">و على تقدير الحرمة فهي إنما نشأت من أمر آخر لا من النوح بالباطل، على أن حرمة ذلك مبنية على حرمة سماع الأجانب صوتها من غير ريبة، و هو ممكن المنع خصوصاً مع عدم تمييز الألفاظ، و هو مدلول الخبر المتقدم، و هي وصية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بوقف شي‌ء لنوادب يندبنه في منى أيام منى </w:t>
      </w:r>
      <w:r>
        <w:rPr>
          <w:rStyle w:val="FootnoteAnchor"/>
          <w:rtl w:val="true"/>
        </w:rPr>
        <w:footnoteReference w:id="580"/>
      </w:r>
      <w:r>
        <w:rPr>
          <w:rFonts w:ascii="Amiri" w:hAnsi="Amiri" w:eastAsia="Amiri" w:cs="Amiri"/>
          <w:color w:val="111111"/>
          <w:sz w:val="28"/>
          <w:sz w:val="28"/>
          <w:szCs w:val="28"/>
          <w:rtl w:val="true"/>
          <w:lang w:bidi="ar-SA"/>
        </w:rPr>
        <w:t>و إلا فدعوى حلَية سماع الأجانب صوت النائحة مطلقاً حتى مع الريبة و حتى مع تمييز الألفاظ في محل المنع، لأن أيام منى من المعلوم كثرة الناس و اختلاف الأصوات و الغوغاء فيها، فدعوى أن صوت النائحة تُميز الفاظه ممنوعة، كما أن حصول الريبة في صوت النائحة في تلك الأيام من جهة المشغولية و التوجه لأمر الآخرة مشكل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جدي في شرح القواعد في بيان النوح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بأن تذكر صفات كاذبة ليست في الميت، أو تذكر الصفات التي لا يسوغ ذكرها، كأن تصفه بما يرفعه في دنياه و يضعه في أخراه، أو تقضي برفعته و ضعة غيره، أو تأتي بالنوح غير السائغ لسماع الأجانب لو حرمناه، و نهى مفترض الطاعة، أو لكونه على الكفار و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الباطل بمعنى الهذر فالظاهر عدم المنع فيه</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ترى،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أن ذلك من النوح بالباطل فقد عرفت أنه خاص بخصوص الأمرين الأولين، و إن أراد أنه من النوح المحرم و لو لمحرم آخر فلا يختص ذلك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أمثلته لا تنحصر، و الظاهر أنه يريد الأول، لأن المقصود بالبحث إنما هو جواز التكسب و هو مختص بالنوح الجائز، لأن كل نوح ممنوع منه شرعاً لا يجوز التكسب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كما يظهر ذلك من قوله في ما بعد العبارة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فالمدار على المنع الشرعي حتى تكون الأجرة أجرة على الحرام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الفرق بين الإعطاء بعد المقاطعة و بدونها، و بين الدفع مع قصد التبرع</w:t>
      </w:r>
      <w:bookmarkStart w:id="183" w:name="pg2491_24246"/>
    </w:p>
    <w:p>
      <w:pPr>
        <w:pStyle w:val="BookText"/>
        <w:rPr/>
      </w:pPr>
      <w:bookmarkEnd w:id="183"/>
      <w:r>
        <w:rPr>
          <w:rFonts w:ascii="Amiri" w:hAnsi="Amiri" w:eastAsia="Amiri" w:cs="Amiri"/>
          <w:color w:val="111111"/>
          <w:sz w:val="28"/>
          <w:sz w:val="28"/>
          <w:szCs w:val="28"/>
          <w:rtl w:val="true"/>
          <w:lang w:bidi="ar-SA"/>
        </w:rPr>
        <w:t>و بدونه، لأن الظاهر من الأدلة أن جميع ما يتولد من الحرام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أعطاها لا لأجل نوحها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خلطت بين الحق و الباطل حرُمت أيضاً، و لو خلطته بصوت الغناء حرمت أجرتها أيضاً، لظاهر الأخبار و لعدم الانفكاك عن خليط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فالظاهر حرمة النوح بالباطل و حرمة أخذ الأجرة عليه من غير فرق بين النائح و النائحة، كما أنه يجوز بالحق و أخذ الأجرة عليه، فما عن المبسوط من إطلاق حرمة النائحة و حكاية الإجماع على ذلك منزَل على النوح بالباطل خصوصا بعد ما يُحكى عن العلامة في المنتهى من حكاية الإجماع على جواز أخذ الأجرة على النوح بالحق المستلزم لجوازه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ينبغي استثناء النوح الجائز من الغناء، لأنهما حقيقتان مختلفتان و ماهيتان متباينتان، و هل يخفى الفرق بين الأصوات المهيجة للأحزان لفراق الأرحام و الإخوان و بين ما يهيج حرق الأشواق و يضرم النار في قلوب العشاق؟ أين حرقة المحزون من تطريب العاشق المفتون؟ فلو طرق السمع من داخل الدار أو محل بعيد عن الأبصار صوت النداء عرف أنه من الغناء أو العزاء، فبعد التأمل في البين ظهر التباين بين القسمين، بل بعد التأمل بعين الإنصاف يُعلم أن النائح أو النائحة لو مدّا أصواتهما تمام المد، و تجاوزا في الترجيع الحد، و لم يخرجا عن صفة النياحة المعروفة لم يوصفا بصفة الغناء الموصوفة</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3813663_3804643083"/>
      <w:bookmarkStart w:id="185" w:name="_Toc71"/>
      <w:bookmarkEnd w:id="184"/>
      <w:r>
        <w:rPr>
          <w:rtl w:val="true"/>
        </w:rPr>
        <w:t>حفظ كتب الضلال</w:t>
      </w:r>
      <w:bookmarkEnd w:id="185"/>
    </w:p>
    <w:p>
      <w:pPr>
        <w:pStyle w:val="Heading6"/>
        <w:numPr>
          <w:ilvl w:val="5"/>
          <w:numId w:val="1"/>
        </w:numPr>
        <w:rPr/>
      </w:pPr>
      <w:bookmarkStart w:id="186" w:name="__RefHeading___Toc3813665_3804643083"/>
      <w:bookmarkStart w:id="187" w:name="_Toc72"/>
      <w:bookmarkEnd w:id="186"/>
      <w:r>
        <w:rPr>
          <w:rtl w:val="true"/>
        </w:rPr>
        <w:t>اشارة</w:t>
      </w:r>
      <w:bookmarkEnd w:id="1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ما يحرم التكسب به حفظ كتب الضلال الثابت ضلالها بقاطع أو بدليل ظني لا يعذر صاحبه لحرمته، و المراد من حرمة الحفظ وجوب الإتلاف كما صرح به جمع من الأصحاب، و هو إما من جهة استلزام حرمة الحفظ لوجوب الإتلاف أو أنه كناية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حرمة الحفظ بعد حكم العقل بوجوب إتلاف كل ما يكون مثاراً للفساد، ففي الخلاف ممن لا خلاف في الاعتماد عليه و هو العلامة في التذكرة و المنتهى </w:t>
      </w:r>
      <w:r>
        <w:rPr>
          <w:rStyle w:val="FootnoteAnchor"/>
          <w:rtl w:val="true"/>
        </w:rPr>
        <w:footnoteReference w:id="584"/>
      </w:r>
      <w:r>
        <w:rPr>
          <w:rFonts w:ascii="Amiri" w:hAnsi="Amiri" w:eastAsia="Amiri" w:cs="Amiri"/>
          <w:color w:val="111111"/>
          <w:sz w:val="28"/>
          <w:sz w:val="28"/>
          <w:szCs w:val="28"/>
          <w:rtl w:val="true"/>
          <w:lang w:bidi="ar-SA"/>
        </w:rPr>
        <w:t xml:space="preserve">، و قال في محكي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التكسب بحفظ كتب الضلال و كتبه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فقد اتفقت الفتاوى على تحريم نسخها و حفظها إلا ما استثني، فكان الإجماع معلوما إذ لا مخالف و لا متردد، و حيث كانت داخلة تحت الوضع للحرام و تحت ما من شأنه ترتب الفساد عليه وجب إتلافها، كما يجب إتلاف هياكل العبادة المبتدعة بل هي أولى من هياكل العبادة في لزوم الإتلاف، بل يمكن استفادة حرمة حفظها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و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يمكن استفادة ذلك مما دل على وجوب جهاد أهل الضلال و إضعافهم بكل ما يمكن، ضرورة معلومية كون المراد من ذلك تدمير مذهبهم بتدمير أهله، فبالأولى تدمير ما يقتضي قوته، قال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أنها بدعة، فيجب دفعها من باب الأمر بالمعروف و النهي عن المنكر، و يؤيد ذلك أن في ذلك نوع إعانة على الإثم، فقد يحصل منه ميل إليها فيعمل بها، و قد ينبئ حفظها عن الرضا بها و الاعتقاد بما فيها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 و يدل عليه أيضا مواضع من خبر تحف العقول،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منهي عنه مما يُتقرَب به لغير الله، أو يقوى به الكفر إلا في حال الضرورة</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إنما حرَم الصناعة التي هي حرام كلها التي يجي‌ء منها الفساد محضاً</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يكون منه و فيه الفساد</w:t>
      </w:r>
    </w:p>
    <w:p>
      <w:pPr>
        <w:pStyle w:val="BookText"/>
        <w:rPr/>
      </w:pPr>
      <w:r>
        <w:rPr>
          <w:rFonts w:ascii="Amiri" w:hAnsi="Amiri" w:eastAsia="Amiri" w:cs="Amiri"/>
          <w:color w:val="111111"/>
          <w:sz w:val="28"/>
          <w:sz w:val="28"/>
          <w:szCs w:val="28"/>
          <w:rtl w:val="true"/>
          <w:lang w:bidi="ar-SA"/>
        </w:rPr>
        <w:t>و لا يكون فيه شي‌ء من وجوه الصلاح فحرام تعليمه و تعلمه و العمل به و أخذ الأجر عليه و جميع التقلب من جميع وجوه الحركات كلها</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ربما استدل بعض أصحابنا المتأخرين بظاهر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باب ضلال كان عليه مثل وزر من عمل به</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آخر برواية عبد الملك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ابتُليت بهذا العلم و أريد الحاجة، فإذا نظرت إلى الطالع و رأيت الطالع شراً جلست و لم أذهب فيها، فإذا رأيت الطالع خيرا ذهبت في الحاجة،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أحرق كتبك</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بناءً على أن الأمر للوجوب دون الإرشاد، للخلاص من الابتلاء بالحكم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وجوب الإتلاف بين الأمن من ترتب الضلال عليها و الفساد و الاطلاع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المفهوم من الأدلة أن الشارع يريد إتلافها و عدم وجودها في الخارج، لأنها موضوعة للفساد، نظير هياكل العبادة المبتدعة، فكما أن تلك يجب إتلافها و إن شك في ترتب الفساد عليها أو ظن بعدمه أو قطع فكذلك هذه، بل هذه أولى بلزوم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المعاصرين من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الاستفصال في هذه الرواية أنه إذا لم يترتب على بقاء كتب الضلال مفسدة لم يحرم، و هذا أيضاً مقتضى ما تقدم من إناطة التحريم بما يخشى منه الفساد محضا</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و يريد بالرواية رواية عبد الملك بن أعين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ما لا يخفى،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يستفصل في رواية ابن أعين، و إنما أنكر عليه القضاء مع كون ذلك من الباطل، و فرق بين ذلك و بين الاستفصال كما لا يخفى، و في رواية تحف العقول لم ينط التحريم بما يخشى منه الفساد، و إنما أناطه بما يجي‌ء منها الفساد محضاً، أي أنها لا يجي‌ء منها الصلاح، بمعنى أنها وضعت للفساد</w:t>
      </w:r>
    </w:p>
    <w:p>
      <w:pPr>
        <w:pStyle w:val="BookText"/>
        <w:rPr/>
      </w:pPr>
      <w:r>
        <w:rPr>
          <w:rFonts w:ascii="Amiri" w:hAnsi="Amiri" w:eastAsia="Amiri" w:cs="Amiri"/>
          <w:color w:val="111111"/>
          <w:sz w:val="28"/>
          <w:sz w:val="28"/>
          <w:szCs w:val="28"/>
          <w:rtl w:val="true"/>
          <w:lang w:bidi="ar-SA"/>
        </w:rPr>
        <w:t xml:space="preserve">كما لا يخفى أيضاً، و يشعر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فيه شي‌ء من وجوه الصلاح</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على أن معقد نفي الخلاف مطلق كما سمعت، على أن المفهوم من الأدلة في هذا الباب و في باب ما قصد منه المحرم أن الشارع لا يريد بقاء ما وضع على الفساد، حصل منه الفساد أو لا، ثمّ قال بعد الكلام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المصلحة الموهومة أو المحققة النادرة لا اعتبار بها، فلا يجوز الإبقاء بمجرد احتمال ترتب مصلحة على ذلك، مع كون الغالب ترتب مفسدة، و كذلك المصلحة النادرة غير المعتد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ذلك أن حفظ كتب الضلال لا يحرم إلا من حيث ترتب مفسدة الضلالة قطعا أو احتمالا قريبا، فإن لم يكن كذلك أو كانت المفسدة المحققة معارضة بمصلحة أقوى، أو عارضت المفسدة المتوقعة مصلحة أقوى أو أقرب وقوعا منها، فلا دليل على الحرمة إلا أن يثبت إجماع، أو يُلتزم بإطلاق عنوان نفي الخلاف الذي لا يقصر عن نقل الإجماع</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أن ظاهر الأدلة وجوب إتلافها و عدم جواز إبقائها كما عرفت نظير ذلك في هياكل العبادة المبتدعة حتى صار ذلك أصلًا، فكل مقام دل الدليل فيه على جواز الإبقاء لمصلحة حكمنا به كمصلحة النقض، و كل مقام لم يدل دليل فيه على جواز الإبقاء لم نحكم به و إن كانت هناك مصلحة، هذا مضافا إلى إطلاق عنوان نفي الخلاف 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جواز الإبقاء و الإمساك و براءة الذمة من وجوب الإتلاف و القدر المتيقّن من الأدلة ما لا مصلحة فيه مما يترتب عليه مفسدة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إلى القهقرى، ضرورة انقطاع ذلك الأصل بظاهر الأدلة الدالة على وجوب الإتلاف و صيرورة وجوب الإتلاف أصلا جديدا فتبصَر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وجوب إتلافها كفائي لا يختص بالمالك، و لا يتوقف على إذنه، فإن لم يكن عزل الضلال منها ممكنا أتلف الجميع و لا ضمان، و إن أمكن عزله اكتفى بعزله، و لو أتلفه فسرى التلف إلى غيره في صورة إمكان إتلافه وحده فالظاهر</w:t>
      </w:r>
      <w:bookmarkStart w:id="188" w:name="pg2491_24250"/>
    </w:p>
    <w:p>
      <w:pPr>
        <w:pStyle w:val="BookText"/>
        <w:rPr/>
      </w:pPr>
      <w:bookmarkEnd w:id="188"/>
      <w:r>
        <w:rPr>
          <w:rFonts w:ascii="Amiri" w:hAnsi="Amiri" w:eastAsia="Amiri" w:cs="Amiri"/>
          <w:color w:val="111111"/>
          <w:sz w:val="28"/>
          <w:sz w:val="28"/>
          <w:szCs w:val="28"/>
          <w:rtl w:val="true"/>
          <w:lang w:bidi="ar-SA"/>
        </w:rPr>
        <w:t>الضمان، و هل يجب على المتلف مراعاة الأقرب فالأقرب إلى بقاء المادة أو لا، بل هو مخير؟ وجهان أوجههما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كل كتاب اشتمل على قدح بمؤمن أو أذية لمسلم</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يعني يكون حكمه حكم كتب الضلال في وجوب الإتلاف، و هو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بد من بيان المراد بكتب الضلال في لسان الأصحاب، فأقول و بالله المستعان و عليه التكلان</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3813667_3804643083"/>
      <w:bookmarkStart w:id="190" w:name="_Toc73"/>
      <w:bookmarkEnd w:id="189"/>
      <w:r>
        <w:rPr>
          <w:rtl w:val="true"/>
        </w:rPr>
        <w:t>بيان معنى كتب الضلال</w:t>
      </w:r>
      <w:bookmarkEnd w:id="190"/>
    </w:p>
    <w:p>
      <w:pPr>
        <w:pStyle w:val="BookText"/>
        <w:rPr/>
      </w:pPr>
      <w:r>
        <w:rPr>
          <w:rFonts w:ascii="Amiri" w:hAnsi="Amiri" w:eastAsia="Amiri" w:cs="Amiri"/>
          <w:color w:val="111111"/>
          <w:sz w:val="28"/>
          <w:sz w:val="28"/>
          <w:szCs w:val="28"/>
          <w:rtl w:val="true"/>
          <w:lang w:bidi="ar-SA"/>
        </w:rPr>
        <w:t>صرح غير واحد من أهل اللغة بأن الضلال يكون بمعنى الباطل، و الظاهر أن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و على ذلك تكون الإضافة بيانية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هي الضلال أي الباطل، و المراد من الباطل ما كان باطلا في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كتب في الضلال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 المرادُ من الكتاب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غير واحد من أهل اللغة بأن الضلال ضد الهدى و الرشاد، 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فتكون الإضافة بمعنى اللام، و يحتمل حينئذ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بكتب الضلال الكتب التي وضعت للضلال و إن لم تسببه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توجب الضلال و تسببه و إن لم تكن وضعت له، و تكون الإضافة من إضافة السبب إلى المسبب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سبيل إلى إرادة الأول؛ لأصالة جواز الإمساك و أصالة براءة الذمة من وجوب الإتلاف؛ و لأن القدر المتيقّن من معقد نفي الخلاف ما كان موجبا للضلال بالفعل أو بالقوة، و لا أقل من الشك في شمول معقد نفي الخلاف لغيره، فيبقى على عموم حكم الأصل، خصوصا بعد الالتفات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منهيّ عنه في ما يُتقرَب به لغير الله و يقوى به الكفر و الشرك من جميع وجوه</w:t>
      </w:r>
    </w:p>
    <w:p>
      <w:pPr>
        <w:pStyle w:val="BookText"/>
        <w:rPr/>
      </w:pPr>
      <w:r>
        <w:rPr>
          <w:rFonts w:ascii="Amiri" w:hAnsi="Amiri" w:eastAsia="Amiri" w:cs="Amiri"/>
          <w:color w:val="111111"/>
          <w:sz w:val="28"/>
          <w:sz w:val="28"/>
          <w:szCs w:val="28"/>
          <w:rtl w:val="true"/>
          <w:lang w:bidi="ar-SA"/>
        </w:rPr>
        <w:t>المعاصي، أو باب يوهن به الحق فهو حرام محرم بيعه و شراؤه و إمساكه و ملكه وهبته و عاريته و جميع التقلب فيه</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إلا في حال تدعو الضرورة فيه إلى ذلك،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الصناعة التي هي حرام كلها، التي يجي‌ء منها الفساد محضاً</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و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يكون منه و فيه الفساد محضا و لا يكون منه و لا فيه شي‌ء من وجوه الصلاح فحرام</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و لا شك أن ما يكون باطلا في نفسه لا يقوَي الكفر و الشرك و لا يوهن الحق، و لا يجي‌ء منه الفساد محضا كما هو المفروض، بل ما نشاهده من السيرة القطعية من العلماء من استعمال مقامات الحريري و الكتاب المعروف بكليلة و دمنة مما يمنع من إرادة هذا المعنى؛ لأنها من الأباطيل الصرف كما لا يخفى على من مارسها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ما كان من الكتب جامعا للباطل في نفسه من دون أن يترتب عليه ضلالة لا يجب إتلافه؛ لأنه من الأشياء المتموَلة التي تقابل بالمال، بل لا يجوز إتلافه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بعض كتب أصحابنا من أنه لا يدخل تحت الأموال فلا يقابل بالمال لعدم المنفعة المحللة المقصودة، فيه مضافا إلى آيتي لهو الحديث و قول الزور </w:t>
      </w:r>
      <w:r>
        <w:rPr>
          <w:rStyle w:val="FootnoteAnchor"/>
          <w:rtl w:val="true"/>
        </w:rPr>
        <w:footnoteReference w:id="603"/>
      </w:r>
      <w:r>
        <w:rPr>
          <w:rFonts w:ascii="Amiri" w:hAnsi="Amiri" w:eastAsia="Amiri" w:cs="Amiri"/>
          <w:color w:val="111111"/>
          <w:sz w:val="28"/>
          <w:sz w:val="28"/>
          <w:szCs w:val="28"/>
          <w:rtl w:val="true"/>
          <w:lang w:bidi="ar-SA"/>
        </w:rPr>
        <w:t xml:space="preserve">فيه ما لا يخفى؛ لأن الانتفاع به قد يكون بالانتقال من الباطل إلى مطلب صحيح، و بعد فرض جواز إمساكه و عدم وجوب إتلاف منافعه لا تحصى و كلها منافع مقصودة محللة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الاستناد إلى الآيتين فقد عرفت أنهما مفسّرتين بالغناء في صحيح الأخبار، فلا وجه للاستدلال بهما بعدُ، كما لا سبيل لإرادة المعنى الثاني؛ لأن ما وضع للضلال قد يكون مسببا للهدى، فلا وجه للقول بوجوب إتلافه و حرمة حفظه، مضافا إلى ما عرفت من أن ظاهر الأدلة لا يقتضيه، و الحكم على خلاف الأصل، فيقتصر فيه على القدر المتيقن، فليس إلا إرادة المعنى الثالث، و هو ما كان</w:t>
      </w:r>
    </w:p>
    <w:p>
      <w:pPr>
        <w:pStyle w:val="BookText"/>
        <w:rPr/>
      </w:pPr>
      <w:r>
        <w:rPr>
          <w:rFonts w:ascii="Amiri" w:hAnsi="Amiri" w:eastAsia="Amiri" w:cs="Amiri"/>
          <w:color w:val="111111"/>
          <w:sz w:val="28"/>
          <w:sz w:val="28"/>
          <w:szCs w:val="28"/>
          <w:rtl w:val="true"/>
          <w:lang w:bidi="ar-SA"/>
        </w:rPr>
        <w:t>مسببا للضلال و موجبا له، إما بالفعل أو بالقوة، سواء كان موضوعا للضلال أم لا، بل يدخل في ذلك ما كان موضوعا للحق كبعض الكتب التي ظواهرها منكرة، و يدَعون أن المراد منها غير ظاهرها كبعض كتب العرفاء و الحكماء و المتصوفة و الكشفية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ذكرناه هو مراد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القواعد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المراد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وضعت للاستدلال على تقوية الضلال يجب إتلافها فضلا عن غيره من نُسَخ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تقوت بها كلمة الكفر الإسلامي أو الإيماني أو خلاف الشرعي الفرعي الثابت بالدليل القطعي</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لظهور العبارة المذكورة في ما كانت سببا للقوة كما لا يخفى على المنصف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بعد الاطلاع على الأدلة المذكورة بين ما كان كله ضلالًا أو بعضه، فيجب إتلاف البعض الضلالي، حتى لو توقف إتلافه على إتلاف الكل وجب و 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لك ما في كلام بعض الأصحاب حيث استظهر من الأصحاب كون المراد بكتب الضلال ما كان كلها ضلالًا حتى ادّعى الاجماع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 إفراد الحق عن الضلال غير مستحسن و ليس من عادة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تقتضيه حقيقة اللفظ من دون تجوّز و هو معقد الإجماع و مصب الفتاوى</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فإن أوّلوا حكاية الإجماع على وجوب إتلاف ما كان كله ضلالًا فمسلّم، و لا ينافي وجوب إتلاف البعض الضلالي في ما كان بعضها ضلالًا، و إن أرادا حكاية الإجماع على عدم وجوب إتلاف البعض الضلالي فممنوع؛ لأن الوجوب ظاهرُ جمعٍ و صريحُ آخرين كما لا يخفى على المتتبّع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الضلال الذي يجب محوه و إتلافه على 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ضرورة المذهب على خلافه فلا يوجب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صاحب الحدائق في المسألة حيث افترى على الأصحاب بأنهم اتبعوا الشافعي في تدوين علم الأصول استحساناً و طوّل في ذلك غاية التطويل، و ملأ الصحف من الأباطيل، و من أراد الوقوف على</w:t>
      </w:r>
      <w:bookmarkStart w:id="191" w:name="pg2491_24253"/>
    </w:p>
    <w:p>
      <w:pPr>
        <w:pStyle w:val="BookText"/>
        <w:rPr/>
      </w:pPr>
      <w:bookmarkEnd w:id="191"/>
      <w:r>
        <w:rPr>
          <w:rFonts w:ascii="Amiri" w:hAnsi="Amiri" w:eastAsia="Amiri" w:cs="Amiri"/>
          <w:color w:val="111111"/>
          <w:sz w:val="28"/>
          <w:sz w:val="28"/>
          <w:szCs w:val="28"/>
          <w:rtl w:val="true"/>
          <w:lang w:bidi="ar-SA"/>
        </w:rPr>
        <w:t xml:space="preserve">كلامه فليراجع كتاب الحدائق في المقام، فإن له فيها كلاماً تمجّه الأسماع، و لا تقبله الطباع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فقد ظهر لك أن التوراة و الإنجيل ليسا من كتب الضلال سواء قلنا بتحريفهما أم لا؛ لأنهما لا يسببان ضلالًا بعد بداهة نسخهما، كما أن غالب كتب المخالفين و أهل الملل الفاسدة خارجة عن كتب الضلال في هذه الأوقات؛ باعتبار ما وقع من جملة أصحابنا من نقضها و فسادها، فلا تسبب ضلالًا بعدُ بل هي كالتالفة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يعلم حال كتب الفقهاء و المحدّثين و اللغويين و المفسرين من المخالفين، فإن كل ما كان موجبا للضلال بالفعل أو بالقوة يجب محوه و إتلافه، و ما لا يكون كذلك لا يجب، بل لا يجوز إذا كانت فيه منفعة محللة مقصودة، بل لا يجوز و إن لم تكن؛ لأنه من الأموال و 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يجوز إمساك الكتب المذكورة إلا للنقض عليها؛ لأنه أعظم نفعاً من الإتلاف؛ لأن إتلاف بعض آحادها لا يقضي برفع فسادها؛ و لأن إتلاف كلها إنما يحصل بإبطالها من أصلها، و لأن الجهاد بالأقلام أعظم نفعاً من الجهاد بالسهام، و حيث كان غرض الشارع فيها الإبطال كان الأقوى في حصوله الرد بطرق الاستدلال، و لا يجوز إمساكها لغير ما ذكر؛ لأن المستفاد من الأدلة الشرعية وجوب إتلافها فوراً، و عدم جواز إبقائها آناً واحداً، فما دل الدليل على الإمساك و الإبقاء له حكمنا به، و في ما عداه فيرجع إلى القانون الشرعي</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3813669_3804643083"/>
      <w:bookmarkStart w:id="193" w:name="_Toc74"/>
      <w:bookmarkEnd w:id="192"/>
      <w:r>
        <w:rPr>
          <w:rtl w:val="true"/>
        </w:rPr>
        <w:t>هجاء المؤمنين</w:t>
      </w:r>
      <w:bookmarkEnd w:id="19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ما يحرم التكسب به هجاء المؤمنين، و هو مشترك لفظي بين الذم في الشعر و النثر و بين الذم في </w:t>
      </w:r>
      <w:r>
        <w:rPr>
          <w:rStyle w:val="FootnoteAnchor"/>
          <w:rtl w:val="true"/>
        </w:rPr>
        <w:footnoteReference w:id="608"/>
      </w:r>
      <w:r>
        <w:rPr>
          <w:rFonts w:ascii="IRNazanin" w:hAnsi="IRNazanin" w:eastAsia="IRNazanin"/>
          <w:color w:val="111111"/>
          <w:sz w:val="28"/>
          <w:sz w:val="28"/>
          <w:szCs w:val="28"/>
          <w:rtl w:val="true"/>
          <w:lang w:bidi="fa-IR"/>
        </w:rPr>
        <w:t xml:space="preserve">فعن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الهجاء خلاف المدح</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و هو عام</w:t>
      </w:r>
    </w:p>
    <w:p>
      <w:pPr>
        <w:pStyle w:val="BookText"/>
        <w:rPr/>
      </w:pPr>
      <w:r>
        <w:rPr>
          <w:rFonts w:ascii="Amiri" w:hAnsi="Amiri" w:eastAsia="Amiri" w:cs="Amiri"/>
          <w:color w:val="111111"/>
          <w:sz w:val="28"/>
          <w:sz w:val="28"/>
          <w:szCs w:val="28"/>
          <w:rtl w:val="true"/>
          <w:lang w:bidi="ar-SA"/>
        </w:rPr>
        <w:t xml:space="preserve">للشعر و غيره، و عن ظاهر القاموس و النهاية و المصباح </w:t>
      </w:r>
      <w:r>
        <w:rPr>
          <w:rStyle w:val="FootnoteAnchor"/>
          <w:rtl w:val="true"/>
        </w:rPr>
        <w:footnoteReference w:id="610"/>
      </w:r>
      <w:r>
        <w:rPr>
          <w:rFonts w:ascii="Amiri" w:hAnsi="Amiri" w:eastAsia="Amiri" w:cs="Amiri"/>
          <w:color w:val="111111"/>
          <w:sz w:val="28"/>
          <w:sz w:val="28"/>
          <w:szCs w:val="28"/>
          <w:rtl w:val="true"/>
          <w:lang w:bidi="ar-SA"/>
        </w:rPr>
        <w:t>، اختصاصه بالشعر، و دعوى أنه متحد المعنى، و هو الذم بالشعر خاصة لحمل المطلق على المقيد في كلام أهل اللغة وهمٌ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حكم ذلك تعارض الإطلاق و التقييد في الأخبار، و الفرق بينه و بين المقام واضح؛ لأن حمل المطلق على المقيد فرع كون المطلق غير نافلٍ لقيد، و ذلك إنما يكون في مقام الحكم، و أما في مقام التعريف فالظاهر أن المطلق مقيد بالعدم، و مع ذلك كيف يكون مطلقاً؛ لأن من يقول في مقام التعريف أن الهجاء خلاف المدح يريد أنه هذا لا غير، فكيف يكون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قلتم إن من اقتصر من أهل اللغة على المعنى الواحد للفظ لا يكون نافيا لما عداه فلا يعارض من ذكر معنيين أو أكثر لاحتمال عدم اطلاعه على غير ذلك المعنى، فلعل المطلق لم يطّلع على القيد فلا يكون نافياً له، فلا يعارض من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تعداد المعاني مسلّم؛ لأن كلامهم بذكر ما اطلع عليه من المعاني و لا ينفي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بيان المعنى فالظاهر أن كل من تعرض له ذكر تمام معناه، فيكون المطلق نافيا للقيد و المقيِّد مثبتا له، و ليس ذلك من تعارض النافي و المثبت؛ لأن النافي يدّعي أن المطلق تمام المعنى، فهو مثبت أيضاً، فلا يُقدّم قول المقيِّد من حيث النفي و الإثبات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تعبير أهل اللغة بالأعم كثير غالب، فيكون ذكر الأخص قرينة على إرادته من الأعم، و هذا معنى حمل المطلق على المقيد في كلام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التعبير بالأعم غالب كثير، كذلك التعبير بالأخص كثير غالب في كلامهم، فلِمَ لا تَجعل ذكر الأعم قرينة على إرادته من الأخص، فترجيح أحدهما على الآخر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نقول أن مبنى حمل المطلق على المقيد فَهمُ العرف، و ذلك إنما يكون في كلام المتكلم الواحد أو ما هو بحكمه، من قبيل كلام الله و رسوله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لاطلاع كل واحد منهم على كلام الآخر و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يدور مدار الحكم الواحد و المراد الواحد، و أما في مثل كلام المصنفين و المؤلفين المتعددين فهو من الأوهام الغريبة، بل ربما نمنع ذلك في كلام المصنف الواحد، و لا نحمل المطلق فيه على المقيد، بل نجعل الثاني عدولًا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مبنى التقييد العلم باتحاد التكليف، و مع إمكان كونهما تكليفين لا وجه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هنا احتمال الوضع للمطلق و المقيد قائم، بل ظاهر كلام الناقلين ذلك، فحمل إطلاق كلام أحدهما على الآخر مما لا وجه له، فمقتضى ما ذكرناه و قررناه الحكم بكونهما معاً معينين؛ لأنهما ناقلان عن الوضع و لا معارض لشي‌ء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دعوى كون الهجاء متحد المعنى عرفاً؛ لصيرورته حقيقة عرفية في خصوص الذم بالشعر، كما أنه يمكن منع دعوى إرادة صاحب الصحاح </w:t>
      </w:r>
      <w:r>
        <w:rPr>
          <w:rStyle w:val="FootnoteAnchor"/>
          <w:rtl w:val="true"/>
        </w:rPr>
        <w:footnoteReference w:id="611"/>
      </w:r>
      <w:r>
        <w:rPr>
          <w:rFonts w:ascii="Amiri" w:hAnsi="Amiri" w:eastAsia="Amiri" w:cs="Amiri"/>
          <w:color w:val="111111"/>
          <w:sz w:val="28"/>
          <w:sz w:val="28"/>
          <w:szCs w:val="28"/>
          <w:rtl w:val="true"/>
          <w:lang w:bidi="ar-SA"/>
        </w:rPr>
        <w:t>التعريف حتى يتجه الكلام السابق، و إنما غرضه إيكاله إلى العرف، و المفروض أنه في العرف الذم بالشعر، فيكون لغة و عرفا متحد المعنى، و هو الذم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فمن العجيب ما حكاه بعض من تأخر من أصحابنا عن جامع المقاصد من أن الهجاء هو ما ذكر في الإنسان من المعايب بالشعر </w:t>
      </w:r>
      <w:r>
        <w:rPr>
          <w:rStyle w:val="FootnoteAnchor"/>
          <w:rtl w:val="true"/>
        </w:rPr>
        <w:footnoteReference w:id="612"/>
      </w:r>
      <w:r>
        <w:rPr>
          <w:rFonts w:ascii="Amiri" w:hAnsi="Amiri" w:eastAsia="Amiri" w:cs="Amiri"/>
          <w:color w:val="111111"/>
          <w:sz w:val="28"/>
          <w:sz w:val="28"/>
          <w:szCs w:val="28"/>
          <w:rtl w:val="true"/>
          <w:lang w:bidi="ar-SA"/>
        </w:rPr>
        <w:t>لأن ذلك لا يساعده عليه كلام أهل اللغة و لا العرف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الهجاء هو ذم الإنسان بما هو فيه من المعايب بالشعر، فإن جعلنا الغيبة ذكر الإنسان بما هو فيه أيضا كان بينهما عموم و خصوص مطلق، و العموم في جانب الغيبة، و إن عممناه لما هو فيه و لغيره في الشعر و عممنا الغيبة كذلك كان أيضا بينهما عموم و خصوص مطلق، و العموم في جانب الغيبة، و إن خصصنا الغيبة بما فيه، و عممنا الهجاء و خصصناه في الشعر كان بينهما عموم و خصوص من وجه، و إن عممناه للشعر و النثر، لما هو فيه و لغيره كانا متساويين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فإفراده بالبحث عن الغيبة؛ لأنه أشد تحريما لدوامه و حفظه و استمراره، و يدل على تحريم ذم المؤمن نثراً أو نظماً بما هو فيه و بغيره ما دل على حرمة إيذاء المؤمن و ظلمه و هتك حرمته و إدخال النقص عليه و محبة شياع الفاحشة</w:t>
      </w:r>
    </w:p>
    <w:p>
      <w:pPr>
        <w:pStyle w:val="BookText"/>
        <w:rPr/>
      </w:pPr>
      <w:r>
        <w:rPr>
          <w:rFonts w:ascii="Amiri" w:hAnsi="Amiri" w:eastAsia="Amiri" w:cs="Amiri"/>
          <w:color w:val="111111"/>
          <w:sz w:val="28"/>
          <w:sz w:val="28"/>
          <w:szCs w:val="28"/>
          <w:rtl w:val="true"/>
          <w:lang w:bidi="ar-SA"/>
        </w:rPr>
        <w:t xml:space="preserve">فيه و اغتيابه و الغمز عليه، و على أن ماله و دمه و عرضه محرمة، و يدل على حرمة هجائه بالخصوص الإجماع المنقول عن المنتهى و كشف اللثام </w:t>
      </w:r>
      <w:r>
        <w:rPr>
          <w:rStyle w:val="FootnoteAnchor"/>
          <w:rtl w:val="true"/>
        </w:rPr>
        <w:footnoteReference w:id="613"/>
      </w:r>
      <w:r>
        <w:rPr>
          <w:rFonts w:ascii="Amiri" w:hAnsi="Amiri" w:eastAsia="Amiri" w:cs="Amiri"/>
          <w:color w:val="111111"/>
          <w:sz w:val="28"/>
          <w:sz w:val="28"/>
          <w:szCs w:val="28"/>
          <w:rtl w:val="true"/>
          <w:lang w:bidi="ar-SA"/>
        </w:rPr>
        <w:t xml:space="preserve">، و نفي الخلاف عن التذكرة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حرمة الهجاء بين عدول المسلمين و فسّاقهم المتجاهرين و غيرهم؛ لعموم الكتاب و السنة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الشهيد في حواشي القواعد جواز هجاء الفاسق المتظاهر، و ربما استند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محّصوا ذنوبكم بغيبة الفاسقين</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 قال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أنه قد يُفرّق بين الهجاء و الغيبة ببنائه على الدوام و الاستمرار دونها، فالإذن فيها لا يقتضي الإذن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بناءه على الدوام و الاستمرار أخرجه عن موضوع الغيبة و صيّره قسيما لها لاعتبار عدم الاستمرار و الدوام في الغيبة فهو ممنوع، و إن أراد أنه و إن كان منها لا يدل الحديث على جوازه 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 المتأخرين من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لا يقتضي جواز الهجاء بعد فرض اختصاصه بالشعر</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ضرورة أن اختصاصه بالشعر صيّره أخص مطلقا، و ما يدل على جواز الأعم يدل على جواز الأخص كما لا يخفى، فلا بد من تنزيل الحديث على خصوص المتجاهر، و القول بجواز هجوه أو تنزيله على الخارج عن الإيمان كما حمله على ذلك بعض المعاصرين، قال بعض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التعارض من وجه بناء على أن الهجاء أعم من الغيبة بعد فرض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دفعها بترجيح دليل الحرمة باعتضاده بما عرفت</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أنا لو قلنا أن الهجاء هو وصف الإنسان بما ينقصه في الشعر سواء كانت الصفات فيه أو لا، و الغيبة هي وصفه بما هو فيه في الشعر و في غيره يكون التعارض</w:t>
      </w:r>
    </w:p>
    <w:p>
      <w:pPr>
        <w:pStyle w:val="BookText"/>
        <w:rPr/>
      </w:pPr>
      <w:r>
        <w:rPr>
          <w:rFonts w:ascii="Amiri" w:hAnsi="Amiri" w:eastAsia="Amiri" w:cs="Amiri"/>
          <w:color w:val="111111"/>
          <w:sz w:val="28"/>
          <w:sz w:val="28"/>
          <w:szCs w:val="28"/>
          <w:rtl w:val="true"/>
          <w:lang w:bidi="ar-SA"/>
        </w:rPr>
        <w:t>بين ما دل على جواز الغيبة و ما دل على حرمة الهجو عموم من وجه؛ لأن ما دل على جواز الغيبة يدل على جواز وصفه بما هو فيه في الشعر، و ما دل على حرمة الهجو يدل على حرمة وصفه بما هو فيه في الشعر، و لكن الترجيح لأدلة حرمة الهجو لاعتضادها بما دل على حرمة ظلم المؤمن و إيذائه و هتك حرمته و غير ذلك مما عرفت من الأدلة أقوى، و دعوى أن الترجيح لدليل الحرمة مشكل بعد الالتفات إلى الأخبار المستفيضة التي أسقطت حرمة الفاسق المتجاهر بالفسق، كخبر هارون 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ليس لهم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الفاسق المعلن بفسقه</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أبي يعفور بعد تعريف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الدليل على ذلك أن يكون ساتراً لعيوبه حتى يحرم على المسلمين تفتيش ما وراء ذلك</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إلى غير ذلك من الأخبار التي ستمر عليك إن شاء الله، في مستثنيات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الالتفات إليها يشكل القول بترجيح دليل الحرمة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لم ينعقد الإجماع على حرمة هجو الفاسق المتجاهر بالفسق، فالقول بجواز هجوه لا 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هجو الفاسق غير المتجاهر فالظاهر جوازه إذا توقف ردع الفاسق عن فسقه عليه، بل يمكن القول بوجوبه لدخوله في مراتب النهي عن المنكر، كما قد يجب لو توقف عليه دفع الضرر عن الهاجي أو المهجو بدنا أو مالًا أو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لمصلحة عظيمة أو دفع مفسدة عن المهجو دنيوية كدفع الهلكة عن نفسه، أو المؤاخذة بعد الحلول في رمسه، بالنهي عن الفساد حسن و لو بالهجو على رءوس الأشهاد</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في ذلك تحكيم أدلة النهي عن المنكر على أدلة حرمة الهجو، و هو على إطلاقه مشكل، خصوصاً بالنسبة إلى بعض المحرمات، فينبغي</w:t>
      </w:r>
      <w:bookmarkStart w:id="194" w:name="pg2491_24258"/>
    </w:p>
    <w:p>
      <w:pPr>
        <w:pStyle w:val="BookText"/>
        <w:rPr/>
      </w:pPr>
      <w:bookmarkEnd w:id="194"/>
      <w:r>
        <w:rPr>
          <w:rFonts w:ascii="Amiri" w:hAnsi="Amiri" w:eastAsia="Amiri" w:cs="Amiri"/>
          <w:color w:val="111111"/>
          <w:sz w:val="28"/>
          <w:sz w:val="28"/>
          <w:szCs w:val="28"/>
          <w:rtl w:val="true"/>
          <w:lang w:bidi="ar-SA"/>
        </w:rPr>
        <w:t>للفقيه النبيه أن يكون في مثل هذه المقامات مراعيا للميزان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تجويزه مع خوف الضرر على الهاجي و المهجو مطلقاً، بل ينبغي أن يراعي الميزان في المقامات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بالنسبة إلى الخوف على النفس هو جائز مطلقاً، كما ينبغي مراعاة المحرمات و أنواع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مراعاة حال المهجو و الهاجي و الهجاء لاختلاف شدة الإثم و ضعفه، حتى أنه قال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الشعر أجود كان الوزر أشد، كما أن مسجَع النثر و أفصحه أشد إثما من غيره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تجوز المقاصّة في الهجاء لتعلق الحقّين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و حق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 هجو المؤمن في ديوانه وجب عليه كفايةً محوه و وجب على الناس ردعه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بالنظر إلى هجاء المؤمنين، و أما بالنظر إلى المشركين فلا كلام و لا خلاف في جواز هجوهم، كما لا كلام في جواز لعنهم و سبهم و شتمهم ما لم يكن قذفا مع عدم شرائطه أو فحشاً، و قد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حساناً بهجوهم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أشد عليهم من رشق النبال</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و لو رجعوا عن عقيدتهم أو تاب الفاسق المتجاهر على تقدير جواز هجوه و كان قد كتب لزم محوه إن أوجبنا محو هجو المؤمن، و الظاهر إلحاق المخالفين بالمشركين لعدم الفرق بين الكفر الإسلامي و الإيماني، بل لعل هجاءهم على رءوس الأشهاد من أفضل عبادة العُبّاد ما لم تمنع من ذلك التقية</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3813671_3804643083"/>
      <w:bookmarkStart w:id="196" w:name="_Toc75"/>
      <w:bookmarkEnd w:id="195"/>
      <w:r>
        <w:rPr>
          <w:rtl w:val="true"/>
        </w:rPr>
        <w:t>الغيبة</w:t>
      </w:r>
      <w:bookmarkEnd w:id="196"/>
    </w:p>
    <w:p>
      <w:pPr>
        <w:pStyle w:val="Heading6"/>
        <w:numPr>
          <w:ilvl w:val="5"/>
          <w:numId w:val="1"/>
        </w:numPr>
        <w:rPr/>
      </w:pPr>
      <w:bookmarkStart w:id="197" w:name="__RefHeading___Toc3813673_3804643083"/>
      <w:bookmarkStart w:id="198" w:name="_Toc76"/>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و من جملة ما يحرم التكسب به الغيبة، و حرمتها و حرمة الاكتساب بها من الضروريات، و هي و إن لم يكن لذكرها في ما يحرم التكسب به فريد مناسبة؛ لأنها ليست مما يتعارف الاكتساب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الكذب و أضرابهما، و لكن حيث جرى ديدن الأصحاب بذكر هذه المحرمات في هذا الباب، فينبغي أن نقتفي أثرهم و نسلك جادتهم، فنقول</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3813675_3804643083"/>
      <w:bookmarkStart w:id="200" w:name="_Toc77"/>
      <w:bookmarkEnd w:id="199"/>
      <w:r>
        <w:rPr>
          <w:rtl w:val="true"/>
        </w:rPr>
        <w:t>يقع الكلام في الغيبة في مقامات</w:t>
      </w:r>
      <w:r>
        <w:rPr>
          <w:rtl w:val="true"/>
        </w:rPr>
        <w:t>:</w:t>
      </w:r>
      <w:bookmarkEnd w:id="20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1" w:name="__RefHeading___Toc3813677_3804643083"/>
      <w:bookmarkStart w:id="202" w:name="_Toc78"/>
      <w:bookmarkEnd w:id="201"/>
      <w:r>
        <w:rPr>
          <w:rtl w:val="true"/>
        </w:rPr>
        <w:t>اشارة</w:t>
      </w:r>
      <w:bookmarkStart w:id="203" w:name="pg2491_24259"/>
      <w:bookmarkEnd w:id="202"/>
    </w:p>
    <w:p>
      <w:pPr>
        <w:pStyle w:val="Heading6"/>
        <w:numPr>
          <w:ilvl w:val="5"/>
          <w:numId w:val="1"/>
        </w:numPr>
        <w:rPr/>
      </w:pPr>
      <w:bookmarkStart w:id="204" w:name="__RefHeading___Toc3813679_3804643083"/>
      <w:bookmarkStart w:id="205" w:name="_Toc79"/>
      <w:bookmarkEnd w:id="203"/>
      <w:bookmarkEnd w:id="204"/>
      <w:r>
        <w:rPr>
          <w:rtl w:val="true"/>
        </w:rPr>
        <w:t>أحدها</w:t>
      </w:r>
      <w:r>
        <w:rPr>
          <w:rtl w:val="true"/>
        </w:rPr>
        <w:t xml:space="preserve">: </w:t>
      </w:r>
      <w:r>
        <w:rPr>
          <w:rtl w:val="true"/>
        </w:rPr>
        <w:t>بيان موضوعها،</w:t>
      </w:r>
      <w:bookmarkEnd w:id="205"/>
    </w:p>
    <w:p>
      <w:pPr>
        <w:pStyle w:val="BookText"/>
        <w:rPr/>
      </w:pPr>
      <w:r>
        <w:rPr>
          <w:rFonts w:ascii="Amiri" w:hAnsi="Amiri" w:eastAsia="Amiri" w:cs="Amiri"/>
          <w:color w:val="111111"/>
          <w:sz w:val="28"/>
          <w:sz w:val="28"/>
          <w:szCs w:val="28"/>
          <w:rtl w:val="true"/>
          <w:lang w:bidi="ar-SA"/>
        </w:rPr>
        <w:t xml:space="preserve">قال في محكي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 ذكره بما فيه من السوء</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 و في محكي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اغتابه إذا ذكره بما يكره من العيوب، و هو حق</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 و قال في محكي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 يتكلم خلف إنسان مستور بما يغمّه لو سمعه، فإن كان صدقا يسمى غيبة، و إن كان كذبا يسمى بهتاناً</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 و مثله ما عن مجمع البحرين </w:t>
      </w:r>
      <w:r>
        <w:rPr>
          <w:rStyle w:val="FootnoteAnchor"/>
          <w:rtl w:val="true"/>
        </w:rPr>
        <w:footnoteReference w:id="628"/>
      </w:r>
      <w:r>
        <w:rPr>
          <w:rFonts w:ascii="Amiri" w:hAnsi="Amiri" w:eastAsia="Amiri" w:cs="Amiri"/>
          <w:color w:val="111111"/>
          <w:sz w:val="28"/>
          <w:sz w:val="28"/>
          <w:szCs w:val="28"/>
          <w:rtl w:val="true"/>
          <w:lang w:bidi="ar-SA"/>
        </w:rPr>
        <w:t xml:space="preserve">حرفا بحرف و في محكي نهاية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 الإنسان في غَيبته بسوء إن كان فيه</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تعريفها في كلام أهل اللغة، و أما تعريفها في الأخبار، فقال في محكي جامع المقاصد و حدّها على ما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في أخيه ما يكرهه لو سمعه </w:t>
      </w:r>
      <w:r>
        <w:rPr>
          <w:rStyle w:val="FootnoteAnchor"/>
          <w:rtl w:val="true"/>
        </w:rPr>
        <w:footnoteReference w:id="630"/>
      </w:r>
      <w:r>
        <w:rPr>
          <w:rFonts w:ascii="Amiri" w:hAnsi="Amiri" w:eastAsia="Amiri" w:cs="Amiri"/>
          <w:color w:val="111111"/>
          <w:sz w:val="28"/>
          <w:sz w:val="28"/>
          <w:szCs w:val="28"/>
          <w:rtl w:val="true"/>
          <w:lang w:bidi="ar-SA"/>
        </w:rPr>
        <w:t xml:space="preserve">، و في المروي عن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فيه ذلك الذي يكره،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أنك إذا ذكرته بما هو فيه فقد اغتبته، و إن ذكرته بما ليس فيه فقد بهتّه</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كلام أهل اللغة أن الغيبة من مقولة الألفاظ، و هو المتبادر من إطلاقها عرفا؛ لأنها قد عُرّفت في كلام أهل اللغة و في الأخبار بالذكر و التكلم و القول، و لا شك أن المنساق من الذكرِ الذكرُ اللفظي، فكل ما لا يكون من مقولة الألفاظ كالإشارة و الكتابة و حكاية الأفعال فليس من الغيبة موضوعا و إن كان منها حكما، بل أعظم منها تحريماً، فإنّ ما يقصد به التهكّم و التفكّه و السخرية و الاستهزاء و إضحاك الناس من الإشارة و حكاية الأفعال أعظم من الغيبة تحريما، و لكنه ليس</w:t>
      </w:r>
    </w:p>
    <w:p>
      <w:pPr>
        <w:pStyle w:val="BookText"/>
        <w:rPr/>
      </w:pPr>
      <w:r>
        <w:rPr>
          <w:rFonts w:ascii="Amiri" w:hAnsi="Amiri" w:eastAsia="Amiri" w:cs="Amiri"/>
          <w:color w:val="111111"/>
          <w:sz w:val="28"/>
          <w:sz w:val="28"/>
          <w:szCs w:val="28"/>
          <w:rtl w:val="true"/>
          <w:lang w:bidi="ar-SA"/>
        </w:rPr>
        <w:t xml:space="preserve">منها موضوعا، لغةً و عرفاً، و إطلاق الغيبة على إشارة عائشة بيدها للمرأة القصيرة في الحديث النبوي من المجاز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فرق في اللفظ بين ما يدل على المكروه صريحا و بين ما يدل عليه كناية و تعريضاً، و لو سلّمنا صدق الغيبة مع إشارة الأخرس أو مع مطلق الإشارة أو مع الكتابة فلا نسلم صدقها مع التحاكي بالأفعال، و لعل من ألحقها بالغيبة أراد الإلحاق الحكمي لا الاسمي و لا ريب فيه، قال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حكم القول الإشارة باليد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الجوارح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التحاكي بفعله أو قوله كمشية الأعرج</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و من هنا يظهر لك ما في كلام بعض من عاصرناه من المتأخرين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رسالة ثاني الشهيدين أنّ في الاصطلاح لها 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و هو ذكر الإنسان حال غَيبته بما يكره نسبته إليه مما يعد نقصانا في العرف بقصد الانتقاص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ما يكره نسبته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من الأول لشمول اللسان و الإشارة و الحكاية و غيرها، و هو أولى لما سيأتي من عدم قصر الغيبة على اللسان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بذلك غيره أيضاً، و يؤيده ما روي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علينا امرأة فلما ولت أومأتُ بيدي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اغتبتِها</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 بل المعلوم أن حرمتها بالقول باعتبار إفادته السامع ما ينقصه و يعيبه، و تفهيمه ذلك، و حينئذ فيعم الحكم كل ما يفيد ذلك من الكتابة التي هي أحد اللسانين، و الحكاية التي هي أبلغ في التفهيم من القول و التعريض و التلويح و غيرها، بل لعل التعريف الأول أيضا كذلك؛ ضرورة إرادة الأعم من القول بالذكر؛ إذ دعوى أنه بمعنى القول واضحة المنع </w:t>
      </w:r>
      <w:r>
        <w:rPr>
          <w:rStyle w:val="FootnoteAnchor"/>
          <w:rtl w:val="true"/>
        </w:rPr>
        <w:footnoteReference w:id="6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كما ترى إن أراد شمول الغيبة لذلك اسماً، لغة أو عرفاً، كما يقضي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منع انسباق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 مما يرده الرجوع إلى العرف، و إن أراد شمولها لذلك حكما كما يقضي بذلك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مما لا بأس به كما عرفت، و يستفاد من كلام أهل اللغة أيضا اعتبار وجود العيب في المغتاب في صدق الغيبة، فإن كان العيب المذكور في المغتاب كان غيبة، و إن لم يكن فيه كان بهتاناً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إطلاق الغيبة عرفا خلاف ذلك، بل هي عرفا ذكر العيب مع وجوده في المغتاب و عدمه، و لا ينافي ذلك ما في خبر مكارم الأخلاق المتقدم </w:t>
      </w:r>
      <w:r>
        <w:rPr>
          <w:rStyle w:val="FootnoteAnchor"/>
          <w:rtl w:val="true"/>
        </w:rPr>
        <w:footnoteReference w:id="636"/>
      </w:r>
      <w:r>
        <w:rPr>
          <w:rFonts w:ascii="Amiri" w:hAnsi="Amiri" w:eastAsia="Amiri" w:cs="Amiri"/>
          <w:color w:val="111111"/>
          <w:sz w:val="28"/>
          <w:sz w:val="28"/>
          <w:szCs w:val="28"/>
          <w:rtl w:val="true"/>
          <w:lang w:bidi="ar-SA"/>
        </w:rPr>
        <w:t xml:space="preserve">، و ما روي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ذكر عنده 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اغتبتم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قلتم ما ليس فيه فقد بهتّموه</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لاحتمال أن يكون المراد من الخبرين أنكم إن قلتم ما فيه فقد اغتبتموه فقط، و إن قلتم ما ليس فيه فقد بهتّموه مع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فالظاهر أن العرف أعم من اللغة في ذلك، و يستفاد من كلام جمع من أهل اللغة اعتبار غَيبة المغتاب في صدق الغيبة، بل هو صريح الصحاح و مجمع البحرين و نهاية ابن الأثير </w:t>
      </w:r>
      <w:r>
        <w:rPr>
          <w:rStyle w:val="FootnoteAnchor"/>
          <w:rtl w:val="true"/>
        </w:rPr>
        <w:footnoteReference w:id="638"/>
      </w:r>
      <w:r>
        <w:rPr>
          <w:rFonts w:ascii="Amiri" w:hAnsi="Amiri" w:eastAsia="Amiri" w:cs="Amiri"/>
          <w:color w:val="111111"/>
          <w:sz w:val="28"/>
          <w:sz w:val="28"/>
          <w:szCs w:val="28"/>
          <w:rtl w:val="true"/>
          <w:lang w:bidi="ar-SA"/>
        </w:rPr>
        <w:t xml:space="preserve">، و هو المنساق من إطلاق الغيبة عرفا و المناسب للفظها، و لم يعتبر ذلك في القاموس و المصباح المنير </w:t>
      </w:r>
      <w:r>
        <w:rPr>
          <w:rStyle w:val="FootnoteAnchor"/>
          <w:rtl w:val="true"/>
        </w:rPr>
        <w:footnoteReference w:id="639"/>
      </w:r>
      <w:r>
        <w:rPr>
          <w:rFonts w:ascii="Amiri" w:hAnsi="Amiri" w:eastAsia="Amiri" w:cs="Amiri"/>
          <w:color w:val="111111"/>
          <w:sz w:val="28"/>
          <w:sz w:val="28"/>
          <w:szCs w:val="28"/>
          <w:rtl w:val="true"/>
          <w:lang w:bidi="ar-SA"/>
        </w:rPr>
        <w:t>، كما سمعت المحكي في عبارتهما، و لعل إطلاقهما منزّل على ذلك، إما إحالة على العرف أو لكونه المفهوم من لفظها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فذكر العيب مع الحضور ليس من الغيبة لغة و عرفاً و إن شارك الغيبة في التحريم بل أشد منها تحريما، و يستفاد من كلام بعض أهل اللغة كالمصباح المنير</w:t>
      </w:r>
    </w:p>
    <w:p>
      <w:pPr>
        <w:pStyle w:val="BookText"/>
        <w:rPr/>
      </w:pPr>
      <w:r>
        <w:rPr>
          <w:rFonts w:ascii="Amiri" w:hAnsi="Amiri" w:eastAsia="Amiri" w:cs="Amiri"/>
          <w:color w:val="111111"/>
          <w:sz w:val="28"/>
          <w:sz w:val="28"/>
          <w:szCs w:val="28"/>
          <w:rtl w:val="true"/>
          <w:lang w:bidi="ar-SA"/>
        </w:rPr>
        <w:t xml:space="preserve">و الصحاح و مجمع البحرين </w:t>
      </w:r>
      <w:r>
        <w:rPr>
          <w:rStyle w:val="FootnoteAnchor"/>
          <w:rtl w:val="true"/>
        </w:rPr>
        <w:footnoteReference w:id="640"/>
      </w:r>
      <w:r>
        <w:rPr>
          <w:rFonts w:ascii="Amiri" w:hAnsi="Amiri" w:eastAsia="Amiri" w:cs="Amiri"/>
          <w:color w:val="111111"/>
          <w:sz w:val="28"/>
          <w:sz w:val="28"/>
          <w:szCs w:val="28"/>
          <w:rtl w:val="true"/>
          <w:lang w:bidi="ar-SA"/>
        </w:rPr>
        <w:t>، اعتبار كراهة المغتاب لو سمع ذلك في صدق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ذلك كناية عن كون المذكور سوءاً، و عليه تتفق كلمات أهل اللغة، و إلا فإرادة الكراهة الفعلية و الغم الفعلي لو سمع مما لا وجه له؛ ضرورة صدق الغيبة على ذكر معايب من لا يبالي فلا يغتم من شي‌ء و لا يكره شيئاً، اللهم إلا أن يريد ما من شأنه أن يكرهه و يغتمّ منه، فيعود إلى كون المذكور سوءاً، و من هنا يُعلم ألا مدار على الكراهة لو لم يكن المذكور سوءا كما لو كره شخص أن يقال في حقه عالم أو جواد، فإن ذلك ليس من الغيبة و إن شاركها في الحكم في بعض المقامات كما لو استلزم أذية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مما يكره ما يكره إظهاره سواء كره وجوده كالبرص و الجذام أو لا كالميل إلى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أريد مما يكره ما يكره وجوده، يشكل الحال في خروج بعض أفراد الغيبة عنها، فإن ذكر من يحب الزنا في الواقع بذلك غيبة قطعا مع أنها تخرج عن الموضوع، و ذلك مما لا يساعد عليه كلام أهل اللغة و لا العرف؛ و لهذا ترى أن صاحب الصحاح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يغمه لو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كراهة الإظهار دون كراهة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ظاهر كلام اللغويين و من قضية العرف اعتبار قصد الانتقاص في مفهوم الغيبة، أ لا ترى قول صاحب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رسالة ثاني الشهيدين إن في الاصطلاح 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و هو ذكر الانسان حال غَيبته بما يكره نسبته إليه مما يعد نقصانا في العرف بقصد الانتقاص و الذم </w:t>
      </w:r>
      <w:r>
        <w:rPr>
          <w:rStyle w:val="FootnoteAnchor"/>
          <w:rtl w:val="true"/>
        </w:rPr>
        <w:footnoteReference w:id="641"/>
      </w:r>
      <w:r>
        <w:rPr>
          <w:rFonts w:ascii="Amiri" w:hAnsi="Amiri" w:eastAsia="Amiri" w:cs="Amiri"/>
          <w:color w:val="111111"/>
          <w:sz w:val="28"/>
          <w:sz w:val="28"/>
          <w:szCs w:val="28"/>
          <w:rtl w:val="true"/>
          <w:lang w:bidi="ar-SA"/>
        </w:rPr>
        <w:t>، فأَخذ قصد الانتقاص و الذم في تعريفها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فيخرج منها موضوعا ما يقصد به دفع الضرر عن المذموم في نفس أو عرض أو مال، و كذا الذم للتقية على الذام، و كذا الهزل و المزح و نحوهما لعدم قصد الانتقاص في جميع ذلك، و لعله من الأول ما وقع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المطعن</w:t>
      </w:r>
    </w:p>
    <w:p>
      <w:pPr>
        <w:pStyle w:val="BookText"/>
        <w:rPr/>
      </w:pPr>
      <w:r>
        <w:rPr>
          <w:rFonts w:ascii="Amiri" w:hAnsi="Amiri" w:eastAsia="Amiri" w:cs="Amiri"/>
          <w:color w:val="111111"/>
          <w:sz w:val="28"/>
          <w:sz w:val="28"/>
          <w:szCs w:val="28"/>
          <w:rtl w:val="true"/>
          <w:lang w:bidi="ar-SA"/>
        </w:rPr>
        <w:t>في زرارة و الهشامين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على ما ذكر يخرج عن الغيبة موضوعا كل ما لا يقصد به انتقاص المستغاب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ظاهر كلام أهل اللغة و من قضية العرف أيضا اعتبار تعيين المستغاب عند السامع في تحقق موضوع الغيبة فمتى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معيناً لم تكن</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غيبةً سواء كان مردداً بين محصور أو غير محصور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 من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يفعلون كذا و كذا</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و يستفاد من عبارة الصحاح اعتبار المستورية في المستغاب به </w:t>
      </w:r>
      <w:r>
        <w:rPr>
          <w:rStyle w:val="FootnoteAnchor"/>
          <w:rtl w:val="true"/>
        </w:rPr>
        <w:footnoteReference w:id="644"/>
      </w:r>
      <w:r>
        <w:rPr>
          <w:rFonts w:ascii="Amiri" w:hAnsi="Amiri" w:eastAsia="Amiri" w:cs="Amiri"/>
          <w:color w:val="111111"/>
          <w:sz w:val="28"/>
          <w:sz w:val="28"/>
          <w:szCs w:val="28"/>
          <w:rtl w:val="true"/>
          <w:lang w:bidi="ar-SA"/>
        </w:rPr>
        <w:t xml:space="preserve">، فمتى لم يكن مستوراً لم تكن غيبة، و تساعده على ذلك الأخبار المستفيضة، منها ما رواه العياشي بسنده عن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في أخيك ما فيه مما قد ستره الله عليه</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و رواية داود بن سرحان المروية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تقول لأخيك في دينه ما لم يفعل، و تبثّ عليه أمرا قد ستره الله عليه لم يُقَم عليه فيه حد</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 و رواية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رجلا من خلفه بما فيه مما عرفه الناس لم يغتبه، و من ذكره من خلفه بما لم يعرفه الناس فقد اغتابه</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و حسَن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تقول في أخيك ما ستره الله عليه</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تكون غيبة المتجاهر بالفسق خارجة عن الموضوع، و لعل المعتبر في الغيبة موضوعا كونها مما ينقص بها المستغاب عرفاً، فكل ما لم تكن كذلك لم تكن غيبة، فخرج عن الغيبة موضوعا غيبة المتجاهر كما عرفت و غيبة المجنون و الصبي غير</w:t>
      </w:r>
      <w:bookmarkStart w:id="206" w:name="pg2491_24264"/>
    </w:p>
    <w:p>
      <w:pPr>
        <w:pStyle w:val="BookText"/>
        <w:rPr/>
      </w:pPr>
      <w:bookmarkEnd w:id="206"/>
      <w:r>
        <w:rPr>
          <w:rFonts w:ascii="Amiri" w:hAnsi="Amiri" w:eastAsia="Amiri" w:cs="Amiri"/>
          <w:color w:val="111111"/>
          <w:sz w:val="28"/>
          <w:sz w:val="28"/>
          <w:szCs w:val="28"/>
          <w:rtl w:val="true"/>
          <w:lang w:bidi="ar-SA"/>
        </w:rPr>
        <w:t>المميز و ما علمه السامع و المتكلم من الأوصاف القبيحة و الغيبة من دون مخاطب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فالغيبة هي ذكر الإنسان الغائب بسوء مع قصد نقصه و حصول النقص و لو عند السامع لاطلاعه على ما لم يعلمه، فجامع القيود المذكورة فهو منها موضوعا، و كل ما لم يجمع القيود المذكورة فليس منها موضوعا و إن شاركها حكما بل كان أشد منها تحريما كما ستعرف ذلك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معناها عرفاً، و العرف هو الميزان مع اختلاف كلام أهل اللغة في التفسير و البيان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حرمة الغيبة</w:t>
      </w:r>
    </w:p>
    <w:p>
      <w:pPr>
        <w:pStyle w:val="Heading6"/>
        <w:numPr>
          <w:ilvl w:val="5"/>
          <w:numId w:val="1"/>
        </w:numPr>
        <w:rPr/>
      </w:pPr>
      <w:bookmarkStart w:id="207" w:name="__RefHeading___Toc3813681_3804643083"/>
      <w:bookmarkStart w:id="208" w:name="_Toc80"/>
      <w:bookmarkEnd w:id="207"/>
      <w:r>
        <w:rPr>
          <w:rtl w:val="true"/>
        </w:rPr>
        <w:t>ثانيها</w:t>
      </w:r>
      <w:r>
        <w:rPr>
          <w:rtl w:val="true"/>
        </w:rPr>
        <w:t xml:space="preserve">: </w:t>
      </w:r>
      <w:r>
        <w:rPr>
          <w:rtl w:val="true"/>
        </w:rPr>
        <w:t>في حكمها،</w:t>
      </w:r>
      <w:bookmarkEnd w:id="208"/>
    </w:p>
    <w:p>
      <w:pPr>
        <w:pStyle w:val="BookText"/>
        <w:rPr/>
      </w:pPr>
      <w:r>
        <w:rPr>
          <w:rFonts w:ascii="Amiri" w:hAnsi="Amiri" w:eastAsia="Amiri" w:cs="Amiri"/>
          <w:color w:val="111111"/>
          <w:sz w:val="28"/>
          <w:sz w:val="28"/>
          <w:szCs w:val="28"/>
          <w:rtl w:val="true"/>
          <w:lang w:bidi="ar-SA"/>
        </w:rPr>
        <w:t>و لا كلام في حرمتها للإجماع محصَّلا و منقولا، بل هي من الضروريات كما سمعت، 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سمعت و بعد العقل القاطع لكونها من الظلم الذي يستقل العقل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 أَ يُحِبُّ أَحَدُكُمْ أَنْ يَأْكُلَ لَحْمَ أَخِيهِ مَيْتاً</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 و منه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فإن الهمزة الطعّان في الناس، و اللمزة الذي يأكل لحوم الناس على ما حكاه بعض أصحابنا،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السنة الأخبار المستفيضة، منها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أشد من الزنا، و إن الرجل يزني فيتوب و يتوب الله عليه، و إن صاحب الغيبة لا يُغفر له حتى يغفر له صاحبه</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 و منها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خطب يوما فذكر الربا و عظّم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الدرهم يصيبه الرجل من الربا أعظم من ست و ثلاثين زنية، و إنّ أربى الربا عرض</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المسلم</w:t>
      </w:r>
      <w:r>
        <w:rPr>
          <w:rFonts w:eastAsia="IRNazanin" w:cs="IRNazanin"/>
          <w:color w:val="111111"/>
          <w:sz w:val="28"/>
          <w:szCs w:val="28"/>
          <w:rtl w:val="true"/>
          <w:lang w:bidi="fa-IR"/>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 و منها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مسلما أو مسلمة لم يقبل الله صلاته و لا صيامه أربعين صباحا إلا أن يَغفر له صاحبه</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 و منها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مؤمنا بما فيه لم يجمع الله بينهما في الجنة، و من اغتاب مؤمنا بما ليس فيه انقطعت العصمة بينهما، و كان المغتاب خالدا في النار و بئس المصير</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 و منها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من زعم أنه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هو يأكل لحوم الناس بالغيبة، فاجتنب الغيبة فإنها إدام كلاب النار</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 و منها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في عيب أخيه و كشف عورته كانت أول خطوة خطاها وضعها في جهنم</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المغتاب إذا تاب فهو آخر من يدخل الجنة، و إن لم يتب فهو أول من يدخل النار</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حرام على كل مسلم</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الغيبة لتأكل الحسنات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 و منها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بأَحَد يوم القيامة فيوقف بين يدي الرب و يدفع إليه كتابه فلا يرى حسناته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هذا كتابي، لا أرى فيه حسناتي،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لا يضل و لا ينسى، ذهب عملك باغتياب الناس، ثمّ يؤتى بآخر، و يدفع إليه كتابه فيرى فيه طاعات كثيرة،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كتابي؛ فإني ما عملت هذه الطاعات،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اغتابك، فتُدفع حسناته إليك</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و منها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الكفر أن يسمع الرجل من أخيه كلمة فيحفظها عليه، يريد أن يفضحه بها،</w:t>
      </w:r>
      <w:bookmarkStart w:id="209" w:name="pg2491_24266"/>
    </w:p>
    <w:p>
      <w:pPr>
        <w:pStyle w:val="BookText"/>
        <w:rPr/>
      </w:pPr>
      <w:bookmarkEnd w:id="209"/>
      <w:r>
        <w:rPr>
          <w:rFonts w:ascii="Amiri" w:hAnsi="Amiri" w:eastAsia="Amiri" w:cs="Amiri"/>
          <w:color w:val="111111"/>
          <w:sz w:val="28"/>
          <w:sz w:val="28"/>
          <w:szCs w:val="28"/>
          <w:rtl w:val="true"/>
          <w:lang w:bidi="ar-SA"/>
        </w:rPr>
        <w:t>أولئك لا خلاق لهم</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 و منها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رأته عيناه أو سمعته أذناه مما يشينه و يهدم مروّته فهو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يُحِبُّونَ أَنْ تَشِيعَ الْفٰاحِشَةُ</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 و منها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المغتاب يوم القيامة يأكل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رجم الرجل بالزنا، قال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قعص كما يقعص الكلب </w:t>
      </w:r>
      <w:r>
        <w:rPr>
          <w:rStyle w:val="FootnoteAnchor"/>
          <w:rtl w:val="true"/>
        </w:rPr>
        <w:footnoteReference w:id="665"/>
      </w:r>
      <w:r>
        <w:rPr>
          <w:rFonts w:ascii="Amiri" w:hAnsi="Amiri" w:eastAsia="Amiri" w:cs="Amiri"/>
          <w:color w:val="111111"/>
          <w:sz w:val="28"/>
          <w:sz w:val="28"/>
          <w:szCs w:val="28"/>
          <w:rtl w:val="true"/>
          <w:lang w:bidi="ar-SA"/>
        </w:rPr>
        <w:t xml:space="preserve">، فمر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 بجيفة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انهشا منها،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ننهش جيفة؟ فقال ما أصبتما من أخيكما أنتن من هذه</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هي متواترة معنى المجبورة بما مر من الإجماع و الكتاب و العقل، و ظاهر الأدلة المذكورة كون الغيبة من الكبائر إن لم تكن من أكبرها، كما هو المحكي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بعضها من الكذب الذي هو من الكبائر، بل يمكن إرجاعها إلى الخيانة التي عدّها غير واحد من الأخبار من الكبائر، و أي خيانة أعظم من التفكّه بلحم الأخ على غفلة منه و عدم شعور، فما حكاه بعض من عاصرناه عن بعض من عاصره سماعا من الوسوسة في عدِّها من الكبائر مما لا وجه له </w:t>
      </w:r>
      <w:r>
        <w:rPr>
          <w:rStyle w:val="FootnoteAnchor"/>
          <w:rtl w:val="true"/>
        </w:rPr>
        <w:footnoteReference w:id="667"/>
      </w:r>
      <w:r>
        <w:rPr>
          <w:rFonts w:ascii="Amiri" w:hAnsi="Amiri" w:eastAsia="Amiri" w:cs="Amiri"/>
          <w:color w:val="111111"/>
          <w:sz w:val="28"/>
          <w:sz w:val="28"/>
          <w:szCs w:val="28"/>
          <w:rtl w:val="true"/>
          <w:lang w:bidi="ar-SA"/>
        </w:rPr>
        <w:t>، خصوصا بعد أن دلت بعض الأخبار على خلود المغتاب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في مستثنيات الغيبة</w:t>
      </w:r>
    </w:p>
    <w:p>
      <w:pPr>
        <w:pStyle w:val="Heading6"/>
        <w:numPr>
          <w:ilvl w:val="5"/>
          <w:numId w:val="1"/>
        </w:numPr>
        <w:rPr/>
      </w:pPr>
      <w:bookmarkStart w:id="210" w:name="__RefHeading___Toc3813683_3804643083"/>
      <w:bookmarkStart w:id="211" w:name="_Toc81"/>
      <w:bookmarkEnd w:id="210"/>
      <w:r>
        <w:rPr>
          <w:rtl w:val="true"/>
        </w:rPr>
        <w:t>ثالثها</w:t>
      </w:r>
      <w:r>
        <w:rPr>
          <w:rtl w:val="true"/>
        </w:rPr>
        <w:t xml:space="preserve">: </w:t>
      </w:r>
      <w:r>
        <w:rPr>
          <w:rtl w:val="true"/>
        </w:rPr>
        <w:t>في المستثنيات،</w:t>
      </w:r>
      <w:bookmarkEnd w:id="211"/>
    </w:p>
    <w:p>
      <w:pPr>
        <w:pStyle w:val="Heading6"/>
        <w:numPr>
          <w:ilvl w:val="5"/>
          <w:numId w:val="1"/>
        </w:numPr>
        <w:rPr/>
      </w:pPr>
      <w:bookmarkStart w:id="212" w:name="__RefHeading___Toc3813685_3804643083"/>
      <w:bookmarkStart w:id="213" w:name="_Toc82"/>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3813687_3804643083"/>
      <w:bookmarkStart w:id="215" w:name="_Toc83"/>
      <w:bookmarkEnd w:id="214"/>
      <w:r>
        <w:rPr>
          <w:rtl w:val="true"/>
        </w:rPr>
        <w:t>أحدها</w:t>
      </w:r>
      <w:r>
        <w:rPr>
          <w:rtl w:val="true"/>
        </w:rPr>
        <w:t xml:space="preserve">: </w:t>
      </w:r>
      <w:r>
        <w:rPr>
          <w:rtl w:val="true"/>
        </w:rPr>
        <w:t>غيبة من فسدت عقيدته حتى خرج عن ربقة الدين</w:t>
      </w:r>
      <w:bookmarkEnd w:id="21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في قسم الكفار و المشركين للأصل و الاقتصار على القدر المتيقَّن من دليل المنع؛ و لأن حديث</w:t>
      </w:r>
      <w:bookmarkStart w:id="216" w:name="pg2491_24267"/>
    </w:p>
    <w:p>
      <w:pPr>
        <w:pStyle w:val="BookText"/>
        <w:rPr/>
      </w:pPr>
      <w:bookmarkEnd w:id="216"/>
      <w:r>
        <w:rPr>
          <w:rFonts w:ascii="Amiri" w:hAnsi="Amiri" w:eastAsia="Amiri" w:cs="Amiri"/>
          <w:color w:val="111111"/>
          <w:sz w:val="28"/>
          <w:sz w:val="28"/>
          <w:szCs w:val="28"/>
          <w:rtl w:val="true"/>
          <w:lang w:bidi="ar-SA"/>
        </w:rPr>
        <w:t>هجاء المشركين يدل بالأولى على جواز غيبتهم؛ و لاستمرار السيرة و الطريقة على لعنهم و الطعن فيهم، بل حلية مجالس المؤمنين و نزهة الأبرار و المتقين ذكر معايب الكفار و المشركين، و ما دل من النصوص على المنع بلفظ الناس مقيد بمفهوم ما قصر فيه المنع على غيبة المؤمن و المسلم، و هو و إن كان مفهوما إلا أنه معتضد بما سمعت مع كونه أخص مطلقاً</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3813689_3804643083"/>
      <w:bookmarkStart w:id="218" w:name="_Toc84"/>
      <w:bookmarkEnd w:id="217"/>
      <w:r>
        <w:rPr>
          <w:rtl w:val="true"/>
        </w:rPr>
        <w:t>ثانيها</w:t>
      </w:r>
      <w:r>
        <w:rPr>
          <w:rtl w:val="true"/>
        </w:rPr>
        <w:t xml:space="preserve">: </w:t>
      </w:r>
      <w:r>
        <w:rPr>
          <w:rtl w:val="true"/>
        </w:rPr>
        <w:t>من فسدت عقيدته حتى خرج عن ربقة المؤمنين و دخل في قسم المخالفين</w:t>
      </w:r>
      <w:r>
        <w:rPr>
          <w:rtl w:val="true"/>
        </w:rPr>
        <w:t>.</w:t>
      </w:r>
      <w:bookmarkEnd w:id="218"/>
    </w:p>
    <w:p>
      <w:pPr>
        <w:pStyle w:val="BookText"/>
        <w:rPr/>
      </w:pPr>
      <w:r>
        <w:rPr>
          <w:rFonts w:ascii="Amiri" w:hAnsi="Amiri" w:eastAsia="Amiri" w:cs="Amiri"/>
          <w:color w:val="111111"/>
          <w:sz w:val="28"/>
          <w:sz w:val="28"/>
          <w:szCs w:val="28"/>
          <w:rtl w:val="true"/>
          <w:lang w:bidi="ar-SA"/>
        </w:rPr>
        <w:t xml:space="preserve">قال بعض المتأخرين بعد أن جوّز هجاءهم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من ذلك غيبتهم التي جرت سيرة الشيعة عليها في جميع الأعصار و الأمصار علمائهم و عوامهم حتى ملئوا القراطيس منها، بل هي عندهم من أفضل الطاعات و أكمل القربات، فلا غرابة في تحصيل الإجماع كما عن بعضهم، بل يمكن دعوى كون ذلك من الضروريات فضلا عن 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ظاهر كلام الأصحاب في هذا الباب و في باب الهجاء </w:t>
      </w:r>
      <w:r>
        <w:rPr>
          <w:rStyle w:val="FootnoteAnchor"/>
          <w:rtl w:val="true"/>
        </w:rPr>
        <w:footnoteReference w:id="669"/>
      </w:r>
      <w:r>
        <w:rPr>
          <w:rFonts w:ascii="Amiri" w:hAnsi="Amiri" w:eastAsia="Amiri" w:cs="Amiri"/>
          <w:color w:val="111111"/>
          <w:sz w:val="28"/>
          <w:sz w:val="28"/>
          <w:szCs w:val="28"/>
          <w:rtl w:val="true"/>
          <w:lang w:bidi="ar-SA"/>
        </w:rPr>
        <w:t>، لأنهم بين مصرح بالجواز و بين من يظهر منه ذلك، و كأن المنشأ في ذلك الأصل و ظواهر الأخبار؛ لأنها و إن وردت أكثرها بلفظ المسلم إلا أن المراد منه معنى المؤمن كما يقضي بذلك ذكر لفظ المؤمن في جملة منها، لا أقل من تقييد إطلاق المسلم بمفهوم المؤمن المعتضد بما سمعت، و لعلهم فهموا ذلك من لفظ الأخوة؛ لأن المخالف ليس من أخوة المؤمن، مضافاً إلى الأخبار المتضافرة الواردة بلعن المخالفين، و أنهم أشر من اليهود و النصارى و أنجس من الكلاب، فإنها تدل على الجواز صريحاً أو فحوىً كالنصوص المطلِقة للكفر عليهم و هي كثيرة جدا، فهي تدل من جهة الفحوى و من أن إطلاق الكفر عليهم حقيقة، إما لكفرهم حقيقة أو لمشاركتهم للكفار في أحكامهم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هذا كله فالعجب من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عموم أدلة تحريم الغيبة من الكتاب يشمل المؤمنين و غيرهم؛ فإن قوله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إما للمكلفين كلهم أو للمسلمين فقط لجواز غيبة الكافر، و كذا الأخبار فإن اكثرها بلفظ الناس و المسلم</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 لا يجوز أخذ مال المخالف و قتله لا يجوز تناول عرضه</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ظني أن الشهيد في قواعده جوّز غيبة المخالف من جهة مذهبه و دينه لا غير</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 و كأنه مال إلى ذلك صاحب الكفاية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جميع ما ذكر نظر واضح، أما دعوى عموم الآية و الأخبار فواضح المنع؛ لأن صدر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 و المؤمن هو المؤمن الاثني عشري بالاصطلاح، و دعوى أن هذا الاصطلاح حدث بعد نزول الآية مما لا وجه له؛ لأن المؤمن حين نزول الآية هو مَن كان مِن الفرقة الناجية، و الفرقة الناجية الاثني عشرية قطعا، على أن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يُحِبُّ أَحَدُكُمْ أَنْ يَأْكُلَ لَحْمَ أَخِيهِ مَيْتاً</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و لا أخوة بين المؤمن 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من المعلوم أن الله تعالى عقد الأخوة بين المؤمنين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و كيف يُتَصوّر الأخوة بين المؤمن و المخالف بعد تواتر الروايات و تضافر الآيات في وجوب معاداتهم و البراءة منهم، بل هم أعداء الله،</w:t>
      </w:r>
    </w:p>
    <w:p>
      <w:pPr>
        <w:pStyle w:val="BookText"/>
        <w:rPr/>
      </w:pPr>
      <w:r>
        <w:rPr>
          <w:rFonts w:ascii="Amiri" w:hAnsi="Amiri" w:eastAsia="Amiri" w:cs="Amiri"/>
          <w:color w:val="111111"/>
          <w:sz w:val="28"/>
          <w:sz w:val="28"/>
          <w:szCs w:val="28"/>
          <w:rtl w:val="true"/>
          <w:lang w:bidi="ar-SA"/>
        </w:rPr>
        <w:t xml:space="preserve">فكيف يكونون للمؤمنين إخوة؟، ففي الخبر المذكور في معاني الأخبار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هذا ولي الله فوالِه، و عدو هذا عدو الله فعادِه</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و أما الأخبار فما ورد منها بلفظ الناس و المسلم يجب تقييده بما ورد بلفظ المؤمن كما عرفت ذلك،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يجوز أخذ ماله و قتله لا يجوز تناول عرضه</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ففيه أن تحريم الأوليين لعله للإجماع، فقياس العرض عليها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الكافر لو دفع الجزية حرم ماله مع جواز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لعلنا نقول بحليتهما عند الأمن و عدم التقية جريا على الأخبار الدالة على كفرهم و الأخبار الدالة على أخذ مال الناصب و هي كثيرة، و قد فُسّر الناصب في جملة من الأخبار بمن قدّم الجبت و الطاغوت و من نصب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حيثما أطلق الناصب في الأخبار يراد منه المخالف غير المستضعف، و لعله على ذلك </w:t>
      </w:r>
      <w:r>
        <w:rPr>
          <w:rStyle w:val="FootnoteAnchor"/>
          <w:rtl w:val="true"/>
        </w:rPr>
        <w:footnoteReference w:id="680"/>
      </w:r>
      <w:r>
        <w:rPr>
          <w:rFonts w:ascii="Amiri" w:hAnsi="Amiri" w:eastAsia="Amiri" w:cs="Amiri"/>
          <w:color w:val="111111"/>
          <w:sz w:val="28"/>
          <w:sz w:val="28"/>
          <w:szCs w:val="28"/>
          <w:rtl w:val="true"/>
          <w:lang w:bidi="ar-SA"/>
        </w:rPr>
        <w:t xml:space="preserve">، الخواجة نصير الدين و آية الله في العالم حيث فعلوا ما فعلوا في سلطنة الشاه إسماعيل، و أما ما حكاه عن الشهيد في قواعده فلم نعثر منه إلا على قول الشهيد في ما استثناه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المقول فيه مستحقا لذلك لتظاهره بسبه كالكافر و الفاسق المتظاهر ليذكره بما هو فيه لا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في مقام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المبتدعة و تصانيفهم الفاسدة و آرائهم المضلة و ليقتصر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كما ترى لا دلالة فيه على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يراد بالفاسق في العبارة الأولى الموالي من الفسقة و أن يراد بالمبتدعة فرق الشيعة بالعبارة الثانية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ما كان فجواز غيبتهم أوضح من أن يذكر، هذا مع أن الخطابات القرآنية خاصة بالمشافهين و لا تتعدى إلى الغائبين إلا بدليل و هو في الغالب الإجماع و لا إجماع على الشركة إلا مع اتحاد الوصف، و لا ريب في تغايره فلا شركة، فيرجع في حكم غيبتهم إلى الأصل بعد فرض عدم دلالة الأخبار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هي</w:t>
      </w:r>
      <w:bookmarkStart w:id="219" w:name="pg2491_24270"/>
    </w:p>
    <w:p>
      <w:pPr>
        <w:pStyle w:val="BookText"/>
        <w:rPr/>
      </w:pPr>
      <w:bookmarkEnd w:id="219"/>
      <w:r>
        <w:rPr>
          <w:rFonts w:ascii="Amiri" w:hAnsi="Amiri" w:eastAsia="Amiri" w:cs="Amiri"/>
          <w:color w:val="111111"/>
          <w:sz w:val="28"/>
          <w:sz w:val="28"/>
          <w:szCs w:val="28"/>
          <w:rtl w:val="true"/>
          <w:lang w:bidi="ar-SA"/>
        </w:rPr>
        <w:t>صريحة في ذلك، لا أقل من أن يكون جواز غيبتهم لتجاهرهم بالفسق؛ فإن ما هم عليه أعظم أنواع الفسق بل الكفر و إن عوملوا معاملة المسلمين في بعض الأحكام للضرورة أو للإجماع، و ستعرف إن شاء الله أن المتجاهر بالفسق تجوز غيبته في ما تجاهر فيه و في غيره</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3813691_3804643083"/>
      <w:bookmarkStart w:id="221" w:name="_Toc85"/>
      <w:bookmarkEnd w:id="220"/>
      <w:r>
        <w:rPr>
          <w:rtl w:val="true"/>
        </w:rPr>
        <w:t>ثالثها</w:t>
      </w:r>
      <w:r>
        <w:rPr>
          <w:rtl w:val="true"/>
        </w:rPr>
        <w:t xml:space="preserve">: </w:t>
      </w:r>
      <w:r>
        <w:rPr>
          <w:rtl w:val="true"/>
        </w:rPr>
        <w:t>عدّ بعض أصحابنا من المستثنيات تظلّمَ المظلوم عند من يقطع بإعانته له،</w:t>
      </w:r>
      <w:bookmarkEnd w:id="22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برفع الظلم عنه أو بإعانته له بماله أو بوصول الخبر إلى الظالم فيرفع عنه الظلم لذلك، أو عند من يرجو في التظلّم عنده حصول أحد الثلاثة المذكورة و إن لم يقطع بذلك؛ و ذلك للسيرة القطعية المأخوذة يدا بيد من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زماننا هذا؛ و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فَأُولٰئِكَ مٰا عَلَيْهِمْ مِنْ سَبِيلٍ إِنَّمَا السَّبِيلُ عَلَى الَّذِينَ يَظْلِمُونَ النّٰاسَ وَ يَبْغُونَ فِي الْأَرْضِ بِغَيْرِ الْحَقِّ</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 فعن تفسير القمي أي لا يحب أن يجهر الرجل بالظلم و السوء و يَظلم إلا من ظُلم </w:t>
      </w:r>
      <w:r>
        <w:rPr>
          <w:rStyle w:val="FootnoteAnchor"/>
          <w:rtl w:val="true"/>
        </w:rPr>
        <w:footnoteReference w:id="683"/>
      </w:r>
      <w:r>
        <w:rPr>
          <w:rFonts w:ascii="Amiri" w:hAnsi="Amiri" w:eastAsia="Amiri" w:cs="Amiri"/>
          <w:color w:val="111111"/>
          <w:sz w:val="28"/>
          <w:sz w:val="28"/>
          <w:szCs w:val="28"/>
          <w:rtl w:val="true"/>
          <w:lang w:bidi="ar-SA"/>
        </w:rPr>
        <w:t xml:space="preserve">، و لقول هند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ابا سفيان رجل شحيح لا يعطيني ما يكفيني و ولدي</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و لرواية أبي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ليس لهم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الجائر و الفاسق المعلن بفسقه</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 فإن الظاهر أن عدم احترامه لجوره؛ و لهذا جعله في مقابلة الفاسق المعلن بفسقه، و يؤيد ذلك أن في منع المظلوم من هذا الذي هو نوع تشفٍّ في الظالم حرج عظيم؛ و لأن في مشروعية الجواز مظنة ردع الظالم عن ظلمه، و يؤيد ذلك أيضا النبوي المعروف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الحق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الأدلة و إن كانت مطلقة، لكن لا بد من تقييدها بالتظلّم عند من يرجو إزالة ظلمه بالتظلّم عنده بأحد الطرق المتقدمة اقتصاراً على القدر المتيقَّن في ما خالف الأصل الثابت</w:t>
      </w:r>
    </w:p>
    <w:p>
      <w:pPr>
        <w:pStyle w:val="BookText"/>
        <w:rPr/>
      </w:pPr>
      <w:r>
        <w:rPr>
          <w:rFonts w:ascii="Amiri" w:hAnsi="Amiri" w:eastAsia="Amiri" w:cs="Amiri"/>
          <w:color w:val="111111"/>
          <w:sz w:val="28"/>
          <w:sz w:val="28"/>
          <w:szCs w:val="28"/>
          <w:rtl w:val="true"/>
          <w:lang w:bidi="ar-SA"/>
        </w:rPr>
        <w:t>بالأدلة العقلية و النقلية المتقدمة و هو تحريم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بذلك جمع من أساطين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جمعا منهم صرحوا بالجواز مطلقا من غير فرق بين التظلّم عند من يرجو زوال ظلمه بالتظلّم عنده و بين غيره، فلو كان الظلم غير قابل للتدارك أو المتظلّم عنده غير قابل للتدارك فلا منع استنادا إلى إطلاق الآية المفسَّرة بما سمعت، و بما رواه في محكيّ مجمع البيان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الشتم في الانتصار إلا من ظُلم، فلا بأس له أن ينتصر ممن ظلمه ممن يجوز الانتصار به في الدين</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و قال 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انتَصَرُوا مِنْ بَعْدِ مَا ظُلِمُوا</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للاستناد إلى إطلاق الأدلة المذكورة بعد إدخال التظلّم في موضوع الغيبة؛ لأنه حينئذ يلزم الاقتصار على القدر المتيقَّن في ما خالف أدلة التحريم في غير الإطلاقات، و الإطلاقات منصرفة إلى الفرد الظاهر و هو الظالم المتجاهر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دعوى خروج التظلّم الذي هو مورد الأدلة المذكورة من الموضوع بدعوى أنها منصرفة إلى التظلّم من الظالم المتجاهر بظلمه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المتجاهر بالفسق لا يدخل ذكره بالسوء في موضوع الغيبة، فحينئذ لا فرق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تجاهره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التظلّم عند من يُرجى لزوال الظلم و بين التظلّم عند غيره، و أما من لم يتجاهر بالظلم فدعوى جواز غيبته أول الكلام و لو عند من يُرجى لزوال الظلم، اللهم إلا أن يُدّعى انعقاد الإجماع على ذلك، فحينئذ الظالم متجاهر و متستّر، و المتستّر مرة يَعلم المتظلِّم عنده بظلمه و مرة لا يعلم، فالأدلة المتقدمة منزَّلة على المتجاهر أو على من يعلم المتظلِّم عنده بظلمه و إن كان متستّراً، و كلاهما خارجان عن موضوع الغيبة</w:t>
      </w:r>
      <w:r>
        <w:rPr>
          <w:rFonts w:eastAsia="Amiri" w:cs="Amiri" w:ascii="Amiri" w:hAnsi="Amiri"/>
          <w:color w:val="111111"/>
          <w:sz w:val="28"/>
          <w:szCs w:val="28"/>
          <w:rtl w:val="true"/>
          <w:lang w:bidi="ar-SA"/>
        </w:rPr>
        <w:t>.</w:t>
      </w:r>
      <w:bookmarkStart w:id="222" w:name="pg2491_24272"/>
    </w:p>
    <w:p>
      <w:pPr>
        <w:pStyle w:val="BookText"/>
        <w:rPr/>
      </w:pPr>
      <w:bookmarkEnd w:id="222"/>
      <w:r>
        <w:rPr>
          <w:rFonts w:ascii="Amiri" w:hAnsi="Amiri" w:eastAsia="Amiri" w:cs="Amiri"/>
          <w:color w:val="111111"/>
          <w:sz w:val="28"/>
          <w:sz w:val="28"/>
          <w:szCs w:val="28"/>
          <w:rtl w:val="true"/>
          <w:lang w:bidi="ar-SA"/>
        </w:rPr>
        <w:t xml:space="preserve">و هنا أخبار وردت لا بد من طرحها أو تأويلها، منها ما رواه العيّاشي في تفسيره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أضاف قوما فأساء ضيافتهم فهو ممن ظلَم فلا جناح عليهم في ما قالوا فيه</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 و ما رواه 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الضيف ينزل بالرجل فلا يحسن ضيافته، فلا جناح عليه في أن يذكر ما فعله</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فلا بد في الخبرين المذكورين حمل الإساءة على كونها ظلما و هتكا لاحترامهم، أو أن ما يذكرونه فيه ليس 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القول باستثناء التظلّم من حكم الغيبة، لا بد من الاقتصار على خصوص ظلم الظالم، بل على خصوص ما ظلمه به، فلا يجوز التعدّي عن ذلك اقتصارا على القدر المتيقَّن في ما خالف الأدلة العقلية و النقلية المتقدمة، كما أن الظاهر عدم جواز سماع التظلّم قبل تحقق الظلم، و لا تكفي دعواه في ذلك إلا إذا أفادت القطع</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3813693_3804643083"/>
      <w:bookmarkStart w:id="224" w:name="_Toc86"/>
      <w:bookmarkEnd w:id="223"/>
      <w:r>
        <w:rPr>
          <w:rtl w:val="true"/>
        </w:rPr>
        <w:t>رابعها</w:t>
      </w:r>
      <w:r>
        <w:rPr>
          <w:rtl w:val="true"/>
        </w:rPr>
        <w:t xml:space="preserve">: </w:t>
      </w:r>
      <w:r>
        <w:rPr>
          <w:rtl w:val="true"/>
        </w:rPr>
        <w:t xml:space="preserve">عدّ بعض أصحابنا </w:t>
      </w:r>
      <w:r>
        <w:rPr>
          <w:rtl w:val="true"/>
        </w:rPr>
        <w:t>(</w:t>
      </w:r>
      <w:r>
        <w:rPr>
          <w:rtl w:val="true"/>
        </w:rPr>
        <w:t>رحمه الله</w:t>
      </w:r>
      <w:r>
        <w:rPr>
          <w:rtl w:val="true"/>
        </w:rPr>
        <w:t xml:space="preserve">) </w:t>
      </w:r>
      <w:r>
        <w:rPr>
          <w:rtl w:val="true"/>
        </w:rPr>
        <w:t>من المستثنيات غيبة المتجاهر بالفسق</w:t>
      </w:r>
      <w:bookmarkEnd w:id="224"/>
    </w:p>
    <w:p>
      <w:pPr>
        <w:pStyle w:val="BookText"/>
        <w:rPr/>
      </w:pPr>
      <w:r>
        <w:rPr>
          <w:rFonts w:ascii="Amiri" w:hAnsi="Amiri" w:eastAsia="Amiri" w:cs="Amiri"/>
          <w:color w:val="111111"/>
          <w:sz w:val="28"/>
          <w:sz w:val="28"/>
          <w:szCs w:val="28"/>
          <w:rtl w:val="true"/>
          <w:lang w:bidi="ar-SA"/>
        </w:rPr>
        <w:t xml:space="preserve">استنادا إلى بعض الأخبار التي منها خبر هارون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 و خبر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ليس لهم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الإمام الجائر، و الفاسق المعلن بفسقه</w:t>
      </w:r>
      <w:r>
        <w:rPr>
          <w:rFonts w:eastAsia="IRNazanin" w:cs="IRNazanin"/>
          <w:color w:val="111111"/>
          <w:sz w:val="28"/>
          <w:szCs w:val="28"/>
          <w:rtl w:val="true"/>
          <w:lang w:bidi="fa-IR"/>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 و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مروّته و ظهرت عدالته، و وجبت أخوّته، و حرمت غيبته</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 و في خبر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أن يكون ساترا</w:t>
      </w:r>
    </w:p>
    <w:p>
      <w:pPr>
        <w:pStyle w:val="BookText"/>
        <w:rPr/>
      </w:pPr>
      <w:r>
        <w:rPr>
          <w:rFonts w:ascii="Amiri" w:hAnsi="Amiri" w:eastAsia="Amiri" w:cs="Amiri"/>
          <w:color w:val="111111"/>
          <w:sz w:val="28"/>
          <w:sz w:val="28"/>
          <w:szCs w:val="28"/>
          <w:rtl w:val="true"/>
          <w:lang w:bidi="ar-SA"/>
        </w:rPr>
        <w:t>لعيوبه حتى يحرم على المسلمين تفتيش ما وراء ذلك من عثراته</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 و مفهوم رواية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تره بعينك يرتكب ذنبا، و لم يشهد عليه شاهدان فهو من أهل العدالة و الستر، و شهادته مقبولة و إن كان في نفسه مذنبا، و من اغتابه بما هو فيه فهو خارج عن ولاية الله تعالى، و داخل في ولاية الشيطان</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و مقتضى إطلاق الأخبار جواز اغتيابه و إن لم يقصد بذلك ردعه عن المنكر، و لم نعثر على من اعتبر ذلك في جواز اغتيابه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اعتبر ذلك بعض أصحابنا في جواز سبّه مع اعترافه بأن ظاهر النص و الفتوى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اغتيابه في غير ما تجاهر به مطلقا أو لا يجوز مطلقاً؟، أو يفصّل بين ما كان دون ما تجاهر به في القبح فيجوز، و بين ما يكون فوقه في القبح فلا يجوز؟ وجوه بل أقوال، ينظر الأول منها إلى إسقاط حرمته و نفي غيبته مطلقا في الأخبار المتقدمة و مفهوم صحيحة ابن أبي يعفور و سابقتها و لاحقتها، و ينظر الثاني إلى الاقتصار على القدر المتيقَّن في ما خالف أدلة التحريم، و إن حرمته إنما سقطت في ما تجاهر به دون غيره، و ينظر ثالثها إلى أن حرمة الغيبة إنما نشأت من هتك عرض المؤمن، و هو إنما يحصل في ما زاد على ما تجاهر به قبحا دون ما نقص عنه، فمن تجاهر باللواط جاز اغتيابه بالتعرض للنساء الأجانب، و من تجاهر بقطع الطريق جاز اغتيابه بالسرقة، و على ذلك القياس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المتجاهر من تجاهر بعنوان أنه فسق أو معصية، فلو تجاهر به بعنوان أنه طاعة كان من أعمال الظلمة، و لكن يدّعي أن الباعث على ذلك التقية أو حفظ نفوس بعض المؤمنين و غير ذلك من الأمور المسوّغة لذلك، فالظاهر أنه ليس من المتجاهر، اللهم إلا أن يُعلم أن عذره واضح الفساد، فالظاهر كونه من المتجاهر حينئذ، و لو تجاهر في الفسق في زمان دون آخر أو في بلدة دون أخرى فالظاهر لزوم الاقتصار على غيبته في الزمان و المكان الذين تجاهر بهما؛ لأن الظاهر من الأدلة أن</w:t>
      </w:r>
      <w:bookmarkStart w:id="225" w:name="pg2491_24274"/>
    </w:p>
    <w:p>
      <w:pPr>
        <w:pStyle w:val="BookText"/>
        <w:rPr/>
      </w:pPr>
      <w:bookmarkEnd w:id="225"/>
      <w:r>
        <w:rPr>
          <w:rFonts w:ascii="Amiri" w:hAnsi="Amiri" w:eastAsia="Amiri" w:cs="Amiri"/>
          <w:color w:val="111111"/>
          <w:sz w:val="28"/>
          <w:sz w:val="28"/>
          <w:szCs w:val="28"/>
          <w:rtl w:val="true"/>
          <w:lang w:bidi="ar-SA"/>
        </w:rPr>
        <w:t>جواز غيبة المتجاهر من حيث عدم اكتراثه بنسبة ذلك إليه، و حكاية ذلك عنه لتجاهره به، و حيث يكون المدار على ذلك يلزم الاقتصار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لقائل أن يقول بالجواز مطلقا استنادا إلى إطلاق الأدلة، و لكن الاحتياط لا يخفى، خصوصا بعد أن كان الأصل في المؤمن الاحترام مطلقا، فيلزم المؤمن الاقتصار على المتيقَّن في ما خالف الأصل، و حكى بعض المعاصرين عن بعض الأصحاب القول بجواز غيبة الفاسق مطلقا، متجاهرا أو لا استناداً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 و هو كما ترى، فلا بد إما من حمله على الفاسق المتجاهر أو على </w:t>
      </w:r>
      <w:r>
        <w:rPr>
          <w:rStyle w:val="FootnoteAnchor"/>
          <w:rtl w:val="true"/>
        </w:rPr>
        <w:footnoteReference w:id="697"/>
      </w:r>
      <w:r>
        <w:rPr>
          <w:rFonts w:ascii="Amiri" w:hAnsi="Amiri" w:eastAsia="Amiri" w:cs="Amiri"/>
          <w:color w:val="111111"/>
          <w:sz w:val="28"/>
          <w:sz w:val="28"/>
          <w:szCs w:val="28"/>
          <w:rtl w:val="true"/>
          <w:lang w:bidi="ar-SA"/>
        </w:rPr>
        <w:t>كان بعيداً</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3813695_3804643083"/>
      <w:bookmarkStart w:id="227" w:name="_Toc87"/>
      <w:bookmarkEnd w:id="226"/>
      <w:r>
        <w:rPr>
          <w:rtl w:val="true"/>
        </w:rPr>
        <w:t>خامسها</w:t>
      </w:r>
      <w:r>
        <w:rPr>
          <w:rtl w:val="true"/>
        </w:rPr>
        <w:t xml:space="preserve">: </w:t>
      </w:r>
      <w:r>
        <w:rPr>
          <w:rtl w:val="true"/>
        </w:rPr>
        <w:t>عدّ بعض أصحابنا من المستثنيات الاستفتاء،</w:t>
      </w:r>
      <w:bookmarkEnd w:id="227"/>
    </w:p>
    <w:p>
      <w:pPr>
        <w:pStyle w:val="BookText"/>
        <w:rPr/>
      </w:pPr>
      <w:r>
        <w:rPr>
          <w:rFonts w:ascii="Amiri" w:hAnsi="Amiri" w:eastAsia="Amiri" w:cs="Amiri"/>
          <w:color w:val="111111"/>
          <w:sz w:val="28"/>
          <w:sz w:val="28"/>
          <w:szCs w:val="28"/>
          <w:rtl w:val="true"/>
          <w:lang w:bidi="ar-SA"/>
        </w:rPr>
        <w:t xml:space="preserve">و استدل على ذلك بقول هند زوجة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سفيان رجل شحيح لا يعطيني ما يكفيني و ولدي</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 مع عدم إنكار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أبي سفيان،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فلأنها متظلِّمة، فتخرج عن عنوان الاستفتاء إلى عنوان التظلّم، و أما ثانيا فلأن أبا سفيان متجاهر بالفسق، فلعل عدم الإنكار لذلك، فلا دلالة في الخبر المذكور على جواز الاغتياب في الاستفتاء، و استدل بعض أصحابنا على ذلك بخبر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لا تدفع يد لامس، فقال احبسها،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فقال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امنع من يدخل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فقيّدها؛ فإنك لا تبرّها بشي‌ء أفضل من أن تمنعها عن محارم الله عز و جل</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الخبر المذكور ظاهر في تجاهرها بذلك، و دعوى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كونها متجاهرة مدفوع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 بظهور الخبر في تجاهرها بذلك، و ربما استدل</w:t>
      </w:r>
      <w:bookmarkStart w:id="228" w:name="pg2491_24275"/>
    </w:p>
    <w:p>
      <w:pPr>
        <w:pStyle w:val="BookText"/>
        <w:rPr/>
      </w:pPr>
      <w:bookmarkEnd w:id="228"/>
      <w:r>
        <w:rPr>
          <w:rFonts w:ascii="Amiri" w:hAnsi="Amiri" w:eastAsia="Amiri" w:cs="Amiri"/>
          <w:color w:val="111111"/>
          <w:sz w:val="28"/>
          <w:sz w:val="28"/>
          <w:szCs w:val="28"/>
          <w:rtl w:val="true"/>
          <w:lang w:bidi="ar-SA"/>
        </w:rPr>
        <w:t>بعض أصحابنا بالسيرة و الطريقة، و الظاهر أن دعوى السيرة على الجواز مطلقا حتى في مقام لا يتوقف الاستفتاء على ذكر الغير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المستفتي إن كان مظلوماً، و كان الاستفتاء متضمنا للتظلّم فلا كلام، و مثله ما كان المذكور متجاهراً بالفسق، و إن لم يكن كذلك فإن توقف الاستفتاء على ذكر الغير أمكن القول بالجواز للسيرة و العسر و الحرج بدون ذلك، و إن لم يتوقف فالقول بالجواز في غاية الإشكال؛ لأصالة حرمة هتك حرمة المؤمن المستفادة من الأدلة المتقدمة المعتضدة بما سمعت من المؤيدات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3813697_3804643083"/>
      <w:bookmarkStart w:id="230" w:name="_Toc88"/>
      <w:bookmarkEnd w:id="229"/>
      <w:r>
        <w:rPr>
          <w:rtl w:val="true"/>
        </w:rPr>
        <w:t>سادسها</w:t>
      </w:r>
      <w:r>
        <w:rPr>
          <w:rtl w:val="true"/>
        </w:rPr>
        <w:t xml:space="preserve">: </w:t>
      </w:r>
      <w:r>
        <w:rPr>
          <w:rtl w:val="true"/>
        </w:rPr>
        <w:t>عدّ بعض أصحابنا من المستثنيات تحذير المؤمن من الوقوع في الضرر الدنيوي و الديني</w:t>
      </w:r>
      <w:bookmarkEnd w:id="230"/>
    </w:p>
    <w:p>
      <w:pPr>
        <w:pStyle w:val="BookText"/>
        <w:rPr/>
      </w:pPr>
      <w:r>
        <w:rPr>
          <w:rFonts w:ascii="Amiri" w:hAnsi="Amiri" w:eastAsia="Amiri" w:cs="Amiri"/>
          <w:color w:val="111111"/>
          <w:sz w:val="28"/>
          <w:sz w:val="28"/>
          <w:szCs w:val="28"/>
          <w:rtl w:val="true"/>
          <w:lang w:bidi="ar-SA"/>
        </w:rPr>
        <w:t>كتحذير الناس من الرجوع إلى غير الفقيه مع ظهور عدم قابليته و التعويل على طريقة من يعلم فساد طريقته و أهل التحصيل في بعض القواعد التي تعد من الأباطيل، و أما أهل البدع فقد ورد الأمر بالوقيعة فيهم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للأخبار المتكثّرة الدالة على وجوب نصيحة المؤمن التي منها خبر عيسى بن أبي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للمؤمن على المؤمن أن يناصحه</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 و خبر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للمؤمن على المؤمن النصيحة له في المشهد و المغيب</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 و خبر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للمؤمن على المؤمن النصيحة</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 و 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لينصح الرجل منكم أخاه كنصيحته لنفسه</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و خبر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منزلة عند الله يوم القيامة أمشاهم في أرضه بالنصيحة لخلقه</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w:t>
      </w:r>
      <w:bookmarkStart w:id="231" w:name="pg2491_24276"/>
    </w:p>
    <w:p>
      <w:pPr>
        <w:pStyle w:val="BookText"/>
        <w:rPr/>
      </w:pPr>
      <w:bookmarkEnd w:id="231"/>
      <w:r>
        <w:rPr>
          <w:rFonts w:ascii="Amiri" w:hAnsi="Amiri" w:eastAsia="Amiri" w:cs="Amiri"/>
          <w:color w:val="111111"/>
          <w:sz w:val="28"/>
          <w:sz w:val="28"/>
          <w:szCs w:val="28"/>
          <w:rtl w:val="true"/>
          <w:lang w:bidi="ar-SA"/>
        </w:rPr>
        <w:t>و خبر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بالنصح لله في خلقه؛ فلن تلقاه بعمل أفضل منه</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و خبر عطاء بن يزيد عن تميم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النصيحة،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لله و لرسوله و لأئمة الدين و لجماعة المسلمين</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إلى غير ذلك من الأخبار الدالة على وجوب نصيحة المؤمن مع السبق بالاستشارة و عدمه، و دعوى ظهورها في سبق الاستشارة كما ترى</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3813699_3804643083"/>
      <w:bookmarkStart w:id="233" w:name="_Toc89"/>
      <w:bookmarkEnd w:id="232"/>
      <w:r>
        <w:rPr>
          <w:rtl w:val="true"/>
        </w:rPr>
        <w:t>سابعها</w:t>
      </w:r>
      <w:r>
        <w:rPr>
          <w:rtl w:val="true"/>
        </w:rPr>
        <w:t xml:space="preserve">: </w:t>
      </w:r>
      <w:r>
        <w:rPr>
          <w:rtl w:val="true"/>
        </w:rPr>
        <w:t>عدّ بعض أصحابنا من المستثنيات نصح المستشير؛</w:t>
      </w:r>
      <w:bookmarkEnd w:id="23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للأخبار المتقدمة و لما رواه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أخاه فلم يمحضه محض الرأي سلبه الله عز و جل رأيه</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 و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بنت قيس لما شاورته في خُطّابها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صعلوك لا مال له، و أبو الجهم لا يضع العصا عن عاتقه</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قال بعض المعاصرين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و سابقه راجع إلى نصح المؤمن الذي أُمر به في النصوص من غير فرق بين سبق الاستشارة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التعارض بين ما دل على حرمة الغيبة و بينها من وجه، و لعل الترجيح لها، إلا أنه على إطلاقه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مراعاة الميزان في الموضوعات مع المحافظة على مقدار ما يتوقف عليه النصح من غير تعدٍّ و تجاوز، بل يمكن عند التأمل عدم كون ذلك من التعارض في الأدلة، و إلا فمقتضى ذلك التعارض بين أدلة المستحبات و المباحات و أدلة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المتجه الاقتصار في هذا الباب على خصوص ما جرت السيرة به و ما دلت عليه الأدلة المخصوصة لا مطلقا و إن أوهمته بعض العبارات استنادا إلى ما ورد في نصح المؤمن المعلوم كونه من قبيل ما ورد في قضاء حاجة</w:t>
      </w:r>
    </w:p>
    <w:p>
      <w:pPr>
        <w:pStyle w:val="BookText"/>
        <w:rPr/>
      </w:pPr>
      <w:r>
        <w:rPr>
          <w:rFonts w:ascii="IRNazanin" w:hAnsi="IRNazanin" w:eastAsia="IRNazanin"/>
          <w:color w:val="111111"/>
          <w:sz w:val="28"/>
          <w:sz w:val="28"/>
          <w:szCs w:val="28"/>
          <w:rtl w:val="true"/>
          <w:lang w:bidi="fa-IR"/>
        </w:rPr>
        <w:t xml:space="preserve">المؤمن </w:t>
      </w:r>
      <w:r>
        <w:rPr>
          <w:rStyle w:val="FootnoteAnchor"/>
          <w:rtl w:val="true"/>
        </w:rPr>
        <w:footnoteReference w:id="709"/>
      </w:r>
      <w:r>
        <w:rPr>
          <w:rFonts w:ascii="Amiri" w:hAnsi="Amiri" w:eastAsia="Amiri" w:cs="Amiri"/>
          <w:color w:val="111111"/>
          <w:sz w:val="28"/>
          <w:sz w:val="28"/>
          <w:szCs w:val="28"/>
          <w:rtl w:val="true"/>
          <w:lang w:bidi="ar-SA"/>
        </w:rPr>
        <w:t>، لا يراد منه الأفراد المحرمة أو المستلزمة لها فتأمل جيدا و الله أعلم</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عند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عبارته أن نصح المؤمن مستحب كقضاء حاجته، و أنّ أدلة النصح كأدلة قضاء الحاجة تدل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الأخبار المتقدمة ظاهرة في الوجوب إن لم تكن صريحة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لتعبير أكثرها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هذا، 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مرآة أخيه</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و إلى أن تركها خيانة، و هي من أعظم المحرمات، و بعد فرض دلالتها على الوجوب لا وجه لعدم عدّ ذلك من التعارض، و اقتضاء ذلك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المستحبات و المباحات و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فحينئذ يكون التعارض بين ما دل على وجوب نصح المؤمن و ما دل على حرمة الغيبة عموم و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وجه، فلا بد من الرجوع إلى المرجّحات كما هو الدأب في دليل الوجوب و التحريم لو تعارضا كذلك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دعوى كون الترجيح لدليل الوجوب مطلقاً مشكل بل لا بد من الرجوع إلى الميزان في الموضوعات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أدلة المستحبات لا تقاوم أدلة المحرمات خصوصا التي تكون من مقدماتها، فإن مرجع أدلة الاستحباب إلى استحباب ايجاد الشي‌ء بسببه المباح لا بسببه المحرم، أ لا ترى أنه لا يجوز إدخال السرور في قلب مؤمن و إجابته بالمحرمات كالزنا و اللواط و الغناء، و السر في ذلك أن دليل الاستحباب إنما يدل على كون الفعل لو خلّي و طبعه خاليا عما يوجب لزوم أحد طرفيه فلا ينافي ذلك طروّ عنوان من الخارج يوجب لزوم فعله أو تركه، كما إذا صار مقدمة لواجب أو صادفه عنوان محرم، فإجابة المؤمن و إدخال السرور في قلبه ليس في نفسه شي‌ء ملزم لفعله أو تركه، فإذا تحقق في ضمن الزنا فقط طرأ عليه عنوان ملزم لتركه، كما إذا أمر به الوالد أو السيد طرأ عليه عنوان ملزم لفعله</w:t>
      </w:r>
      <w:r>
        <w:rPr>
          <w:rFonts w:eastAsia="Amiri" w:cs="Amiri" w:ascii="Amiri" w:hAnsi="Amiri"/>
          <w:color w:val="111111"/>
          <w:sz w:val="28"/>
          <w:szCs w:val="28"/>
          <w:rtl w:val="true"/>
          <w:lang w:bidi="ar-SA"/>
        </w:rPr>
        <w:t>.</w:t>
      </w:r>
      <w:bookmarkStart w:id="234" w:name="pg2491_24278"/>
    </w:p>
    <w:p>
      <w:pPr>
        <w:pStyle w:val="BookText"/>
        <w:rPr/>
      </w:pPr>
      <w:bookmarkEnd w:id="234"/>
      <w:r>
        <w:rPr>
          <w:rFonts w:ascii="Amiri" w:hAnsi="Amiri" w:eastAsia="Amiri" w:cs="Amiri"/>
          <w:color w:val="111111"/>
          <w:sz w:val="28"/>
          <w:sz w:val="28"/>
          <w:szCs w:val="28"/>
          <w:rtl w:val="true"/>
          <w:lang w:bidi="ar-SA"/>
        </w:rPr>
        <w:t xml:space="preserve">و الحاصل إن جهات الأحكام الثلاثة، أعني الإباحة و الاستحباب و الكراهة لا تزاحم جهة الوجوب أو الحرمة، فالحكم لهما مع اجتماع جهتهما مع إحدى الجهات الثلاث بخلاف جهة الوجوب فإنها تزاحم جهة التحريم، و في مقام تعارض أدلة الوجوب و التحريم يُرجع إلى المرجّحات، و دعوى أن دليل التحريم أرجح مطلقا من جهة أنه دفع مفسدة كلام لا معنى له، فحينئذ إن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ما ورد في نصح المؤمن المعلوم كونه من قبيل ما ورد في قضاء حاجة المؤمن لا يراد منه الأفراد المحرمة أو المستلزمة لها</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أن نصح المؤمن مستحب كقضاء حاجته فهو كما عرفت، و إن أراد أنه و إن دلت أدلة النصح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قبيل تلك الأدلة في عدم إرادة الأفراد المحرمة منه لترجيح دليل التحريم على دليل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إطلاقه مما لا وجه له، بل ينبغي الرجوع إلى الميزان في الموضوعات كما قاله هو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رجحنا دليل الوجوب كما هو الظاهر فلا يلزم الناصح تحري ما لا غيبة فيه من النصح، بل لو كان له في النصح طريقان، أحدهما يستلزم الغيبة و الآخر لا يستلزمها جاز له سلوك أيهما شاء، كما لو كان له طريقان، أحدهما أقل غيبة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له في ما يسلكه من الطريق الزيادة على ما يحصل به 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يتوقف النصح غير المسبوق بالاستشارة على القطع بسلوك جادة الضرر أو يكفي الظن و الاحتمال؟ لا أستبعد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 وجوب النصيحة القطع بالقول، بل يكفي الظن 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تجب مع القطع بعدم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العدم، و لا فرق بين الضرر النفسي و المالي و العرضي كما يقضي بذلك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يختلف الضرر المالي باختلاف الأشخاص، فلا بد من مراعاة النسبة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3813701_3804643083"/>
      <w:bookmarkStart w:id="236" w:name="_Toc90"/>
      <w:bookmarkEnd w:id="235"/>
      <w:r>
        <w:rPr>
          <w:rtl w:val="true"/>
        </w:rPr>
        <w:t>ثامنها</w:t>
      </w:r>
      <w:r>
        <w:rPr>
          <w:rtl w:val="true"/>
        </w:rPr>
        <w:t xml:space="preserve">: </w:t>
      </w:r>
      <w:r>
        <w:rPr>
          <w:rtl w:val="true"/>
        </w:rPr>
        <w:t>من المستثنيات الجرح للشاهد و الراوي</w:t>
      </w:r>
      <w:bookmarkEnd w:id="23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مقدار حالهما لمعرفة المعادلة بين خبره و خبر غيره و بين شهادته و شهادة غيره، و لذلك وضعت كتب</w:t>
      </w:r>
      <w:bookmarkStart w:id="237" w:name="pg2491_24279"/>
    </w:p>
    <w:p>
      <w:pPr>
        <w:pStyle w:val="BookText"/>
        <w:rPr/>
      </w:pPr>
      <w:bookmarkEnd w:id="237"/>
      <w:r>
        <w:rPr>
          <w:rFonts w:ascii="Amiri" w:hAnsi="Amiri" w:eastAsia="Amiri" w:cs="Amiri"/>
          <w:color w:val="111111"/>
          <w:sz w:val="28"/>
          <w:sz w:val="28"/>
          <w:szCs w:val="28"/>
          <w:rtl w:val="true"/>
          <w:lang w:bidi="ar-SA"/>
        </w:rPr>
        <w:t xml:space="preserve">الرجال و التعديل و قسّمت الأخبار إلى الأقسام المشهورة، و على ذلك جرت عادة السلف من أهل الحق و أهل الباطل لا يتناكرون ذلك من الرواة و المحدّثين و الفقهاء و المجتهدين، و لو لا ذلك لم يكن الترجيح بالعدالة و خلافها و الأعدلية و خلافها و انسد طريق الاجتهاد، و من هذا الباب تعذّر ترجيح البينات عند المرافعات، و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بعض الرواة و نسبة الكذب إليهم و وضع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لو لا ذلك لضاعت الحقوق في الدماء و الأموال و غيرها، و ذلك مما يرجح ما دل على وجوب إقامة الشهادة على ما دل على حرمة الغيبة؛ لأن بين الدليلين عموم من وجه</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3813703_3804643083"/>
      <w:bookmarkStart w:id="239" w:name="_Toc91"/>
      <w:bookmarkEnd w:id="238"/>
      <w:r>
        <w:rPr>
          <w:rtl w:val="true"/>
        </w:rPr>
        <w:t>تاسعها</w:t>
      </w:r>
      <w:r>
        <w:rPr>
          <w:rtl w:val="true"/>
        </w:rPr>
        <w:t xml:space="preserve">: </w:t>
      </w:r>
      <w:r>
        <w:rPr>
          <w:rtl w:val="true"/>
        </w:rPr>
        <w:t>ما يقصد به دفع الضرر عن المذموم في عرض أو دم أو مال،</w:t>
      </w:r>
      <w:bookmarkEnd w:id="23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بنحو ذلك يجاب عن الطعن في زرارة و الهشامين كما بيّن 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بعض ما أمر به عبد الله بن زرارة تبليغ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 مني على والدك السلام فقل له إنما أعيبك دفاعا مني عنك؛ فإن الناس يسارعون إلى كل من قرّبناه و حمدناه لإدخال الأذى في من نحبه و نقرّبه و يذمونه لمحبتنا له و قربه و دنوّه منا و يرون إدخال الأذى عليه و قتله، و يحمدون كل من عيّبناه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يحمد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أعيبك لأنك رجل اشتهرت منا بميلك إلينا و أنت في ذلك مذموم غير محمود الأثر بمودتك لنا و لميلك إلينا، فأحببت أن أعيبك ليحمدوا أمرك في الدين بعيبك و نقصك، و يكون ذلك منا دافع شرهم عنك،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 هذا التنزيل من عند الله، لا و الله ما عابها إلا لكي تَسلم من الملك و لا تُغصب على يديه، و لقد كانت صالحة ليس للعيب فيها مساغ، و الحمد لله، فافهم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أحب الناس إليّ و أحب أصحاب أبي إليّ حيا و ميتا، و إنك أفضل سفن ذلك البحر القمقام الزاخر، و إن وراءك لملكا ظلوما غصوباً يرقب عبور كل سفينة صالحة ترد من بحر الهدى ليأخذها غصبا، و يغصب أهلها، فرحمة الله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عليك ميتاً</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bookmarkStart w:id="240" w:name="pg2491_24280"/>
    </w:p>
    <w:p>
      <w:pPr>
        <w:pStyle w:val="BookText"/>
        <w:rPr/>
      </w:pPr>
      <w:bookmarkEnd w:id="240"/>
      <w:r>
        <w:rPr>
          <w:rFonts w:ascii="Amiri" w:hAnsi="Amiri" w:eastAsia="Amiri" w:cs="Amiri"/>
          <w:color w:val="111111"/>
          <w:sz w:val="28"/>
          <w:sz w:val="28"/>
          <w:szCs w:val="28"/>
          <w:rtl w:val="true"/>
          <w:lang w:bidi="ar-SA"/>
        </w:rPr>
        <w:t>و لكن لا يخفى عليك أن هذا و شبهه غير داخل في موضوع الغيبة بعد ما عرفت من اعتبار قصد الانتقاص فيها</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3813705_3804643083"/>
      <w:bookmarkStart w:id="242" w:name="_Toc92"/>
      <w:bookmarkEnd w:id="241"/>
      <w:r>
        <w:rPr>
          <w:rtl w:val="true"/>
        </w:rPr>
        <w:t>عاشرها</w:t>
      </w:r>
      <w:r>
        <w:rPr>
          <w:rtl w:val="true"/>
        </w:rPr>
        <w:t xml:space="preserve">: </w:t>
      </w:r>
      <w:r>
        <w:rPr>
          <w:rtl w:val="true"/>
        </w:rPr>
        <w:t>ذكره بالاسم المعروف و الصفة المعروفة كالأعرج و الأعمش و الأشتر</w:t>
      </w:r>
      <w:bookmarkEnd w:id="242"/>
    </w:p>
    <w:p>
      <w:pPr>
        <w:pStyle w:val="BookText"/>
        <w:rPr/>
      </w:pPr>
      <w:r>
        <w:rPr>
          <w:rFonts w:ascii="Amiri" w:hAnsi="Amiri" w:eastAsia="Amiri" w:cs="Amiri"/>
          <w:color w:val="111111"/>
          <w:sz w:val="28"/>
          <w:sz w:val="28"/>
          <w:szCs w:val="28"/>
          <w:rtl w:val="true"/>
          <w:lang w:bidi="ar-SA"/>
        </w:rPr>
        <w:t xml:space="preserve">و نحوها لضرورة التعريف كما جرت عليه عادة العلماء في ذكر الرواة و المحدِّثين، فالسيرة و الإجماع المحصَّل و الأخبار شاهدة له، و قد ورد في كثير من الأخبار ذلك،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زينب الطاهرة الحولاء إلى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و لا بأس في ذلك في ما إذا صارت الصفة مشهورة بحيث لا يكره صاحبها وصفه بها، و لعله على ذلك تُنزَّل الأدلة المذكورة، و استثناء ذلك مبني على عدم اعتبار قصد الانتقاص في الغيبة، و قد عرفت أنه معتبر، بل قد عرفت أنه يعتبر في موضوع الغيبة المستورية، و هذا ليس من العيوب المستورة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يستلزم ذلك جواز الغيبة بالأوصاف الظاهرة مما لم يشتهر وصفه بها كالعور و العرج و القصر و نحوها و على ذلك يُنزّل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لما أشارت إلى قصر الامرأة إنك اغتبتها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يقال بجواز ذكر الأوصاف المذكورة عند العالم بها كغيرها من العيوب المعلومة بين المتكلم و المخاطب، فإنه قد يُشك في شمول أدلة المنع لمثله باعتبار عدم حصول أمر جديد، و الأحوط الترك خصوصا مع احتمال النسيان، و مع القطع به فالأقوى عدم الجواز</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3813707_3804643083"/>
      <w:bookmarkStart w:id="244" w:name="_Toc93"/>
      <w:bookmarkEnd w:id="243"/>
      <w:r>
        <w:rPr>
          <w:rtl w:val="true"/>
        </w:rPr>
        <w:t>حادي عشرها</w:t>
      </w:r>
      <w:r>
        <w:rPr>
          <w:rtl w:val="true"/>
        </w:rPr>
        <w:t xml:space="preserve">: </w:t>
      </w:r>
      <w:r>
        <w:rPr>
          <w:rtl w:val="true"/>
        </w:rPr>
        <w:t>الشهادة لإقامة الحدود و حفظ الدماء المعصومة و الأموال المحترمة</w:t>
      </w:r>
      <w:bookmarkEnd w:id="244"/>
    </w:p>
    <w:p>
      <w:pPr>
        <w:pStyle w:val="BookText"/>
        <w:rPr/>
      </w:pPr>
      <w:r>
        <w:rPr>
          <w:rFonts w:ascii="Amiri" w:hAnsi="Amiri" w:eastAsia="Amiri" w:cs="Amiri"/>
          <w:color w:val="111111"/>
          <w:sz w:val="28"/>
          <w:sz w:val="28"/>
          <w:szCs w:val="28"/>
          <w:rtl w:val="true"/>
          <w:lang w:bidi="ar-SA"/>
        </w:rPr>
        <w:t>لئلا تضيع الحقوق و يغلب الباطل على الحق؛ لأن المفسدة في ترك إقامة الحدود أعظم من المفسدة في الغيبة</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3813709_3804643083"/>
      <w:bookmarkStart w:id="246" w:name="_Toc94"/>
      <w:bookmarkEnd w:id="245"/>
      <w:r>
        <w:rPr>
          <w:rtl w:val="true"/>
        </w:rPr>
        <w:t>ثاني عشرها</w:t>
      </w:r>
      <w:r>
        <w:rPr>
          <w:rtl w:val="true"/>
        </w:rPr>
        <w:t xml:space="preserve">: </w:t>
      </w:r>
      <w:r>
        <w:rPr>
          <w:rtl w:val="true"/>
        </w:rPr>
        <w:t>ما دخل في النهي عن المنكر لتوقفه عليه،</w:t>
      </w:r>
      <w:bookmarkEnd w:id="24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الوقيعة في بعض العصاة ليرتدعوا عما هم عليه من المعصية</w:t>
      </w:r>
      <w:r>
        <w:rPr>
          <w:rFonts w:eastAsia="Amiri" w:cs="Amiri" w:ascii="Amiri" w:hAnsi="Amiri"/>
          <w:color w:val="111111"/>
          <w:sz w:val="28"/>
          <w:szCs w:val="28"/>
          <w:rtl w:val="true"/>
          <w:lang w:bidi="ar-SA"/>
        </w:rPr>
        <w:t>.</w:t>
      </w:r>
      <w:bookmarkStart w:id="247" w:name="pg2491_24281"/>
    </w:p>
    <w:p>
      <w:pPr>
        <w:pStyle w:val="Heading6"/>
        <w:numPr>
          <w:ilvl w:val="5"/>
          <w:numId w:val="1"/>
        </w:numPr>
        <w:rPr/>
      </w:pPr>
      <w:bookmarkStart w:id="248" w:name="__RefHeading___Toc3813711_3804643083"/>
      <w:bookmarkStart w:id="249" w:name="_Toc95"/>
      <w:bookmarkEnd w:id="247"/>
      <w:bookmarkEnd w:id="248"/>
      <w:r>
        <w:rPr>
          <w:rtl w:val="true"/>
        </w:rPr>
        <w:t>ثالث عشرها</w:t>
      </w:r>
      <w:r>
        <w:rPr>
          <w:rtl w:val="true"/>
        </w:rPr>
        <w:t xml:space="preserve">: </w:t>
      </w:r>
      <w:r>
        <w:rPr>
          <w:rtl w:val="true"/>
        </w:rPr>
        <w:t>نفي نسب من ادّعى نسبا و إن كان معذورا أو عرف بنسب،</w:t>
      </w:r>
      <w:bookmarkEnd w:id="249"/>
    </w:p>
    <w:p>
      <w:pPr>
        <w:pStyle w:val="BookText"/>
        <w:rPr/>
      </w:pPr>
      <w:r>
        <w:rPr>
          <w:rFonts w:ascii="Amiri" w:hAnsi="Amiri" w:eastAsia="Amiri" w:cs="Amiri"/>
          <w:color w:val="111111"/>
          <w:sz w:val="28"/>
          <w:sz w:val="28"/>
          <w:szCs w:val="28"/>
          <w:rtl w:val="true"/>
          <w:lang w:bidi="ar-SA"/>
        </w:rPr>
        <w:t>فيجوز تقيةً، و ربما وجب حتى لا يقع خلل في المواريث و النفقات و الأنكحة و غيرها، و يمكن إرجاعه لبعض ما تقدم</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3813713_3804643083"/>
      <w:bookmarkStart w:id="251" w:name="_Toc96"/>
      <w:bookmarkEnd w:id="250"/>
      <w:r>
        <w:rPr>
          <w:rtl w:val="true"/>
        </w:rPr>
        <w:t>رابع عشرها</w:t>
      </w:r>
      <w:r>
        <w:rPr>
          <w:rtl w:val="true"/>
        </w:rPr>
        <w:t xml:space="preserve">: </w:t>
      </w:r>
      <w:r>
        <w:rPr>
          <w:rtl w:val="true"/>
        </w:rPr>
        <w:t>التقية على نفس المستغيب أو على عرضه أو ماله،</w:t>
      </w:r>
      <w:bookmarkEnd w:id="251"/>
    </w:p>
    <w:p>
      <w:pPr>
        <w:pStyle w:val="BookText"/>
        <w:rPr/>
      </w:pPr>
      <w:r>
        <w:rPr>
          <w:rFonts w:ascii="Amiri" w:hAnsi="Amiri" w:eastAsia="Amiri" w:cs="Amiri"/>
          <w:color w:val="111111"/>
          <w:sz w:val="28"/>
          <w:sz w:val="28"/>
          <w:szCs w:val="28"/>
          <w:rtl w:val="true"/>
          <w:lang w:bidi="ar-SA"/>
        </w:rPr>
        <w:t>أو على نفس مؤمن أو عرضه أو ماله، كما يجوز الهجاء و الشتم و السب و جميع أنواع المعاصي عدا الدماء</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813715_3804643083"/>
      <w:bookmarkStart w:id="253" w:name="_Toc97"/>
      <w:bookmarkEnd w:id="252"/>
      <w:r>
        <w:rPr>
          <w:rtl w:val="true"/>
        </w:rPr>
        <w:t>خامس عشرها</w:t>
      </w:r>
      <w:r>
        <w:rPr>
          <w:rtl w:val="true"/>
        </w:rPr>
        <w:t xml:space="preserve">: </w:t>
      </w:r>
      <w:r>
        <w:rPr>
          <w:rtl w:val="true"/>
        </w:rPr>
        <w:t>ذكر المبتدعة و تصانيفهم و معائبهم و نقائصهم</w:t>
      </w:r>
      <w:bookmarkEnd w:id="253"/>
    </w:p>
    <w:p>
      <w:pPr>
        <w:pStyle w:val="BookText"/>
        <w:rPr/>
      </w:pPr>
      <w:r>
        <w:rPr>
          <w:rFonts w:ascii="Amiri" w:hAnsi="Amiri" w:eastAsia="Amiri" w:cs="Amiri"/>
          <w:color w:val="111111"/>
          <w:sz w:val="28"/>
          <w:sz w:val="28"/>
          <w:szCs w:val="28"/>
          <w:rtl w:val="true"/>
          <w:lang w:bidi="ar-SA"/>
        </w:rPr>
        <w:t>حذرا من ميل الناس إليهم و وقوع العباد في الفساد</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813717_3804643083"/>
      <w:bookmarkStart w:id="255" w:name="_Toc98"/>
      <w:bookmarkEnd w:id="254"/>
      <w:r>
        <w:rPr>
          <w:rtl w:val="true"/>
        </w:rPr>
        <w:t>سادس عشرها</w:t>
      </w:r>
      <w:r>
        <w:rPr>
          <w:rtl w:val="true"/>
        </w:rPr>
        <w:t xml:space="preserve">: </w:t>
      </w:r>
      <w:r>
        <w:rPr>
          <w:rtl w:val="true"/>
        </w:rPr>
        <w:t>ذكره عند من اطّلع على حاله و لم يزده الذكر علما</w:t>
      </w:r>
      <w:bookmarkEnd w:id="255"/>
    </w:p>
    <w:p>
      <w:pPr>
        <w:pStyle w:val="BookText"/>
        <w:rPr/>
      </w:pPr>
      <w:r>
        <w:rPr>
          <w:rFonts w:ascii="Amiri" w:hAnsi="Amiri" w:eastAsia="Amiri" w:cs="Amiri"/>
          <w:color w:val="111111"/>
          <w:sz w:val="28"/>
          <w:sz w:val="28"/>
          <w:szCs w:val="28"/>
          <w:rtl w:val="true"/>
          <w:lang w:bidi="ar-SA"/>
        </w:rPr>
        <w:t>لعدم حصول أمر جديد يصلح علة للمنع فيشك في دخوله تحت أدلة المنع، بل قد عرفت عدم دخوله تحت أدلة الغيبة لاعتبار حصول النقص فيها و لو عند السامع لاطّلاعه على ما لم يكن مطّلعا عليه فراجع و تأمل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 جملة من المستثنيات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ذكر بعض الصفات الذميمة التي لا تبعث على فسق مع تظاهره بها على رءوس الأشهاد لهتك حرمة نفسه،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 عن نفسه فلا غيبة له</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و لأنه كالذكر عند العالِمين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بعض الرواة و العلماء على بعض لتقديم المقدَّم في التقليد و الرواية و تأخير المؤخّر، بل مطلق التفضيل؛ لأنه ليس بقدح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لا عقل له و لا تمييز كالمجانين و بعض الأطفال من المؤمنين للشك في الدخول تحت أدلة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عليه في ذكر قدح عليه أو على المؤمن، فإنه يجوز و لو كان معذورا و استلزم قدحا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فعل خيرا من عبادة أو إكرام ضيف أو ترحّم على فقير و نحوها فدلت على بخل أو كسل أو نقصان غيره، فإنه لا يلزمه ترك العبادة و نحوها لذلك مع أنه من أقسام الغيبة على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أولاده و عياله و أتباعه و الملتحقين به ببعض الصفات تأديباً لهم و خوفاً عليهم من الوقوع في ما هو أعظم؛ لقضاء الحكمة</w:t>
      </w:r>
    </w:p>
    <w:p>
      <w:pPr>
        <w:pStyle w:val="BookText"/>
        <w:rPr/>
      </w:pPr>
      <w:r>
        <w:rPr>
          <w:rFonts w:ascii="Amiri" w:hAnsi="Amiri" w:eastAsia="Amiri" w:cs="Amiri"/>
          <w:color w:val="111111"/>
          <w:sz w:val="28"/>
          <w:sz w:val="28"/>
          <w:szCs w:val="28"/>
          <w:rtl w:val="true"/>
          <w:lang w:bidi="ar-SA"/>
        </w:rPr>
        <w:t>و السيرة؛ و لأن التابع و القريب لهما حكم آخر في التأديب كما يظهر من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من لا يشخِّصه و لا يميّزه و لا يحصره، فإنه لا بأس به و إن دخل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تعليق الذم بطائفة أو أهل بلاد أو قرية مع قيام القرينة على عدم إرادة الجميع كذم العرب و العجم و أهل الكوفة و البصرة و بعض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المعايب و المناقص في شخص ثمّ يُعقبها بما يدل على رجوعه و عود كماله كالنقل عن الحر و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روايتها عن شخص و تكذيبه في نقله لها، فلو سمّينا الناقل مغتابا و النقل غيبة لم يدخل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عيوب المملوك لإسقاط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عيوب المرأة في النكاح خوفا مما يترتب على التدليس </w:t>
      </w:r>
      <w:r>
        <w:rPr>
          <w:rStyle w:val="FootnoteAnchor"/>
          <w:rtl w:val="true"/>
        </w:rPr>
        <w:footnoteReference w:id="7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جملة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الموضوع فلا ينبغي عدُّه من المستثنيات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فحيث كان المستفاد من الأخبار أن حرمة الغيبة إنما هي لانتقاص المؤمن و أذيته، فإذا فرض وجود مصلحة للغيبة تعود للمستغيب أو للمستغاب أو إلى ثالث من المؤمنين قد دل العقل أو النقل على كونها أعظم من مصلحة احترام المؤمن بترك غيبته وجب اتباع أقوى المصلحتين كما هو القانون في كل معصية من حقوق الله أو من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ضابط الغيبة المحرمة كل فعل يُقصد به هتك عرض المؤمن أو التفكّه به أو إضحاك الناس منه، و أما ما كان لغرض صحيح فلا يحرم</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 و قال في محكي كشف الريبة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المرخَّص في ذكر مساوئ الغير غرض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التوصل إليه إلا بها</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فإذا كان كذلك فالمستثنيات لا تنحصر في عدد و لا تنتهي إلى حد بل هي موكولة إلى نظر الفقيه في ترجيح المصلحة كما لا يخفى</w:t>
      </w:r>
      <w:r>
        <w:rPr>
          <w:rFonts w:eastAsia="Amiri" w:cs="Amiri" w:ascii="Amiri" w:hAnsi="Amiri"/>
          <w:color w:val="111111"/>
          <w:sz w:val="28"/>
          <w:szCs w:val="28"/>
          <w:rtl w:val="true"/>
          <w:lang w:bidi="ar-SA"/>
        </w:rPr>
        <w:t>.</w:t>
      </w:r>
      <w:bookmarkStart w:id="256" w:name="pg2491_24283"/>
    </w:p>
    <w:p>
      <w:pPr>
        <w:pStyle w:val="Heading6"/>
        <w:numPr>
          <w:ilvl w:val="5"/>
          <w:numId w:val="1"/>
        </w:numPr>
        <w:rPr/>
      </w:pPr>
      <w:bookmarkStart w:id="257" w:name="__RefHeading___Toc3813719_3804643083"/>
      <w:bookmarkStart w:id="258" w:name="_Toc99"/>
      <w:bookmarkEnd w:id="256"/>
      <w:bookmarkEnd w:id="257"/>
      <w:r>
        <w:rPr>
          <w:rtl w:val="true"/>
        </w:rPr>
        <w:t>رابعها</w:t>
      </w:r>
      <w:r>
        <w:rPr>
          <w:rtl w:val="true"/>
        </w:rPr>
        <w:t xml:space="preserve">: </w:t>
      </w:r>
      <w:r>
        <w:rPr>
          <w:rtl w:val="true"/>
        </w:rPr>
        <w:t>في استماع الغيبة،</w:t>
      </w:r>
      <w:bookmarkEnd w:id="258"/>
    </w:p>
    <w:p>
      <w:pPr>
        <w:pStyle w:val="Heading6"/>
        <w:numPr>
          <w:ilvl w:val="5"/>
          <w:numId w:val="1"/>
        </w:numPr>
        <w:rPr/>
      </w:pPr>
      <w:bookmarkStart w:id="259" w:name="__RefHeading___Toc3813721_3804643083"/>
      <w:bookmarkStart w:id="260" w:name="_Toc100"/>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و هو محرم باتفاق أصحابنا، و الأخبار بذلك مستفيضة منها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المستمع أحد المغتابين</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 و منها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السامع للغيبة أحد المغتابين</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و المراد من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المستمع لعدم تصور الحرمة في السامع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و الاستماع إليها</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إلى غير ذلك من الأخبار المعتضدة بالإجماع المحصَّل فضلا عن المنقول نقلا مستفيضا كاد أن يكون متواترا، بل ربما دل الخبران المتقدمان على كونه من الكبائر لاقتضائهما كون المستمع مغتابا و الغيبة من الكبائر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يدل على كونه من الكبائر كالرواية المذكورة و نحوها ضعيفة السند </w:t>
      </w:r>
      <w:r>
        <w:rPr>
          <w:rStyle w:val="FootnoteAnchor"/>
          <w:rtl w:val="true"/>
        </w:rPr>
        <w:footnoteReference w:id="726"/>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اعتضادها بما سمعت، فلا وجه للطعن في سندها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فالحكم مما لا كلام فيه، و إنما يقع البحث هنا في أشياء</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3813723_3804643083"/>
      <w:bookmarkStart w:id="262" w:name="_Toc101"/>
      <w:bookmarkEnd w:id="261"/>
      <w:r>
        <w:rPr>
          <w:rtl w:val="true"/>
        </w:rPr>
        <w:t>أحدها</w:t>
      </w:r>
      <w:r>
        <w:rPr>
          <w:rtl w:val="true"/>
        </w:rPr>
        <w:t xml:space="preserve">: </w:t>
      </w:r>
      <w:r>
        <w:rPr>
          <w:rtl w:val="true"/>
        </w:rPr>
        <w:t>الظاهر جواز استماع الغيبة للرد على المستغيب فيما لو توقف الرد على الاستماع،</w:t>
      </w:r>
      <w:bookmarkEnd w:id="262"/>
    </w:p>
    <w:p>
      <w:pPr>
        <w:pStyle w:val="BookText"/>
        <w:rPr/>
      </w:pPr>
      <w:r>
        <w:rPr>
          <w:rFonts w:ascii="Amiri" w:hAnsi="Amiri" w:eastAsia="Amiri" w:cs="Amiri"/>
          <w:color w:val="111111"/>
          <w:sz w:val="28"/>
          <w:sz w:val="28"/>
          <w:szCs w:val="28"/>
          <w:rtl w:val="true"/>
          <w:lang w:bidi="ar-SA"/>
        </w:rPr>
        <w:t>لأن المفسدة في ترك الرد أعظم من المفسدة في استماع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يتوقف الرد على الاستماع فالظاهر عدم جوازه</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3813725_3804643083"/>
      <w:bookmarkStart w:id="264" w:name="_Toc102"/>
      <w:bookmarkEnd w:id="263"/>
      <w:r>
        <w:rPr>
          <w:rtl w:val="true"/>
        </w:rPr>
        <w:t>ثانيها</w:t>
      </w:r>
      <w:r>
        <w:rPr>
          <w:rtl w:val="true"/>
        </w:rPr>
        <w:t xml:space="preserve">: </w:t>
      </w:r>
      <w:r>
        <w:rPr>
          <w:rtl w:val="true"/>
        </w:rPr>
        <w:t>لم أرَ من أصحابنا من تعرض لحكم النظر إلى الإشارة و الكتابة</w:t>
      </w:r>
      <w:bookmarkEnd w:id="26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حكاية الأفعال لو عممنا الغيبة لها و أنها بحكم الاستماع أو لا؟ و تُبنى المسألة على أن حرمة الاستماع تعبّدية أو أنها لهتك حرمة المؤمن، فعلى الأول لا يعم الحكم ما ذكرناه بل هو باق على أصالة الجواز و الاباحة، و على الثاني يعم الحكم ما ذكرناه من النظر إلى تلك الأمور، و يكون الاستماع في الأخبار كناية عن الاطلاع على عورة المؤمن،</w:t>
      </w:r>
      <w:bookmarkStart w:id="265" w:name="pg2491_24284"/>
    </w:p>
    <w:p>
      <w:pPr>
        <w:pStyle w:val="BookText"/>
        <w:rPr/>
      </w:pPr>
      <w:bookmarkEnd w:id="265"/>
      <w:r>
        <w:rPr>
          <w:rFonts w:ascii="Amiri" w:hAnsi="Amiri" w:eastAsia="Amiri" w:cs="Amiri"/>
          <w:color w:val="111111"/>
          <w:sz w:val="28"/>
          <w:sz w:val="28"/>
          <w:szCs w:val="28"/>
          <w:rtl w:val="true"/>
          <w:lang w:bidi="ar-SA"/>
        </w:rPr>
        <w:t>و على التقديرين يلزم النهي عن هذه الأفعال لأنها محرمة، و لزوم النهي عنها لا يستلزم حرمة النظر إليها</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3813727_3804643083"/>
      <w:bookmarkStart w:id="267" w:name="_Toc103"/>
      <w:bookmarkEnd w:id="266"/>
      <w:r>
        <w:rPr>
          <w:rtl w:val="true"/>
        </w:rPr>
        <w:t>ثالثها</w:t>
      </w:r>
      <w:r>
        <w:rPr>
          <w:rtl w:val="true"/>
        </w:rPr>
        <w:t xml:space="preserve">: </w:t>
      </w:r>
      <w:r>
        <w:rPr>
          <w:rtl w:val="true"/>
        </w:rPr>
        <w:t>الظاهر أن حرمة الاستماع مخصوصة بالغيبة المحرمة،</w:t>
      </w:r>
      <w:bookmarkEnd w:id="267"/>
    </w:p>
    <w:p>
      <w:pPr>
        <w:pStyle w:val="BookText"/>
        <w:rPr/>
      </w:pPr>
      <w:r>
        <w:rPr>
          <w:rFonts w:ascii="Amiri" w:hAnsi="Amiri" w:eastAsia="Amiri" w:cs="Amiri"/>
          <w:color w:val="111111"/>
          <w:sz w:val="28"/>
          <w:sz w:val="28"/>
          <w:szCs w:val="28"/>
          <w:rtl w:val="true"/>
          <w:lang w:bidi="ar-SA"/>
        </w:rPr>
        <w:t xml:space="preserve">و أما المحللة فمنها ما يجوز استماعها جزما كالتظلّم و الاستفتاء، و كذلك لو كان الفاسق متجاهراً بالفسق عند المتكلم و السامع، أما لو كان متجاهراً عند المتكلم دون السامع ففي جواز استماع غيبته وجهان، يمكن القول بحرمة الاستماع هنا و إن جاز للمتكلم التكلم؛ لأن الأخبار جعلت السامع أحد المغتابين، فكما يحرم على المتكلم الغيبة إلا إذا كان متجاهراً عنده فكذا يحرم على السامع الاستماع إلا إذا كان متجاهراً عنده لأن السامع بحكم المتكلم كما هو صريح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القول بالجواز؛ لأنه قول غير منكر فلا بأس باستماعه، و لأصالة الإباحة، و لأن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المستمع أحد المغتابين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المستمع لغيبته كقائلها، فكما أن قائلها ليس بعاص فمستمعها كذلك، فتكون الأخبار المتقدمة دليلا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معنى الأخبار أ لا تسمع لغيبة كما لو تكلم بها، فإن جاز له التكلم بها جاز له استماعها، و إن حرم عليه التكلم بما حرم عليه استماعها كانت الأخبار دليلا على التحريم، لكن هذا خلاف ظاهر الرواية على تقدير قراءتها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التثنية، نعم لو قرأناها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كان الخبر ظاهرا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بجواز استماع ما يحل للمتكلم التكلم به من الغيبة، فهل يجوز استماع ما يشك السامع في حلّيته للمتكلم أو لا؟، وجهان ينشئان من حمل فعل المسلم و قوله على الصحة، و من إطلاق دليل حرمة الاستماع</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3813729_3804643083"/>
      <w:bookmarkStart w:id="269" w:name="_Toc104"/>
      <w:bookmarkEnd w:id="268"/>
      <w:r>
        <w:rPr>
          <w:rtl w:val="true"/>
        </w:rPr>
        <w:t>خامسها</w:t>
      </w:r>
      <w:r>
        <w:rPr>
          <w:rtl w:val="true"/>
        </w:rPr>
        <w:t xml:space="preserve">: </w:t>
      </w:r>
      <w:r>
        <w:rPr>
          <w:rtl w:val="true"/>
        </w:rPr>
        <w:t>يجب رد الغيبة</w:t>
      </w:r>
      <w:bookmarkEnd w:id="26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لظواهر الأخبار المتكثرة التي منها ما رواه أبو زرعة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اغتيب عنده أخوه المؤمن و هو يستطيع نصره خذله الله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 و مثله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 و منها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أخيه غيبة يسمعها في مجلس رد الله</w:t>
      </w:r>
      <w:bookmarkStart w:id="270" w:name="pg2491_24285"/>
    </w:p>
    <w:p>
      <w:pPr>
        <w:pStyle w:val="BookText"/>
        <w:rPr/>
      </w:pPr>
      <w:bookmarkEnd w:id="270"/>
      <w:r>
        <w:rPr>
          <w:rFonts w:ascii="Amiri" w:hAnsi="Amiri" w:eastAsia="Amiri" w:cs="Amiri"/>
          <w:color w:val="111111"/>
          <w:sz w:val="28"/>
          <w:sz w:val="28"/>
          <w:szCs w:val="28"/>
          <w:rtl w:val="true"/>
          <w:lang w:bidi="ar-SA"/>
        </w:rPr>
        <w:t>عنه ألف باب من الشر في الدنيا و الآخرة، فإن هو لم يردَّها و هو قادر على ردها و أعجبه، كان عليه كوزر من اغتابه</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 و منها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تطوّل على أخيه في غيبة سمعها ردها عنه، رد الله عنه ألف باب من الشر في الدنيا و الآخرة، فإن هو لم يردَّها و هو قادر على ردها، كان عليه كوزر من اغتاب سبعين مرة</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 و الظاهر أن زيادة الوزر في عدم الرد تنشأ من اجتراء المغتاب على غيبة المستغاب المذكور مع عدم الرد على غيبة غيره، أو يراد من عدم الرد الرضا بالغيبة فيزداد وزره لعدم اكتراثه بالدين و رضاه بانتهاك حرمة أخيه المؤمن كما يشعر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الظاهر أن المراد من الرد غير النهي عن الغيبة، بل المراد منه دفع النقص الذي يعتري أخاه المؤمن، كأن يقول في ما لو كان المذكور عيبا دنيويا ليس العيب إلا ما عابه الله، و جل من لا عيب فيه، و إن كان عيبا دينيا يحمله على الصحة إن أمكن، و مع عدم الإمكان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يبتلى المؤمن بالمعصية، فينبغي أن يستغفر له و يهتم له إلى غير ذلك مما يكون رادّا للغيبة و دافعا لنقصها المتعلق بأخيه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بعض الأصحاب كون الرد هو النهي عن الغيبة و فيه ما لا يخفى</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3813731_3804643083"/>
      <w:bookmarkStart w:id="272" w:name="_Toc105"/>
      <w:bookmarkEnd w:id="271"/>
      <w:r>
        <w:rPr>
          <w:rtl w:val="true"/>
        </w:rPr>
        <w:t>سادسها</w:t>
      </w:r>
      <w:r>
        <w:rPr>
          <w:rtl w:val="true"/>
        </w:rPr>
        <w:t xml:space="preserve">: </w:t>
      </w:r>
      <w:r>
        <w:rPr>
          <w:rtl w:val="true"/>
        </w:rPr>
        <w:t>الظاهر أن الغيبة تتضمن حق الناس فيتوقف دفعها على إسقاط المستغاب و إبرائه،</w:t>
      </w:r>
      <w:bookmarkEnd w:id="27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المؤمن على المؤمن ألا يغتابه</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 و إن حرمة عرض المسلم كحرمة دمه و ماله؛ و لأن الغيبة ظلم للمستغاب و اجتراء عليه و هتك لحرمته، و أما الثاني فلاستصحاب بقاء ذلك الحق إلى أن يحصل الإسقاط و الإبراء، و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لا تُغفر حتى يَغفر صاحبها</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 و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ليدَعُ من حقوق أخيه شيئا فيطالبه به يوم القيامة، و يُقضى له و عليه</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 و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لأخيه عنده مظلمة في عرض أو مال فليستحلَّها</w:t>
      </w:r>
    </w:p>
    <w:p>
      <w:pPr>
        <w:pStyle w:val="BookText"/>
        <w:rPr/>
      </w:pPr>
      <w:r>
        <w:rPr>
          <w:rFonts w:ascii="Amiri" w:hAnsi="Amiri" w:eastAsia="Amiri" w:cs="Amiri"/>
          <w:color w:val="111111"/>
          <w:sz w:val="28"/>
          <w:sz w:val="28"/>
          <w:szCs w:val="28"/>
          <w:rtl w:val="true"/>
          <w:lang w:bidi="ar-SA"/>
        </w:rPr>
        <w:t>من قبل أن يأتي يوم ليس هناك دينار و لا درهم، فيؤخذ من حسناته، فإن لم يكن له حسنات أُخذ من سيئات صاحبه فزيدت على سيئاته</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 و النبوي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اغتاب مسلما أو مسلمة لم يقبل الله صلاته و لا صيامه أربعين يوما و ليلة إلا أن يغفر له صاحبه</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 و 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كفارة الاغتياب أن تستغفر لمن اغتبته كما ذكرته</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جمع شرائط الحجّية أمكن جعل الاستغفار طريقا ثانياً للبراءة مع احتمال إرادة كون الاستغفار كفارة المذنب، نظير كفارة قتل الخطأ، اللهم إلا أن يُدّعى ظهور الخبر في كون الاستغفار مبرئ من دون إبراء و تحليل،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جمع بعض الأصحاب بين الأخبار بحمل خبر الاستغفار على من لم تبلغه الغيبة، و حمل أخبار الاستبراء على من بلغته، و أُلحق بمن لم تبلغه من تعذر الوصول إليه لموته أو لبعده، و أيّد ذلك بأن الاستبراء مثير للضغائن و الشحناء، و هو كما ترى، لأن خبر الاستغفار إن جمع شرائط الحجّية كان الاستغفار طريقا لرفع الغيبة مطلقا، و إن لم يكن جامعا لشرائط الحجّية لم يحصل ارتفاع الغيبة إلا بالتحليل و الإبراء، و تعذّرُ الاستبراء و حصول المفسدة فيه لا يستلزم وجود مبرئ آخر، و روى السكوني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فغابه فليستغفر الله له؛ فإنه كفارة له</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و هي مما تؤيد الخبر السابق، فجعْلُه طريقا آخر مما لا بأس 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روى بعض أصحابنا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اغتبت فبلغ المغتابَ فاستحِلّ منه، و إن لم يبلغه فاستغفر الله</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و هي تقضي بوجوب الاستحلال مع بلوغ المغتاب، فإن صحت كانت مؤيدة للتفصيل المتقدم</w:t>
      </w:r>
      <w:r>
        <w:rPr>
          <w:rFonts w:eastAsia="Amiri" w:cs="Amiri" w:ascii="Amiri" w:hAnsi="Amiri"/>
          <w:color w:val="111111"/>
          <w:sz w:val="28"/>
          <w:szCs w:val="28"/>
          <w:rtl w:val="true"/>
          <w:lang w:bidi="ar-SA"/>
        </w:rPr>
        <w:t>.</w:t>
      </w:r>
      <w:bookmarkStart w:id="273" w:name="pg2491_24287"/>
    </w:p>
    <w:p>
      <w:pPr>
        <w:pStyle w:val="BookText"/>
        <w:rPr/>
      </w:pPr>
      <w:bookmarkEnd w:id="273"/>
      <w:r>
        <w:rPr>
          <w:rFonts w:ascii="Amiri" w:hAnsi="Amiri" w:eastAsia="Amiri" w:cs="Amiri"/>
          <w:color w:val="111111"/>
          <w:sz w:val="28"/>
          <w:sz w:val="28"/>
          <w:szCs w:val="28"/>
          <w:rtl w:val="true"/>
          <w:lang w:bidi="ar-SA"/>
        </w:rPr>
        <w:t>و الحق أن الأخبارَ الدالة على ثبوت حق المستغاب على المستغيب نظير الحقوق المالية بحيث تجب البراءة منه غيرُ نقية السند، و على تقدير صحة سندها فهي غير واضحة الدلالة لاشتمالها على عدة حقوق لا يجب البراءة منها، فأصالة البراءة من الاستحلال و الاستغفار له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الأدلة الدالة على ثبوت الحق المذكور واضحة السند صريحة الدلالة كان التمسك بأصالة بقاء الحق إلى أن يحصل التحليل أو الإبراء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قال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أنها كحدود الله و إن كانت متعلقة بالناس، فيكفي فيها التوبة و لا يحتاج إلى التحليل من المغتاب، و الخبر السابق مطّرح لعدم جمعه لشرائط الحجّية في السند و غيره، و لمعارضته بالنبوي الآخر كما ستسمع، فلا يصلح معارضا لما دل على إجزاء التوبة عن العاصي و إن الله يغفر عن العبد بها جميع المعاصي، و التعلق بالناس أعم من كونه كالمال الثابت بقاؤه في الذمة المتوقف فراغ الذمة منه على الإبراء و نحوه بدليل خاص، كما أن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كفارة الاغتياب الاستغفار له </w:t>
      </w:r>
      <w:r>
        <w:rPr>
          <w:rStyle w:val="FootnoteAnchor"/>
          <w:rtl w:val="true"/>
        </w:rPr>
        <w:footnoteReference w:id="739"/>
      </w:r>
      <w:r>
        <w:rPr>
          <w:rFonts w:ascii="Amiri" w:hAnsi="Amiri" w:eastAsia="Amiri" w:cs="Amiri"/>
          <w:color w:val="111111"/>
          <w:sz w:val="28"/>
          <w:sz w:val="28"/>
          <w:szCs w:val="28"/>
          <w:rtl w:val="true"/>
          <w:lang w:bidi="ar-SA"/>
        </w:rPr>
        <w:t>محمول على ضرب من الاستحباب دون الفرض و الإيجاب؛ و لذا لم يذكروه في الكفارات، فمن الغريب عمل بعض الناس به مع عدم صلاحيته لإثبات الوجوب من وجوه إلا أنه مع ذلك فالاحتياط لا ينبغي تركه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3813733_3804643083"/>
      <w:bookmarkStart w:id="275" w:name="_Toc106"/>
      <w:bookmarkEnd w:id="274"/>
      <w:r>
        <w:rPr>
          <w:rtl w:val="true"/>
        </w:rPr>
        <w:t xml:space="preserve">و من جملة ما يحرم التكسب به </w:t>
      </w:r>
      <w:r>
        <w:rPr>
          <w:rtl w:val="true"/>
        </w:rPr>
        <w:t>( (</w:t>
      </w:r>
      <w:r>
        <w:rPr>
          <w:rtl w:val="true"/>
        </w:rPr>
        <w:t>السحر</w:t>
      </w:r>
      <w:r>
        <w:rPr>
          <w:rtl w:val="true"/>
        </w:rPr>
        <w:t>))</w:t>
      </w:r>
      <w:bookmarkEnd w:id="275"/>
    </w:p>
    <w:p>
      <w:pPr>
        <w:pStyle w:val="Heading6"/>
        <w:numPr>
          <w:ilvl w:val="5"/>
          <w:numId w:val="1"/>
        </w:numPr>
        <w:rPr/>
      </w:pPr>
      <w:bookmarkStart w:id="276" w:name="__RefHeading___Toc3813735_3804643083"/>
      <w:bookmarkStart w:id="277" w:name="_Toc107"/>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و الكلام في حكمه و في موضوعه</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3813737_3804643083"/>
      <w:bookmarkStart w:id="279" w:name="_Toc108"/>
      <w:bookmarkEnd w:id="278"/>
      <w:r>
        <w:rPr>
          <w:rtl w:val="true"/>
        </w:rPr>
        <w:t>أما حكمه فيحرم عمل السحر بلا خلاف بين المسلمين،</w:t>
      </w:r>
      <w:bookmarkEnd w:id="27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من الضروريات التي يدخل منكرها في زمرة الكافرين، و الكتاب و السنة شاهدان على ذلك، 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جِئْتُمْ بِهِ السِّحْرُ إِنَّ اللّٰهَ سَيُبْطِلُهُ إِنَّ اللّٰهَ لٰا يُصْلِحُ عَمَلَ الْمُفْسِدِينَ</w:t>
      </w:r>
      <w:r>
        <w:rPr>
          <w:rFonts w:eastAsia="Amiri" w:cs="Amiri" w:ascii="Amiri" w:hAnsi="Amiri"/>
          <w:color w:val="111111"/>
          <w:sz w:val="28"/>
          <w:szCs w:val="28"/>
          <w:rtl w:val="true"/>
          <w:lang w:bidi="ar-SA"/>
        </w:rPr>
        <w:t xml:space="preserve">) </w:t>
      </w:r>
      <w:r>
        <w:rPr>
          <w:rStyle w:val="FootnoteAnchor"/>
          <w:rtl w:val="true"/>
        </w:rPr>
        <w:footnoteReference w:id="7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يُفْلِحُ السّٰاحِرُ حَيْثُ أَتىٰ</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يُعَلِّمٰانِ مِنْ أَحَدٍ حَتّٰى يَقُولٰا إِنَّمٰا نَحْنُ فِتْنَةٌ فَلٰا تَكْفُرْ</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السنة فقد تواترت أو تضافرت في ذلك، فمنها خبر السكوني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 ساحر الكفار لا يُقتل،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لا يُقتل ساحر الكفار؟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الشرك أعظم من السحر؛ و لأن الشرك و السحر مقرونان</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 و منها خبر أبي البختري المروي عن قرب الإسناد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شيئا من السحر قليلا أو كثيرا فقد كفر، و كان آخر عهده بربه، وحده أن يُقتل إلا أن يتوب</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و الظاهر أن التعلم للعمل كما هو المعروف في التعلم، فإذا كان لذلك فيدل الخبر على حرمة العمل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الساحر كالكافر</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 فإن المراد من الساحر العامل،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خمر، و مدمن سحر، و قاطع رحم</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الدالة على تحريم عمله، بل هو من الضروريات، فلو استحله مسلم قتل لصيرورته مرتداً بإنكار ضروري من ضروريات الدين إن كان إسلامه فطرياً بحيث لا تُقبل توبته، حيث انعقدت من مسلم نطفته، و بنيت على الإسلام فطرته، و غير الفطري إن تاب و عاد قتل في الثالثة أو الرابعة، و لو استحله كافر فلا قتل عليه، و ظاهر الآية و الأخبار كفر الساحر بفعله إن كان مسلما و إن لم</w:t>
      </w:r>
    </w:p>
    <w:p>
      <w:pPr>
        <w:pStyle w:val="BookText"/>
        <w:rPr/>
      </w:pPr>
      <w:r>
        <w:rPr>
          <w:rFonts w:ascii="Amiri" w:hAnsi="Amiri" w:eastAsia="Amiri" w:cs="Amiri"/>
          <w:color w:val="111111"/>
          <w:sz w:val="28"/>
          <w:sz w:val="28"/>
          <w:szCs w:val="28"/>
          <w:rtl w:val="true"/>
          <w:lang w:bidi="ar-SA"/>
        </w:rPr>
        <w:t xml:space="preserve">يكن مستحلا، و حيث يتعذر العمل بظاهرها لمعلومية حصر أسباب الكفر في غيره، فالمراد المشاركة للكافر في الحكم، و هو وجوب القتل بمجرد فعل الساحر بسبب إظهاره ما لا ينبغي صدوره إلا من الله تعالى فأُطلق عليه اسم الكفر و الشرك باعتبار المشاركة في الحكم، و هو وجوب القتل بمجرد الفعل، و نسب إلى الأكثر تقييد القتل بالاستحلال، و لعلهم يريدون مجرد الفعل، و إن أمكن حمل كلامهم على ذلك فلا كلام، و إلا فإن تم اجماع اتُّبع، و إلا فالأدلة مطلقة، و اعتبار بعض الأصحاب الإصرار على العمل في وجوب القتل استظهارا لذلك من الأخبار كما ترى، و لعله استظهر ذلك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المتقدم، و هو كما ترى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فالذي يقوى في النظر قتل الساحر إن كان مسلما بمجرد فعله و إن لم يكن مستحلًا، بل و إن لم يصرَّ على فعله و يؤيده ما سيأتي في الكهانة؛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يُعَلِّمٰانِ مِنْ أَحَدٍ حَتّٰى يَقُولٰا إِنَّمٰا نَحْنُ فِتْنَةٌ فَلٰا تَكْفُرْ</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و دعوى أن ذلك خاص بتلك الملة يرده أن ظاهر نقله في القرآن أن حكمه باق إلى الآن، و إطلاق الكفر على عامله يقتضي ثبوت حكمه له و هو وجوب القتل، هذا مضافاً إلى الأخبار المتكثّرة المارة، و إلى الأخبار الواردة في الكهانة، و تقييد وجوب القتل بالاستحلال لا يناسب عظمة ذنب الساحر، و إطلاق الكفر و الشرك عليه؛ لأن ذلك حكم أكثر المعاصي الصغار فضلا عن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ظهر لك ما في كلام بعض المتأخرين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 المستحل فقد يظهر من جماعة عدم القتل به خلافا لبعض، فجعله حدا له مطلقاً، و لعله لإطلاق الأدلة، و لا يخلو من توقف</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و ظاهر الأدلة المتقدمة أن فعله من المحرمات النفسية لا باعتبار ما يترتب عليه من الأحوال و الغايات على نحو ما في المحرمات النفسية، فهو محرم و إن كان لبعض الأمور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حكم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تعلُّمه و تعليمه فالظاهر أنهما متلازمان حكما كما لا يخفى مع اتحاد الغاية المقصودة لهما، و لو اختلفت الغاية المقصودة كان لكلٍّ حكم ما قصد من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فإن كان التعليم و التعلُّم لتحصيل مرتبة الفضل و التباعد عن حضيض الجهل، أو ليحذر الناس أو ليحذّر من عامله أو ليتجنب من أن يدخل في جملة فاعله، فالظاهر جوازهما وفاقا لجدي المرحوم في شرح القواعد </w:t>
      </w:r>
      <w:r>
        <w:rPr>
          <w:rStyle w:val="FootnoteAnchor"/>
          <w:rtl w:val="true"/>
        </w:rPr>
        <w:footnoteReference w:id="750"/>
      </w:r>
      <w:r>
        <w:rPr>
          <w:rFonts w:ascii="Amiri" w:hAnsi="Amiri" w:eastAsia="Amiri" w:cs="Amiri"/>
          <w:color w:val="111111"/>
          <w:sz w:val="28"/>
          <w:sz w:val="28"/>
          <w:szCs w:val="28"/>
          <w:rtl w:val="true"/>
          <w:lang w:bidi="ar-SA"/>
        </w:rPr>
        <w:t xml:space="preserve">، و للفاضل المعاصر في الجواهر </w:t>
      </w:r>
      <w:r>
        <w:rPr>
          <w:rStyle w:val="FootnoteAnchor"/>
          <w:rtl w:val="true"/>
        </w:rPr>
        <w:footnoteReference w:id="751"/>
      </w:r>
      <w:r>
        <w:rPr>
          <w:rFonts w:ascii="Amiri" w:hAnsi="Amiri" w:eastAsia="Amiri" w:cs="Amiri"/>
          <w:color w:val="111111"/>
          <w:sz w:val="28"/>
          <w:sz w:val="28"/>
          <w:szCs w:val="28"/>
          <w:rtl w:val="true"/>
          <w:lang w:bidi="ar-SA"/>
        </w:rPr>
        <w:t xml:space="preserve">، بل عن تفسير الرازي أنه اتفق المحققون على ذلك </w:t>
      </w:r>
      <w:r>
        <w:rPr>
          <w:rStyle w:val="FootnoteAnchor"/>
          <w:rtl w:val="true"/>
        </w:rPr>
        <w:footnoteReference w:id="752"/>
      </w:r>
      <w:r>
        <w:rPr>
          <w:rFonts w:ascii="Amiri" w:hAnsi="Amiri" w:eastAsia="Amiri" w:cs="Amiri"/>
          <w:color w:val="111111"/>
          <w:sz w:val="28"/>
          <w:sz w:val="28"/>
          <w:szCs w:val="28"/>
          <w:rtl w:val="true"/>
          <w:lang w:bidi="ar-SA"/>
        </w:rPr>
        <w:t>، قال بعض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يجب حيث يتوقف الفرق بين المعجز و السحر عليه</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 و ذلك لأصالة الإباحة و لأن العلم حسن في الذات داخل في عداد الكمالات، و الكراهة و التحريم في بعض الصناعات من قبيل الحياكة و الصياغة و الحجامة و نحوها إنما هو باعتبار العمل، و إلا فعلمها خير من جهلها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التعلّم و التعليم لأنْ يكون عالما أو لتحذير نفسه و غيره من الوقوع في البلية من الأمور الراجحة، بل علم السحر لا يخلو منه الأنبياء، و أرباب المكاشفات من العلماء، بل 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ذكرناه من أن الأصلَ و حسن العلم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قصة الملَكين المعلّمَين </w:t>
      </w:r>
      <w:r>
        <w:rPr>
          <w:rStyle w:val="FootnoteAnchor"/>
          <w:rtl w:val="true"/>
        </w:rPr>
        <w:footnoteReference w:id="755"/>
      </w:r>
      <w:r>
        <w:rPr>
          <w:rFonts w:ascii="Amiri" w:hAnsi="Amiri" w:eastAsia="Amiri" w:cs="Amiri"/>
          <w:color w:val="111111"/>
          <w:sz w:val="28"/>
          <w:sz w:val="28"/>
          <w:szCs w:val="28"/>
          <w:rtl w:val="true"/>
          <w:lang w:bidi="ar-SA"/>
        </w:rPr>
        <w:t xml:space="preserve">في القرآن </w:t>
      </w:r>
      <w:r>
        <w:rPr>
          <w:rStyle w:val="FootnoteAnchor"/>
          <w:rtl w:val="true"/>
        </w:rPr>
        <w:footnoteReference w:id="756"/>
      </w:r>
      <w:r>
        <w:rPr>
          <w:rFonts w:ascii="Amiri" w:hAnsi="Amiri" w:eastAsia="Amiri" w:cs="Amiri"/>
          <w:color w:val="111111"/>
          <w:sz w:val="28"/>
          <w:sz w:val="28"/>
          <w:szCs w:val="28"/>
          <w:rtl w:val="true"/>
          <w:lang w:bidi="ar-SA"/>
        </w:rPr>
        <w:t>فإن ذلك دليل على حلّية التعلّم و التعليم، أما دلالتها على حلّية التعليم فواضحة، و أما دلالتها على حلّية التعلّم فلأنه لو لم يكن حلالًا لكان ذلك من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يعلّمان من يعمل، فيكون من الإعانة على الإثم،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قصدهما الإعانة يدفع إشكال حرمتها، أو أنهما يعلمان العلم دون العمل، و العلم لا يستلزم معرفة العمل، أو أن ذلك جائز لهما بالخصوص لكون نزولهما فتنة و ابتلاء، و جميع ما ورد من لفظ الساحر و السحر و السحرة في الأدلة يراد به العملة، بل الظاهر أنه منصرف للعملة، و ما ورد في الأخبار من تحريم التعلّم، و إن حد المتعلم القتل يراد به التعلم بقصد العمل أو مع العمل؛ إذ القتل من حدود العامل دون العالم، مع أن الظاهر انصراف التعلّم إلى النحو المألوف من إرادة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تلامذة جدي المرحوم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الأستاذ العلامة في شرحه جواز تعلم السحر لا للعمل، بل لمجرد المعرفة و الترفّع عن حضيض الجهل مع اعترافه بحرمة عمل السحر ذاتاً، و هو كالمستعرض في المقام؛ فإن تحريم العمل ذاتا يقتضي تحريم تعلّمه كذلك، على نحو تعلّم علم القمار و علم الغناء، بل العقل حاكم بقبح تعلّمها من غير ضرورة إليه، مع أن إطلاق ما دل على تحريم تعلّمها و تعليمها متناول لما إذا كان بقصد العمل و بدونه، و دعوى انصرافه إلى ما كان بقصد العمل في حيّز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لأن حرمة العمل ذاتا لا تقتضي سوى تحريم التعلّم للعمل، على أن ما ادّعاه من حرمة تعليم علم القمار و الغناء في حيّز المنع، و دعوى قبح التعلّم عقلا ممنوعة، بل التعلّم للعلم حسن كما عرفت، و أما انصراف الإطلاقات إلى التعلّم للعمل فمما لا كلام فيه كما عرفت، و ما يظهر من بعض أصحابنا من أن عمله مستلزم للمحرم من الكفر و نحوه ممنوعة أشد المنع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نسب إلى الشهيدين </w:t>
      </w:r>
      <w:r>
        <w:rPr>
          <w:rStyle w:val="FootnoteAnchor"/>
          <w:rtl w:val="true"/>
        </w:rPr>
        <w:footnoteReference w:id="757"/>
      </w:r>
      <w:r>
        <w:rPr>
          <w:rFonts w:ascii="Amiri" w:hAnsi="Amiri" w:eastAsia="Amiri" w:cs="Amiri"/>
          <w:color w:val="111111"/>
          <w:sz w:val="28"/>
          <w:sz w:val="28"/>
          <w:szCs w:val="28"/>
          <w:rtl w:val="true"/>
          <w:lang w:bidi="ar-SA"/>
        </w:rPr>
        <w:t>اعلى مقامهما و غيرهما القول بجواز تعلم السحر ليُتوقى به و لدفع سحر المتنبي حيث نسب إليهما القول بوجوبه كفاية، و ناقشهما في ذلك بعض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ضرورة في ما ذكروه من التوقّي لندرة تأثيره في إضرار العباد؛ فإنه لا يضر أحداً إلا بإذن الله تعالى، و لو تسلط الساحر بسحره لنَفى عنه الفقر و العدم و استجلب كل محبوب له في الدنيا، و البديهة حاكمة بخلافه، كما لا ضرورة في دفع سحر المتنبي لاستحالة ظهوره على يديه عقلا في مقام دعوى النبوة،</w:t>
      </w:r>
    </w:p>
    <w:p>
      <w:pPr>
        <w:pStyle w:val="BookText"/>
        <w:rPr/>
      </w:pPr>
      <w:r>
        <w:rPr>
          <w:rFonts w:ascii="Amiri" w:hAnsi="Amiri" w:eastAsia="Amiri" w:cs="Amiri"/>
          <w:color w:val="111111"/>
          <w:sz w:val="28"/>
          <w:sz w:val="28"/>
          <w:szCs w:val="28"/>
          <w:rtl w:val="true"/>
          <w:lang w:bidi="ar-SA"/>
        </w:rPr>
        <w:t>و ما لا يثبت إلا بالإعجاز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كما ترى؛ ضرورة تأثير السحر في أغلب المسحورين، و عدم ظهور السحر على يد الكاذب ممنوع، بل الممتنع ظهوره على يد الكاذب المعجزة دون السحر، على أنه يمكن أن يكون مستند الشهيدين و من تبعهما في هذه المقالة الأخبار المتكثّرة الدالة على جواز ذلك و إن لم يكن في ذلك ضرورة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استدل من جوّز عمل السحر للحل و الإبطال بعدة من الأخبار، منها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عيسى بن سيفي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ساحراً يأتيه الناس و يأخذ على ذلك الأجر،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رجل كانت صناعتي السحر، و كنت آخذ عليه الأجر، و كان معاشي، و قد حججت و منّ الله عليّ بلقائك و قد تبت إلى الله تعالى، فهل لي في شي‌ء من ذلك مخرج،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 لا تعقد</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 و منها ما رواه الصدوق مرسلًا في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توبة الساحر أن يحلّ و لا يعقد</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 و منها المروي عن العيون و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عَلَى الْمَلَكَيْنِ</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إلى آخره،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بعد نوح قد كثرت السحرة و المموّهون فبعث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ملكين إلى نبي ذلك الزمان بذكر ما يسحر به السحرة و ذكر ما يبطل به سحرهم و يرد كيدهم، فتلقّاه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عن الملكين و أداه إلى عباد الله بأمر الله أن يقفوا به السحر و أن يبطلوه، و نهاهم عن أن يسحروا به</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 و منها المروي عن العيون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هاروت و ماروت فكانا ملكين علّما الناس السحر ليحترزوا به من سحر السحرة</w:t>
      </w:r>
    </w:p>
    <w:p>
      <w:pPr>
        <w:pStyle w:val="BookText"/>
        <w:rPr/>
      </w:pPr>
      <w:r>
        <w:rPr>
          <w:rFonts w:ascii="Amiri" w:hAnsi="Amiri" w:eastAsia="Amiri" w:cs="Amiri"/>
          <w:color w:val="111111"/>
          <w:sz w:val="28"/>
          <w:sz w:val="28"/>
          <w:szCs w:val="28"/>
          <w:rtl w:val="true"/>
          <w:lang w:bidi="ar-SA"/>
        </w:rPr>
        <w:t>و يبطلوا به كيدهم</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 و منها خبر العلاء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يُعمل لها السحر يحلّونه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أصحابنا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النصوص مع قصورها عما دل على الحرمة من وجوه محتمِلة للحل بغيره</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كالمنقول من جملة كتب الفاضل و غيرها من جواز حله بالقرآن و الذكر و الأقسام و نحوها لا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نسب إلى الفاضل و ظاهر الأكثر المنع، فما في شرح القواعد من نسبة الجواز إلى كثير من الأصحاب مما لا وجه 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فلعل المنع أقوى لإطلاق أدلته، و عدم قابلية هذه النصوص لتقييد تلك الإطلاقات، فلا بد من اطّراحها و عدم التعويل عليها، و أما حملها على الحل بغيره كما سمعت فلا تساعد عليه ظواهر النصوص المذكورة خصوصا خبر العيون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حمل ما عداها على الحل بغير السحر كالقرآن و الذكر و الدعاء و التعويذ، و هما مع ضعفهما مخصوصان بتلك الشريعة، و شرعُ من قبلنا حجة ما لم يُعرف نسخه بما عرفت من الأدلة المطلقة مع أنهما معارضان بخبر الاحتجاج،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البلاء و موقف فتنة، 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لو فعل الإنسان كذا و كذا لكان كذا، و لو يُعالج بكذا لصار كذا، أصناف السحر فيتعلمون منهما ما يخرج منهما، فيقولان إنما نحن فتنة، فلا تأخذوا عنا ما يضركم و لا ينفعكم</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 فعلم أن ما مال إليه المولى الأردبيلي من الجواز </w:t>
      </w:r>
      <w:r>
        <w:rPr>
          <w:rStyle w:val="FootnoteAnchor"/>
          <w:rtl w:val="true"/>
        </w:rPr>
        <w:footnoteReference w:id="768"/>
      </w:r>
      <w:r>
        <w:rPr>
          <w:rFonts w:ascii="Amiri" w:hAnsi="Amiri" w:eastAsia="Amiri" w:cs="Amiri"/>
          <w:color w:val="111111"/>
          <w:sz w:val="28"/>
          <w:sz w:val="28"/>
          <w:szCs w:val="28"/>
          <w:rtl w:val="true"/>
          <w:lang w:bidi="ar-SA"/>
        </w:rPr>
        <w:t>للاقتصار في ما خالف الأصل على المتيقَّن بناءً على ضعف النصوص المثبتة للتحريم على الإطلاق و لا جابر لها من إجماع أو غيره مما لا وجه له؛ لانقطاع الأصل بالأخبار المستفيضة</w:t>
      </w:r>
      <w:bookmarkStart w:id="280" w:name="pg2491_24294"/>
    </w:p>
    <w:p>
      <w:pPr>
        <w:pStyle w:val="BookText"/>
        <w:rPr/>
      </w:pPr>
      <w:bookmarkEnd w:id="280"/>
      <w:r>
        <w:rPr>
          <w:rFonts w:ascii="Amiri" w:hAnsi="Amiri" w:eastAsia="Amiri" w:cs="Amiri"/>
          <w:color w:val="111111"/>
          <w:sz w:val="28"/>
          <w:sz w:val="28"/>
          <w:szCs w:val="28"/>
          <w:rtl w:val="true"/>
          <w:lang w:bidi="ar-SA"/>
        </w:rPr>
        <w:t>المعمول بها في باب الحدود المعتضدة بالإجماعات الشاملة معاقدها بإطلاقها لذلك، و قد سمعتها، و أخبار الحل مطّرحة أو مخصوصة بغير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حكمه</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3813739_3804643083"/>
      <w:bookmarkStart w:id="282" w:name="_Toc109"/>
      <w:bookmarkEnd w:id="281"/>
      <w:r>
        <w:rPr>
          <w:rtl w:val="true"/>
        </w:rPr>
        <w:t>موضوعه</w:t>
      </w:r>
      <w:bookmarkEnd w:id="282"/>
    </w:p>
    <w:p>
      <w:pPr>
        <w:pStyle w:val="BookText"/>
        <w:rPr/>
      </w:pPr>
      <w:r>
        <w:rPr>
          <w:rFonts w:ascii="Amiri" w:hAnsi="Amiri" w:eastAsia="Amiri" w:cs="Amiri"/>
          <w:color w:val="111111"/>
          <w:sz w:val="28"/>
          <w:sz w:val="28"/>
          <w:szCs w:val="28"/>
          <w:rtl w:val="true"/>
          <w:lang w:bidi="ar-SA"/>
        </w:rPr>
        <w:t>أما موضوعه فعن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لطف مأخذه ودق </w:t>
      </w:r>
      <w:r>
        <w:rPr>
          <w:rStyle w:val="FootnoteAnchor"/>
          <w:rtl w:val="true"/>
        </w:rPr>
        <w:footnoteReference w:id="769"/>
      </w:r>
      <w:r>
        <w:rPr>
          <w:rFonts w:ascii="Amiri" w:hAnsi="Amiri" w:eastAsia="Amiri" w:cs="Amiri"/>
          <w:color w:val="111111"/>
          <w:sz w:val="28"/>
          <w:sz w:val="28"/>
          <w:szCs w:val="28"/>
          <w:rtl w:val="true"/>
          <w:lang w:bidi="ar-SA"/>
        </w:rPr>
        <w:t xml:space="preserve">، و عن بعضهم إنه صرف الشي‌ء عن وجهه </w:t>
      </w:r>
      <w:r>
        <w:rPr>
          <w:rStyle w:val="FootnoteAnchor"/>
          <w:rtl w:val="true"/>
        </w:rPr>
        <w:footnoteReference w:id="770"/>
      </w:r>
      <w:r>
        <w:rPr>
          <w:rFonts w:ascii="IRNazanin" w:hAnsi="IRNazanin" w:eastAsia="IRNazanin"/>
          <w:color w:val="111111"/>
          <w:sz w:val="28"/>
          <w:sz w:val="28"/>
          <w:szCs w:val="28"/>
          <w:rtl w:val="true"/>
          <w:lang w:bidi="fa-IR"/>
        </w:rPr>
        <w:t>، و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Style w:val="FootnoteAnchor"/>
          <w:rtl w:val="true"/>
        </w:rPr>
        <w:footnoteReference w:id="771"/>
      </w:r>
      <w:r>
        <w:rPr>
          <w:rFonts w:ascii="Amiri" w:hAnsi="Amiri" w:eastAsia="Amiri" w:cs="Amiri"/>
          <w:color w:val="111111"/>
          <w:sz w:val="28"/>
          <w:sz w:val="28"/>
          <w:szCs w:val="28"/>
          <w:rtl w:val="true"/>
          <w:lang w:bidi="ar-SA"/>
        </w:rPr>
        <w:t xml:space="preserve">الحق أخرج الباطل بصورة الحق، و عن بعضهم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و لا يخفى أنه لا يمكن التعويل على كلام أهل اللغة في المقام للقطع بعدم إرادتهم في ذلك التعريف التام و الكشف عن حقيقة السحر، و إنما غرضهم في ذلك الكشف عنه في الجملة و تعريفه ببعض صفاته و لوازمه كما لا يخفى، و للقطع بعدم إرادة هذا المعنى من لفظ السحر الوارد في النصوص و الفتاوى و إن كان هو المعنى اللغوي، على أن كلام أهل اللغة لا يمكن إرجاعه إلى معنى واحد لشدة اختلافه، و الحكم بكونه مشتركا لفظيا يقتضي التوقف في ما اشتملت عليه النصوص و الفتاوى من لفظ السحر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كلام الفقهاء في بيان الموضوع المذكور أشد اضطراباً من كلام أهل اللغة، و الحال أن كلامهم مخالف لكلام أهل اللغة في المقام، فما ندري أنهم يريدون بيان المعنى اللغوي أو بيان المعنى العرفي العام أو بيان المعنى المتشرّعي، و الظاهر من حال أهل كل اصطلاح في مقام البيان بيان ما هو مصطلح عندهم دون غيره من اللغوي و العرفي، و يؤيد ذلك ما عن البحار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عرف الشرع مختص بكل أمر يخفى سببه، و يُتخيل على غير حقيقته، و يجري مجرى التمويه و الخداع</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 و ما في مجمع البحرين عن الإمام فخر الدين في تفسيره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السحر في عرف الشرع مختص بكل أمر يخفى سببه، و يُتخيل على غير حقيقته و يجري مجرى التمويه و الخداع</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ظاهرهما أن للسحر معنى شرعيا، و هو أعم من جميع المعاني التي ستأتي، فإن لم يكن شرعيا فلا أقل من كونه معنى متشرّعياً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إشكال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 الفقهاء فقد اضطرب غاية الاضطراب في بيان الموضوع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القواعد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يتكلم به أو يكتبه أو رقية أو يعمل شيئا يؤثر في بدن المسحور أو قلبه أو عقله من غير مباشرة</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 و نحوه المحكي عن المنتهى </w:t>
      </w:r>
      <w:r>
        <w:rPr>
          <w:rStyle w:val="FootnoteAnchor"/>
          <w:rtl w:val="true"/>
        </w:rPr>
        <w:footnoteReference w:id="776"/>
      </w:r>
      <w:r>
        <w:rPr>
          <w:rFonts w:ascii="Amiri" w:hAnsi="Amiri" w:eastAsia="Amiri" w:cs="Amiri"/>
          <w:color w:val="111111"/>
          <w:sz w:val="28"/>
          <w:sz w:val="28"/>
          <w:szCs w:val="28"/>
          <w:rtl w:val="true"/>
          <w:lang w:bidi="ar-SA"/>
        </w:rPr>
        <w:t xml:space="preserve">غير أنه اشتمل على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داخل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بينهما فرق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الشهيد في المسالك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يتكلم به أو يكتبه أو رقية أو أقسام أو عزائم، يحدث بسببها ضرر في بدن المسحور أو قلبه و عقله من دون مباشرة</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 و يدخل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أقسام أو 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تعريف العلامة في القواعد أعم لشمول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للنفث و الدخنة و غيرها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إن فسرنا التأثير في كلام العلامة بالضرر، و إن فسرناه بالأعم من الضرر كان أعم من تفسير الشهيد من هذا الوجه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الشهيد في الدروس أنه فسره بالكلام و الكتابة و الرقية و الدخنة بعقاقير الكواكب و تصفية النفس و التصوير و العُقد و النفث و الأقسام و العزائم بما لا يفهم معناه و يضر بالغير فعله </w:t>
      </w:r>
      <w:r>
        <w:rPr>
          <w:rStyle w:val="FootnoteAnchor"/>
          <w:rtl w:val="true"/>
        </w:rPr>
        <w:footnoteReference w:id="778"/>
      </w:r>
      <w:r>
        <w:rPr>
          <w:rFonts w:ascii="Amiri" w:hAnsi="Amiri" w:eastAsia="Amiri" w:cs="Amiri"/>
          <w:color w:val="111111"/>
          <w:sz w:val="28"/>
          <w:sz w:val="28"/>
          <w:szCs w:val="28"/>
          <w:rtl w:val="true"/>
          <w:lang w:bidi="ar-SA"/>
        </w:rPr>
        <w:t xml:space="preserve">، و هو أعم من تفسير الشهيد بالمسالك باعتبار اشتماله على الدخنة بعقاقير الكواكب و تصفية النفس و التصوير و العُقد و النفث، و تفسير العلامة في القواعد أعم منه باعتبار اشتماله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يعم المذكورات و غيرها إن جعلنا التأثير بمعنى الضرر، و إلا كان أعم من وجه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الشهيد في الدروس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السحر الاستخدام للملائكة و الجن و الاستنزال للشياطين في كشف الغائب و علاج</w:t>
      </w:r>
    </w:p>
    <w:p>
      <w:pPr>
        <w:pStyle w:val="BookText"/>
        <w:rPr/>
      </w:pPr>
      <w:r>
        <w:rPr>
          <w:rFonts w:ascii="Amiri" w:hAnsi="Amiri" w:eastAsia="Amiri" w:cs="Amiri"/>
          <w:color w:val="111111"/>
          <w:sz w:val="28"/>
          <w:sz w:val="28"/>
          <w:szCs w:val="28"/>
          <w:rtl w:val="true"/>
          <w:lang w:bidi="ar-SA"/>
        </w:rPr>
        <w:t>المصاب و منه الاستحضار بتلبس الروح ببدن منفعل كالصبي و المرأة و كشف الغائب عن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النيرنجيات و هي إظهار غرائب خواص الامتزاجات و أسرار النيّرين، و يلحق به الطلسمات، و هي تمزيج القوى العالية الفاعلية بالقوى السافلة المنفعلة ليحدث عنها فعل الغرائب</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و لا يخفى عليك أنه قد اعتبر الإضرار بالمسحور، و الظاهر أن المسحور في استخدام الملائكة و استنزال الشياطين هو الملائكة و الشياطين، و الإضرار بهم يحصل بتسخيرهم و تعجيزهم من المخالفة، و إلجائهم إلى الخدمة، و لكن يشكل عليه الحال في الحاق النيرنجيات و أسرار النيّرين و الطلسمات به؛ لأنه لا مسحور فضلا عن الإضرار 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يقال من العزم على المصروع، و يزعم أنه يجمع الجن فيأمرها لتطيعه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يدخل تحت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عندي باطل لا حقيقة له، و إنما هو من الخرافات</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 و عن المسالك أن الاستخدام من الكهانة و أنها غير السحر، قريبة منه </w:t>
      </w:r>
      <w:r>
        <w:rPr>
          <w:rStyle w:val="FootnoteAnchor"/>
          <w:rtl w:val="true"/>
        </w:rPr>
        <w:footnoteReference w:id="781"/>
      </w:r>
      <w:r>
        <w:rPr>
          <w:rFonts w:ascii="Amiri" w:hAnsi="Amiri" w:eastAsia="Amiri" w:cs="Amiri"/>
          <w:color w:val="111111"/>
          <w:sz w:val="28"/>
          <w:sz w:val="28"/>
          <w:szCs w:val="28"/>
          <w:rtl w:val="true"/>
          <w:lang w:bidi="ar-SA"/>
        </w:rPr>
        <w:t xml:space="preserve">، و فسره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استحداث الخوارق إما بمجرد التأثيرات النفسانية، و هو السحر، أو بالاستعانة بالفلكيات فقط، و هو دعوة الكواكب و تمزيج القوى السماوية بالقوى الأرضية، و هي الطلسمات، أو على سبيل الاستعانة بالأرواح الساذجة، و هي العزائم، و يدخل فيها النيرنجيات، و الكل حرام في شريعة الإسلام، و مستحلّه كافر</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 و تبعه على هذا التفسير في التنقيح </w:t>
      </w:r>
      <w:r>
        <w:rPr>
          <w:rStyle w:val="FootnoteAnchor"/>
          <w:rtl w:val="true"/>
        </w:rPr>
        <w:footnoteReference w:id="783"/>
      </w:r>
      <w:r>
        <w:rPr>
          <w:rFonts w:ascii="Amiri" w:hAnsi="Amiri" w:eastAsia="Amiri" w:cs="Amiri"/>
          <w:color w:val="111111"/>
          <w:sz w:val="28"/>
          <w:sz w:val="28"/>
          <w:szCs w:val="28"/>
          <w:rtl w:val="true"/>
          <w:lang w:bidi="ar-SA"/>
        </w:rPr>
        <w:t xml:space="preserve">، و هذا التفسير أعم من التفاسير الأُوَل؛ لأنه لا يعتبر فيه مسحور فضلا عن الإضرار به، ثمّ قال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كان على سبيل الاستعانة بخواص الأجسام السفلية فهو علم الخواص، أو الاستعانة بالنسب الرياضية فهو علم الحيل و جر الأثقال، و هذان ليسا من السحر</w:t>
      </w:r>
      <w:r>
        <w:rPr>
          <w:rFonts w:eastAsia="Amiri" w:cs="Amiri" w:ascii="Amiri" w:hAnsi="Amiri"/>
          <w:color w:val="111111"/>
          <w:sz w:val="28"/>
          <w:szCs w:val="28"/>
          <w:rtl w:val="true"/>
          <w:lang w:bidi="ar-SA"/>
        </w:rPr>
        <w:t xml:space="preserve">) </w:t>
      </w:r>
      <w:r>
        <w:rPr>
          <w:rStyle w:val="FootnoteAnchor"/>
          <w:rtl w:val="true"/>
        </w:rPr>
        <w:footnoteReference w:id="7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فسره في التنقيح بأنه عمل يستفاد منه ملكة نفسانية يُقتدر بها على أفعال غريبة بأسباب خفية </w:t>
      </w:r>
      <w:r>
        <w:rPr>
          <w:rStyle w:val="FootnoteAnchor"/>
          <w:rtl w:val="true"/>
        </w:rPr>
        <w:footnoteReference w:id="785"/>
      </w:r>
      <w:r>
        <w:rPr>
          <w:rFonts w:ascii="Amiri" w:hAnsi="Amiri" w:eastAsia="Amiri" w:cs="Amiri"/>
          <w:color w:val="111111"/>
          <w:sz w:val="28"/>
          <w:sz w:val="28"/>
          <w:szCs w:val="28"/>
          <w:rtl w:val="true"/>
          <w:lang w:bidi="ar-SA"/>
        </w:rPr>
        <w:t>، و هذا التعريف أعم من سابقه باعتبار اشتماله على علم الخواص و علم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الاختلاف الشديد في كلامهم، فينبغي الرجوع فيه إلى المعنى الشرعي أو المتشرّعي و هو الذي نقلناه عن العلامة المجلسي </w:t>
      </w:r>
      <w:r>
        <w:rPr>
          <w:rStyle w:val="FootnoteAnchor"/>
          <w:rtl w:val="true"/>
        </w:rPr>
        <w:footnoteReference w:id="786"/>
      </w:r>
      <w:r>
        <w:rPr>
          <w:rFonts w:ascii="Amiri" w:hAnsi="Amiri" w:eastAsia="Amiri" w:cs="Amiri"/>
          <w:color w:val="111111"/>
          <w:sz w:val="28"/>
          <w:sz w:val="28"/>
          <w:szCs w:val="28"/>
          <w:rtl w:val="true"/>
          <w:lang w:bidi="ar-SA"/>
        </w:rPr>
        <w:t xml:space="preserve">، و الإمام الرازي </w:t>
      </w:r>
      <w:r>
        <w:rPr>
          <w:rStyle w:val="FootnoteAnchor"/>
          <w:rtl w:val="true"/>
        </w:rPr>
        <w:footnoteReference w:id="787"/>
      </w:r>
      <w:r>
        <w:rPr>
          <w:rFonts w:ascii="Amiri" w:hAnsi="Amiri" w:eastAsia="Amiri" w:cs="Amiri"/>
          <w:color w:val="111111"/>
          <w:sz w:val="28"/>
          <w:sz w:val="28"/>
          <w:szCs w:val="28"/>
          <w:rtl w:val="true"/>
          <w:lang w:bidi="ar-SA"/>
        </w:rPr>
        <w:t>، كما سمعت، و عدم التعويل على غير ذلك، و لعل الأصحاب إنما تعرضوا للفرد الظاهر منه، فإن أمكن إرجاع كلا مهم إلى ما ذكرناه فلا كلام، و إلا فلا ينبغي التعويل عليه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القواعد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أنه لا يُرجع بعد هذا الاختلاف الشديد بحسب التحديد إلا إلى العرف العام على نحو ما مر في الغناء من الكلام، و محصوله أنه عبارة عن إيجاد شي‌ء تُرتّب عليه آثار غريبة و أحوال عجيبة بالنسبة إلى العادات بحيث تشبه الكرامات، و تُوهِم أنها من المعاجز المثبتة للنبوات من غير استناد إلى الشرعيات بحروز أو أسماء أو دعوات و نحوها من المأثورات، و أما ما أُخذ من الشرع كالعُوَذ و الهياكل و بعض الطلسمات فليست منه، بل هي بعيدة عنه، و كأنّ غرض الشارع المنع من التدليس و التلبيس في الأسباب على نحو منعه من التدليس في المسببات، و أن حدوث الأفعال من غير سبب بيِّن مخصوص برب العالمين</w:t>
      </w:r>
      <w:r>
        <w:rPr>
          <w:rFonts w:eastAsia="Amiri" w:cs="Amiri" w:ascii="Amiri" w:hAnsi="Amiri"/>
          <w:color w:val="111111"/>
          <w:sz w:val="28"/>
          <w:szCs w:val="28"/>
          <w:rtl w:val="true"/>
          <w:lang w:bidi="ar-SA"/>
        </w:rPr>
        <w:t xml:space="preserve">) </w:t>
      </w:r>
      <w:r>
        <w:rPr>
          <w:rStyle w:val="FootnoteAnchor"/>
          <w:rtl w:val="true"/>
        </w:rPr>
        <w:footnoteReference w:id="7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إن الرجوع إلى العرف العام إنما يكون مع فقْد المعنى الشرعي أو المتشرّعي، و أما مع ثبوت أحدهما فدعوى الرجوع إلى العرف العام ممنوعة، كما هو محرّر مقرّر في محله، و أما ما أشكله عليه بعض تلامذته من أنه لا يَرجع إلى محصّل، و أين العرف العام و تمييز جميع أقسام السحر الذي هو علم عظيم طويل الذكر كثير الشُّعب لا يعرفه</w:t>
      </w:r>
    </w:p>
    <w:p>
      <w:pPr>
        <w:pStyle w:val="BookText"/>
        <w:rPr/>
      </w:pPr>
      <w:r>
        <w:rPr>
          <w:rFonts w:ascii="Amiri" w:hAnsi="Amiri" w:eastAsia="Amiri" w:cs="Amiri"/>
          <w:color w:val="111111"/>
          <w:sz w:val="28"/>
          <w:sz w:val="28"/>
          <w:szCs w:val="28"/>
          <w:rtl w:val="true"/>
          <w:lang w:bidi="ar-SA"/>
        </w:rPr>
        <w:t xml:space="preserve">إلا الماهرون فيه، و ليس مطلق الأمر الغريب سحراً؛ فإن كثيرا من العلوم كعلم الهيأة و الجفر و الزراجية، و هو أسرار الجفر و غيرها يظهر من العالم بها بعض الآثار العجيبة الغريبة، و يكفيك ما يصنعه الإفرنج في هذه الأزمنة من الغرائب، و ليست هي من السحر الحرام قطعا </w:t>
      </w:r>
      <w:r>
        <w:rPr>
          <w:rStyle w:val="FootnoteAnchor"/>
          <w:rtl w:val="true"/>
        </w:rPr>
        <w:footnoteReference w:id="789"/>
      </w:r>
      <w:r>
        <w:rPr>
          <w:rFonts w:ascii="Amiri" w:hAnsi="Amiri" w:eastAsia="Amiri" w:cs="Amiri"/>
          <w:color w:val="111111"/>
          <w:sz w:val="28"/>
          <w:sz w:val="28"/>
          <w:szCs w:val="28"/>
          <w:rtl w:val="true"/>
          <w:lang w:bidi="ar-SA"/>
        </w:rPr>
        <w:t xml:space="preserve">، ففيه ما لا يخفى على المتأمل؛ ضرورة أن لهذا اللفظ في العرف العام معنى قطعا، فلفظه الوارد في النصوص يُحمل على ذلك المعنى، و ما لا يعرفه العرف العام منه يبقى على أصل الإباحة و الحِل، وليت شعري أ ترى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أهل العرف يعرفون جميع أقسام السحر حتى يُردّ عليه بما سمعت؟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اختلف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تخييل أو تحقيق، فذهب الأكثر كما في السرائر </w:t>
      </w:r>
      <w:r>
        <w:rPr>
          <w:rStyle w:val="FootnoteAnchor"/>
          <w:rtl w:val="true"/>
        </w:rPr>
        <w:footnoteReference w:id="791"/>
      </w:r>
      <w:r>
        <w:rPr>
          <w:rFonts w:ascii="Amiri" w:hAnsi="Amiri" w:eastAsia="Amiri" w:cs="Amiri"/>
          <w:color w:val="111111"/>
          <w:sz w:val="28"/>
          <w:sz w:val="28"/>
          <w:szCs w:val="28"/>
          <w:rtl w:val="true"/>
          <w:lang w:bidi="ar-SA"/>
        </w:rPr>
        <w:t xml:space="preserve">، و المسالك </w:t>
      </w:r>
      <w:r>
        <w:rPr>
          <w:rStyle w:val="FootnoteAnchor"/>
          <w:rtl w:val="true"/>
        </w:rPr>
        <w:footnoteReference w:id="792"/>
      </w:r>
      <w:r>
        <w:rPr>
          <w:rFonts w:ascii="Amiri" w:hAnsi="Amiri" w:eastAsia="Amiri" w:cs="Amiri"/>
          <w:color w:val="111111"/>
          <w:sz w:val="28"/>
          <w:sz w:val="28"/>
          <w:szCs w:val="28"/>
          <w:rtl w:val="true"/>
          <w:lang w:bidi="ar-SA"/>
        </w:rPr>
        <w:t xml:space="preserve">، و مذهب كثير كما عن الروضة </w:t>
      </w:r>
      <w:r>
        <w:rPr>
          <w:rStyle w:val="FootnoteAnchor"/>
          <w:rtl w:val="true"/>
        </w:rPr>
        <w:footnoteReference w:id="793"/>
      </w:r>
      <w:r>
        <w:rPr>
          <w:rFonts w:ascii="IRNazanin" w:hAnsi="IRNazanin" w:eastAsia="IRNazanin"/>
          <w:color w:val="111111"/>
          <w:sz w:val="28"/>
          <w:sz w:val="28"/>
          <w:szCs w:val="28"/>
          <w:rtl w:val="true"/>
          <w:lang w:bidi="fa-IR"/>
        </w:rPr>
        <w:t xml:space="preserve">، و عن ظاهر صاحب الخرائج و الجرائح </w:t>
      </w:r>
      <w:r>
        <w:rPr>
          <w:rStyle w:val="FootnoteAnchor"/>
          <w:rtl w:val="true"/>
        </w:rPr>
        <w:footnoteReference w:id="794"/>
      </w:r>
      <w:r>
        <w:rPr>
          <w:rFonts w:ascii="Amiri" w:hAnsi="Amiri" w:eastAsia="Amiri" w:cs="Amiri"/>
          <w:color w:val="111111"/>
          <w:sz w:val="28"/>
          <w:sz w:val="28"/>
          <w:szCs w:val="28"/>
          <w:rtl w:val="true"/>
          <w:lang w:bidi="ar-SA"/>
        </w:rPr>
        <w:t xml:space="preserve">، أنه إجماعي بين المسلمين أنه لا حقيقة له، و إنما هو تخييل بجميع أفراده، و في شرح القواعد 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عنده أي عند الماتن و عند الأكثر منا و من المخالفين، و بعض نقل إجماع المسلمين أنه لا حقيقة له، و إنما هو بجميع أفراده تخييل لا تأثير فيه</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 و قد نسب ذلك للرازي </w:t>
      </w:r>
      <w:r>
        <w:rPr>
          <w:rStyle w:val="FootnoteAnchor"/>
          <w:rtl w:val="true"/>
        </w:rPr>
        <w:footnoteReference w:id="796"/>
      </w:r>
      <w:r>
        <w:rPr>
          <w:rFonts w:ascii="Amiri" w:hAnsi="Amiri" w:eastAsia="Amiri" w:cs="Amiri"/>
          <w:color w:val="111111"/>
          <w:sz w:val="28"/>
          <w:sz w:val="28"/>
          <w:szCs w:val="28"/>
          <w:rtl w:val="true"/>
          <w:lang w:bidi="ar-SA"/>
        </w:rPr>
        <w:t xml:space="preserve">، و البيضاوي </w:t>
      </w:r>
      <w:r>
        <w:rPr>
          <w:rStyle w:val="FootnoteAnchor"/>
          <w:rtl w:val="true"/>
        </w:rPr>
        <w:footnoteReference w:id="797"/>
      </w:r>
      <w:r>
        <w:rPr>
          <w:rFonts w:ascii="Amiri" w:hAnsi="Amiri" w:eastAsia="Amiri" w:cs="Amiri"/>
          <w:color w:val="111111"/>
          <w:sz w:val="28"/>
          <w:sz w:val="28"/>
          <w:szCs w:val="28"/>
          <w:rtl w:val="true"/>
          <w:lang w:bidi="ar-SA"/>
        </w:rPr>
        <w:t xml:space="preserve">، و الواحدي و الطبرسي </w:t>
      </w:r>
      <w:r>
        <w:rPr>
          <w:rStyle w:val="FootnoteAnchor"/>
          <w:rtl w:val="true"/>
        </w:rPr>
        <w:footnoteReference w:id="798"/>
      </w:r>
      <w:r>
        <w:rPr>
          <w:rFonts w:ascii="Amiri" w:hAnsi="Amiri" w:eastAsia="Amiri" w:cs="Amiri"/>
          <w:color w:val="111111"/>
          <w:sz w:val="28"/>
          <w:sz w:val="28"/>
          <w:szCs w:val="28"/>
          <w:rtl w:val="true"/>
          <w:lang w:bidi="ar-SA"/>
        </w:rPr>
        <w:t xml:space="preserve">، و الشيخ </w:t>
      </w:r>
      <w:r>
        <w:rPr>
          <w:rStyle w:val="FootnoteAnchor"/>
          <w:rtl w:val="true"/>
        </w:rPr>
        <w:footnoteReference w:id="7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الإسلام</w:t>
      </w:r>
    </w:p>
    <w:p>
      <w:pPr>
        <w:pStyle w:val="BookText"/>
        <w:rPr/>
      </w:pPr>
      <w:r>
        <w:rPr>
          <w:rFonts w:ascii="Amiri" w:hAnsi="Amiri" w:eastAsia="Amiri" w:cs="Amiri"/>
          <w:color w:val="111111"/>
          <w:sz w:val="28"/>
          <w:sz w:val="28"/>
          <w:szCs w:val="28"/>
          <w:rtl w:val="true"/>
          <w:lang w:bidi="ar-SA"/>
        </w:rPr>
        <w:t xml:space="preserve">و ظاهر كلام ابن الأثير </w:t>
      </w:r>
      <w:r>
        <w:rPr>
          <w:rStyle w:val="FootnoteAnchor"/>
          <w:rtl w:val="true"/>
        </w:rPr>
        <w:footnoteReference w:id="800"/>
      </w:r>
      <w:r>
        <w:rPr>
          <w:rFonts w:ascii="Amiri" w:hAnsi="Amiri" w:eastAsia="Amiri" w:cs="Amiri"/>
          <w:color w:val="111111"/>
          <w:sz w:val="28"/>
          <w:sz w:val="28"/>
          <w:szCs w:val="28"/>
          <w:rtl w:val="true"/>
          <w:lang w:bidi="ar-SA"/>
        </w:rPr>
        <w:t xml:space="preserve">، و ابن فارس و الجوهري </w:t>
      </w:r>
      <w:r>
        <w:rPr>
          <w:rStyle w:val="FootnoteAnchor"/>
          <w:rtl w:val="true"/>
        </w:rPr>
        <w:footnoteReference w:id="801"/>
      </w:r>
      <w:r>
        <w:rPr>
          <w:rFonts w:ascii="Amiri" w:hAnsi="Amiri" w:eastAsia="Amiri" w:cs="Amiri"/>
          <w:color w:val="111111"/>
          <w:sz w:val="28"/>
          <w:sz w:val="28"/>
          <w:szCs w:val="28"/>
          <w:rtl w:val="true"/>
          <w:lang w:bidi="ar-SA"/>
        </w:rPr>
        <w:t xml:space="preserve">، و الفيومي </w:t>
      </w:r>
      <w:r>
        <w:rPr>
          <w:rStyle w:val="FootnoteAnchor"/>
          <w:rtl w:val="true"/>
        </w:rPr>
        <w:footnoteReference w:id="802"/>
      </w:r>
      <w:r>
        <w:rPr>
          <w:rFonts w:ascii="Amiri" w:hAnsi="Amiri" w:eastAsia="Amiri" w:cs="Amiri"/>
          <w:color w:val="111111"/>
          <w:sz w:val="28"/>
          <w:sz w:val="28"/>
          <w:szCs w:val="28"/>
          <w:rtl w:val="true"/>
          <w:lang w:bidi="ar-SA"/>
        </w:rPr>
        <w:t xml:space="preserve">، و ذهب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له تأثيرا بجميع أفراده، و اختاره بعض المتأخرين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فصّل آخرون فذهبوا إلى أن له تأثيراً في إحضار الجانّ فقط، و هو المنسوب للشهيد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فصّل آخرون فذهبوا إلى أن له تأثيراً في التفريق بين المرء و زوجه، و ذهب آخرون منهم الكركرالي أن له تأثيراً من جهة الوهم لا من جهة الحقيقة، و فصّل آخرون فذهبوا إلى أن له تأثيرا في دعوة الكواكب حتى أن المنقول عن فخر الإسلام أن النزاع في غير دعوة الكواكب، فإن الكواكب لا تأثير لها قطعا، و هل النزاع في المفعول المعدود سحراً؟ مثل عمل الحيات و إظهار الطيران و نحو ذلك أو في ترتب شي‌ء في بدن الإنسان و عقله و التفريق بين المرء و زوجه أو فيهما معاً، فعن ظاهر الإيضاح أن النزاع في الثاني حيث جعل مأخذ القولين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فَيَتَعَلَّمُونَ مِنْهُمٰا مٰا يُفَرِّقُونَ بِهِ بَيْنَ الْمَرْءِ وَ زَوْجِهِ</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 و جعل مطمح نظر القولين ذلك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يظهر ذلك من تعرضهم لذلك في باب الجنايات، و ليس في شي‌ء من ذلك دلالة على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التي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بَرْدا وَ سَلَامًا</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فمحى تسبيبها الإحراق و جعلها مسببة للبرد لو لا أن يقول سلاماً لهلك إبراهيم من شدة 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نحوه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يُخَيَّلُ إِلَيْهِ مِنْ</w:t>
      </w:r>
    </w:p>
    <w:p>
      <w:pPr>
        <w:pStyle w:val="BookText"/>
        <w:rPr/>
      </w:pPr>
      <w:r>
        <w:rPr>
          <w:rFonts w:ascii="Amiri" w:hAnsi="Amiri" w:eastAsia="Amiri" w:cs="Amiri"/>
          <w:color w:val="111111"/>
          <w:sz w:val="28"/>
          <w:sz w:val="28"/>
          <w:szCs w:val="28"/>
          <w:rtl w:val="true"/>
          <w:lang w:bidi="ar-SA"/>
        </w:rPr>
        <w:t>سِحْرِهِمْ أَنَّهٰا تَسْعىٰ</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و يظهر من بعضها أنها تحقيق، 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فَيَتَعَلَّمُونَ مِنْهُمٰا مٰا يُفَرِّقُونَ بِهِ بَيْنَ الْمَرْءِ وَ 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جٰاؤُ بِسِحْرٍ عَظِيمٍ</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 فإن الوصف بالعظمة يشعر بكونه تحقيقاً، و قوله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و لا تعقد</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 و هو ظاهر في التحقيق، و خبر الزنديق الذي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التخييل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أ فيقدر أن يجعل الإنسان بسحره في صورة الكلب و الحمار 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أعجز من ذلك و أضعف من أن يغير خلق الله تعالى، إن من أبطل ما ركبه الله تعالى و صوره فهو شريك الله في خلقه، تعالى عن ذلك علوا كبيراً</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الحق أنه ينقسم إلى القسمين كما يقضي به الخبر،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السحر، ما أصله؟ و كيف يقدر الساحر على ما يوصف من عجائبه و ما يفعل؟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على وجوه شتى، وجه منها بمنزلة الطب، كما أن الأطباء وضعوا لكل داء دواء، فكذلك علم السحر احتالوا لكل صحة آفة و لكل عافية عاهة و لكل معنى حيلة، و نوع آخر منه خفة و سرعة و مخاريق، و نوع منه ما يأخذه أولياء الشياطين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الشياطين؟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عرف الأطباء الطب، بعضه تجربة و بعضه علاج</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و مثله خبر العيون،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 وَ مٰا أُنْزِلَ عَلَى الْمَلَكَيْنِ بِبٰابِلَ هٰارُوتَ وَ مٰارُوتَ</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نوح قد كثرت السحرة و المموهون، فبعث الله ملكين إلى نبي ذلك الزمان بذكر ما يسحر به السحرة و ذكر ما يبطل به سحرهم و يرد به كيدهم، فتلقّاه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 الملكين و أدّاه إلى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و أمرهم أن يقفوا به على السحر و أن يبطلوه، و نهاهم أن يسحروا به الناس، و هذا كما يدل على السم، ما هو؟ و على ما يدفع به غائلة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يُعَلِّمٰانِ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السحر و إبطاله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امتحان للعباد ليطيعوا الله في ما يتعلمون من هذا، و يبطلوا به كيد السحرة و لا يسحروهم فلا تكفر باستعماله و طلب الإضرار به، و دعاء الناس إلى أن يعتقدوا أنك به تحيي و تميت و تفعل ما لا يقدر عليه إلا الله تعالى، فإن ذلك كفر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يَتَعَلَّمُونَ مٰا يَضُرُّهُمْ وَ 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إذا تعلموا ذلك السحر ليسحروا به و يضروا به فقد تعلموا ما يضرهم في دينهم و لا ينفعهم</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من تتبّع الطريق و السيَر علم أن له تأثيرات لا تنكر تستند إليه في بعض الأحيان، و يعلم تحقيقها في حق من لم يطّلع عليه، مع ما لَه من المؤيدات من الآيات و الروايات، على أنك قد عرفت أن من جملة أقسامه التسخير المشاهَد بالوجدان، و دعوى أن السحر ما أداه للجن من التخيّلات حتى أطاعوه يدفعها أن ظاهرهم كون السحر نفس هذا الأثر الغريب، إلا أن العقل حاكم بأنه لو كان حقيقة لم يمكّن الله تعالى الساحر منه في جميع ما أراد، و إلا لزم الفساد و اضمحلال أكثر العباد، و لم يحتج الملوك و الأمراء إلى وضع الجهاد، و اكتفى الأشقياء بجذب النساء و الأولاد إلى اللواط و الفجور، و اغتنوا بذلك عن الخِطبة و بذل المهور، و صدر من السحّار ما يصدر من القادر المختار مع أنه لا حادث من نفع أو ضرر إلا بقضاء و قدر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فالظاهر أن منه ما هو تحقيق جزما، و لا حاجة في إثبات ذلك إلى الاستناد إلى ما روي من أن لبيد اليهودي 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 فيه أثراً حقيقياً </w:t>
      </w:r>
      <w:r>
        <w:rPr>
          <w:rStyle w:val="FootnoteAnchor"/>
          <w:rtl w:val="true"/>
        </w:rPr>
        <w:footnoteReference w:id="816"/>
      </w:r>
      <w:r>
        <w:rPr>
          <w:rFonts w:ascii="Amiri" w:hAnsi="Amiri" w:eastAsia="Amiri" w:cs="Amiri"/>
          <w:color w:val="111111"/>
          <w:sz w:val="28"/>
          <w:sz w:val="28"/>
          <w:szCs w:val="28"/>
          <w:rtl w:val="true"/>
          <w:lang w:bidi="ar-SA"/>
        </w:rPr>
        <w:t xml:space="preserve">، كما يظهر من الرواية حتى يدفع ذلك بظهور وضع الخبر و قصور سنده و قدرة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الدفع بالدعاء و التعويذ و نحوهما، فلا يمكن أن يُصاب، و أن ذلك منافٍ للعصمة و أنه منافٍ للّطف الواجب؛ لأن المكلفين إذا رأوا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bookmarkStart w:id="283" w:name="pg2491_24302"/>
    </w:p>
    <w:p>
      <w:pPr>
        <w:pStyle w:val="BookText"/>
        <w:rPr/>
      </w:pPr>
      <w:bookmarkEnd w:id="283"/>
      <w:r>
        <w:rPr>
          <w:rFonts w:ascii="Amiri" w:hAnsi="Amiri" w:eastAsia="Amiri" w:cs="Amiri"/>
          <w:color w:val="111111"/>
          <w:sz w:val="28"/>
          <w:sz w:val="28"/>
          <w:szCs w:val="28"/>
          <w:rtl w:val="true"/>
          <w:lang w:bidi="ar-SA"/>
        </w:rPr>
        <w:t xml:space="preserve">سلطان الساحر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تصرفه فيه اختلّت عقائدهم و لم يبق لهم اطمئنان و لا وثوق و لا اعتماد؛ لظهور نقصه حينئذ، و لتجويزهم حينئذ تسلط الساحر على عقله، فيصح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تَتَّبِعُونَ إِلّٰا رَجُلًا مَسْحُوراً</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 و إن أمكن دفع بعضها فإنه ليس للنبي دفع كل ما يتمكن من دفعه، و إلا لما صدر عليه مرض و لا عرض، و إن دعوى منافاته للعصمة مع عدم المرض الغالب على العقل ممنوعة؛ لوضوح الدلالة السابقة في ذلك مضافاً إلى شهادة الوجدان، كما أن منه ما هو تخييل جزما؛ لوضوح ما سبق من الأدلة في ذلك، فحينئذ لا كلام في انقسامه إلى القسمين، و في اتصافه بكل من الوصفين سواء جعلنا النزاع في كل من الأمرين المتقدمين أو في أحدهما، و لكن لا ثمرة للنزاع المذكور شرعا كما صرح به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إشكال في تحريمه و كفر مستحلّه و قتله مع الاستحلال أو مطلقاً على الوجهين كما عرفت، كما أنه لا كلام في ضمان الساحر كل ما يجنيه بسحره على نفس أو طرف من غير فرق في جريان جميع هذه الأحكام بين كونه تحقيقا أو تخييلًا،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بنوا ثبوت القصاص على أن للسحر حقيقة في حيّز المنع كدعوى أن الثمرة فيه الإقرار بأنه قد قتل زيد السحرة، فإنه لا طريق لإثباته إلا بذلك، فإن كان له حقيقة قُيّد به،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3813741_3804643083"/>
      <w:bookmarkStart w:id="285" w:name="_Toc110"/>
      <w:bookmarkEnd w:id="284"/>
      <w:r>
        <w:rPr>
          <w:rtl w:val="true"/>
        </w:rPr>
        <w:t>الكهانة</w:t>
      </w:r>
      <w:bookmarkEnd w:id="28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من أقسام السحر، و في المسالك أنها قريبة منه </w:t>
      </w:r>
      <w:r>
        <w:rPr>
          <w:rStyle w:val="FootnoteAnchor"/>
          <w:rtl w:val="true"/>
        </w:rPr>
        <w:footnoteReference w:id="818"/>
      </w:r>
      <w:r>
        <w:rPr>
          <w:rFonts w:ascii="Amiri" w:hAnsi="Amiri" w:eastAsia="Amiri" w:cs="Amiri"/>
          <w:color w:val="111111"/>
          <w:sz w:val="28"/>
          <w:sz w:val="28"/>
          <w:szCs w:val="28"/>
          <w:rtl w:val="true"/>
          <w:lang w:bidi="ar-SA"/>
        </w:rPr>
        <w:t>، لكن في السحر ما يقتضي دخولها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ففي الجواهر عن مختصر النهاية أنها تَعاطى الإخبار عن الكائنات في مستقبل الزمان </w:t>
      </w:r>
      <w:r>
        <w:rPr>
          <w:rStyle w:val="FootnoteAnchor"/>
          <w:rtl w:val="true"/>
        </w:rPr>
        <w:footnoteReference w:id="819"/>
      </w:r>
      <w:r>
        <w:rPr>
          <w:rFonts w:ascii="Amiri" w:hAnsi="Amiri" w:eastAsia="Amiri" w:cs="Amiri"/>
          <w:color w:val="111111"/>
          <w:sz w:val="28"/>
          <w:sz w:val="28"/>
          <w:szCs w:val="28"/>
          <w:rtl w:val="true"/>
          <w:lang w:bidi="ar-SA"/>
        </w:rPr>
        <w:t xml:space="preserve">، و في القواعد أن الكاهن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رَئيّ من الجن يأتيه بالأخبار </w:t>
      </w:r>
      <w:r>
        <w:rPr>
          <w:rStyle w:val="FootnoteAnchor"/>
          <w:rtl w:val="true"/>
        </w:rPr>
        <w:footnoteReference w:id="820"/>
      </w:r>
      <w:r>
        <w:rPr>
          <w:rFonts w:ascii="Amiri" w:hAnsi="Amiri" w:eastAsia="Amiri" w:cs="Amiri"/>
          <w:color w:val="111111"/>
          <w:sz w:val="28"/>
          <w:sz w:val="28"/>
          <w:szCs w:val="28"/>
          <w:rtl w:val="true"/>
          <w:lang w:bidi="ar-SA"/>
        </w:rPr>
        <w:t>، و عن الحكماء أن من النفوس ما تقوى على الاطّلاع على ما</w:t>
      </w:r>
    </w:p>
    <w:p>
      <w:pPr>
        <w:pStyle w:val="BookText"/>
        <w:rPr/>
      </w:pPr>
      <w:r>
        <w:rPr>
          <w:rFonts w:ascii="Amiri" w:hAnsi="Amiri" w:eastAsia="Amiri" w:cs="Amiri"/>
          <w:color w:val="111111"/>
          <w:sz w:val="28"/>
          <w:sz w:val="28"/>
          <w:szCs w:val="28"/>
          <w:rtl w:val="true"/>
          <w:lang w:bidi="ar-SA"/>
        </w:rPr>
        <w:t>سيكون من الأمور، فإن كانت خيّرة فاضلة فتلك نفوس الأنبياء و الأولياء، و إن كانت شريرة فهي نفوس 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القواعد 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الكهانة ككتابة عمل يقتضي طاعة بعض الجان، و بالفتح صناعة</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 و على كل حال فعملها محرم في شريعتنا إجماعاً محصلًا و منقولًا، فعن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خلافاً بينهم في تحريم الكهانة</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 و عن الرياض أن 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المصرَّح به في كلام جماعة</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 و في محكي ظاهر مجمع البرهان نفي الخلاف في تحريم الأجرة </w:t>
      </w:r>
      <w:r>
        <w:rPr>
          <w:rStyle w:val="FootnoteAnchor"/>
          <w:rtl w:val="true"/>
        </w:rPr>
        <w:footnoteReference w:id="824"/>
      </w:r>
      <w:r>
        <w:rPr>
          <w:rFonts w:ascii="Amiri" w:hAnsi="Amiri" w:eastAsia="Amiri" w:cs="Amiri"/>
          <w:color w:val="111111"/>
          <w:sz w:val="28"/>
          <w:sz w:val="28"/>
          <w:szCs w:val="28"/>
          <w:rtl w:val="true"/>
          <w:lang w:bidi="ar-SA"/>
        </w:rPr>
        <w:t xml:space="preserve">، و يدل عليه بعد الإجماع جملة من الأخبار، ففي خبر 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إلى ساحر أو كاهن أو كذاب يصدّقه بما يقول فقد كفر بما أنزل الله من كتاب</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 و عطْف الكاهن على الساحر فيه لعله من باب عطف العام على الخاص، و في خبر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تَكهن أو تُكهن له فقد برئ 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الكاهن من يخبر عن الكائنات في مستقبل الزمان أعم من أن يكون مستنده في ذلك إخبار بعض الجان، أو الاستدلال على ذلك بكلام من يسأله أو فعله أو حاله، فدعوى اختصاص الكاهن بالأول كما هو الظاهر من عبارة القواعد </w:t>
      </w:r>
      <w:r>
        <w:rPr>
          <w:rStyle w:val="FootnoteAnchor"/>
          <w:rtl w:val="true"/>
        </w:rPr>
        <w:footnoteReference w:id="827"/>
      </w:r>
      <w:r>
        <w:rPr>
          <w:rFonts w:ascii="Amiri" w:hAnsi="Amiri" w:eastAsia="Amiri" w:cs="Amiri"/>
          <w:color w:val="111111"/>
          <w:sz w:val="28"/>
          <w:sz w:val="28"/>
          <w:szCs w:val="28"/>
          <w:rtl w:val="true"/>
          <w:lang w:bidi="ar-SA"/>
        </w:rPr>
        <w:t xml:space="preserve">لا يخلو من نوع تأمل، و إن كان المنقول عن محكي النهاية ربما يُشعر بذلك، حيث جعل الثاني مما يختص باسم العراف،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في العرب كهنة كشق و سطيح و غيرهما، فمنهم من كان يزعم أن له تابعا من الجن و رئيا يلقي إليه الأخبار، و منهم من كان يزعم أنه يعرف الأمور بمقدمات أسباب يستدل بها على مواقعها من كلام</w:t>
      </w:r>
    </w:p>
    <w:p>
      <w:pPr>
        <w:pStyle w:val="BookText"/>
        <w:rPr/>
      </w:pPr>
      <w:r>
        <w:rPr>
          <w:rFonts w:ascii="Amiri" w:hAnsi="Amiri" w:eastAsia="Amiri" w:cs="Amiri"/>
          <w:color w:val="111111"/>
          <w:sz w:val="28"/>
          <w:sz w:val="28"/>
          <w:szCs w:val="28"/>
          <w:rtl w:val="true"/>
          <w:lang w:bidi="ar-SA"/>
        </w:rPr>
        <w:t>من يسأله أو فعله أو حاله، و هذا يختص باسم لعراف</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و يمكن أن يُدّعى أن العبارة المذكورة تقتضي التعميم حيث قسم الكاهن إلى قسمين، و العراف قسْم من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فالكاهن من يخبر عن الكائنات في الزمن المستقبل، أما الإخبار عن الكائنات في الزمن الماضي أو الزمن الحال، فهل يدخل في الكهانة أو لا؟ لا استبعد الثاني، كما يقتضيه التأمل في كلام أهل اللغة و كلام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 الكهانة هي اتباع بعض الجان بالتسبيب فلو فُرض اتباع الجان و إخباره بذلك من دون تسبيب فالظاهر أن ذلك ليس من الكهانة بل هو خارج عنها موضوعا، و لا فرق في الكهانة بين أن يكون الإخبار عن الغائبات على طريق البت أو على طريق التفؤّل، كما لا يخفى على من تأمل في كلام أهل اللغة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محكي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المعاصي المنصوص عليها الإخبار عن الغائبات على البت لغير نبي أو وصي، سواء كان بالتنجيم أو الكهانة أو القيافة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الإخبار على سبيل التفاؤل من دون جزم فالظاهر جوازه؛ لأن أصل هذه العلوم حق، و لكن الإحاطة بها لا يتيسر لكل أحد، و الحكم بها لا يوافق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نوع تأمل و إن أمكن أن يريد بأن إطلاق الأخبار ظاهر في البت دون الظن و التخمين،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المستند في الأخبار المذكورة ما ذكرناه، و أما لو كان المستند بعض العلوم النبوية كالجفر و الجامعة و نحوه فالظاهر أنه مما لا إشكال فيه و إن قال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التخفي به و عدم إظهاره؛ لأنه ربما يكون مثارا لقلة اعتقاد عوام الناس بالمعجزات، فيلزم من ذلك فتح باب على النبوّات</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 هذا كله في عمل الكهانة، و متى حرم عملها حرُم أخذ الأجرة عليها جزماً، لما مر غير مرة من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bookmarkStart w:id="286" w:name="pg2491_24305"/>
    </w:p>
    <w:p>
      <w:pPr>
        <w:pStyle w:val="BookText"/>
        <w:rPr/>
      </w:pPr>
      <w:bookmarkEnd w:id="286"/>
      <w:r>
        <w:rPr>
          <w:rFonts w:ascii="Amiri" w:hAnsi="Amiri" w:eastAsia="Amiri" w:cs="Amiri"/>
          <w:color w:val="111111"/>
          <w:sz w:val="28"/>
          <w:sz w:val="28"/>
          <w:szCs w:val="28"/>
          <w:rtl w:val="true"/>
          <w:lang w:bidi="ar-SA"/>
        </w:rPr>
        <w:t xml:space="preserve">أما تعلّمها و تعليمها، فإن كان للعمل فلا كلام في حرمتها، و لعله على ذلك يُنزّل ما في محكي عبارة إيضاح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تعليمها و تعلّمها و استعمالها حرام في شرع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التعلّم و التعليم بالعمل لا بغيره، و هو محرم أيضا بلا كلام، و أما تنزيل عبارة الإيضاح على العمل فهو خلاف الظاهر من جهة اشتمال العبارة على الاستعمال المشعر بإرادة غير العمل من التعلّم و التعليم، و إن لم يكونا للعمل فالظاهر عدم حرمتهما حيث يكونا لغير العمل، للأصل و انصراف الأدلة إلى العمل، و لا فرق في حرمة الكهانة و حرمة التكسب بها بين نسبة الإخبار إلى الجن و عدمه و الله أعلم</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3813743_3804643083"/>
      <w:bookmarkStart w:id="288" w:name="_Toc111"/>
      <w:bookmarkEnd w:id="287"/>
      <w:r>
        <w:rPr>
          <w:rtl w:val="true"/>
        </w:rPr>
        <w:t xml:space="preserve">و من جملة ما يحرم التكسب به </w:t>
      </w:r>
      <w:r>
        <w:rPr>
          <w:rtl w:val="true"/>
        </w:rPr>
        <w:t>( (</w:t>
      </w:r>
      <w:r>
        <w:rPr>
          <w:rtl w:val="true"/>
        </w:rPr>
        <w:t>القيافة</w:t>
      </w:r>
      <w:r>
        <w:rPr>
          <w:rtl w:val="true"/>
        </w:rPr>
        <w:t>))</w:t>
      </w:r>
      <w:bookmarkEnd w:id="288"/>
    </w:p>
    <w:p>
      <w:pPr>
        <w:pStyle w:val="BookText"/>
        <w:rPr/>
      </w:pPr>
      <w:r>
        <w:rPr>
          <w:rFonts w:ascii="Amiri" w:hAnsi="Amiri" w:eastAsia="Amiri" w:cs="Amiri"/>
          <w:color w:val="111111"/>
          <w:sz w:val="28"/>
          <w:sz w:val="28"/>
          <w:szCs w:val="28"/>
          <w:rtl w:val="true"/>
          <w:lang w:bidi="ar-SA"/>
        </w:rPr>
        <w:t xml:space="preserve">و هي كما عن القاموس </w:t>
      </w:r>
      <w:r>
        <w:rPr>
          <w:rStyle w:val="FootnoteAnchor"/>
          <w:rtl w:val="true"/>
        </w:rPr>
        <w:footnoteReference w:id="831"/>
      </w:r>
      <w:r>
        <w:rPr>
          <w:rFonts w:ascii="IRNazanin" w:hAnsi="IRNazanin" w:eastAsia="IRNazanin"/>
          <w:color w:val="111111"/>
          <w:sz w:val="28"/>
          <w:sz w:val="28"/>
          <w:szCs w:val="28"/>
          <w:rtl w:val="true"/>
          <w:lang w:bidi="fa-IR"/>
        </w:rPr>
        <w:t xml:space="preserve">، و الصحاح </w:t>
      </w:r>
      <w:r>
        <w:rPr>
          <w:rStyle w:val="FootnoteAnchor"/>
          <w:rtl w:val="true"/>
        </w:rPr>
        <w:footnoteReference w:id="832"/>
      </w:r>
      <w:r>
        <w:rPr>
          <w:rFonts w:ascii="Amiri" w:hAnsi="Amiri" w:eastAsia="Amiri" w:cs="Amiri"/>
          <w:color w:val="111111"/>
          <w:sz w:val="28"/>
          <w:sz w:val="28"/>
          <w:szCs w:val="28"/>
          <w:rtl w:val="true"/>
          <w:lang w:bidi="ar-SA"/>
        </w:rPr>
        <w:t xml:space="preserve">، و المصباح المنير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الآثار، و القائف الذي يعرف الآثار و عن النهاية </w:t>
      </w:r>
      <w:r>
        <w:rPr>
          <w:rStyle w:val="FootnoteAnchor"/>
          <w:rtl w:val="true"/>
        </w:rPr>
        <w:footnoteReference w:id="834"/>
      </w:r>
      <w:r>
        <w:rPr>
          <w:rFonts w:ascii="Amiri" w:hAnsi="Amiri" w:eastAsia="Amiri" w:cs="Amiri"/>
          <w:color w:val="111111"/>
          <w:sz w:val="28"/>
          <w:sz w:val="28"/>
          <w:szCs w:val="28"/>
          <w:rtl w:val="true"/>
          <w:lang w:bidi="ar-SA"/>
        </w:rPr>
        <w:t xml:space="preserve">، و مجمع البحرين </w:t>
      </w:r>
      <w:r>
        <w:rPr>
          <w:rStyle w:val="FootnoteAnchor"/>
          <w:rtl w:val="true"/>
        </w:rPr>
        <w:footnoteReference w:id="835"/>
      </w:r>
      <w:r>
        <w:rPr>
          <w:rFonts w:ascii="Amiri" w:hAnsi="Amiri" w:eastAsia="Amiri" w:cs="Amiri"/>
          <w:color w:val="111111"/>
          <w:sz w:val="28"/>
          <w:sz w:val="28"/>
          <w:szCs w:val="28"/>
          <w:rtl w:val="true"/>
          <w:lang w:bidi="ar-SA"/>
        </w:rPr>
        <w:t xml:space="preserve">زيادة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شبه الرجل بأخيه و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المسالك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الاستناد إلى علامات و مقادير يترتب عليها إلحاق بعض الناس ببعض</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و كيف كان فإن حصل الجزم بها و ترتّب عليها محرم حرُمت و إلا كانت مكروهة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مما لا إشكال فيه، و نسبه في الحدائق </w:t>
      </w:r>
      <w:r>
        <w:rPr>
          <w:rStyle w:val="FootnoteAnchor"/>
          <w:rtl w:val="true"/>
        </w:rPr>
        <w:footnoteReference w:id="837"/>
      </w:r>
      <w:r>
        <w:rPr>
          <w:rFonts w:ascii="Amiri" w:hAnsi="Amiri" w:eastAsia="Amiri" w:cs="Amiri"/>
          <w:color w:val="111111"/>
          <w:sz w:val="28"/>
          <w:sz w:val="28"/>
          <w:szCs w:val="28"/>
          <w:rtl w:val="true"/>
          <w:lang w:bidi="ar-SA"/>
        </w:rPr>
        <w:t xml:space="preserve">إلى الأصحاب، و عن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 خلاف في تحريمها، نحو الكهانة، بل لعلها فرد منها، فتندرج تحت ما دل على حرمتها مضافا إلى ما عن</w:t>
      </w:r>
    </w:p>
    <w:p>
      <w:pPr>
        <w:pStyle w:val="BookText"/>
        <w:rPr/>
      </w:pPr>
      <w:r>
        <w:rPr>
          <w:rFonts w:ascii="Amiri" w:hAnsi="Amiri" w:eastAsia="Amiri" w:cs="Amiri"/>
          <w:color w:val="111111"/>
          <w:sz w:val="28"/>
          <w:sz w:val="28"/>
          <w:szCs w:val="28"/>
          <w:rtl w:val="true"/>
          <w:lang w:bidi="ar-SA"/>
        </w:rPr>
        <w:t>المنتهى و غيره من الإجماع صريحا أو ظاهرا على ذلك</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 فتبصر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القول بالحرمة منافاتها كالضروري </w:t>
      </w:r>
      <w:r>
        <w:rPr>
          <w:rStyle w:val="FootnoteAnchor"/>
          <w:rtl w:val="true"/>
        </w:rPr>
        <w:footnoteReference w:id="839"/>
      </w:r>
      <w:r>
        <w:rPr>
          <w:rFonts w:ascii="Amiri" w:hAnsi="Amiri" w:eastAsia="Amiri" w:cs="Amiri"/>
          <w:color w:val="111111"/>
          <w:sz w:val="28"/>
          <w:sz w:val="28"/>
          <w:szCs w:val="28"/>
          <w:rtl w:val="true"/>
          <w:lang w:bidi="ar-SA"/>
        </w:rPr>
        <w:t xml:space="preserve">من عدم التفات الشارع إلى هذه العلامات و الأمارات، و إن مداره في إثبات النسب على الإقرار و الولادة على الفراش و نحوهما مما جاء من الشرع حتى أنه ألحق الولد بالفراش بمجرد الوطي و لو في الدبر، و اختلاف الصور و الهيئات بين كثير من الأنبياء و الأوصياء و أولادهم فضلا عن غيرهم بحيث يُرى أن بعض أولا دهم أقرب إلى اللحوق بغيرهم، و لترتب الفساد العظيم على ذلك و لزوم الفضيحة على المسلمين و نقض أحكام مواريثهم و دياتهم و مناكحهم، إلى غير ذلك، فمن تتبع الآثار و نظر في سيرة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ذلك أشد الإنكار، لكن مع جميع ذلك الحكمُ بحرمتها مع حصول كل واحد من الأمرين، و هو حصول الجزم بها و ترتب المحرم عليها و إن صرح بذلك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يحرم إذا جزم به أو رُتب عليه محرما</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تأمل في الأول؛ لأن الاعتقاد بنسب شخص علما أو ظنا من دون ترتيب أمر من الأمور عليه لا دليل على تحريمه، و الأصل عدم حرمته، فالأولى تخصيص التحريم بما لو رتب عليه أمرا محرما كما هو المحكي عن السرائر و جامع المقاصد </w:t>
      </w:r>
      <w:r>
        <w:rPr>
          <w:rStyle w:val="FootnoteAnchor"/>
          <w:rtl w:val="true"/>
        </w:rPr>
        <w:footnoteReference w:id="841"/>
      </w:r>
      <w:r>
        <w:rPr>
          <w:rFonts w:ascii="Amiri" w:hAnsi="Amiri" w:eastAsia="Amiri" w:cs="Amiri"/>
          <w:color w:val="111111"/>
          <w:sz w:val="28"/>
          <w:sz w:val="28"/>
          <w:szCs w:val="28"/>
          <w:rtl w:val="true"/>
          <w:lang w:bidi="ar-SA"/>
        </w:rPr>
        <w:t xml:space="preserve">، و التنقيح </w:t>
      </w:r>
      <w:r>
        <w:rPr>
          <w:rStyle w:val="FootnoteAnchor"/>
          <w:rtl w:val="true"/>
        </w:rPr>
        <w:footnoteReference w:id="842"/>
      </w:r>
      <w:r>
        <w:rPr>
          <w:rFonts w:ascii="Amiri" w:hAnsi="Amiri" w:eastAsia="Amiri" w:cs="Amiri"/>
          <w:color w:val="111111"/>
          <w:sz w:val="28"/>
          <w:sz w:val="28"/>
          <w:szCs w:val="28"/>
          <w:rtl w:val="true"/>
          <w:lang w:bidi="ar-SA"/>
        </w:rPr>
        <w:t xml:space="preserve">، قال 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قيد في الدروس و جامع المقاصد كما عن التنقيح حرمتها بما إذا ترتب عليها محرم، و الظاهر أنه أراد الكل</w:t>
      </w:r>
      <w:r>
        <w:rPr>
          <w:rFonts w:eastAsia="Amiri" w:cs="Amiri" w:ascii="Amiri" w:hAnsi="Amiri"/>
          <w:color w:val="111111"/>
          <w:sz w:val="28"/>
          <w:szCs w:val="28"/>
          <w:rtl w:val="true"/>
          <w:lang w:bidi="ar-SA"/>
        </w:rPr>
        <w:t xml:space="preserve">) </w:t>
      </w:r>
      <w:r>
        <w:rPr>
          <w:rStyle w:val="FootnoteAnchor"/>
          <w:rtl w:val="true"/>
        </w:rPr>
        <w:footnoteReference w:id="8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بعض المتأخرين أنه وسوس في أصل التحريم استنادا إلى خبر زكريا بن يحيى بن التيهان المصري أو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الحسن بن الحسين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لقد نصر الله تعالى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جعلت فداك لقد بغى عليه إخوته،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نحن عمومته بغينا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صنعتم؟ فإني لم أحضركم،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أيضا ما كان فينا إمام قط حائل اللون،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بالقيافة، فبيننا و بينك القيافة،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أنتم إليهم، و أما أنا فلا، و لا تُعلموهم لما دعوتموهم إليه، و ليكونوا في بيوتكم، فلما جاءوا أقعدونا بالبستان و اصطف عمومته و إخوته و أخذوا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ألبسوه جبة صوف و قلنسوة منها و وضعوا على عنقه مسحاة،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البستان كأنك تعمل فيه، ثمّ جاءوا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ألحقوا هذا الغلام بأبيه، فقالوا ليس له هاهنا أب، و لكنّ هذا عم أبيه و هذا عمه و هذه عمته، و إن لم يكن له أب هنا فهو صاحب البستان، فإن قدميه و قدميه واحدة، فلما رجع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هذا أبوه، قال علي بن جعفر فقمت فمصصت وجه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 عز و جل</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 حيث إن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أجابهم إلى حكم القيافة، و أقرهم على ما حكوه من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ترى لعدم قابليته لمعارضة ما مر من الأدلة أولا، و لعدم دلالته على إجابتهم إلى ذلك، بل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أنتم إليهم، و أما أنا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مشعر بعدم المشروعية، و احتمال أن ذلك لدفع التهمة لا لعدم المشروعية بعيد، و لعل إجابتهم إلى ذلك لعمله بصدق القيافة هنا، فيكون ذلك استظهاراً عليهم، و لعلنا</w:t>
      </w:r>
      <w:bookmarkStart w:id="289" w:name="pg2491_24308"/>
    </w:p>
    <w:p>
      <w:pPr>
        <w:pStyle w:val="BookText"/>
        <w:rPr/>
      </w:pPr>
      <w:bookmarkEnd w:id="289"/>
      <w:r>
        <w:rPr>
          <w:rFonts w:ascii="Amiri" w:hAnsi="Amiri" w:eastAsia="Amiri" w:cs="Amiri"/>
          <w:color w:val="111111"/>
          <w:sz w:val="28"/>
          <w:sz w:val="28"/>
          <w:szCs w:val="28"/>
          <w:rtl w:val="true"/>
          <w:lang w:bidi="ar-SA"/>
        </w:rPr>
        <w:t>نستثني منها ما تقضي به الضرورة كإنكار نسب بعض المعصومين أو بعض المؤمنين، فتجوز حينئذ، كما يجوز ارتكاب بعض المحرمات لدفع بعض المحذورات، و إلا فكيف يتخيل من له أدنى خبرة و دراية بشريعة سيد المرسلين جواز الأخذ بها و العمل عليها على وجه تُرتب عليها المواريث و الأنكحة و نحوها وجودا و عدما؟، بل مشروعية اللعان أوضح شاهد على عدم اعتبار القيافة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بالكراهة مع تجردها عن الأمرين فتشعر به بعض الأخبار، ففي المحكي عن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تأتيهم</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 و أفتى به بعض الأصحاب، و لكن لا كلام في أن معرفتها و الاطلاع على حقيقتها من الأمور الجائزة، لأن حالها كحال العلوم المباحة؛ لأنها لا تخرج عن مقتضى الأصل إلا بدليل، و أقصى ما دل على تحريمها بالنحو المذكور دون غيره، و القيافة في غير الإنسان إنما تحرم إذا ترتب عليها محرم، و أما تحريمها مع الجزم به، فقال جدي في شرح القواعد </w:t>
      </w:r>
      <w:r>
        <w:rPr>
          <w:rStyle w:val="FootnoteAnchor"/>
          <w:rtl w:val="true"/>
        </w:rPr>
        <w:footnoteReference w:id="846"/>
      </w:r>
      <w:r>
        <w:rPr>
          <w:rFonts w:ascii="Amiri" w:hAnsi="Amiri" w:eastAsia="Amiri" w:cs="Amiri"/>
          <w:color w:val="111111"/>
          <w:sz w:val="28"/>
          <w:sz w:val="28"/>
          <w:szCs w:val="28"/>
          <w:rtl w:val="true"/>
          <w:lang w:bidi="ar-SA"/>
        </w:rPr>
        <w:t xml:space="preserve">، و فيه ما لا يخفى مما يُعلم مما تقدم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0" w:name="__RefHeading___Toc3813745_3804643083"/>
      <w:bookmarkStart w:id="291" w:name="_Toc112"/>
      <w:bookmarkEnd w:id="290"/>
      <w:r>
        <w:rPr>
          <w:rtl w:val="true"/>
        </w:rPr>
        <w:t xml:space="preserve">و من جملة ما يحرم التكسب به </w:t>
      </w:r>
      <w:r>
        <w:rPr>
          <w:rtl w:val="true"/>
        </w:rPr>
        <w:t>( (</w:t>
      </w:r>
      <w:r>
        <w:rPr>
          <w:rtl w:val="true"/>
        </w:rPr>
        <w:t>الشعبذة</w:t>
      </w:r>
      <w:r>
        <w:rPr>
          <w:rtl w:val="true"/>
        </w:rPr>
        <w:t>))</w:t>
      </w:r>
      <w:bookmarkEnd w:id="29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الحركات السريعة التي تُرتب عليها الأفعال العجيبة بحيث يخفى على الحس الفرق بين الشي‌ء و شبهه لسرعة الانتقال فيه إلى شبهه فيحكم الرأي لها بخلاف الواقع، و هي محرمة بالإجماع محصّلا و منقولًا، بل نفى الخلاف في ذلك بعض المعاصرين مضافا إلى كونها من الباطل و من الإغراء بالجهل و التدليس، بل في شرح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فيها من القبح الزائد على قبح الملاهي، و الاشتغال بها من أعظم اللهو</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بل يظهر من بعض الأخبار أنها قسم من السحر، بل ربما تشتملها بعض تعاريفه</w:t>
      </w:r>
      <w:r>
        <w:rPr>
          <w:rFonts w:eastAsia="Amiri" w:cs="Amiri" w:ascii="Amiri" w:hAnsi="Amiri"/>
          <w:color w:val="111111"/>
          <w:sz w:val="28"/>
          <w:szCs w:val="28"/>
          <w:rtl w:val="true"/>
          <w:lang w:bidi="ar-SA"/>
        </w:rPr>
        <w:t>.</w:t>
      </w:r>
      <w:bookmarkStart w:id="292" w:name="pg2491_24309"/>
    </w:p>
    <w:p>
      <w:pPr>
        <w:pStyle w:val="BookText"/>
        <w:rPr/>
      </w:pPr>
      <w:bookmarkEnd w:id="292"/>
      <w:r>
        <w:rPr>
          <w:rFonts w:ascii="Amiri" w:hAnsi="Amiri" w:eastAsia="Amiri" w:cs="Amiri"/>
          <w:color w:val="111111"/>
          <w:sz w:val="28"/>
          <w:sz w:val="28"/>
          <w:szCs w:val="28"/>
          <w:rtl w:val="true"/>
          <w:lang w:bidi="ar-SA"/>
        </w:rPr>
        <w:t xml:space="preserve">و كيف كان فلا كلام في حرمة التكسب بها لما سمعت غير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3" w:name="__RefHeading___Toc3813747_3804643083"/>
      <w:bookmarkStart w:id="294" w:name="_Toc113"/>
      <w:bookmarkEnd w:id="293"/>
      <w:r>
        <w:rPr>
          <w:rtl w:val="true"/>
        </w:rPr>
        <w:t xml:space="preserve">و من جملة ما يحرم التكسب به </w:t>
      </w:r>
      <w:r>
        <w:rPr>
          <w:rtl w:val="true"/>
        </w:rPr>
        <w:t>( (</w:t>
      </w:r>
      <w:r>
        <w:rPr>
          <w:rtl w:val="true"/>
        </w:rPr>
        <w:t>القمار</w:t>
      </w:r>
      <w:r>
        <w:rPr>
          <w:rtl w:val="true"/>
        </w:rPr>
        <w:t>))</w:t>
      </w:r>
      <w:bookmarkEnd w:id="294"/>
    </w:p>
    <w:p>
      <w:pPr>
        <w:pStyle w:val="Heading6"/>
        <w:numPr>
          <w:ilvl w:val="5"/>
          <w:numId w:val="1"/>
        </w:numPr>
        <w:rPr/>
      </w:pPr>
      <w:bookmarkStart w:id="295" w:name="__RefHeading___Toc3813749_3804643083"/>
      <w:bookmarkStart w:id="296" w:name="_Toc114"/>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و الكلام فيه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موضوعه</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3813751_3804643083"/>
      <w:bookmarkStart w:id="298" w:name="_Toc115"/>
      <w:bookmarkEnd w:id="297"/>
      <w:r>
        <w:rPr>
          <w:rtl w:val="true"/>
        </w:rPr>
        <w:t>أما المقام الأول</w:t>
      </w:r>
      <w:r>
        <w:rPr>
          <w:rtl w:val="true"/>
        </w:rPr>
        <w:t xml:space="preserve">: </w:t>
      </w:r>
      <w:r>
        <w:rPr>
          <w:rtl w:val="true"/>
        </w:rPr>
        <w:t>و هو الكلام في حكمه،</w:t>
      </w:r>
      <w:bookmarkEnd w:id="29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أنه حرام إجماعا محصّلًا و منقولًا نقلا مستفيضا، و الكتاب و السنة دالان على ذلك أيضا، فالأدلة الثلاثة متفقة على حرمته، أما الإجماع فقد سمعت، و أما الكتاب فمنه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ففي خبر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الخمر فكل مسكر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الميسر فالنرد و الشطرنج، و كل قمار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بيعه و شراؤه و الانتفاع بشي‌ء من هذا حرام و محرم</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و في خبر زياد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يقامر الرجل بأهله و ماله، فنهاهم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و في خبر عبد الحميد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يشتري له بيضا، فأخذ الغلام بيضة أو بيضتين فقامر بها، فلما أتى به أكله،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القمار،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بطشت فقاءه</w:t>
      </w:r>
      <w:r>
        <w:rPr>
          <w:rFonts w:eastAsia="IRNazanin" w:cs="IRNazanin"/>
          <w:color w:val="111111"/>
          <w:sz w:val="28"/>
          <w:szCs w:val="28"/>
          <w:rtl w:val="true"/>
          <w:lang w:bidi="fa-IR"/>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 و في خبر الوشاء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 و في 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الميسر؟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 الجوز،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ذبحوا لآلهتهم،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 و في خبر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 المقامرة و لا النهية</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ينهى عن الجوز يجي‌ء به الصبيان من القمار أن يؤكل،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 و في خبر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يلعبون بالجوز و البيض، و يقامرون،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فإنه حرام</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 و في خبر أسباط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8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عن القمار، و كانت قريش يقامر الرجل بأهله و ماله، فنهاهم الله عن ذلك</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 و في ما روي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99" w:name="pg2491_24311"/>
    </w:p>
    <w:p>
      <w:pPr>
        <w:pStyle w:val="BookText"/>
        <w:rPr/>
      </w:pPr>
      <w:bookmarkEnd w:id="29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 و في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الشطرنج و النرد و أربعة عشر و كل ما قومر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فهو ميسر</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 و في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القمار</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إلى غير دلك من الأخبار الدالة على الحكم المذكور، فالحكم بحمد الله من الواضحات</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3813753_3804643083"/>
      <w:bookmarkStart w:id="301" w:name="_Toc116"/>
      <w:bookmarkEnd w:id="300"/>
      <w:r>
        <w:rPr>
          <w:rtl w:val="true"/>
        </w:rPr>
        <w:t>و أما المقام الثاني</w:t>
      </w:r>
      <w:r>
        <w:rPr>
          <w:rtl w:val="true"/>
        </w:rPr>
        <w:t xml:space="preserve">: </w:t>
      </w:r>
      <w:r>
        <w:rPr>
          <w:rtl w:val="true"/>
        </w:rPr>
        <w:t>و هو الكلام في موضوعه،</w:t>
      </w:r>
      <w:bookmarkEnd w:id="30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القمار الرهن على اللعب بشي‌ء من الآلة، كما هو ظاهر القاموس و النهاية </w:t>
      </w:r>
      <w:r>
        <w:rPr>
          <w:rStyle w:val="FootnoteAnchor"/>
          <w:rtl w:val="true"/>
        </w:rPr>
        <w:footnoteReference w:id="867"/>
      </w:r>
      <w:r>
        <w:rPr>
          <w:rFonts w:ascii="Amiri" w:hAnsi="Amiri" w:eastAsia="Amiri" w:cs="Amiri"/>
          <w:color w:val="111111"/>
          <w:sz w:val="28"/>
          <w:sz w:val="28"/>
          <w:szCs w:val="28"/>
          <w:rtl w:val="true"/>
          <w:lang w:bidi="ar-SA"/>
        </w:rPr>
        <w:t xml:space="preserve">، أو صريحهما و صريح مجمع البحرين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 ظاهر الصحاح </w:t>
      </w:r>
      <w:r>
        <w:rPr>
          <w:rStyle w:val="FootnoteAnchor"/>
          <w:rtl w:val="true"/>
        </w:rPr>
        <w:footnoteReference w:id="870"/>
      </w:r>
      <w:r>
        <w:rPr>
          <w:rFonts w:ascii="Amiri" w:hAnsi="Amiri" w:eastAsia="Amiri" w:cs="Amiri"/>
          <w:color w:val="111111"/>
          <w:sz w:val="28"/>
          <w:sz w:val="28"/>
          <w:szCs w:val="28"/>
          <w:rtl w:val="true"/>
          <w:lang w:bidi="ar-SA"/>
        </w:rPr>
        <w:t xml:space="preserve">، و المصباح المنير </w:t>
      </w:r>
      <w:r>
        <w:rPr>
          <w:rStyle w:val="FootnoteAnchor"/>
          <w:rtl w:val="true"/>
        </w:rPr>
        <w:footnoteReference w:id="871"/>
      </w:r>
      <w:r>
        <w:rPr>
          <w:rFonts w:ascii="Amiri" w:hAnsi="Amiri" w:eastAsia="Amiri" w:cs="Amiri"/>
          <w:color w:val="111111"/>
          <w:sz w:val="28"/>
          <w:sz w:val="28"/>
          <w:szCs w:val="28"/>
          <w:rtl w:val="true"/>
          <w:lang w:bidi="ar-SA"/>
        </w:rPr>
        <w:t xml:space="preserve">، و كذلك التكملة و الذيل أنه قد يطلق على اللعب بها مطلقا مع الرهن و دونه، و قال بعض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على اللعب بشي‌ء من الآلات المعروفة، و حكي عن جماعة أنه قد يطلق على اللعب بهذه الأشياء مطلقا و لو من دون رهن و به صرح في جامع المقاصد </w:t>
      </w:r>
      <w:r>
        <w:rPr>
          <w:rStyle w:val="FootnoteAnchor"/>
          <w:rtl w:val="true"/>
        </w:rPr>
        <w:footnoteReference w:id="872"/>
      </w:r>
      <w:r>
        <w:rPr>
          <w:rFonts w:ascii="Amiri" w:hAnsi="Amiri" w:eastAsia="Amiri" w:cs="Amiri"/>
          <w:color w:val="111111"/>
          <w:sz w:val="28"/>
          <w:sz w:val="28"/>
          <w:szCs w:val="28"/>
          <w:rtl w:val="true"/>
          <w:lang w:bidi="ar-SA"/>
        </w:rPr>
        <w:t>، 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المقامرة المغالبة</w:t>
      </w:r>
      <w:r>
        <w:rPr>
          <w:rFonts w:eastAsia="Amiri" w:cs="Amiri" w:ascii="Amiri" w:hAnsi="Amiri"/>
          <w:color w:val="111111"/>
          <w:sz w:val="28"/>
          <w:szCs w:val="28"/>
          <w:rtl w:val="true"/>
          <w:lang w:bidi="ar-SA"/>
        </w:rPr>
        <w:t xml:space="preserve">) </w:t>
      </w:r>
      <w:r>
        <w:rPr>
          <w:rStyle w:val="FootnoteAnchor"/>
          <w:rtl w:val="true"/>
        </w:rPr>
        <w:footnoteReference w:id="8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فلا شك و لا إشكال في حرمة اللعب بآلات القمار المعروفة مع الرهن، لأنه من موضوع القمار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دل على حرمة القمار يدل على حرمته من إجماع و كتاب و سنة، كما سمعت، بل لا إشكال في حرمة العوض المأخوذ بذلك، لأنه من الباطل كما صرحت بذلك جماعة من الأخبار المتقدمة، و لا كلام في حرمة المال المأخوذ بالباطل كما هو مدلول الآية، و لما في خبر عبد الحميد من أن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تقيأه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المنشأ في حرمته و إن كان الاستدلال بذلك لا يخلو من نوع تأمل، و لما في خبر السكوني من النهي عن أكل ما يجي‌ء به الصبيان من القمار،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سحت</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 و لما في خبر إسحاق بن عمار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فإنه حرام</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 إلى غير ذلك من الأخبار القاضية بذلك، المعتضد ما فيها من القصور سنداً و دلالة بالإجماع، فحرمة اللعب بالآلات المعروفة للقمار مع الرهن و حرمة المال المأخوذ بذلك مما لا كلام و لا إشكال فيها، و إنما الإشكال في حرمة اللعب بآلات القمار المعروفة بدون الرهن لما سمعت من أخذ الرهن في مفهوم القمار، فصدْقُ القمار على ذلك محل نظر، و قصارى ما في كلام أهل اللغة و بعض أساطين الأصحاب أنه قد يطلق على اللعب بهذه الأشياء مطلقاً مع الرهن و بدونه </w:t>
      </w:r>
      <w:r>
        <w:rPr>
          <w:rStyle w:val="FootnoteAnchor"/>
          <w:rtl w:val="true"/>
        </w:rPr>
        <w:footnoteReference w:id="877"/>
      </w:r>
      <w:r>
        <w:rPr>
          <w:rFonts w:ascii="Amiri" w:hAnsi="Amiri" w:eastAsia="Amiri" w:cs="Amiri"/>
          <w:color w:val="111111"/>
          <w:sz w:val="28"/>
          <w:sz w:val="28"/>
          <w:szCs w:val="28"/>
          <w:rtl w:val="true"/>
          <w:lang w:bidi="ar-SA"/>
        </w:rPr>
        <w:t>، و الإطلاق أعم من الحقيقة، فلا يوجب الإطلاق المذكور إجراء أحكام المطلقات في الأخبار عليه حتى لو بني على أصالة الحقيقة في الإطلاق و الاستعمال، لما هو المعلوم من انصراف المطلقات إلى الفرد الغالب المتعارف، و لا شك أن الفرد الغالب المتعارف للقمار هو اللعب بتلك الآلات مع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الاستدلال على ذلك ببعض الأخبار التي منها رواية أبي الربيع الشامي في الشطرنج و النرد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 لا تقربه</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 و منها رواية تحف العقول، من أن ما يجي‌ء منه الفساد محضا لا يجوز التقلب فيه من جميع وجوه الحركات </w:t>
      </w:r>
      <w:r>
        <w:rPr>
          <w:rStyle w:val="FootnoteAnchor"/>
          <w:rtl w:val="true"/>
        </w:rPr>
        <w:footnoteReference w:id="879"/>
      </w:r>
      <w:r>
        <w:rPr>
          <w:rFonts w:ascii="Amiri" w:hAnsi="Amiri" w:eastAsia="Amiri" w:cs="Amiri"/>
          <w:color w:val="111111"/>
          <w:sz w:val="28"/>
          <w:sz w:val="28"/>
          <w:szCs w:val="28"/>
          <w:rtl w:val="true"/>
          <w:lang w:bidi="ar-SA"/>
        </w:rPr>
        <w:t xml:space="preserve">، و منها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الخمر فكل مسكر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الميسر فالنرد و الشطرنج، و كل قمار ميسر إلى أن قال فكل هذا بيعه و شراؤه و الانتفاع بشي‌ء من هذا حرام محرم</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و المراد من القمار هنا نفس الآلات دون المعنى المصدري، فلا يقال أنه ينصرف إلى الغالب كما مر بقرينة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 و شراؤه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الميسر فهو النرد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الميسر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ألهى عن ذكر الله فهو الميسر</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و منها رواية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الأشياء التي تلعب بها الناس من النرد و الشطرنج حتى انتهيت إلى السدر،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الحق من الباطل مع أيهما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و الباطل؟</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 و منها موثقة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الشطرنج و لعبة شبيب التي يقال لها لعبة الأمير، و عن لعبة الثلث، فقال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 إذا ميز الله بن الحق و الباطل مع أيهما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و منها رواية عبد الواحد بن المختار عن اللعب بالشطرنج،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لمشغول عن اللعب</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التأمل في هذه الأخبار يقتضي الحكم بتحريم اللعب بالآلات المعروفة للقمار و إن لم يكن رهنا و إن قلنا بدخول الرهن في القمار،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اللعب بآلات القمار المعروفة له، أما إذا كان بغير آلاته المعروفة له و إن كان مع الرهن، فالظاهر الحرمة و فساد الرهن كالمراهنة على حمل الحجر الثقيل و على المصارعة و الطيور و الطفرة و نحوها، بل هو من القمار على ما نُقل عن البعض من أن أصل المقامرة المغالبة، و على تقدير أنه غيره، فالدليل على الحرمة و الفساد نفي الخلاف فيهما في المحكي عن مصابيح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لتحضر الرهان في الخف و الحافر و الريش، و ما سوى ذلك قمار حرام</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 و ما رواه العلاء بن سيابة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لتنظر عند الرهان و تلعن صاحبه ما عدا الحافر و الريش و النصل</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المجبورة سنداً أو دلالة، ففي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لا ينبغي التوقف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فالعجب من شيخ الجواهر حيث منع من حرمة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إذا لم يعتد المقامرة به فالظاهر عدم حرمته مع عدم الرهان للأصل و انصراف أدلة المقام إلى غيره، و السيرة القطعية من الأعوام و العلماء في المغالبة بالأبدان و غيرها، و قد روي مغالبة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بل و مع الرهان أيضا و إن حرم هو، لأنه أكْلُ مال بالباطل</w:t>
      </w:r>
    </w:p>
    <w:p>
      <w:pPr>
        <w:pStyle w:val="BookText"/>
        <w:rPr/>
      </w:pPr>
      <w:r>
        <w:rPr>
          <w:rFonts w:ascii="Amiri" w:hAnsi="Amiri" w:eastAsia="Amiri" w:cs="Amiri"/>
          <w:color w:val="111111"/>
          <w:sz w:val="28"/>
          <w:sz w:val="28"/>
          <w:szCs w:val="28"/>
          <w:rtl w:val="true"/>
          <w:lang w:bidi="ar-SA"/>
        </w:rPr>
        <w:t xml:space="preserve">دونه، لما عرفت مما لا معارض له، و دعوى أنه من اللعب و اللهو المشغول عنهما المؤمن يدفعه منع كونه من اللعب المحرم؛ إذ لا عموم بل و لا إطلاق على وجه يصلح لشمول ذلك و نحوه، خصوصا بعد ملاحظة ما عرفته من السيرة المستقيمة، بل لعله مندرج في ما دل على مداعبة المؤمنين و مزاحهم، بل لو أخذ الرهن الذي فرض لهذا القسم بعنوان الوفاء بالوعد الذي هو نذر لا كفارة له و مع طيب النفس من الباذل 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المقامرة المزبورة أوجبته و ألزمته، و إنها كغيرها من العقود المشروعة أمكن القول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مشكل في القسم الأول و إنْ فُرض الحال فيه أيضاً </w:t>
      </w:r>
      <w:r>
        <w:rPr>
          <w:rStyle w:val="FootnoteAnchor"/>
          <w:rtl w:val="true"/>
        </w:rPr>
        <w:footnoteReference w:id="890"/>
      </w:r>
      <w:r>
        <w:rPr>
          <w:rFonts w:ascii="Amiri" w:hAnsi="Amiri" w:eastAsia="Amiri" w:cs="Amiri"/>
          <w:color w:val="111111"/>
          <w:sz w:val="28"/>
          <w:sz w:val="28"/>
          <w:szCs w:val="28"/>
          <w:rtl w:val="true"/>
          <w:lang w:bidi="ar-SA"/>
        </w:rPr>
        <w:t xml:space="preserve">بناءً على حرمة كل ما يترتب على المحرم و لو جزاءً أو عدا و نحوهما، كما أشرنا إليه في السابق و قلنا إن في خبر تحف العقول </w:t>
      </w:r>
      <w:r>
        <w:rPr>
          <w:rStyle w:val="FootnoteAnchor"/>
          <w:rtl w:val="true"/>
        </w:rPr>
        <w:footnoteReference w:id="891"/>
      </w:r>
      <w:r>
        <w:rPr>
          <w:rFonts w:ascii="Amiri" w:hAnsi="Amiri" w:eastAsia="Amiri" w:cs="Amiri"/>
          <w:color w:val="111111"/>
          <w:sz w:val="28"/>
          <w:sz w:val="28"/>
          <w:szCs w:val="28"/>
          <w:rtl w:val="true"/>
          <w:lang w:bidi="ar-SA"/>
        </w:rPr>
        <w:t>نوع إيماء إليه و إن كان لا يخلو من بحث</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و ذلك لأن الأصل مقطوع بما سمعت من الأدلة، و أما السيرة المدّعاة فهي في محل الفرض ممنوعة أشد المنع، بل يمكن دعوى السيرة على الإنكار على ذلك من العوام و العلماء، و أما دعوى اندراجه فيما دل على مداعبة المؤمنين و مزاحهم فممنوعة بدعوى انصراف الأدلة إلى غير الفرض، و على تقدير شمولها لذلك، فلا بد من تقييدها بما سمعت من الأدلة الدالة على التحريم، و أما ما ذكره أخيراً من إمكان القول بجواز أخذ الرهن بعنوان الوفاء بالعهد فمما لا نعقل له معنى، لأن العهد الذي تضمنه العقد الفاسد لا معنى لاستحباب الوفاء به؛ إذ لا يستحب ترتيب آثار الملك على ما لم يحصل فيه سبب الملك، اللهم إلا أن يراد بالوفاء هنا إيجاد سبب الملك بعد الغلبة في اللعب فيكون تمليكا جديداً، و هذا مع كونه ليس وفاءً بالعهد الذي تضمنه العقد الفاسد يمكن جريانه في القمار المحرم حذو النعل بالنعل، قصارى الأمر أن الفرق بينهما استحباب الوفاء بالعهد هنا</w:t>
      </w:r>
    </w:p>
    <w:p>
      <w:pPr>
        <w:pStyle w:val="BookText"/>
        <w:rPr/>
      </w:pPr>
      <w:r>
        <w:rPr>
          <w:rFonts w:ascii="Amiri" w:hAnsi="Amiri" w:eastAsia="Amiri" w:cs="Amiri"/>
          <w:color w:val="111111"/>
          <w:sz w:val="28"/>
          <w:sz w:val="28"/>
          <w:szCs w:val="28"/>
          <w:rtl w:val="true"/>
          <w:lang w:bidi="ar-SA"/>
        </w:rPr>
        <w:t>و عدم استحباب الوفاء بالعهد في القمار المحرم، و الاستحباب و عدمه لا دخل له في حِل المال المبذول و الكلام فيه فتبصّر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 اللعب بغير آلته المعروفة له مع الرهن، أما لو كان كذلك بغير رهن فالمنقول عن ظاهر المسالك الميل إلى الجواز </w:t>
      </w:r>
      <w:r>
        <w:rPr>
          <w:rStyle w:val="FootnoteAnchor"/>
          <w:rtl w:val="true"/>
        </w:rPr>
        <w:footnoteReference w:id="893"/>
      </w:r>
      <w:r>
        <w:rPr>
          <w:rFonts w:ascii="Amiri" w:hAnsi="Amiri" w:eastAsia="Amiri" w:cs="Amiri"/>
          <w:color w:val="111111"/>
          <w:sz w:val="28"/>
          <w:sz w:val="28"/>
          <w:szCs w:val="28"/>
          <w:rtl w:val="true"/>
          <w:lang w:bidi="ar-SA"/>
        </w:rPr>
        <w:t xml:space="preserve">، و عن صاحب الكفاية أنه استجوده </w:t>
      </w:r>
      <w:r>
        <w:rPr>
          <w:rStyle w:val="FootnoteAnchor"/>
          <w:rtl w:val="true"/>
        </w:rPr>
        <w:footnoteReference w:id="894"/>
      </w:r>
      <w:r>
        <w:rPr>
          <w:rFonts w:ascii="Amiri" w:hAnsi="Amiri" w:eastAsia="Amiri" w:cs="Amiri"/>
          <w:color w:val="111111"/>
          <w:sz w:val="28"/>
          <w:sz w:val="28"/>
          <w:szCs w:val="28"/>
          <w:rtl w:val="true"/>
          <w:lang w:bidi="ar-SA"/>
        </w:rPr>
        <w:t xml:space="preserve">، و قد سمعت عبارة الجواهر المتقدمة الصريحة في الجواز، و مستند القول بالجواز بعد الأصل السيرة و مغالبة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 كما سمعت ذلك من الجواهر، و الأقوى التحريم، و هو المنسوب إلى الأكثر في المحكي عن الرياض </w:t>
      </w:r>
      <w:r>
        <w:rPr>
          <w:rStyle w:val="FootnoteAnchor"/>
          <w:rtl w:val="true"/>
        </w:rPr>
        <w:footnoteReference w:id="896"/>
      </w:r>
      <w:r>
        <w:rPr>
          <w:rFonts w:ascii="Amiri" w:hAnsi="Amiri" w:eastAsia="Amiri" w:cs="Amiri"/>
          <w:color w:val="111111"/>
          <w:sz w:val="28"/>
          <w:sz w:val="28"/>
          <w:szCs w:val="28"/>
          <w:rtl w:val="true"/>
          <w:lang w:bidi="ar-SA"/>
        </w:rPr>
        <w:t xml:space="preserve">، بل عن جماعة حكاية الإجماع، و في محكي عبارة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المسابقة على المصارعة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 و لا بغير عوض عند علمائنا أجمع؛ لعموم النهي إلا في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 و الحافر، و النصل</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 و في محكي عبارة التذكرة أيضاً في مقام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المسابقة على رمي الحجارة باليد و المقلاع و المنجنيق سواء كان بعوض أو غير عوض عند علمائنا</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 و في محكيها أيضا في مقام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المسابقة على المراكب و السفن و الطيارات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 و قال في محكي عبائر التذكرة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المسابقة على مناطحة الغنم و مهارشة الديك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 و لا بغير عوض</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يجوز المسابقة على ما لا ينفع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 في ما مثّل به اللعب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بالخاتم و الصولجان و رمي البنادق و الجلاهق و الوقوف على رجل واحدة و معرفة ما في اليد من الزوج و الفرد</w:t>
      </w:r>
    </w:p>
    <w:p>
      <w:pPr>
        <w:pStyle w:val="BookText"/>
        <w:rPr/>
      </w:pPr>
      <w:r>
        <w:rPr>
          <w:rFonts w:ascii="Amiri" w:hAnsi="Amiri" w:eastAsia="Amiri" w:cs="Amiri"/>
          <w:color w:val="111111"/>
          <w:sz w:val="28"/>
          <w:sz w:val="28"/>
          <w:szCs w:val="28"/>
          <w:rtl w:val="true"/>
          <w:lang w:bidi="ar-SA"/>
        </w:rPr>
        <w:t>و سائر الملاعب، و كذا اللبث في الماء</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جوّزه بعض الشافعية، و ليس بجيد</w:t>
      </w:r>
      <w:r>
        <w:rPr>
          <w:rFonts w:eastAsia="Amiri" w:cs="Amiri" w:ascii="Amiri" w:hAnsi="Amiri"/>
          <w:color w:val="111111"/>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يدل على التحريم بعد ما سمعت من الإجماع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في نصل أو خف أو حافر</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 و هو الذي أشار إليه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النهي </w:t>
      </w:r>
      <w:r>
        <w:rPr>
          <w:rStyle w:val="FootnoteAnchor"/>
          <w:rtl w:val="true"/>
        </w:rPr>
        <w:footnoteReference w:id="904"/>
      </w:r>
      <w:r>
        <w:rPr>
          <w:rFonts w:ascii="Amiri" w:hAnsi="Amiri" w:eastAsia="Amiri" w:cs="Amiri"/>
          <w:color w:val="111111"/>
          <w:sz w:val="28"/>
          <w:sz w:val="28"/>
          <w:szCs w:val="28"/>
          <w:rtl w:val="true"/>
          <w:lang w:bidi="ar-SA"/>
        </w:rPr>
        <w:t xml:space="preserve">، و يمكن المناقشة في ذلك بأنا إن فرضنا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محرّك الباء كما عن المسالك أنه المشهور في الرواية </w:t>
      </w:r>
      <w:r>
        <w:rPr>
          <w:rStyle w:val="FootnoteAnchor"/>
          <w:rtl w:val="true"/>
        </w:rPr>
        <w:footnoteReference w:id="905"/>
      </w:r>
      <w:r>
        <w:rPr>
          <w:rFonts w:ascii="Amiri" w:hAnsi="Amiri" w:eastAsia="Amiri" w:cs="Amiri"/>
          <w:color w:val="111111"/>
          <w:sz w:val="28"/>
          <w:sz w:val="28"/>
          <w:szCs w:val="28"/>
          <w:rtl w:val="true"/>
          <w:lang w:bidi="ar-SA"/>
        </w:rPr>
        <w:t xml:space="preserve">لم يكن في الخبر دلالة على التحريم؛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العوض، فلا يدل إلا على تحريم المراهنة، على أنه قد يمكن منع دلالته على تحريم المراهنة أيضاً، بل قصارى ما يدل على فساد المراهنة، و هو الأظهر على التحريك، لأن نفي العوض ظاهر في نفي استحقاقه، و إرادة نفي جواز العقد عليه بعيدة، فلا دلالة في الخبر على التحريك إلا على فساد المراهنة، و إن فرضنا السكون في الخبر لم يكن فيه دلالة على التحريم أيضا بل قد تكون دلالته على الفساد أظهر، لأن نفي كل من الجواز و الصحة محتمل بعد تعذّر حمل النفي على الحقيقة، و لا شك أن نفي الصحة أقرب إلى نفي الحقيقة و أظهر من مثل هذه التراكيب كما لا يخفى على من تأمل، فينزَّل الخبر على الغالب من اشتمال المسابقة على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فالاستدلال على التحريم لا يخلو من تأمل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استدل بعض المتأخرين على ذلك بأدلة القمار بناء على أنه مطلق المغالبة و لو بدون العوض،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يدل عليه ما تقدم من إطلاق الرواية </w:t>
      </w:r>
      <w:r>
        <w:rPr>
          <w:rStyle w:val="FootnoteAnchor"/>
          <w:rtl w:val="true"/>
        </w:rPr>
        <w:footnoteReference w:id="906"/>
      </w:r>
      <w:r>
        <w:rPr>
          <w:rFonts w:ascii="Amiri" w:hAnsi="Amiri" w:eastAsia="Amiri" w:cs="Amiri"/>
          <w:color w:val="111111"/>
          <w:sz w:val="28"/>
          <w:sz w:val="28"/>
          <w:szCs w:val="28"/>
          <w:rtl w:val="true"/>
          <w:lang w:bidi="ar-SA"/>
        </w:rPr>
        <w:t>بكون اللعب بالنرد و الشطرنج بدون العوض قماراً، و دعوى أنه يشترط في صدق القمار أحد الأمرين، إما كون المغالبة بالآلات المعدة للقمار و إن لم يكن عوض، و إما المغالبة مع</w:t>
      </w:r>
    </w:p>
    <w:p>
      <w:pPr>
        <w:pStyle w:val="BookText"/>
        <w:rPr/>
      </w:pPr>
      <w:r>
        <w:rPr>
          <w:rFonts w:ascii="Amiri" w:hAnsi="Amiri" w:eastAsia="Amiri" w:cs="Amiri"/>
          <w:color w:val="111111"/>
          <w:sz w:val="28"/>
          <w:sz w:val="28"/>
          <w:szCs w:val="28"/>
          <w:rtl w:val="true"/>
          <w:lang w:bidi="ar-SA"/>
        </w:rPr>
        <w:t>العوض و إن لم يكن بالآلات المعدة للقمار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يشهد به إطلاقه في رواية الرهان بالخف و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بل الأظهر أنه مطلق المغالبة، و يشهد له أن إطلاق آلة القمار موقوف على عدم دخول الآلة في مفهوم القمار كما في سائر الآلات المضافة إلى الأعمال، فالآلة غير مأخوذة في المفهوم، و قد عرفت أن العوض غير مأخوذ فيه فتأمل</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من أن معرفة المعنى اللغوي إما أن تكون بالنص من أهل اللغة أو بالتبادر العرفي مع ضميمة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كل واحد من الأمرين المذكورين مفقود في المقام، و القدر المتيقَّن من كلام أهل اللغة و المتبادر منه هو اللعب بالآلات المعروفة له مع الرهن، و إطلاق القمار على اللعب بالنرد و الشطرنج من دون عوض لا يقتضي كونه معنى حقيقياً للقمار، كما أن الإطلاق في قولهم آلة القمار لا يقتضي ذلك، و دعوى أن الآلة غير مأخوذة في المفهوم مطلقا ممنوع، و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مأخوذة في معنى اللفظ في هذا التركيب و هو آلة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كونه معنى حقيقيا للفظ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سيد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استدل على التحريم هنا بما دل على حرمة اللهو</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و فيه أن ذلك لا يتم مطلقاً، لأنه قد يتعلق بهذا الفعل في بعض المقامات غرض صحيح فيخرج بذلك عن صدق اللهو فيُحكم حينئذ عليه بعد عدم شمول أدلة اللهو له بالإباحة إلا أن يدّعى عدم القول بالفصل بين أفراد هذا الموضوع و هو في غاية الإشكال و الله أعلم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يستدل على ذلك بما دل من الأخبار على حرمة الشطرنج معللة بكونها من الباطل، و بما دل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كل ما ألهى عن ذكر الله فهو الميسر</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 و بما دل من الأخبار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نستحب شيئاً من اللعب غير الرهان و الرمي</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و المراد بالرهان رهان الفرس، و الجميع لا يخلو من تأمل، لو لا الإجماع المتقدم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يجوز عمل آلات القمار سواء قصد بذلك الجهة المحرمة أو المحللة للتوصّل بها إلى الحرام و للفساد العام، لظاهر الإجماع و الأخبار، و لا تدخل صورتها في ملك المسلم، و أما المادة فالأقوى ملكيتها، و يجب إتلافها على المتمكن منه من المكلفين وجوبا كفائياً، و لا تضمن المادة لو توقف إتلاف الصورة على إتلافها، و مع عدم التوقف وجهان،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ليس بالبعيد، و حيث عرفت حرمة مال المقامرة فيجب رده على مالكه مع التمكن منه إذا عرفه بعينه، و إلا فإن كان مشتبها في محصورين وجب التخلص منه بالصلح، و احتمال القرعة ليس بالبعيد، و إن كان مشتبها في غير محصورين كان حكمه حكم مجهول المالك، و لا فرق في ذلك بين مقامرة الأطفال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أكل من مال المقامرة شيئا ضمنه سواء أكله عالما أو جاهلًا، لأنه إتلاف له، و لا يجب عليه استفراغه، لأنه بعد الأكل لا يدخل في الملك باعتبار كونه من الخبائث، و بعد الخروج عن الملك لا معنى للحكم باستفراغه، و على تقدير بقائه في الملك فالظاهر عدم الوجوب أيضاً، لأنه بعد الأكل يكون مضمونا على الآكل بمثله أو قيمته فيدخل في ملك الآكل، و إلا كان المالك جامعاً بين العوض و المعوّض، و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يجب استفراغه؟ وجهان، أقواهما العدم؛ لصيرورته حينئذ من الخبائث التي لا تدخل في الملك</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الوجه الآخر منشؤه ما في المروي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أكَل شيئا من مال المقامر من غير علم، فلما علم به قاءه</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و هو مع كونه منافيا للعصمة التي هي الطهارة من الرجس لا يدل على الوجوب كما لا يخفى، و الظاهر حمل الخبر المزبور على تقدير صحته على المبالغة في حرمة مال المقامرة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فعلى القول بوجوب قي‌ء الطعام المغصوب يشكل الصوم ممن في بطنه طعام مغصوب يتمكن من قيئه كما ذكر مفصّلا في فروع الصوم، و في المروي</w:t>
      </w:r>
      <w:bookmarkStart w:id="302" w:name="pg2491_24320"/>
    </w:p>
    <w:p>
      <w:pPr>
        <w:pStyle w:val="BookText"/>
        <w:rPr/>
      </w:pPr>
      <w:bookmarkEnd w:id="302"/>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الشطرنج حرام و أكل ثمنه سحت و اتخاذها كفر و اللعب بها شرك و السلام على اللاهي بها معصية، و الخائض فيها يده كالخائض يده في لحم الخنزير، و لا صلاة له حتى يغسلها كما يغسلها من لحم الخنزير، و الناظر إليه كالناظر إلى فرج أمه، و الناظر و المسلّم على اللاهي بها سواء معه في الاثم، و الجالس على اللعب بها يتبوّأ مقعده من النار و مجلسها من المجالس التي باء أهلها بسخط من الله يتوقعونه في كل ساعة فيعمك معهم</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و هو محمول على المبالغة في الحرمة؛ إذ لا ريب في عدم كفر متخذها و شرك اللاعب بها و عدم حرمة السلام على اللاهي بها و عدم وجوب غسل اليد من مباشرتها و عدم حرمة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بحرمة الجلوس على اللعب بها و حضور ذلك المجلس ما لم يكن الجلوس للرد أو للضرورة أو نحوهما، بل يمكن القول بذلك في الجلوس في جميع مجالس المنكر إذا كان الجلوس فيها للتنزه و نحوه و إن لم يكن من اللاعبين بها، إلا أنه يندرج في اسم اللاهين بها و اللاعبين بها و إن لم يكن لاعبا و لاهيا حقيقة، خصوصا في مثل حضور مجالس الرقص و الطبل و الغناء التي لا يشك أهل الشرع و العرف في تبعية حاضريها في الاثم لأهلها، بل هم أهلها في الحقيقة، و لو أن الناس تركوا حضور هذه المجالس لم يكن اللاهي و اللاعب يفعل تلك الأمور لنفسه</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3813755_3804643083"/>
      <w:bookmarkStart w:id="304" w:name="_Toc117"/>
      <w:bookmarkEnd w:id="303"/>
      <w:r>
        <w:rPr>
          <w:rtl w:val="true"/>
        </w:rPr>
        <w:t xml:space="preserve">و من جملة ما يحرم التكسب به </w:t>
      </w:r>
      <w:r>
        <w:rPr>
          <w:rtl w:val="true"/>
        </w:rPr>
        <w:t>( (</w:t>
      </w:r>
      <w:r>
        <w:rPr>
          <w:rtl w:val="true"/>
        </w:rPr>
        <w:t>الغش</w:t>
      </w:r>
      <w:r>
        <w:rPr>
          <w:rtl w:val="true"/>
        </w:rPr>
        <w:t>))</w:t>
      </w:r>
      <w:bookmarkEnd w:id="304"/>
    </w:p>
    <w:p>
      <w:pPr>
        <w:pStyle w:val="BookText"/>
        <w:rPr/>
      </w:pPr>
      <w:r>
        <w:rPr>
          <w:rFonts w:ascii="Amiri" w:hAnsi="Amiri" w:eastAsia="Amiri" w:cs="Amiri"/>
          <w:color w:val="111111"/>
          <w:sz w:val="28"/>
          <w:sz w:val="28"/>
          <w:szCs w:val="28"/>
          <w:rtl w:val="true"/>
          <w:lang w:bidi="ar-SA"/>
        </w:rPr>
        <w:t>و الكلام فيه في مقامين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و هو حرام بلا خلاف أجده فيه، بل الإجماع محصّلا و منقولا عليه، و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العقل حاكم بقبحه باعتبار ما فيه من الإغراء المترتّب عليه الفساد</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بذلك مستفيضة، بل يمكن دعوى تواترها معنى، منها النبوي المروي بطرق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المسلمين من غشهم</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و عن رواية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العيون،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غش مسلماً أو ضره أو ماكره</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 و عن عقاب الأعمال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مسلما في بيع أو شراء فليس منا، و يُحشر مع اليهود يوم القيامة؛ لأنه من غش الناس فليس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غشنا فليس منا، قالها ثلاثاً، و من غش أخاه المسلم نزع الله بركة رزقه، وسد عليه عيشه و وكله إلى نفسه</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يبيع الدقيق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الغش؛ فإنه من غَش غُش في ماله فإن لم يكن له مال غُش في أهله</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 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سعد الإسكاف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 المدينة بطعام،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طعامك إلا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سعره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 أن يدس يده في الطعام، ففعل فأخرج طعاماً ردياً،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 قد جمعت خيانة و غشاً للمسلمين</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 و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أخذ ديناراً من الدنانير المصبوبة بين يديه فقطعها نصفين،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بشي‌ء فيه غش</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 و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مر على هشام بن الحكم و هو يبيع السامري في الظلال،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البيع في الظلال غش و الغش لا يحل</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bookmarkStart w:id="305" w:name="pg2491_24322"/>
    </w:p>
    <w:p>
      <w:pPr>
        <w:pStyle w:val="Heading2"/>
        <w:numPr>
          <w:ilvl w:val="1"/>
          <w:numId w:val="1"/>
        </w:numPr>
        <w:rPr/>
      </w:pPr>
      <w:bookmarkStart w:id="306" w:name="__RefHeading___Toc3813757_3804643083"/>
      <w:bookmarkStart w:id="307" w:name="_Toc118"/>
      <w:bookmarkEnd w:id="305"/>
      <w:bookmarkEnd w:id="306"/>
      <w:r>
        <w:rPr>
          <w:rtl w:val="true"/>
        </w:rPr>
        <w:t>المصادر و المراجع</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أبو محمد الحسن بن علي بن الحسين بن شعبة الحراني، نشر المكتبة الحيدرية، النجف، تقديم العلامة السيد محمد صادق بحر العلوم، الطبعة الرابعة، مطبعة علاء، بغداد،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شرائع الإسلام، الشيخ محمد حسن النجفي توفي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الشيخ علي الآخوندي، دار الكتب الإسلامية، النجف، الطبعة السادسة، مطبعة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في شرح القواعد، علي بن الحسين الكركي، توفي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مؤسسة آل البيت، الطبعة الأولى،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 حاضرها، جعفر الشيخ باقر آل محبوبة، مطبعة النعمان، النجف،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السيد محسن الأمين، تحقيق حسن الأمين، مطبعة الإنصاف،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الشهيد زين الدين بن علي الجبعي العاملي، توفي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جامعة النجف الدينية، 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إشراف السيد محمد كلانتر، مطبعة الآداب، النجف الأشرف،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في شرح شرائع الإسلام، الشهيد زين الدين بن علي الجبعي العاملي، توفي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حسن محمد آل قبيسي العاملي، مؤسسة البلاغ بيروت، لبنان، الطبعة الأولى،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في تراجم العلماء و الأدباء، الشيخ محمد حرز الدين، تعليق محمد حسين حرز الدين، مطبعة الآداب، النجف،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 ذكر الحلال و الحرام و القضايا و الأحكام، أبو حنيفة النعمان بن محمد المغربي، تحقيق آصف بن علي أصغر فيضي، دار المعارف، مصر،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الشيخ محمد بن الحسن الحر العاملي، توفي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الشيخ فخر الدين الطريحي، توفي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أحمد الحسيني، دار الكتب العلمية، مكتبة الوراق، النجف، مطبعة الآداب، الطبعة الأولى،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أبو بكر أحمد بن الحسين بن علي البيهقي، توفي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مطبعة دائرة المعارف، حيدرآباد كن،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في شرح قواعد العلامة، السيد محمد الجواد بن محمد الموسوي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أبو العباس عبد الله بن جعفر الحميري، من رجال القرن الثالث و الرابع الهجري، الطبعة الأولى، نشر المطبعة الحيدرية، النجف،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الفقه، أبو جعفر محمد بن الحسن بن علي الطوسي، الطبعة الثانية، مطبعة تابان، طهران،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في شرح إشكالات القواعد، أبو طالب محمد بن الحسن بن يوسف المطهر الحلي، توفي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 العلمية، قم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إلى نيل الفضيلة، عماد الدين أبو جعفر محمد بن علي الطوسي المعروف بأبي حمزة، توفي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الحسون، نشر مكتبة السيد المرعشي،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الأولى، مطبعة خيام،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العلامة الحلي الحسن بن يوسف المطهر، توفي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لجنة، نشر و طبع مؤسسة النشر الإسلامي التابعة لجماعة المدرسين، قم،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الشيخ مرتضى الأنصاري، توفي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لجنة،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باقري،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الشيخ الصدوق أبو جعفر محمد بن علي بن بابويه، 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علي أكبر غفاري، نشر جامعة المدرسين،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النافع في فقه الإمامية، أبو القاسم نجم الدين جعفر بن الحسن الحلي، توفي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الدراسات الإسلامية في مؤسسة البعثة، قم، الطبعة الثالثة، 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الأذهان إلى أحكام الإيمان، العلامة الحلي الحسن بن يوسف المطهر، توفي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فارس الحسون، طبع و نشر جامعة المدرسين، قم،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محمد بن إدريس الحلي، توفي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لجنة، طبع مؤسسة النشر الإسلامي، الطبعة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العلامة الحلي الحسن بن يوسف المطهر، توفي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المكتبة الرضوية لإحياء الآثار الجعفرية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الرموز في شرح المختصر النافع، الفاضل الآبي، توفي سنة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الإشتهاردي، نشر و طبع جامعة المدرسين، قم،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الإحكام في معرفة الأحكام، العلامة الحلي الحسن بن يوسف المطهر، توفي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مهدي رجائي، نشر و طبع مؤسسة اسماعيليان، قم،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العلامة الحلي الحسن بن يوسف المطهر، مقابلة حسن بيش نماز، نشر حاج أحمد، تبريز،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محمد بن عيسى الترمذي، توفي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عبد الوهاب عبد اللطيف، مطبعة دار الفكر، نشر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بهاء الدين محمد بن الحسن بن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سنة الطبع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مكتبة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الموسوي، توفي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مؤسسة النشر الإسلامي،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مؤسسة النشر الإسلامي لجماعة الدرسين،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الناصريات، الشريف المرتضى، تحقيق مركز البحوث و الدراسات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مؤسسة الهدى، نشر رابطة الثقافة و العلاقات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الشيخ المفيد أبو عبد الله محمد بن محمد بن النعمان البكري، 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جامعة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الثانية نشر مؤسسة النشر الإسلامي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المراسم العلوية في الأحكام النبوية، الشيخ أبو يعلى حمزة بن عبد العزيز الديلمي المعروف بسلار، توفي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السيد محسن</w:t>
      </w:r>
    </w:p>
    <w:p>
      <w:pPr>
        <w:pStyle w:val="BookText"/>
        <w:rPr/>
      </w:pPr>
      <w:r>
        <w:rPr>
          <w:rFonts w:ascii="Amiri" w:hAnsi="Amiri" w:eastAsia="Amiri" w:cs="Amiri"/>
          <w:color w:val="111111"/>
          <w:sz w:val="28"/>
          <w:sz w:val="28"/>
          <w:szCs w:val="28"/>
          <w:rtl w:val="true"/>
          <w:lang w:bidi="ar-SA"/>
        </w:rPr>
        <w:t xml:space="preserve">الحسيني الأميني، نشر المعاونية الثقافية للمجمع العالمي لأهل البيت، طبع مطبعة أمير،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العلامة الحلي الحسن بن يوسف بن المطهر، نشر مؤسسة آل البيت، حجرية، مطبعة طوس،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في فقه الإمامية، الشيخ محمد بن الحسن الطوسي، تحقيق محمد تقي الكشفي، نشر المكتبة المرتضوية،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الشيخ أبو جعفر محمد بن علي بن الحسين القمي الصدوق، توفي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و نشر لجنة تابعة لمؤسسة الإمام الهادي، طبع مطبعة اعتماد،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الشيخ يوسف البحراني، توفي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تقي الإيرواني، مؤسسة النشر الإسلامي التابعة لجماعة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إلى علمي الأصول و الفروع، ابن زهرة الحلبي، توفي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إبراهيم البهادري، نشر مؤسسة الإمام الصادق،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اعتماد،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أبو جعفر محمد بن يعقوب الكليني، توفي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علي أكبر غفاري، مطبعة حيدري، نشر دار الكتب الإسلامية، الطبعة الثالثة،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محمد باقر المجلسي، توفي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و نشر مؤسسة الوفاء، الطبعة الثانية،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أحمد بن محمد بن خالد البرقي، توفي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جلال الدين الحسيني، نشر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الشيخ أبو جعفر محمد بن علي بن الحسين بن بابويه القمي الصدوق، تقديم و تعليق الشيخ حسين الأعلمي، نشر و طبع مؤسسة الأعلمي، بيروت، لبنان، الطبعة الأولى،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و صحاح العربية، إسماعيل بن حماد الجوهري، توفي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أحمد بن عبد الغفور العطار،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و طبع دار العلم للملايين،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الشيخ مجد الدين محمد بن يعقوب الفيروزآبادي الشيرازي، دار العلم للجميع، بيروت، لبنان، مع حاشية للشيخ نصر الهوريني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 البرهان، المحقق الأردبيلي، توفي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اشتهاردي، نشر جامعة المدرسين،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العزيزية في الأحاديث الدينية، ابن أبي جمهور الأحسائي، توفي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المرعشي، مطبعة سيد الشهداء، قم، الطبعة الأولى،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 الأفعال، علاء الدين علي المتقي الهندي، توفي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تصحيح الشيخ بكري حياتي، مؤسسة الرسالة،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أبو محمد عبد الله بن عبد الرحمن بن الفضل الدارمي، توفي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بعناية محمد أحمد دهمان، دمشق،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السيد المرتضى، أبو القاسم علي بن الطاهر أبي أحمد الحسين، الطبعة الأولى،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 ضبطه السيد محمد بدر الدين النعساني الحلبي، نشر مكتبة المرعشي،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 الأثر، أبو السعادات المبارك بن محمد بن الأثير الجزري، توفي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تعليق أبو عبد الرحمة صلاح بن محمد بن عويضة، نشر دار الكتب العلمية، بيروت، لبنان، الطبعة الأولى،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الصدوق، تحقيق قسم الدراسات الإسلامية، مؤسسة البعثة، قم،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 جلال الدين عبد الرحمن بن أبي بكر السيوطي، دار المعرفة للطباعة و 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و مزيل الإلباس عما اشتهر من الأحاديث على ألسنة الناس، إسماعيل بن محمد العجلوني، توفي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الشهيد الثاني، نشر مكتبة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حسين النوري الطبرسي، توفي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مؤسسة آل البيت لإحياء التراث، الطبعة الثانية،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الشيخ الصدوق، توفي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تصحيح علي أكبر الغفاري، نشر انتشارات إسلامي،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 البرهان فيشرح إرشاد الأذهان، المولى أحمد الأردبيلي، توفي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 تصحيح مجتبى العراقي، قم، نشر 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أبو الحسن علي بن إبراهيم القمي، من أعلام القرن الثالث و الرابع الهجري، تصحيح السيد طيب الجزائري، مؤسسة دار الكتاب للطباعة و النشر، قم، ايران،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أبو علي الفضل بن الحسن الطبرسي، من أعلام القرن السادس الهجري، تحقيق لجنة من العلماء، نشر مؤسسة الأعلمي، بيروت، لبنان،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أبو النضر محمد بن مسعود بن عياش السلمي السمرقندي، توفي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السيد هاشم الرسولي المحلاتي، نشر و طبع 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للشيخ الصدوق، تعليق، علي أكبر الغفاري، نشر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المنسوب للإمام جعفر الصادق، نشر مؤسسة الأعلمي، بيروت، لبنان، الطبعة الأولى،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كلام الإمام علي، شرح الأستاذ محمد عبدة، نشر و طبع دار الطباعة و 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الشيخ الصدوق، نشر المكتبة الحيدرية و مطبعتها، النجف،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للإمام العسكري، توفي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و نشر مدرسة الإمام المهدي، قم،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أحمد بن علي الطبرسي، توفي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باقر الخرسان، طبع و نشر دار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فقه الإمامية، الشهيد الأول، توفي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مؤسسة النشر الإسلامي، قم،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في شرح إشكالات القواعد، الشيخ أبو طالب محمد بن الحسن الحلي، توفي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تعليق السيد حسين الكرماني، الطبعة الأولى،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قطب الدين الراوندي، توفي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و نشر مؤسسة الإمام المهدي،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في بيان الأحكام بالدلائل، السيد علي الطباطبائي، توفي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آل البيت للطباعة و النشر، مطبعة الشهيد،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في مناقب ذوي القربى، محب الدين أحمد ابن عبد الله الطبري، توفي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مكتبة القدسي، القاهرة، تاريخ الطبع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جعفر على قواعد العلامة ابن المطهر، الشيخ جعفر كاشف الغطاء، توفي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و نشر مكتبة كاشف الغطاء، النجف، الطبعة الأولى،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الروضة البهية، الشهيد الأول نشر جامعة النجف الدينية، تحقيق السيد محمد كلانتر،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الإحكام في معرفة الأحكام، العلامة الحلي، توفي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نشر مؤسسة إسماعيليان، قم،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مهدي رجائي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القاضي عبد العزيز بن البراج الطرابلسي، توفي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النشر الإسلامي، قم، إيران،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تقديم جعفر السبحاني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أبو الفضل جمال الدين محمد بن مكرم بن منظور الإفريقي المصري، توفي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الطبعة الأولى، مطبعة دار إحياء التراث العربي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في الجمع بين الأشباه و النظائر، الشيخ يحيى بن سعيد الحلي، تحقيق السيد أحمد الحسيني، مطبعة الآداب، النجف،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في مختصر الشرائع، المحقق الحلي، ت طهران،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باعانة محمد باقر بن محمد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الأعشى الكبير، شرح و تعليق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محمد حسين، مكتبة الآداب، القاهرة، المطبعة النموذجية،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جار الله ابو القاسم محمود بن عمر الزمخشري، 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تحقيق عبد الرحيم محمود،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اولاد أورفاند،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الريبة عن احكام الغيبة، الشهيد الثاني، طبع الشيخ احمد شيرازي،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في شرح اصول الكافي، محمد بن مرتضى الكاشاني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هجرية،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الراغب في شرح بغية الطالب، الشيخ موسى بن الشيخ جعفر كاشف الغطاء،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فخر الدين محمد بن عمر، نشر المطبعة الازهرية،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المطبعة الشرقية،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التنزيل و أسرار التأويل، أبو الخير عبد الله بن عمر بن محمد الشيرازي البيضاوي، ت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 المتحفية، مصطفى البابي الحلبي،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التنقيح الرائع في شرح المختصر النافع، المقداد بن عبد الله السيوري، نسخ اسماعيل بن زين الدين العاملي، سنة النسخ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08" w:name="pg2491_24332"/>
    </w:p>
    <w:p>
      <w:pPr>
        <w:pStyle w:val="Heading2"/>
        <w:numPr>
          <w:ilvl w:val="1"/>
          <w:numId w:val="1"/>
        </w:numPr>
        <w:rPr/>
      </w:pPr>
      <w:bookmarkStart w:id="309" w:name="__RefHeading___Toc3813759_3804643083"/>
      <w:bookmarkStart w:id="310" w:name="_Toc119"/>
      <w:bookmarkEnd w:id="308"/>
      <w:bookmarkEnd w:id="309"/>
      <w:r>
        <w:rPr>
          <w:rtl w:val="true"/>
        </w:rPr>
        <w:t>دليل الكتاب</w:t>
      </w:r>
      <w:bookmarkEnd w:id="310"/>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نبذة من حياة الشيخ مهدي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اسمه و نسبه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مكانته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آثاره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مقدمة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لغة و مفهوماً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أقسام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الكلام فيما يكتسب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بالاعيان النجسة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ما يحرم التكسب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حق الاختصاص في الاعيان النجسة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التكسب بحق الاختصاص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حرمة التكسب بالميتة و اجزائها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التكسب بالدم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التكسب بالمني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التكسب بالابوال و الارواث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التكسب بالكلب و الخنزير البريين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التكسب بالمرتد الفطري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التكسب بالعصير العنبي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المائعات المتنجسة التي لا تقبل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التكسب بآلات اللهو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عمل آلات اللهو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استعمال آلات اللهو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اتلاف آلات اللهو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التكسب بآلات اللهو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بيع السلاح على أعداء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الإجارة و البيع للمحرمات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مما لا يجوز التكسب به مما لا ينتفع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عمل الصور المجسمة الحيوانية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مسألة التكسب بالغناء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تعريف الغناء عند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المستثنيات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 من جملة ما يحرم التكسب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معونة الظالمين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النوح بالباطل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حفظ كتب الضلال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بيان معنى كتب الضلال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هجاء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الكلام في حرمة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كلام في مستثنيات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 من جملة ما يحرم التكسب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موضوعه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الكهانة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 من جملة ما يحرم التكسب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 من جملة ما يحرم التكسب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الشعبذة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 من جملة ما يحرم التكسب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 من جملة ما يحرم التكسب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المصادر و 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الامين، اعيان الشيعة،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حرز الدين، 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آل محبوبة، ماضي النجف و 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حرز الدين، معارف الرجال،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أعيان الشيعة،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حسين كاشف الغطاء، الطبقات العنبرية،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أعيان الشيعة و معارف الرجال و ماضي النجف و حاضرها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الاول،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من الجواهر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الجواهر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المحلي، 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قواعد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الافهام،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في المسالك بدليل تانيث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المسالك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المسالك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الافهام،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العلامة، ايضاح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العبارة الاخيرة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كالقسم الاول الذي لا منفعة فيه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السيوري، التنقيح، ورقة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عمر الدار قطني، سنن الدار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علي بن الجعد، مسند ابن الجعد،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البيهقي، الحسن البكري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محمد المغربي، 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بتغيير قليل في الألفاظ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عمر الدار قطني، سنن الدار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الاردبيلي، 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العلامة، ايضاح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عمر الدار قطني، سنن الدار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السيوري، التنقيح، ورقة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ما بين المعقوفتين ساقط من المخطوطة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من التحف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العلامة، ايضاح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السيوري، التنقيح، ورقة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السيوري، التنقيح، ورقة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العلامة، ايضاح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التحف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فجميع تقلبه في ذلك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ما راجعته خبراً بهذا اللفظ ليزيد بن فرقد، و ما وجدته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بايجاز في النقل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سقط في العبارة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فقه الرضا،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المحلي، شرائع الاسلام،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الروضة بشرح السيد كلانتر،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شرائع الاسلام،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الطريحي،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ما بين المعقوفتين إضافة من المجمع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باختلاف قليل في اللفظ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الحلي،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باختلاف قليل في الالفاظ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الاحكام،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موضوع الرهن من كتاب الخلاف للشيخ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عدم الانتفاع بها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 اللفظ مختلف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السيوري، التنقيح، ورقة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لم أجد في ما راجعت ان يزيد بن فرقد يروي هذا الحديث</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 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ما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يصلح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الوسائل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النهاية،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الطوسي، الوسيلة،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شرائع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النهاية،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ابن حمزة الطوسي، الوسيلة،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علاجنا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الشيخ الطوسي،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الكاشاني، 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ما ينتفع به من اجزاء الميتة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الاستبصار، و الكيمخت هو جلد الميتة المملح، و الفرا ما طلي به أو الصق به الورق، الجوهري،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البحراني،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كفاية الأحكام،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مستطرفات السرائر،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كفاية الأحكام،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السيوري، التنقيح، ورقه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بغية الطالب، ورقه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مخطوط، و اللفظ مختلف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موسى كاشف الغطاء، شرح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اللفظ مختلف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سقط في العبارة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النهاية،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محمد،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الشيخ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كفاية الأحكام،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الكاشاني، 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يحل الشراء و البيع فيه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نهاية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الحلي، نزهة الناظر،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الشيخ الطوسي، النهاية،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المراسم العلوية،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بتغيير في الألفاظ</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الآبي،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النهاية،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بتقديم و تأخير في الألفاظ</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للمحقق الحلي،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سعيد، نزهة الناظر في الجمع بين الأشباه و النظائر،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الانتصار،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ما في الترمذي يختلف لفظه كلياً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عمر الدار قطني، سنن الدار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الانتصار،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الشريف المرتضى،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بتغيير في الألفاظ</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للمحقق الحلي،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الناصريات،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المراسم العلوية،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باختلاف قليل في الألفاظ</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الناصريات،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إياك ان تجعل جلد الخنزير دلواً تستقي به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المقنع،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خبر بهذا المعنى لسليمان الإسكاف في ما راجعت من مصادر الحديث</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جواد العاملي،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بتغيير في الألفاظ</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في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شي‌ء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محمد المغربي،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بتغيير قليل في الألفاظ، و ما بين المعقوفتين إضافة يقتضيها السياق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فقه الرضا،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بتغيير في الألفاظ</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بتغيير في الألفاظ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الحلبي، غنية النزوع،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الحلبي، غنية النزوع،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هنا عبارة ساقطة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الحلي،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الحميري، قرب الاسناد،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قليل في الألفاظ</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البحراني،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البحراني،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القمي، قرب الأسناد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الجلود و الفرائية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باختلاف قليل في الألفاظ</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الخلاف في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 كتابة هذا الجزء من الكتاب بعد وفاة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لان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الانتصار،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الانتصار،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بتغيير في الألفاظ</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الى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عبارة ساقطة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الطريحي،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و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الأفصح ما أثبتناه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الطريحي،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بتغيير قليل في الألفاظ</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الطريحي،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الحلبي، غنية النزوع،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تحف العقول،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الافهام،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قطني، سنن الدار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القواعد،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باختلاف قليل في الألفاظ</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المقام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الجواهر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متى لم يحرم الانتفاع به لها لم يجز بيعه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كما أثبتناها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الافهام،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الوسائل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باسناده عن حماد بن عمرو و انس بن محمد عن أبيه جميعاً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باختلاف قليل في الألفاظ</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باختلاف قليل في الألفاظ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الاردبيلي،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الوسائل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الوسائل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الوسائل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المقام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وجود عبارة ساقطة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المقام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عبارة ساقطة هنا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اللمعة الدمشقية،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المختصر النافع،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النهاية،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الطباطبائي،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الجواد العاملي،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من الوسائل، الظاهر ان الناسخ أسقطها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و يجعله ذلك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الوسائل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الوسائل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 أكله و شربه أو 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الوسائل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زائد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هنا عبارة ساقطة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ما 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الصحيح</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الوسائل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في التحف 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فحلال تعلّمه و تعليمه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النهاية،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البرقي،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عبارة ساقطة هنا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الجواد العاملي،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الجواد العاملي،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هو قول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باختلاف قليل في الألفاظ</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قرب الإسناد،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النهاية،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النص كله للشيخ الأنصاري في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البرقي،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ما ورد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تحسين القراءة و ترقيقها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الجواد العاملي،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الطريحي،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العبارة فيه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 من الصوت ممدود، كذا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ما بين المعقوفتين إضافة من القاموس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المقام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أساس البلاغة،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الطريحي،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المنشئية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الجواد العاملي،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المقنع،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ما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أبي بكير محمد بن عمر بن محرم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الجواد العاملي،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النقل هنا بالمعنى</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الكاشاني، 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كسب المغنية و شرائها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الكاشاني، 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كسب المغنية و شرائها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و الخراساني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الكاشاني، 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كسب المغنية و شرائها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المخطوطة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التصريح بفساد و هم في خص</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للشاعر قعنب بن أم صاحب، و قبله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الأعشى، ديوان الأعشى،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المغيرة بن حبناء التميمي، ابن سلام،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باختلاف قليل في الألفاظ</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الامالي،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كفاية الحكام،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عوالي اللآلئ،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كفاية الأحكام،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النهاية،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النافع في مختصر الشرائع،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الجواد العاملي،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الطباطبائي،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باختلاف قليل في الألفاظ عن الوسائل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المقام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الجوهري،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عمر الدارقطني،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و ما بين المعقوفتين من المقنعة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الجواد العاملي،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ما بين المعقوفتين من المفتاح</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العبارة في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 و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 حال الضرورة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غير مستقيمة المعنى، و الظاهر وجود سقط فيها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ما بين المعقوفتين من شرح القواعد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المحقق البحراني،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هنا غير مقروءة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الجوهري،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ابن الأثير، 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الفيومي، 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الفاضل الهندي،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ما بين يدي من المصادر إلا في المكاسب للشيخ الأنصاري،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المقام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الطريحي،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مكارم الأخلاق،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مكارم الأخلاق،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العجلوني،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الشيخ الطريحي،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 الأثير، 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الفيومي، 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رسائل الشهيد الثاني،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المقام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ابن الأشعث السجستاني،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ما بين المعقوفتين إضافة من البحار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ما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القعص هو القتل المعجّل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نقص في العبارة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ما في المجمع يختلف كليا عما في المخطوطة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كفاية الأحكام،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معاني الأخبار،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القمي،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ما بين المعقوفتين إضافة من الخصال و بقية الكتب التي روت الحديث</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 ما بين المعقوفتين إضافة من الوسائل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ما بين المعقوفتين إضافة من الكافي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هنا غير مستقيمة في الأصل و الجواهر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ما بين المعقوفتين إضافة يقتضيها السياق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البحار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كشف الريبة،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مكارم الأخلاق،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الخبر ليس بهذا اللفظ</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مصباح الشريعة،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القمي، قرب الإسناد،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المعملين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شرح اللمعة،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الشهيد الأول،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ص و هو من خطأ الناسخ</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تفسير الإمام</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أثر لهذه الرواية في ما تحت يدي من المصادر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هنا غير مقروءة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هنا غير مقروءة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الطريحي،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العلامة،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السيوري، التنقيح، ورقة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العلامة،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السيوري، التنقيح، ورقة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صاحب النص</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الخرائج و 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أنوار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العلامة،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أنبياء،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القمي، قرب الإسناد،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باختلاف قليل في الألفاظ</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 من الناسخ</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ما بين المعقوفتين إضافة من القواعد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كفاية الأحكام،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الطباطبائي،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مستطرفات السرائر،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صاحب النص</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العبارة الآتية لابن الأثير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الطريحي،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البحراني،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وجود عبارة ساقطة من الأصل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السيوري، التنقيح، ورقة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الخبر لعلي بن جعفر، مسائل علي بن جعفر،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سقط في العبارة لأنه لم يذكر نص شرح القواعد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المقام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شرح القواعد،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ما بين المعقوفتين إضافة من الوسائل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ابن الأثير، 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الطريحي، مجمع البحرين،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طبعة آل البيت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الطبري، ذخائر العقبى،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هنا غير مستقيمة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كفاية الأحكام،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الطبري، ذخائر العقبى،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الطباطبائي،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ما بين المعقوفتين إضافة من التذكرة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الجعد، مسند ابن الجعد،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الطباطبائي،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باختلاف في اللفظ</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الأمالي،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جعفر، مسائل علي بن جعفر،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ما بين المعقوفتين إضافة من البحار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65176</Words>
  <Characters>261955</Characters>
  <CharactersWithSpaces>325979</CharactersWithSpaces>
  <Paragraphs>1153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2026-08-17T08:27:16Z</dcterms:created>
  <dc:creator>ghaemiyeh.com</dc:creator>
  <dc:description/>
  <dc:language>en-US</dc:language>
  <cp:lastModifiedBy/>
  <dcterms:modified xsi:type="dcterms:W3CDTF">2026-08-17T11:57:25Z</dcterms:modified>
  <cp:revision>1</cp:revision>
  <dc:subject/>
  <dc:title>احکام المتاجر المحرمه</dc:title>
</cp:coreProperties>
</file>

<file path=docProps/custom.xml><?xml version="1.0" encoding="utf-8"?>
<Properties xmlns="http://schemas.openxmlformats.org/officeDocument/2006/custom-properties" xmlns:vt="http://schemas.openxmlformats.org/officeDocument/2006/docPropsVTypes"/>
</file>