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خراسان ومدرسة المعارف الالهیة حوار مع آیةالله العلامة السیدجعفر سیدان دام ظله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14660_380464308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514662_380464308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514664_3804643083">
            <w:r>
              <w:rPr>
                <w:webHidden/>
                <w:rStyle w:val="IndexLink"/>
                <w:rtl w:val="true"/>
              </w:rPr>
              <w:t>الفهرس</w:t>
            </w:r>
            <w:r>
              <w:rPr>
                <w:rStyle w:val="IndexLink"/>
                <w:rtl w:val="true"/>
              </w:rPr>
              <w:tab/>
            </w:r>
            <w:r>
              <w:rPr>
                <w:rStyle w:val="IndexLink"/>
              </w:rPr>
              <w:t>7</w:t>
            </w:r>
          </w:hyperlink>
        </w:p>
        <w:p>
          <w:pPr>
            <w:pStyle w:val="Contents2"/>
            <w:tabs>
              <w:tab w:val="clear" w:pos="8743"/>
              <w:tab w:val="right" w:pos="9026" w:leader="dot"/>
            </w:tabs>
            <w:rPr/>
          </w:pPr>
          <w:hyperlink w:anchor="__RefHeading___Toc2514666_3804643083">
            <w:r>
              <w:rPr>
                <w:webHidden/>
                <w:rStyle w:val="IndexLink"/>
                <w:rtl w:val="true"/>
              </w:rPr>
              <w:t>مقدّمة المترجم</w:t>
            </w:r>
            <w:r>
              <w:rPr>
                <w:rStyle w:val="IndexLink"/>
                <w:rtl w:val="true"/>
              </w:rPr>
              <w:tab/>
            </w:r>
            <w:r>
              <w:rPr>
                <w:rStyle w:val="IndexLink"/>
              </w:rPr>
              <w:t>8</w:t>
            </w:r>
          </w:hyperlink>
        </w:p>
        <w:p>
          <w:pPr>
            <w:pStyle w:val="Contents2"/>
            <w:tabs>
              <w:tab w:val="clear" w:pos="8743"/>
              <w:tab w:val="right" w:pos="9026" w:leader="dot"/>
            </w:tabs>
            <w:rPr/>
          </w:pPr>
          <w:hyperlink w:anchor="__RefHeading___Toc2514668_3804643083">
            <w:r>
              <w:rPr>
                <w:webHidden/>
                <w:rStyle w:val="IndexLink"/>
                <w:rtl w:val="true"/>
              </w:rPr>
              <w:t>مقدّمة</w:t>
            </w:r>
            <w:r>
              <w:rPr>
                <w:rStyle w:val="IndexLink"/>
                <w:rtl w:val="true"/>
              </w:rPr>
              <w:tab/>
            </w:r>
            <w:r>
              <w:rPr>
                <w:rStyle w:val="IndexLink"/>
              </w:rPr>
              <w:t>9</w:t>
            </w:r>
          </w:hyperlink>
        </w:p>
        <w:p>
          <w:pPr>
            <w:pStyle w:val="Contents2"/>
            <w:tabs>
              <w:tab w:val="clear" w:pos="8743"/>
              <w:tab w:val="right" w:pos="9026" w:leader="dot"/>
            </w:tabs>
            <w:rPr/>
          </w:pPr>
          <w:hyperlink w:anchor="__RefHeading___Toc2514670_3804643083">
            <w:r>
              <w:rPr>
                <w:webHidden/>
                <w:rStyle w:val="IndexLink"/>
                <w:rtl w:val="true"/>
              </w:rPr>
              <w:t>السؤال الأوّل</w:t>
            </w:r>
            <w:r>
              <w:rPr>
                <w:rStyle w:val="IndexLink"/>
                <w:rtl w:val="true"/>
              </w:rPr>
              <w:tab/>
            </w:r>
            <w:r>
              <w:rPr>
                <w:rStyle w:val="IndexLink"/>
              </w:rPr>
              <w:t>11</w:t>
            </w:r>
          </w:hyperlink>
        </w:p>
        <w:p>
          <w:pPr>
            <w:pStyle w:val="Contents2"/>
            <w:tabs>
              <w:tab w:val="clear" w:pos="8743"/>
              <w:tab w:val="right" w:pos="9026" w:leader="dot"/>
            </w:tabs>
            <w:rPr/>
          </w:pPr>
          <w:hyperlink w:anchor="__RefHeading___Toc2514672_3804643083">
            <w:r>
              <w:rPr>
                <w:webHidden/>
                <w:rStyle w:val="IndexLink"/>
                <w:rtl w:val="true"/>
              </w:rPr>
              <w:t>السؤال الثاني</w:t>
            </w:r>
            <w:r>
              <w:rPr>
                <w:rStyle w:val="IndexLink"/>
                <w:rtl w:val="true"/>
              </w:rPr>
              <w:tab/>
            </w:r>
            <w:r>
              <w:rPr>
                <w:rStyle w:val="IndexLink"/>
              </w:rPr>
              <w:t>14</w:t>
            </w:r>
          </w:hyperlink>
        </w:p>
        <w:p>
          <w:pPr>
            <w:pStyle w:val="Contents3"/>
            <w:tabs>
              <w:tab w:val="clear" w:pos="8459"/>
              <w:tab w:val="right" w:pos="9026" w:leader="dot"/>
            </w:tabs>
            <w:rPr/>
          </w:pPr>
          <w:hyperlink w:anchor="__RefHeading___Toc2514674_3804643083">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2514676_3804643083">
            <w:r>
              <w:rPr>
                <w:webHidden/>
                <w:rStyle w:val="IndexLink"/>
                <w:rtl w:val="true"/>
              </w:rPr>
              <w:t>تنبيه إلى مسألة مهمّة</w:t>
            </w:r>
            <w:r>
              <w:rPr>
                <w:rStyle w:val="IndexLink"/>
                <w:rtl w:val="true"/>
              </w:rPr>
              <w:tab/>
            </w:r>
            <w:r>
              <w:rPr>
                <w:rStyle w:val="IndexLink"/>
              </w:rPr>
              <w:t>18</w:t>
            </w:r>
          </w:hyperlink>
        </w:p>
        <w:p>
          <w:pPr>
            <w:pStyle w:val="Contents3"/>
            <w:tabs>
              <w:tab w:val="clear" w:pos="8459"/>
              <w:tab w:val="right" w:pos="9026" w:leader="dot"/>
            </w:tabs>
            <w:rPr/>
          </w:pPr>
          <w:hyperlink w:anchor="__RefHeading___Toc2514678_3804643083">
            <w:r>
              <w:rPr>
                <w:webHidden/>
                <w:rStyle w:val="IndexLink"/>
                <w:rtl w:val="true"/>
              </w:rPr>
              <w:t>أمّا في مسألة التوحيد</w:t>
            </w:r>
            <w:r>
              <w:rPr>
                <w:rStyle w:val="IndexLink"/>
                <w:rtl w:val="true"/>
              </w:rPr>
              <w:tab/>
            </w:r>
            <w:r>
              <w:rPr>
                <w:rStyle w:val="IndexLink"/>
              </w:rPr>
              <w:t>19</w:t>
            </w:r>
          </w:hyperlink>
        </w:p>
        <w:p>
          <w:pPr>
            <w:pStyle w:val="Contents3"/>
            <w:tabs>
              <w:tab w:val="clear" w:pos="8459"/>
              <w:tab w:val="right" w:pos="9026" w:leader="dot"/>
            </w:tabs>
            <w:rPr/>
          </w:pPr>
          <w:hyperlink w:anchor="__RefHeading___Toc2514680_3804643083">
            <w:r>
              <w:rPr>
                <w:webHidden/>
                <w:rStyle w:val="IndexLink"/>
                <w:rtl w:val="true"/>
              </w:rPr>
              <w:t>وأمّا فى مسألة المعاد</w:t>
            </w:r>
            <w:r>
              <w:rPr>
                <w:rStyle w:val="IndexLink"/>
                <w:rtl w:val="true"/>
              </w:rPr>
              <w:tab/>
            </w:r>
            <w:r>
              <w:rPr>
                <w:rStyle w:val="IndexLink"/>
              </w:rPr>
              <w:t>22</w:t>
            </w:r>
          </w:hyperlink>
        </w:p>
        <w:p>
          <w:pPr>
            <w:pStyle w:val="Contents2"/>
            <w:tabs>
              <w:tab w:val="clear" w:pos="8743"/>
              <w:tab w:val="right" w:pos="9026" w:leader="dot"/>
            </w:tabs>
            <w:rPr/>
          </w:pPr>
          <w:hyperlink w:anchor="__RefHeading___Toc2514682_3804643083">
            <w:r>
              <w:rPr>
                <w:webHidden/>
                <w:rStyle w:val="IndexLink"/>
                <w:rtl w:val="true"/>
              </w:rPr>
              <w:t>السؤال الثالث</w:t>
            </w:r>
            <w:r>
              <w:rPr>
                <w:rStyle w:val="IndexLink"/>
                <w:rtl w:val="true"/>
              </w:rPr>
              <w:tab/>
            </w:r>
            <w:r>
              <w:rPr>
                <w:rStyle w:val="IndexLink"/>
              </w:rPr>
              <w:t>26</w:t>
            </w:r>
          </w:hyperlink>
        </w:p>
        <w:p>
          <w:pPr>
            <w:pStyle w:val="Contents2"/>
            <w:tabs>
              <w:tab w:val="clear" w:pos="8743"/>
              <w:tab w:val="right" w:pos="9026" w:leader="dot"/>
            </w:tabs>
            <w:rPr/>
          </w:pPr>
          <w:hyperlink w:anchor="__RefHeading___Toc2514684_3804643083">
            <w:r>
              <w:rPr>
                <w:webHidden/>
                <w:rStyle w:val="IndexLink"/>
                <w:rtl w:val="true"/>
              </w:rPr>
              <w:t>السؤال الرابع</w:t>
            </w:r>
            <w:r>
              <w:rPr>
                <w:rStyle w:val="IndexLink"/>
                <w:rtl w:val="true"/>
              </w:rPr>
              <w:tab/>
            </w:r>
            <w:r>
              <w:rPr>
                <w:rStyle w:val="IndexLink"/>
              </w:rPr>
              <w:t>30</w:t>
            </w:r>
          </w:hyperlink>
        </w:p>
        <w:p>
          <w:pPr>
            <w:pStyle w:val="Contents2"/>
            <w:tabs>
              <w:tab w:val="clear" w:pos="8743"/>
              <w:tab w:val="right" w:pos="9026" w:leader="dot"/>
            </w:tabs>
            <w:rPr/>
          </w:pPr>
          <w:hyperlink w:anchor="__RefHeading___Toc2514686_3804643083">
            <w:r>
              <w:rPr>
                <w:webHidden/>
                <w:rStyle w:val="IndexLink"/>
                <w:rtl w:val="true"/>
              </w:rPr>
              <w:t>السؤال الخامس</w:t>
            </w:r>
            <w:r>
              <w:rPr>
                <w:rStyle w:val="IndexLink"/>
                <w:rtl w:val="true"/>
              </w:rPr>
              <w:tab/>
            </w:r>
            <w:r>
              <w:rPr>
                <w:rStyle w:val="IndexLink"/>
              </w:rPr>
              <w:t>34</w:t>
            </w:r>
          </w:hyperlink>
        </w:p>
        <w:p>
          <w:pPr>
            <w:pStyle w:val="Contents2"/>
            <w:tabs>
              <w:tab w:val="clear" w:pos="8743"/>
              <w:tab w:val="right" w:pos="9026" w:leader="dot"/>
            </w:tabs>
            <w:rPr/>
          </w:pPr>
          <w:hyperlink w:anchor="__RefHeading___Toc2514688_3804643083">
            <w:r>
              <w:rPr>
                <w:webHidden/>
                <w:rStyle w:val="IndexLink"/>
                <w:rtl w:val="true"/>
              </w:rPr>
              <w:t>فهرس المصادر</w:t>
            </w:r>
            <w:r>
              <w:rPr>
                <w:rStyle w:val="IndexLink"/>
                <w:rtl w:val="true"/>
              </w:rPr>
              <w:tab/>
            </w:r>
            <w:r>
              <w:rPr>
                <w:rStyle w:val="IndexLink"/>
              </w:rPr>
              <w:t>40</w:t>
            </w:r>
          </w:hyperlink>
        </w:p>
        <w:p>
          <w:pPr>
            <w:pStyle w:val="Contents2"/>
            <w:tabs>
              <w:tab w:val="clear" w:pos="8743"/>
              <w:tab w:val="right" w:pos="9026" w:leader="dot"/>
            </w:tabs>
            <w:rPr/>
          </w:pPr>
          <w:hyperlink w:anchor="__RefHeading___Toc2514690_3804643083">
            <w:r>
              <w:rPr>
                <w:webHidden/>
                <w:rStyle w:val="IndexLink"/>
                <w:rtl w:val="true"/>
              </w:rPr>
              <w:t>چكيده</w:t>
            </w:r>
            <w:r>
              <w:rPr>
                <w:rStyle w:val="IndexLink"/>
                <w:rtl w:val="true"/>
              </w:rPr>
              <w:tab/>
            </w:r>
            <w:r>
              <w:rPr>
                <w:rStyle w:val="IndexLink"/>
              </w:rPr>
              <w:t>43</w:t>
            </w:r>
          </w:hyperlink>
        </w:p>
        <w:p>
          <w:pPr>
            <w:pStyle w:val="Contents2"/>
            <w:tabs>
              <w:tab w:val="clear" w:pos="8743"/>
              <w:tab w:val="right" w:pos="9026" w:leader="dot"/>
            </w:tabs>
            <w:rPr/>
          </w:pPr>
          <w:hyperlink w:anchor="__RefHeading___Toc2514692_3804643083">
            <w:r>
              <w:rPr>
                <w:webHidden/>
                <w:rStyle w:val="IndexLink"/>
              </w:rPr>
              <w:t>BOOK SUMMARY</w:t>
            </w:r>
            <w:r>
              <w:rPr>
                <w:rStyle w:val="IndexLink"/>
                <w:rtl w:val="true"/>
              </w:rPr>
              <w:tab/>
            </w:r>
            <w:r>
              <w:rPr>
                <w:rStyle w:val="IndexLink"/>
              </w:rPr>
              <w:t>44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333_12086"/>
      <w:bookmarkStart w:id="1" w:name="pg2333_12086"/>
      <w:bookmarkEnd w:id="1"/>
    </w:p>
    <w:p>
      <w:pPr>
        <w:pStyle w:val="Heading2"/>
        <w:numPr>
          <w:ilvl w:val="1"/>
          <w:numId w:val="1"/>
        </w:numPr>
        <w:rPr/>
      </w:pPr>
      <w:bookmarkStart w:id="2" w:name="pg2333_12086"/>
      <w:bookmarkStart w:id="3" w:name="__RefHeading___Toc2514660_3804643083"/>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سيدان،سيدجعفر، </w:t>
      </w:r>
      <w:r>
        <w:rPr>
          <w:rFonts w:ascii="Amiri" w:hAnsi="Amiri" w:eastAsia="Amiri" w:cs="Amiri"/>
          <w:color w:val="111111"/>
          <w:sz w:val="28"/>
          <w:sz w:val="28"/>
          <w:szCs w:val="28"/>
          <w:lang w:bidi="ar-SA"/>
        </w:rPr>
        <w:t>۱۳۱۳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قراردادي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نظريه تفكيك يا روش فقها و علماء اماميه در فهم معارف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ومدرسة المعارف الالهية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 مع آيةالله العلامة السيدجعفر سيدان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الملكي‌الميانجي؛ ترجمة سيدحسين المدرسي؛ التصحيح غلام‌رضا فاضلي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منشورات‌الولايه، </w:t>
      </w:r>
      <w:r>
        <w:rPr>
          <w:rFonts w:ascii="Amiri" w:hAnsi="Amiri" w:eastAsia="Amiri" w:cs="Amiri"/>
          <w:color w:val="111111"/>
          <w:sz w:val="28"/>
          <w:sz w:val="28"/>
          <w:szCs w:val="28"/>
          <w:lang w:bidi="ar-SA"/>
        </w:rPr>
        <w:t>۱۳۹۳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۱۴</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وضعيت فهرست نويسي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سيدان،سيدجعفر، </w:t>
      </w:r>
      <w:r>
        <w:rPr>
          <w:rFonts w:ascii="Amiri" w:hAnsi="Amiri" w:eastAsia="Amiri" w:cs="Amiri"/>
          <w:color w:val="111111"/>
          <w:sz w:val="28"/>
          <w:sz w:val="28"/>
          <w:szCs w:val="28"/>
          <w:lang w:bidi="ar-SA"/>
        </w:rPr>
        <w:t>۱۳۱۳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تفكيك</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فلسفه 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ملكي ميانجي، علي،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مصاحبه‌گر</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مدرسي، سيدحسين، </w:t>
      </w:r>
      <w:r>
        <w:rPr>
          <w:rFonts w:ascii="Amiri" w:hAnsi="Amiri" w:eastAsia="Amiri" w:cs="Amiri"/>
          <w:color w:val="111111"/>
          <w:sz w:val="28"/>
          <w:sz w:val="28"/>
          <w:szCs w:val="28"/>
          <w:lang w:bidi="ar-SA"/>
        </w:rPr>
        <w:t>۱۳۶۳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فاضلي، غلام‌رضا، مصحح</w:t>
      </w:r>
    </w:p>
    <w:p>
      <w:pPr>
        <w:pStyle w:val="BookText"/>
        <w:rPr/>
      </w:pPr>
      <w:r>
        <w:rPr>
          <w:rFonts w:ascii="IRNazanin" w:hAnsi="IRNazanin" w:eastAsia="IRNazanin"/>
          <w:color w:val="111111"/>
          <w:sz w:val="28"/>
          <w:sz w:val="28"/>
          <w:szCs w:val="28"/>
          <w:rtl w:val="true"/>
          <w:lang w:bidi="fa-IR"/>
        </w:rPr>
        <w:t>رده بندي كنگره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BBR</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Amiri" w:hAnsi="Amiri" w:eastAsia="Amiri" w:cs="Amiri"/>
          <w:color w:val="111111"/>
          <w:sz w:val="28"/>
          <w:sz w:val="28"/>
          <w:szCs w:val="28"/>
          <w:rtl w:val="true"/>
          <w:lang w:bidi="ar-SA"/>
        </w:rPr>
        <w:t>رده بندي ديويي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۳۶۳۷۳۱۲</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خراسان ومدرسة معارف الإلهيّة</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الملكيّ الميانجيّ</w:t>
      </w:r>
    </w:p>
    <w:p>
      <w:pPr>
        <w:pStyle w:val="BookText"/>
        <w:rPr/>
      </w:pP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المدرسيّ</w:t>
      </w:r>
    </w:p>
    <w:p>
      <w:pPr>
        <w:pStyle w:val="BookText"/>
        <w:rPr/>
      </w:pPr>
      <w:r>
        <w:rPr>
          <w:rFonts w:ascii="Amiri" w:hAnsi="Amiri" w:eastAsia="Amiri" w:cs="Amiri"/>
          <w:color w:val="111111"/>
          <w:sz w:val="28"/>
          <w:sz w:val="28"/>
          <w:szCs w:val="28"/>
          <w:rtl w:val="true"/>
          <w:lang w:bidi="ar-SA"/>
        </w:rPr>
        <w:t>التصحيح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غلام رضا فاضليّ</w:t>
      </w:r>
    </w:p>
    <w:p>
      <w:pPr>
        <w:pStyle w:val="BookText"/>
        <w:rPr/>
      </w:pPr>
      <w:r>
        <w:rPr>
          <w:rFonts w:ascii="Amiri" w:hAnsi="Amiri" w:eastAsia="Amiri" w:cs="Amiri"/>
          <w:color w:val="111111"/>
          <w:sz w:val="28"/>
          <w:sz w:val="28"/>
          <w:szCs w:val="28"/>
          <w:rtl w:val="true"/>
          <w:lang w:bidi="ar-SA"/>
        </w:rPr>
        <w:t>تقويم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حميد الخبيريّ</w:t>
      </w:r>
    </w:p>
    <w:p>
      <w:pPr>
        <w:pStyle w:val="BookText"/>
        <w:rPr/>
      </w:pPr>
      <w:r>
        <w:rPr>
          <w:rFonts w:ascii="Amiri" w:hAnsi="Amiri" w:eastAsia="Amiri" w:cs="Amiri"/>
          <w:color w:val="111111"/>
          <w:sz w:val="28"/>
          <w:sz w:val="28"/>
          <w:szCs w:val="28"/>
          <w:rtl w:val="true"/>
          <w:lang w:bidi="ar-SA"/>
        </w:rPr>
        <w:t>تنضيد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الجعفريّ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الولاية للنشر</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مراكز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ـ مشهد ـ دار الولاية للنشر ـ هاتف </w:t>
      </w:r>
      <w:r>
        <w:rPr>
          <w:rFonts w:eastAsia="Amiri" w:cs="Amiri" w:ascii="Amiri" w:hAnsi="Amiri"/>
          <w:color w:val="111111"/>
          <w:sz w:val="28"/>
          <w:szCs w:val="28"/>
          <w:lang w:bidi="ar-SA"/>
        </w:rPr>
        <w:t>00989151576003</w:t>
      </w:r>
    </w:p>
    <w:p>
      <w:pPr>
        <w:pStyle w:val="BookText"/>
        <w:rPr/>
      </w:pPr>
      <w:r>
        <w:rPr>
          <w:rFonts w:ascii="Amiri" w:hAnsi="Amiri" w:eastAsia="Amiri" w:cs="Amiri"/>
          <w:color w:val="111111"/>
          <w:sz w:val="28"/>
          <w:sz w:val="28"/>
          <w:szCs w:val="28"/>
          <w:rtl w:val="true"/>
          <w:lang w:bidi="ar-SA"/>
        </w:rPr>
        <w:t xml:space="preserve">ايران ـ قم ـ شارع الصفائيّة ـ مجتمع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الطابق الارضي ـ رقم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00982537833624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14662_3804643083"/>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وَالـمَوعِظَةِ الـحَسَنَة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يُعدّ العلم والمعرفة أفضل وأكبر النِّعم الإلهيّة المهداة لعباد اللّه الصالحين لأنّه بالعلم يُعينهم اللّه على عبوديّته وبه يخضعون له، وهو من أكبر النّعم التي بها يفتخرون في حياتهم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والعلماء الربانيّون والعرفاء الإلهيّون هم من يستضيئون بهدى الأنبياء و الأئمّة… عليهم السلام … ولا يشعرون بالتَّعب أو الملل أبداً في سلوك هذا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العلم والعمل، ويتجنّبون الطُرُق الأُخرى التي لا تنتهي بهم إلى نيل معارف الأئمّة… عليهم السلام …</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تهدف هذه المؤسّسة ـ التي تأسّست بدافع إحياء آثار هذه الثلَّة المخلصة التي تحملت على عاتقها مهمّة الدفاع عن معارف الوحي والعلوم الإلهيّة الأصيلة ـ إلى نشر هذا الفكر عبر الوسائل العصريّة المتاحة ومن اللّه التوفيق</w:t>
      </w:r>
      <w:r>
        <w:rPr>
          <w:rFonts w:eastAsia="Amiri" w:cs="Amiri" w:ascii="Amiri" w:hAnsi="Amiri"/>
          <w:color w:val="111111"/>
          <w:sz w:val="28"/>
          <w:szCs w:val="28"/>
          <w:rtl w:val="true"/>
          <w:lang w:bidi="ar-SA"/>
        </w:rPr>
        <w:t>.</w:t>
      </w:r>
      <w:bookmarkStart w:id="7" w:name="pg2333_12091"/>
    </w:p>
    <w:p>
      <w:pPr>
        <w:pStyle w:val="Heading2"/>
        <w:numPr>
          <w:ilvl w:val="1"/>
          <w:numId w:val="1"/>
        </w:numPr>
        <w:rPr/>
      </w:pPr>
      <w:bookmarkStart w:id="8" w:name="__RefHeading___Toc2514664_3804643083"/>
      <w:bookmarkStart w:id="9" w:name="_Toc3"/>
      <w:bookmarkEnd w:id="7"/>
      <w:bookmarkEnd w:id="8"/>
      <w:r>
        <w:rPr>
          <w:rtl w:val="true"/>
        </w:rPr>
        <w:t>الفهرس</w:t>
      </w:r>
      <w:bookmarkEnd w:id="9"/>
    </w:p>
    <w:p>
      <w:pPr>
        <w:pStyle w:val="BookText"/>
        <w:rPr/>
      </w:pPr>
      <w:r>
        <w:rPr>
          <w:rFonts w:ascii="Amiri" w:hAnsi="Amiri" w:eastAsia="Amiri" w:cs="Amiri"/>
          <w:color w:val="111111"/>
          <w:sz w:val="28"/>
          <w:sz w:val="28"/>
          <w:szCs w:val="28"/>
          <w:rtl w:val="true"/>
          <w:lang w:bidi="ar-SA"/>
        </w:rPr>
        <w:t>مقدّمة المترجم</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السؤال الأوّل</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تنبيه إلى مسألة مهمّة</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أمّا في مسألة التوحيد</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وأمّا في مسألة المعاد</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السؤال الثالث</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السؤال الرابع</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السؤال الخامس</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فهرس المصادر</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ملخّص الفارسيّ والإنجليزيّ</w:t>
      </w:r>
      <w:r>
        <w:rPr>
          <w:rFonts w:eastAsia="Amiri" w:cs="Amiri" w:ascii="Amiri" w:hAnsi="Amiri"/>
          <w:color w:val="111111"/>
          <w:sz w:val="28"/>
          <w:szCs w:val="28"/>
          <w:lang w:bidi="ar-SA"/>
        </w:rPr>
        <w:t>44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مؤسّسة</w:t>
      </w:r>
      <w:r>
        <w:rPr>
          <w:rFonts w:eastAsia="Amiri" w:cs="Amiri" w:ascii="Amiri" w:hAnsi="Amiri"/>
          <w:color w:val="111111"/>
          <w:sz w:val="28"/>
          <w:szCs w:val="28"/>
          <w:lang w:bidi="ar-SA"/>
        </w:rPr>
        <w:t>47</w:t>
      </w:r>
      <w:bookmarkStart w:id="10" w:name="pg2333_12093"/>
    </w:p>
    <w:p>
      <w:pPr>
        <w:pStyle w:val="Heading2"/>
        <w:numPr>
          <w:ilvl w:val="1"/>
          <w:numId w:val="1"/>
        </w:numPr>
        <w:rPr/>
      </w:pPr>
      <w:bookmarkStart w:id="11" w:name="__RefHeading___Toc2514666_3804643083"/>
      <w:bookmarkStart w:id="12" w:name="_Toc4"/>
      <w:bookmarkEnd w:id="10"/>
      <w:bookmarkEnd w:id="11"/>
      <w:r>
        <w:rPr>
          <w:rtl w:val="true"/>
        </w:rPr>
        <w:t>مقدّمة المترجم</w:t>
      </w:r>
      <w:bookmarkEnd w:id="12"/>
    </w:p>
    <w:p>
      <w:pPr>
        <w:pStyle w:val="BookText"/>
        <w:rPr/>
      </w:pPr>
      <w:r>
        <w:rPr>
          <w:rFonts w:ascii="Amiri" w:hAnsi="Amiri" w:eastAsia="Amiri" w:cs="Amiri"/>
          <w:color w:val="111111"/>
          <w:sz w:val="28"/>
          <w:sz w:val="28"/>
          <w:szCs w:val="28"/>
          <w:rtl w:val="true"/>
          <w:lang w:bidi="ar-SA"/>
        </w:rPr>
        <w:t>يسّرني أن أقوم بترجمة هذا الحوار القيّم مع أحد أعلام الطائفة المحقّة في العصر الحاضر، وهو آية اللّه العلّامة سماحة السيّد جعفر سيّدان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الذي ما برح يقارع و يناجز الشبهات والأفكار المدسوسة في الإسلام، ويذبّ عن الخطّ الأصيل لمدرسة مولانا الإمام جعفر بن محمّد الصادق…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الحوار يصبّ في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المدرسة التفكيكيّة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أهمّ معالمها وخطوطها العريضة، وبعض الإشكالات التي ربّما تطرح حول هذه المدرسة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نسأل اللّه أن يمدّ في عمر سماحة السيّد و يوفّق القائمين على المؤسّسة لمراضيه، ونيل عنايات وليّ نعمتنا الإمام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سميع مجيب، وصلّى اللّه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ذكري مولد سيّد الشباب أهل الجنّة الإمام الحسين</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يوم الأحد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1435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حسين السيّد هادي المدرّسيّ</w:t>
      </w:r>
      <w:bookmarkStart w:id="13" w:name="pg2333_12094"/>
    </w:p>
    <w:p>
      <w:pPr>
        <w:pStyle w:val="Heading2"/>
        <w:numPr>
          <w:ilvl w:val="1"/>
          <w:numId w:val="1"/>
        </w:numPr>
        <w:rPr/>
      </w:pPr>
      <w:bookmarkStart w:id="14" w:name="__RefHeading___Toc2514668_3804643083"/>
      <w:bookmarkStart w:id="15" w:name="_Toc5"/>
      <w:bookmarkEnd w:id="13"/>
      <w:bookmarkEnd w:id="14"/>
      <w:r>
        <w:rPr>
          <w:rtl w:val="true"/>
        </w:rPr>
        <w:t>مقدّمة</w:t>
      </w:r>
      <w:bookmarkEnd w:id="15"/>
    </w:p>
    <w:p>
      <w:pPr>
        <w:pStyle w:val="BookText"/>
        <w:rPr/>
      </w:pPr>
      <w:r>
        <w:rPr>
          <w:rFonts w:ascii="Amiri" w:hAnsi="Amiri" w:eastAsia="Amiri" w:cs="Amiri"/>
          <w:color w:val="111111"/>
          <w:sz w:val="28"/>
          <w:sz w:val="28"/>
          <w:szCs w:val="28"/>
          <w:rtl w:val="true"/>
          <w:lang w:bidi="ar-SA"/>
        </w:rPr>
        <w:t>سماحة السيّد في سطور</w:t>
      </w:r>
    </w:p>
    <w:p>
      <w:pPr>
        <w:pStyle w:val="BookText"/>
        <w:rPr/>
      </w:pPr>
      <w:r>
        <w:rPr>
          <w:rFonts w:ascii="Amiri" w:hAnsi="Amiri" w:eastAsia="Amiri" w:cs="Amiri"/>
          <w:color w:val="111111"/>
          <w:sz w:val="28"/>
          <w:sz w:val="28"/>
          <w:szCs w:val="28"/>
          <w:rtl w:val="true"/>
          <w:lang w:bidi="ar-SA"/>
        </w:rPr>
        <w:t xml:space="preserve">ولد آية اللّه السيّد جعفر السيّدان في مدينة مشهد المقدّسة في عام </w:t>
      </w:r>
      <w:r>
        <w:rPr>
          <w:rFonts w:ascii="Amiri" w:hAnsi="Amiri" w:eastAsia="Amiri" w:cs="Amiri"/>
          <w:color w:val="111111"/>
          <w:sz w:val="28"/>
          <w:sz w:val="28"/>
          <w:szCs w:val="28"/>
          <w:lang w:bidi="ar-SA"/>
        </w:rPr>
        <w:t>١٣١٣</w:t>
      </w:r>
      <w:r>
        <w:rPr>
          <w:rFonts w:ascii="Amiri" w:hAnsi="Amiri" w:eastAsia="Amiri" w:cs="Amiri"/>
          <w:color w:val="111111"/>
          <w:sz w:val="28"/>
          <w:sz w:val="28"/>
          <w:szCs w:val="28"/>
          <w:rtl w:val="true"/>
          <w:lang w:bidi="ar-SA"/>
        </w:rPr>
        <w:t xml:space="preserve"> الشمسي، وبعد تحصيله للأدب الفارسي تلقّى العلوم الحوزويّة من الأدب العربي والفقه والأصول والكلام والفلسفة لدى أعلام المدينة وآياتها العظام، من قبيل الأديب الثاني والميرزا أحمد المدرّس، والشيخ هاشم القزوينيّ، والشيخ مجتبى القزوينيّ والسيّد محمّد هادي الميلانيّ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وتلقّى بوجهٍ خاصّ لدى العَلَمين الأخيرين جُلَّ دروسه حيث حضر أبحاث الخارج في الفقه والأصول عند آية اللّه العظمى السيّد الميلانيّ… قدس سره… قرابة ثمان سنوات، وهكذا درس المنظومة والإشارات والمشاعر وقسماً من الأسفار، وأيضاً دروساً في المعارف العالية لأهل بيت العصمة والطهارة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وحلقات في الأخلاق عند آية اللّه الشيخ مجتبى القزوينيّ … رحمه الله …، حتّى عُدّ من تلامذته المبرّزين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بذل سماحته حياته في ترويج المعارف الإسلاميّة واشتغل في التدريس في المجاميع العلميّة والحوزويّة، ولا‌يزال وهو في عقده</w:t>
      </w:r>
    </w:p>
    <w:p>
      <w:pPr>
        <w:pStyle w:val="BookText"/>
        <w:rPr/>
      </w:pPr>
      <w:r>
        <w:rPr>
          <w:rFonts w:ascii="Amiri" w:hAnsi="Amiri" w:eastAsia="Amiri" w:cs="Amiri"/>
          <w:color w:val="111111"/>
          <w:sz w:val="28"/>
          <w:sz w:val="28"/>
          <w:szCs w:val="28"/>
          <w:rtl w:val="true"/>
          <w:lang w:bidi="ar-SA"/>
        </w:rPr>
        <w:t>الثامن من عمره مشمرّاً في إلقاء المحاضرات والتدريس ـ في مجال الكلام والمعارف ـ والتوجيه لطلبة العلم والمحصّلين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وحصيلة هذه الدروس في المباحث الاعتقاديّة الأساسيّة إلى الآن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كراسا وهي في معرض الطباعة وقد طبع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ميزان المعرفة ـ باللغتين العربيّة والفارسيّة ـ ورسالة في شرح الخطبة </w:t>
      </w:r>
      <w:r>
        <w:rPr>
          <w:rFonts w:ascii="Amiri" w:hAnsi="Amiri" w:eastAsia="Amiri" w:cs="Amiri"/>
          <w:color w:val="111111"/>
          <w:sz w:val="28"/>
          <w:sz w:val="28"/>
          <w:szCs w:val="28"/>
          <w:lang w:bidi="ar-SA"/>
        </w:rPr>
        <w:t>١٥٢</w:t>
      </w:r>
      <w:r>
        <w:rPr>
          <w:rFonts w:ascii="Amiri" w:hAnsi="Amiri" w:eastAsia="Amiri" w:cs="Amiri"/>
          <w:color w:val="111111"/>
          <w:sz w:val="28"/>
          <w:sz w:val="28"/>
          <w:szCs w:val="28"/>
          <w:rtl w:val="true"/>
          <w:lang w:bidi="ar-SA"/>
        </w:rPr>
        <w:t xml:space="preserve"> من خطب أميرالمؤمنين في نهج البلاغة، ورسالة في المعاد، ورسالة في الردّ على نظريتي الجبر والتفويض وإثبات الأمر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الكتب التي لم تُطبع بعد، فهي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لأستاذه آية اللّه الشيخ مجتبى القزوينيّ بالفارسيّة و له رسائل وكتب أخرى مثل، ملاحظاته في الدروس المعارفيّة، الكلاميّة، الفقهيّة والأصوليّة لأساتذته، وإنّ قسماً من جهوده العلميّة يتمحور حول المناظرات والحوارات الواسعة مع أهل العلم والاختصاص في مجالات متعدّدة، والتي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في مسألة المعاد</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الملكيّ الميانجيّ</w:t>
      </w:r>
      <w:bookmarkStart w:id="16" w:name="pg2333_12096"/>
    </w:p>
    <w:p>
      <w:pPr>
        <w:pStyle w:val="BookText"/>
        <w:rPr/>
      </w:pPr>
      <w:bookmarkEnd w:id="16"/>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7" w:name="__RefHeading___Toc2514670_3804643083"/>
      <w:bookmarkStart w:id="18" w:name="_Toc6"/>
      <w:bookmarkEnd w:id="17"/>
      <w:r>
        <w:rPr>
          <w:rtl w:val="true"/>
        </w:rPr>
        <w:t>السؤال الأوّل</w:t>
      </w:r>
      <w:bookmarkEnd w:id="18"/>
    </w:p>
    <w:p>
      <w:pPr>
        <w:pStyle w:val="BookText"/>
        <w:rPr/>
      </w:pPr>
      <w:r>
        <w:rPr>
          <w:rFonts w:ascii="Amiri" w:hAnsi="Amiri" w:eastAsia="Amiri" w:cs="Amiri"/>
          <w:color w:val="111111"/>
          <w:sz w:val="28"/>
          <w:sz w:val="28"/>
          <w:szCs w:val="28"/>
          <w:rtl w:val="true"/>
          <w:lang w:bidi="ar-SA"/>
        </w:rPr>
        <w:t xml:space="preserve">ما هو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 التفكيك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هي الطريقة الصحيحة لفهم المعارف الحقّة؟</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Amiri" w:hAnsi="Amiri" w:eastAsia="Amiri" w:cs="Amiri"/>
          <w:color w:val="111111"/>
          <w:sz w:val="28"/>
          <w:sz w:val="28"/>
          <w:szCs w:val="28"/>
          <w:rtl w:val="true"/>
          <w:lang w:bidi="ar-SA"/>
        </w:rPr>
        <w:t>بسم اللّه الرحمن الرحيم؛ إنّ المراد منه هو التفريق بين آراء البشر ومعارف الوحي، وحفظ نزاهة المعارف والتعاليم العقائديّة المستندة إلى مدرسة النبوّة والإمامة… عليهم السلام …، بعيدة عن مدارس الفلسفيّة والمكاتب العرفانيّة البشريّة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جلّ فقهاء مذهب الإماميّة يعتقدون بضرورة التفريق والقول بالإستقلال واستغناء المعارف الوحيانيّة وحفظها عن الأفكار الدخيلة البشريّة من الفلسفة والعرفان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سبب تسمية هذه الرؤية</w:t>
      </w:r>
    </w:p>
    <w:p>
      <w:pPr>
        <w:pStyle w:val="BookText"/>
        <w:rPr/>
      </w:pPr>
      <w:r>
        <w:rPr>
          <w:rFonts w:ascii="Amiri" w:hAnsi="Amiri" w:eastAsia="Amiri" w:cs="Amiri"/>
          <w:color w:val="111111"/>
          <w:sz w:val="28"/>
          <w:sz w:val="28"/>
          <w:szCs w:val="28"/>
          <w:rtl w:val="true"/>
          <w:lang w:bidi="ar-SA"/>
        </w:rPr>
        <w:t>بنظريّة التفكيك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المدرسة ليست مدرسة جديدة، حيث إنّها تحتوي على واقعيّة تاريخيّة تأخذ نشأتها من صدر الإسلام، بل تستند إلى نفس بعثة النبيّ الأكرم… صلي الله عليه و آله و سلم … وهي مبنى عموم الفقهاء والعلماء الإماميّين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إنّ تاريخ هذه المدرسة هو تاريخ مبعث الرسول… صلي الله عليه و آله و سلم … وذلك لأنّه… صلي الله عليه و آله و سلم … لم يكرّر أفكار وآراء الفلاسفة ـ والتي ترجع إلى مآت سنين ـ وإنّما جاء بحقائق مختلفة عنها تماماً، و لم تقتصر تعاليمه السامية على مسائل الحلال والحرام، وأحكام الطهارة والنجاسة، وبيان قضايا المعاملات والعقود أو فقه الحياة والمجتمع، مع أنّها جميعاً ذات أهميّة بالغة، بل إنّ أرقى وأهمّ أهداف الأنبياء ـ وعلى رأسهم نبيّنا الأكرم… صلي الله عليه و آله و سلم …ـ إنّما هو تكميل العقول والأرواح والنفوس وإعطاء البصائر في المعارف الإلهيّة</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دين الإسلام وهو آخر الأديان وخاتمة الشرايع قد قدّم للبشر في مسألة معرفة اللّه تعالى وصفات الحقّ سبحانه ولقاءه، وكذلك المسائل المرتبطة بالعالم، من المبدء إلى المعاد، أعظم ما يمكن أن يُقدّم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مباحث الحدوث والقدم والجبر والتفويض والاختيار والقضاء والقدر والدعاء والصلاة وحقيقة الإنسان والعقل والحياة والعوالم السابقة واللاحقة، قدّم الإسلام أبلغ المعارف وأعظم التعاليم</w:t>
      </w:r>
    </w:p>
    <w:p>
      <w:pPr>
        <w:pStyle w:val="BookText"/>
        <w:rPr/>
      </w:pPr>
      <w:r>
        <w:rPr>
          <w:rFonts w:ascii="Amiri" w:hAnsi="Amiri" w:eastAsia="Amiri" w:cs="Amiri"/>
          <w:color w:val="111111"/>
          <w:sz w:val="28"/>
          <w:sz w:val="28"/>
          <w:szCs w:val="28"/>
          <w:rtl w:val="true"/>
          <w:lang w:bidi="ar-SA"/>
        </w:rPr>
        <w:t>وبيّنها بما ليس له 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الفقهاء بالاتّكاء على هذه البيانات الوحيانيّة ـ مع ملاحظة أنّ أصل إثبات الصانع ورسالة النبيّ… صلي الله عليه و آله و سلم … إنّما يثبت بالعقل والتعقّل ـ استلهموا معارفهم الاعتقاديّة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توضيح مقتضب لماهيّة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 التفكيك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 في القسم الثاني من السؤال من الطريقة الصحيحة لفهم المعارف الحقّة؟</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أساس الحركة السليمة والصحيحة هي الحركة العقلانيّة، وأنّ السند والحجّة للناس هو الإدراك والعقل، والذي يستفيد من مختلف الوسائل المناسبة لكشف الحقائق المختلفة فيكشفها، فليس الطريق الصحيح سوى ما تمّ التوصّل إليه عبر هداية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وأولئك الذين اهتدوا إلى حقّانيّة الوحي ببركة نور العقل، وكشف لهم العقل أنّ الوحي هو منبع وسيع وعميق ومعصوم ومبيّن للحقائق؛</w:t>
      </w:r>
      <w:r>
        <w:rPr>
          <w:rStyle w:val="FootnoteAnchor"/>
          <w:rtl w:val="true"/>
        </w:rPr>
        <w:footnoteReference w:id="2"/>
      </w:r>
      <w:r>
        <w:rPr>
          <w:rFonts w:ascii="Amiri" w:hAnsi="Amiri" w:eastAsia="Amiri" w:cs="Amiri"/>
          <w:color w:val="111111"/>
          <w:sz w:val="28"/>
          <w:sz w:val="28"/>
          <w:szCs w:val="28"/>
          <w:rtl w:val="true"/>
          <w:lang w:bidi="ar-SA"/>
        </w:rPr>
        <w:t>فمن البديهي عند الفقهاء أنّ الطريقة الصحيحة هي طريقة التعقّل والتفكّر في تعاليم الوحي، ولذلك يستفيدون من هذا المنبع الثرّ بواسطة مصباح العقل</w:t>
      </w:r>
      <w:r>
        <w:rPr>
          <w:rFonts w:eastAsia="Amiri" w:cs="Amiri" w:ascii="Amiri" w:hAnsi="Amiri"/>
          <w:color w:val="111111"/>
          <w:sz w:val="28"/>
          <w:szCs w:val="28"/>
          <w:rtl w:val="true"/>
          <w:lang w:bidi="ar-SA"/>
        </w:rPr>
        <w:t>.</w:t>
      </w:r>
      <w:bookmarkStart w:id="19" w:name="pg2333_12099"/>
    </w:p>
    <w:p>
      <w:pPr>
        <w:pStyle w:val="Heading2"/>
        <w:numPr>
          <w:ilvl w:val="1"/>
          <w:numId w:val="1"/>
        </w:numPr>
        <w:rPr/>
      </w:pPr>
      <w:bookmarkStart w:id="20" w:name="__RefHeading___Toc2514672_3804643083"/>
      <w:bookmarkStart w:id="21" w:name="_Toc7"/>
      <w:bookmarkEnd w:id="19"/>
      <w:bookmarkEnd w:id="20"/>
      <w:r>
        <w:rPr>
          <w:rtl w:val="true"/>
        </w:rPr>
        <w:t>السؤال الثاني</w:t>
      </w:r>
      <w:bookmarkEnd w:id="21"/>
    </w:p>
    <w:p>
      <w:pPr>
        <w:pStyle w:val="Heading3"/>
        <w:numPr>
          <w:ilvl w:val="2"/>
          <w:numId w:val="1"/>
        </w:numPr>
        <w:rPr/>
      </w:pPr>
      <w:bookmarkStart w:id="22" w:name="__RefHeading___Toc2514674_3804643083"/>
      <w:bookmarkStart w:id="23" w:name="_Toc8"/>
      <w:bookmarkEnd w:id="22"/>
      <w:r>
        <w:rPr>
          <w:rtl w:val="true"/>
        </w:rPr>
        <w:t>اشاره</w:t>
      </w:r>
      <w:bookmarkEnd w:id="23"/>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الإقرار بأنّ الوحي إنّما يثبت بالعقل فكيف يمكن الإغماض عن هذا العقل في كشف المعارف، والاقتصار على الوحي الذي لم تثبت حجّيّته وحقّانيّته إلّا به؟ فهل يصحّ أو يمكن إسقاط حجيّة العقل في المعارف؟</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Amiri" w:hAnsi="Amiri" w:eastAsia="Amiri" w:cs="Amiri"/>
          <w:color w:val="111111"/>
          <w:sz w:val="28"/>
          <w:sz w:val="28"/>
          <w:szCs w:val="28"/>
          <w:rtl w:val="true"/>
          <w:lang w:bidi="ar-SA"/>
        </w:rPr>
        <w:t>تعرّضنا ـ في مقام الإجابة عن السؤال الأوّل ـ لنكات لا‌يبقى معها مورد لهذا التساؤل، مع ذلك فإنّا نذكّر بالمطالب التالية لتوضيح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بديهيّ أنّ القضايا التي يدركها العقل بوضوح ويقرّ بها جميع العقلاء هي مسائل وقضايا محدودة ومعدودة، وكثير من المسائل إنّما هي بعيدة عن حيطة إدراك عقل عموم الناس، وما هو واضح لعموم العقلاء من المدرَكات الأوليّة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استحالة المعلول بلا علّة واجتماع الضدّين واجتماع النقيضين وبطلان الدَور والتسلسل وأنّ المحيط</w:t>
      </w:r>
    </w:p>
    <w:p>
      <w:pPr>
        <w:pStyle w:val="BookText"/>
        <w:rPr/>
      </w:pPr>
      <w:r>
        <w:rPr>
          <w:rFonts w:ascii="Amiri" w:hAnsi="Amiri" w:eastAsia="Amiri" w:cs="Amiri"/>
          <w:color w:val="111111"/>
          <w:sz w:val="28"/>
          <w:sz w:val="28"/>
          <w:szCs w:val="28"/>
          <w:rtl w:val="true"/>
          <w:lang w:bidi="ar-SA"/>
        </w:rPr>
        <w:t>أكبر من المحاط وأنّ المجموعة المنظّمة والمقصودة والمتقَنة دليل على العلم والشعور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الأمور لا تقبل التغيّر، ولا تُعرف بالوحي، بل إنّ الوحي إنّما يثبت ببركة هذه المطالب الواضحة العقليّة، و‌لا يعرض عن هذا الإدراك العقلانيّ الواضح أبداً، وهكذا كلّ ما استند إلى تلك الحقائق الواضحة فهو مقبول وصحيح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بديهيّ أنّ العقل لا‌يخطأ في كشفه، ولو كان كذلك وهو الميزان في إدراك المطالب، لم يُعرف الحقّ من الباطل ولا الصحيح من السقيم ، ولم يقم حجر على حجر، إلّا أنّ الإنسان ولأجل أسباب وعوامل مختلفة مثل عدم معرفة المقدّمات اللازمة في إدراك المطالب أو غلبة الأهواء والميولات النفسانيّة، أو عدم الدقّة الكافية أو نظائر ذلك، قد يخطأ ومن ثمّ يقع في الأغلاط، وهذا هو السبب فيما نراه من اختلاف كبار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أهمّ المسائل المعارفيّة، اختلافاً فاحشاً بين النفي والإثبات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متى وُجد اختلاف بين المطالب المنتسبة إلى الوحي وبين المدرَكات العقليّة الأوليّة القطعيّة، فلا شكّ قدّم العقل ويُطرح النقل، وفي صورة قطعيّة السند يوجّه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يوجد هكذا مورد في مداركنا الوحيانيّة، وإذا وجد فقد وجّهه الوحي بنفسه قبل أيّ توجيه</w:t>
      </w:r>
    </w:p>
    <w:p>
      <w:pPr>
        <w:pStyle w:val="BookText"/>
        <w:rPr/>
      </w:pPr>
      <w:r>
        <w:rPr>
          <w:rFonts w:ascii="Amiri" w:hAnsi="Amiri" w:eastAsia="Amiri" w:cs="Amiri"/>
          <w:color w:val="111111"/>
          <w:sz w:val="28"/>
          <w:sz w:val="28"/>
          <w:szCs w:val="28"/>
          <w:rtl w:val="true"/>
          <w:lang w:bidi="ar-SA"/>
        </w:rPr>
        <w:t>وبيّن حقيقة المراد من كلامه</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ومثل قوله سبحانه في سورة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قُصد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رحمة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في تفسير القرآن،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11239</w:t>
      </w:r>
      <w:r>
        <w:rPr>
          <w:rFonts w:ascii="Amiri" w:hAnsi="Amiri" w:eastAsia="Amiri" w:cs="Amiri"/>
          <w:color w:val="111111"/>
          <w:sz w:val="28"/>
          <w:sz w:val="28"/>
          <w:szCs w:val="28"/>
          <w:rtl w:val="true"/>
          <w:lang w:bidi="ar-SA"/>
        </w:rPr>
        <w:t>؛ تفسير القميّ،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يَنْظُرُونَ إِلَى وَجْهِ اللَّهِ أَيْ إِلَى رَحْمَةِ اللَّهِ وَنِعْمَتِه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قوله عزّ اسمه في سورة 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سَوَّيْتُهُ وَنَفَخْتُ فيهِ مِنْ رُوحي فَقَعُوا لَهُ 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فُسّرت الإضافة فيها بالإضافة التشريفيّة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الكافي،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لا‌يمكن إنكار حجيّة العقل بوجه من الوجوه، إلّا أنّه في القضايا التي ليس للعقل فيها نصيب ولا‌يمكنه أن يدركها أو يحيط بها علماً، من قبيل المسائل المرتبطة بالمعاد والعوالم بعد هذا العالم أو العوالم السابقة وما إلى ذلك، يجب الاستفادة من الوحي والوقوف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أنّه لا‌توجد في المسائل الاختلافيّة بداهةٌ ـ وإلّا لم يوجد اختلاف في إدراكها وفهمهاـ حينئذ يكون الوحي المقبول بحكم العقل الصريح هو المرجع فيها والحجّة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يجب التوجّه إليه أنّه في كثير من المباحث والمعارف، يكون الوحي معلِّماً فيها، أي إنّ مَن يراجع تلك المدارك الوحيانيّة يكون متعلّماً من ذي علم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ممّا قلنا، أنّه مع التوجّه إلى محدوديّة شعاع العقل عند عموم العقلاء ـ وذلك بتصديق جميعهم ـ وإلى إمكان وقوع العاقل في الخطأ</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بدليل الاختلافات الكثيرة الموجودة في مختلف المباحث المهمّة، وإلّا لما حصل الاختلاف، وإلى حقّانيّة منبع الوحي بعنوان المصدر العلميّ الذي ليس فيه أيّ خطأ أو غلط في تبيين الحقائق، مع الالتفات إلى كلّ ذلك لم يكن بدّ من القول أنّ الأسلوب الصحيح لاكتساب الحقائق والوصول إلى المعارف هو التعقّل في الوحي، والاستفادة من منبعه الصافي، وذلك بحكم نفس العقل وإرشاده، مع حفظ مكانة العقل الراقية وبقاء حجّيّته في محلّه</w:t>
      </w:r>
      <w:r>
        <w:rPr>
          <w:rFonts w:eastAsia="Amiri" w:cs="Amiri" w:ascii="Amiri" w:hAnsi="Amiri"/>
          <w:color w:val="111111"/>
          <w:sz w:val="28"/>
          <w:szCs w:val="28"/>
          <w:rtl w:val="true"/>
          <w:lang w:bidi="ar-SA"/>
        </w:rPr>
        <w:t>.</w:t>
      </w:r>
      <w:bookmarkStart w:id="24" w:name="pg2333_12103"/>
    </w:p>
    <w:p>
      <w:pPr>
        <w:pStyle w:val="Heading3"/>
        <w:numPr>
          <w:ilvl w:val="2"/>
          <w:numId w:val="1"/>
        </w:numPr>
        <w:rPr/>
      </w:pPr>
      <w:bookmarkStart w:id="25" w:name="__RefHeading___Toc2514676_3804643083"/>
      <w:bookmarkStart w:id="26" w:name="_Toc9"/>
      <w:bookmarkEnd w:id="24"/>
      <w:bookmarkEnd w:id="25"/>
      <w:r>
        <w:rPr>
          <w:rtl w:val="true"/>
        </w:rPr>
        <w:t>تنبيه إلى مسألة مهمّة</w:t>
      </w:r>
      <w:bookmarkEnd w:id="2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الخطر الذي يحدق بمن لا‌يراعي هذه الطريقة ـ حتّى من قبل بعض المهتّمين بالمعارف الوحيانيّة الذين لم يسلكوا طريقة التعقّل في الوحي ـ فيما ثبت كونه وحياً وكانت دلالته واضحة ـ هو رسوخ بعض المباني والمطالب في أذهانهم، وعند اطّلاعهم على الوحي ورؤيتهم لتناقضه مع تلك الأفكار يعمدون إلى توجيه النصّ إلى درجة أنّهم يسندون ما هو ضدّ الوحي إلى الوحي ويرونه مستفاداً من تعاليمه، فهم لا‌يستطيعون التحرّر ممّا أوثقوا به أفكارهم وغلّوا بها أنفسهم من تلك المباني التي يسمّونها 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 أنّ من الندرة استبصار مثل هؤلاء والتفاتهم إلى خطأهم لأنّهم أصّلوا تلك الأفكار في أذهانهم وجعلوها المقياس والميزان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بعنوان المثال نموذجان من عشرات النماذج الموجودة في كلماتهم في مسألة التوحيد والمعاد</w:t>
      </w:r>
      <w:r>
        <w:rPr>
          <w:rFonts w:eastAsia="Amiri" w:cs="Amiri" w:ascii="Amiri" w:hAnsi="Amiri"/>
          <w:color w:val="111111"/>
          <w:sz w:val="28"/>
          <w:szCs w:val="28"/>
          <w:rtl w:val="true"/>
          <w:lang w:bidi="ar-SA"/>
        </w:rPr>
        <w:t>.</w:t>
      </w:r>
      <w:bookmarkStart w:id="27" w:name="pg2333_12104"/>
    </w:p>
    <w:p>
      <w:pPr>
        <w:pStyle w:val="Heading3"/>
        <w:numPr>
          <w:ilvl w:val="2"/>
          <w:numId w:val="1"/>
        </w:numPr>
        <w:rPr/>
      </w:pPr>
      <w:bookmarkStart w:id="28" w:name="__RefHeading___Toc2514678_3804643083"/>
      <w:bookmarkStart w:id="29" w:name="_Toc10"/>
      <w:bookmarkEnd w:id="27"/>
      <w:bookmarkEnd w:id="28"/>
      <w:r>
        <w:rPr>
          <w:rtl w:val="true"/>
        </w:rPr>
        <w:t>أمّا في مسألة التوحيد</w:t>
      </w:r>
      <w:bookmarkEnd w:id="29"/>
    </w:p>
    <w:p>
      <w:pPr>
        <w:pStyle w:val="BookText"/>
        <w:rPr/>
      </w:pPr>
      <w:r>
        <w:rPr>
          <w:rFonts w:ascii="Amiri" w:hAnsi="Amiri" w:eastAsia="Amiri" w:cs="Amiri"/>
          <w:color w:val="111111"/>
          <w:sz w:val="28"/>
          <w:sz w:val="28"/>
          <w:szCs w:val="28"/>
          <w:rtl w:val="true"/>
          <w:lang w:bidi="ar-SA"/>
        </w:rPr>
        <w:t>لقد بلغ الأمر إلى حدّ جعل صاحب كتاب ممدّ الهمم في شرح فصوص الحكم وهو من المعاريف في الفلسفة و العرفان في هذا الزمن، يصرّح في كتابه في ترجمة كلام إبن عربي في الفصّ الهارونيّ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موسى أعلم بالأمر من هارون، لأنّه علم ما عبده أصحاب العجل، لعلمه بأنّ اللّه قد قضى أن لا‌يعبد إلّا إيّاه وما حكم اللّه بشيء إلّا وقع فكان عتاب موسى على أخيه هارون، لما وقع الأمر في إنكاره وعدم اتّساعه، فإنّ العارف من يرى الحقّ في كلّ شيء، بل يراه عين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يصرّح أنّ غرض الشيخ من هكذا مسائل في الفصوص والفتوحات وغيرهما من الزبر والرسائل هو بيان أسرار الولاية والباطن لأهل السرّ، وإن كان بحسب النبوّة التشريع مقرّاً بوجوب إبعاد عامّة الناس من عبادة الأصنام، كما كان حال الأنبياء في إنكار عبادة الأصنام</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المطالب القطعيّة التي ليس فيها ذرّة شكّ ولا أدنى ريب، والتي أصرّ عليها القرآن والوحي، وأكّدت عليه جميع الأنبياء والرسل هو النفي الجدّي للشرك، وعلى الخصوص عبادة عجل</w:t>
      </w:r>
    </w:p>
    <w:p>
      <w:pPr>
        <w:pStyle w:val="BookText"/>
        <w:rPr/>
      </w:pPr>
      <w:r>
        <w:rPr>
          <w:rFonts w:ascii="Amiri" w:hAnsi="Amiri" w:eastAsia="Amiri" w:cs="Amiri"/>
          <w:color w:val="111111"/>
          <w:sz w:val="28"/>
          <w:sz w:val="28"/>
          <w:szCs w:val="28"/>
          <w:rtl w:val="true"/>
          <w:lang w:bidi="ar-SA"/>
        </w:rPr>
        <w:t xml:space="preserve">السامريّ، فإنّك تجد العبارات الشديدة في القرآن في عبدة العجل إلى درجة أنّ الله تعالى جعل توبتهم أن يقتلوا أنفسهم، وكان غضب موسى بن عمران على نبينا وآله وعليه السلام إلى حدّ أن أخذ برأس أخيه يجرّه إليه، وغضب غضباً شديداً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كيف قال صاحب الفصوص أنّ غضب موسى على هارون كان لمنعه بني إسرائيل من عبادة العجل، والأعجب منه زعم صاحب الشرح أنّ دعوة الأنبياء للتوحيد هي لعامّة الناس، فأمّا أهل السرّ والولاية والباطن، فإنّ المنع من الشرك لا‌يشملهم وإنّما هو للعوام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ولا‌يخفى عليك التناقض الشديد، فلو كان الأمر كذلك من أنّ الحقّ عين كلّ شيء، فإنّ موسى وهارون يكونان شيئاً واحداً، ولا‌يبقى معنى للعتاب إذ لا وجود للغير أصلاً، أعاذنا اللّه من هذه الزلّات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خبير بأنّ القرآن من أوّله إلى آخره بكلّ جدّية وقاطعيّة التي لا‌تقبل التوجيه والتأويل نفى عبادة الأصنام ويحارب الوثنيّة، خصوصاً عجل السامريّ فقد حاربه بشدّة</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سورة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مُوسى لِقَوْمِهِ يا قَوْمِ إِنَّكُمْ ظَلَمْتُمْ أَنْفُسَكُمْ بِاتِّخاذِكُمُ الْعِجْلَ فَتُوبُوا إِلى بارِئِكُمْ فَاقْتُلُوا أَنْفُسَكُمْ ذلِكُمْ خَيْرٌ لَكُمْ عِنْدَ بارِئِكُمْ فَتابَ عَلَيْكُمْ إِنَّهُ هُوَ</w:t>
      </w:r>
    </w:p>
    <w:p>
      <w:pPr>
        <w:pStyle w:val="BookText"/>
        <w:rPr/>
      </w:pPr>
      <w:r>
        <w:rPr>
          <w:rFonts w:ascii="Amiri" w:hAnsi="Amiri" w:eastAsia="Amiri" w:cs="Amiri"/>
          <w:color w:val="111111"/>
          <w:sz w:val="28"/>
          <w:sz w:val="28"/>
          <w:szCs w:val="28"/>
          <w:rtl w:val="true"/>
          <w:lang w:bidi="ar-SA"/>
        </w:rPr>
        <w:t>التَّوَّابُ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سورة 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اتَّخَذُوا الْعِجْلَ سَيَنالُهُمْ غَضَبٌ مِنْ رَبِّهِمْ وَذِلَّةٌ فِي الحَياةِ الدُّنْيا وَكَذلِكَ نَجْزِي المُفْتَرِينَ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سورة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وَأُشْرِبُوا في قُلُوبِهِمُ الْعِجْلَ بِكُفْرِهِم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ولأجل ما ذكرنا من القناعة</w:t>
      </w:r>
    </w:p>
    <w:p>
      <w:pPr>
        <w:pStyle w:val="BookText"/>
        <w:rPr/>
      </w:pPr>
      <w:r>
        <w:rPr>
          <w:rFonts w:ascii="Amiri" w:hAnsi="Amiri" w:eastAsia="Amiri" w:cs="Amiri"/>
          <w:color w:val="111111"/>
          <w:sz w:val="28"/>
          <w:sz w:val="28"/>
          <w:szCs w:val="28"/>
          <w:rtl w:val="true"/>
          <w:lang w:bidi="ar-SA"/>
        </w:rPr>
        <w:t>والتشبّث ببعض المباني الفكرية الفلسفيّة أو العرفانيّة تراه يقول إنّ عبادة أيّ شيء يرجع إلى عبادة اللّه، وأنّ الأنبياء نهوا العامّة من الناس من عبادة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نفس هذا البحث من المباحث التوحيديّة، يقول الملّا صدرا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طلعت شمس الحقيقة وسطع نورها النافذ في أقطار الممكنات المنبسط على هياكل الماهيّات، ظهر وانكشف أنّ كلّما يقع عليه اسم الوجود، ليس إلّا شأناً من شؤون الواحد القيّوم ولمعة من لمعات نورالأنوار؛ فما وضعناه أوّلاً بحسب النظر الجليل، من أنّ في الوجود علّة ومعلولاً أدّى بنا أخيراً من جهة السلوك العلميّ والنسك العقليّ إلى أنّ المسمّى بالعلّة هو الأصل والمعلول شأن من شئونه وطور من أطواره ورجعت العلّيّة والإفاضة إلى تطوّر المبدء الأوّل بأطواره وتجلّيه بأنحاء ظهوراته</w:t>
      </w:r>
      <w:r>
        <w:rPr>
          <w:rFonts w:eastAsia="Amiri" w:cs="Amiri" w:ascii="Amiri" w:hAnsi="Amiri"/>
          <w:color w:val="111111"/>
          <w:sz w:val="28"/>
          <w:szCs w:val="28"/>
          <w:rtl w:val="true"/>
          <w:lang w:bidi="ar-SA"/>
        </w:rPr>
        <w:t>.</w:t>
      </w:r>
      <w:r>
        <w:rPr>
          <w:rStyle w:val="FootnoteAnchor"/>
          <w:rtl w:val="true"/>
        </w:rPr>
        <w:footnoteReference w:id="6"/>
      </w:r>
      <w:bookmarkStart w:id="30" w:name="pg2333_12107"/>
    </w:p>
    <w:p>
      <w:pPr>
        <w:pStyle w:val="Heading3"/>
        <w:numPr>
          <w:ilvl w:val="2"/>
          <w:numId w:val="1"/>
        </w:numPr>
        <w:rPr/>
      </w:pPr>
      <w:bookmarkStart w:id="31" w:name="__RefHeading___Toc2514680_3804643083"/>
      <w:bookmarkStart w:id="32" w:name="_Toc11"/>
      <w:bookmarkEnd w:id="30"/>
      <w:bookmarkEnd w:id="31"/>
      <w:r>
        <w:rPr>
          <w:rtl w:val="true"/>
        </w:rPr>
        <w:t>وأمّا فى مسألة المعاد</w:t>
      </w:r>
      <w:bookmarkEnd w:id="32"/>
    </w:p>
    <w:p>
      <w:pPr>
        <w:pStyle w:val="BookText"/>
        <w:rPr/>
      </w:pPr>
      <w:r>
        <w:rPr>
          <w:rFonts w:ascii="Amiri" w:hAnsi="Amiri" w:eastAsia="Amiri" w:cs="Amiri"/>
          <w:color w:val="111111"/>
          <w:sz w:val="28"/>
          <w:sz w:val="28"/>
          <w:szCs w:val="28"/>
          <w:rtl w:val="true"/>
          <w:lang w:bidi="ar-SA"/>
        </w:rPr>
        <w:t>فمن الموارد المذكورة في بحثهم عن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الملّاصدرا أصرّ في الأسفار على أنّ العذاب يصير عذباً وهنيئاً للخالدين في جهنّم</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العذاب بالنسبة إلى العارف الذي دخل فيها بسبب الأعمال السيّئة عذب من وجه وإن كان عذاباً من وجه آخر لأنّه يشاهد المعذّب في تعذيبه، فيكون عذابه سبباً لشهود الحقّ و هو أعلى نعيم له وبالنسبة إلى المحجوبين الغافلين عن اللذات الحقيقيّة أيضاً عذب من وجه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لرسوخ المباني والأفكار التي حاكها في نفسه ونفوس أمثاله فاتّخذوا طريقاً لأنفسهم وأنِسُوا بما عندهم وليس ذلك إلّا لأجل بعض الشبهات التي لم يحسنوا الإجابة عنها ـ بيد أنّ مسألة العذاب والألم في نار جهنّم وعظيم البلاء والمحن الشديدة ومختلف أنواع العذاب للخالدين 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المعاندين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قطعيّات الآيات والروايات التي لا‌تقبل التوجيه والإنكار ـ مع كلّ ذلك قالوا أنّ الخالدين في جهنّم لا يتألّمون بالنار وسائر أنواع العذاب فحسب بل إنّهم يفرحون ويتلذّذون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اللّه سبحانه وتعالى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 فِيهَا لا يُخَفَّفُ عَنْهُمُ العَذابُ وَلا هُمْ يُنْظَروُنَ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هُمْ بِخارِجِينَ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يَخْرُجُوا مِنَ النَّارِ وَما هُمْ بِخارِجِينَ مِنْها وَلَهُمْ عَذابٌ مُقِيْمٌ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كَفَرُوا بِآياتِنا سَوْفَ نُصْلِيهِمْ نارَاً كُلَّما نَضِجَتْ جُلُودُهُمْ بَدَّلّْنا جُلُودَاً غَيْرَها لِيَذُوقُوا العَذابَ</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وهكذا في عشرات الآيات الأخرى بيّن الخلود والعذاب الدائم ومع ذلك كلّه ذكر الملّاصدرا ضمن أدلّته مؤيّداً لكلامه، كلام ابن عربي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يتلذّذون بما هم فيه من نار وزمهرير وما فيها من لدغ الحيّات والعقارب كما يَلتَذُّ أهل الجنّة بالظلال والنور ولثْم الحسان من الحور</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تلك المباني الفكريّة قد صمدت أبصارهم فلم يلتفتوا إلى أنّ مخالفة الجبّار الذي لا منتهى لعظمته ومعاندة مالك الملك بالاختيار يستوجب عذاباً لا يُحدّ، وغفلوا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رُدُّوا لَعادُوا لِما نُهُوا عَنْهُ</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ودعاء مولانا زين العابدين وسيّد الساجدين… صلوات الله عليه …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 يَسْتَحِقُ فِي أَوَّلِ مَا هَمَّ بِعِصْيَانِكَ كُلَّ مَا أَعْدَدْتَ لِجَمِيعِ خَلْقِكَ مِنْ عُقُوبَتِك</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ولأجل الشبهة الواهية المردودة القائلة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القَسر لا‌يدوم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وأمثالها من الشبهات التي قد تمّ إبطالها في محلّه بالتفصيل،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طينة الخالدين في النار لابدّ أن تتغيّر، فتتناسب مع النار، بل إنّ أهلها منذ البدء خُلِقُوا لها ولأجلها، وأنّ الله تعالى أراد ذلك، وبهذا عمدوا إلى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ذَرَأْنَا لِجَهَنَّمَ كَثِيرَاً مِنَ الِجنِّ وَالإِنْسِ</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xml:space="preserve">وأخذوا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الحقيقي، وقد غفلوا أنّ هذه اللام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فَالْتَقَطَهُ آلُ فِرْعَوْنَ لِيَكُونَ لَهُمُ عَدُوّاً وَ حَزَناً</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xml:space="preserve">إلى أن قالوا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وَحِيْلَ بَيْنَهُمْ وَبَيْنَ ما يَشْتَهُونَ</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هو بمعنى أنّ أهل النار في النار يرجعون إلى أصلهم الأوّلي، وبما أنّهم لم يعذَّبوا في هذه النشأة الدنيويّة، فإنّه قد حيل بينهم وبين ما هو مقتضى أساس خلقتهم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ذكرنا هذه الأمثلة لبيان أنّ من يغفل عن التعقّل في الوحي فهو وإن أقرّ بأصل الوحي ولكنّه حيث يريد البحث والاستقصاء في المعارف مع مسبقات ذهنيّة وأفكار بشريّة، فإنّ ذهنه يكون مشوباً</w:t>
      </w:r>
    </w:p>
    <w:p>
      <w:pPr>
        <w:pStyle w:val="BookText"/>
        <w:rPr/>
      </w:pPr>
      <w:r>
        <w:rPr>
          <w:rFonts w:ascii="Amiri" w:hAnsi="Amiri" w:eastAsia="Amiri" w:cs="Amiri"/>
          <w:color w:val="111111"/>
          <w:sz w:val="28"/>
          <w:sz w:val="28"/>
          <w:szCs w:val="28"/>
          <w:rtl w:val="true"/>
          <w:lang w:bidi="ar-SA"/>
        </w:rPr>
        <w:t>بتلك الأفكار بحيث لو واجه نصوصاً بخلاف مبانيه فسوف يخرّجها ويأوّلها حتى لو كانت من أصول الوحي</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وأمّا أنا والذي لاح لي بما أنا مشتغل به من الرياضات العلميّة أنّ دار الجحيم ليست بدار نعيم وإنّما هي موضع الألم والمحن وفيها العذاب الدائم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مراده من العذاب الدائم هو الخلود النوعي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إلي ذلك في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الدوام فى كلاهما على معنى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قال في الأسفار،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الأقوال الدالّة على انقطاع العذاب عن أهل النار ينافي ما ذكرته سابقاً من دوام الآلام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المنافاة إذ المنافاة بين عدم انقطاع العذاب عن أهل النار أبداً وبين انقطاعه عن كلّ واحد منهم في وقت</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أعاذنا الله من هذه الزلّات</w:t>
      </w:r>
      <w:r>
        <w:rPr>
          <w:rFonts w:eastAsia="IRNazanin" w:cs="IRNazanin"/>
          <w:color w:val="111111"/>
          <w:sz w:val="28"/>
          <w:szCs w:val="28"/>
          <w:rtl w:val="true"/>
          <w:lang w:bidi="fa-IR"/>
        </w:rPr>
        <w:t>.</w:t>
      </w:r>
      <w:bookmarkStart w:id="33" w:name="pg2333_12111"/>
    </w:p>
    <w:p>
      <w:pPr>
        <w:pStyle w:val="Heading2"/>
        <w:numPr>
          <w:ilvl w:val="1"/>
          <w:numId w:val="1"/>
        </w:numPr>
        <w:rPr/>
      </w:pPr>
      <w:bookmarkStart w:id="34" w:name="__RefHeading___Toc2514682_3804643083"/>
      <w:bookmarkStart w:id="35" w:name="_Toc12"/>
      <w:bookmarkEnd w:id="33"/>
      <w:bookmarkEnd w:id="34"/>
      <w:r>
        <w:rPr>
          <w:rtl w:val="true"/>
        </w:rPr>
        <w:t>السؤال الثالث</w:t>
      </w:r>
      <w:bookmarkEnd w:id="35"/>
    </w:p>
    <w:p>
      <w:pPr>
        <w:pStyle w:val="BookText"/>
        <w:rPr/>
      </w:pPr>
      <w:r>
        <w:rPr>
          <w:rFonts w:ascii="Amiri" w:hAnsi="Amiri" w:eastAsia="Amiri" w:cs="Amiri"/>
          <w:color w:val="111111"/>
          <w:sz w:val="28"/>
          <w:sz w:val="28"/>
          <w:szCs w:val="28"/>
          <w:rtl w:val="true"/>
          <w:lang w:bidi="ar-SA"/>
        </w:rPr>
        <w:t>ربّما يقال إنّ الفلسفة يمكن أن يكون لها دور كبير ومهمّ بعنوان الآلة والوسيلة في الجواب على الملحدين والمنكرين للخالق سبحانه، ولذا فهو مهمّ للغاية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فهم المطالب الدقيقة الموجودة في الخطب والأحاديث الصادرة عن النبيّ وأهل بيته… عليهم السلام … يتوقّف على فهم المباني الفلسفيّة، وبدونها لا‌تتيسّر المعرفة الكاملة للنصوص؟</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Amiri" w:hAnsi="Amiri" w:eastAsia="Amiri" w:cs="Amiri"/>
          <w:color w:val="111111"/>
          <w:sz w:val="28"/>
          <w:sz w:val="28"/>
          <w:szCs w:val="28"/>
          <w:rtl w:val="true"/>
          <w:lang w:bidi="ar-SA"/>
        </w:rPr>
        <w:t>في مقام الإجابة على هذا السؤال لابدّ من التنبيه إلى أنّ المباحث المذكورة في كتب الفلسفة تنقسم إلى قسمين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القطعيّة العقليّة الموجودة في فطرة عموم العقلاء، وجميع العقلاء بمختلف طبقاتهم في المجاميع المختلفة يعتمدون عليها في أعمالهم ومختلف شؤونهم، وإن كانوا لا‌يعرفون العبارات الاصطلاحيّة والعلميّة لتلك القواعد، نظير احتياج المعلول إلى</w:t>
      </w:r>
    </w:p>
    <w:p>
      <w:pPr>
        <w:pStyle w:val="BookText"/>
        <w:rPr/>
      </w:pPr>
      <w:r>
        <w:rPr>
          <w:rFonts w:ascii="Amiri" w:hAnsi="Amiri" w:eastAsia="Amiri" w:cs="Amiri"/>
          <w:color w:val="111111"/>
          <w:sz w:val="28"/>
          <w:sz w:val="28"/>
          <w:szCs w:val="28"/>
          <w:rtl w:val="true"/>
          <w:lang w:bidi="ar-SA"/>
        </w:rPr>
        <w:t>العلّة، واستحالة تحقّق المعلول بلا علّة، واستحالة اجتماع الضدّين والمتناقضين، وأنّ كلّ محدودٍ معلول، وأنّ المعلول لا‌يكون قائماً بالذات، واستحالة الدور والتسلسل، وحكاية النظم عن الناظم وأمثال هذه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أيّ مكتوب بُحثت هذه المطالب بنحو واضح فمن الجيّد الاستفادة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النظريّة الاختلافيّة المبحوثة في الفلسفة، من قبيل أصالة الوجود أو الماهيّة، أو وحدة الوجود أم تباين الوجودات، أو الوحدة التشكيكيّة أم الإطلاق في الوجود، وسراية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لا‌يصدر منه إلّا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ذات الحقّ،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 ما لم يجب لم يوجد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ومسألة الصورة والهيولى، والحركة في الجوهر،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بسيط الحقيقة كلّ الأشياء وليس بشيء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هذه، ومن 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النتائج المأخوذة من هذه المطالب وأمثالها في الفلسفة والحكمة</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يستفاد من الفلسفة للجواب على المنكرين للصانع وإبطال مقالاتهم، فإنّه من مطالب القسم الأوّل، وهي مسائل قطعيّة وقوانين بديهيّة فطريّة، وهي ميزان لجميع المباحث في جميع العلوم ومقبولة لدى كافّة العقلاء وهي مذكورة في الفلسفة أيضاً، وقلنا أنّه أينما بُحثت</w:t>
      </w:r>
    </w:p>
    <w:p>
      <w:pPr>
        <w:pStyle w:val="BookText"/>
        <w:rPr/>
      </w:pPr>
      <w:r>
        <w:rPr>
          <w:rFonts w:ascii="Amiri" w:hAnsi="Amiri" w:eastAsia="Amiri" w:cs="Amiri"/>
          <w:color w:val="111111"/>
          <w:sz w:val="28"/>
          <w:sz w:val="28"/>
          <w:szCs w:val="28"/>
          <w:rtl w:val="true"/>
          <w:lang w:bidi="ar-SA"/>
        </w:rPr>
        <w:t>هذه المسائل بشكل أفضل فمن الجدير استفادتها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قد جرى التأكيد عليها في القرآن والحديث، ومع التسلّط على هذه المطالب القطعيّة تتّضح الخطب والأحاديث المعارفيّة والتوحيديّة إلّا أنّه لا مجال للتردّد في أنّ هذا القسم في الواقع ليس منحصراً في الفلسفة، بل هو مورد قبول وإقرار الجميع، وإنّ النقد والردّ يكون في القسم الثاني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التوجّه إلى القسم الثاني الذي هو مورد اختلاف، ومشكل في مجموعة مباحث نظرية، لا‌يمكن أن تتّضح الخطب والروايات أبداً، بل مع التوجّه إلى هذا القسم ووجود الاختلافات في المباني فيه ووجود الأنظار المتفاوتة، فإنّ تفسير النصوص الدينيّة بهذه البحوث والمباني والنظريّات لا‌يزيد الإنسان إلّا حيرة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ذلك، فإنّ ما يمكن أن يكون آلة في إبطال مقالة المنكرين لله تعالى، وينفع في فهم الأحاديث المشكلة، هي مجموعة مسائل قطعيّة، وهي عامّة الوصول للعقلاء وليست مختصّة بجماعة دون جماعة، وكلّ مَن كان أفضل تعقّلاً كان أكثر استفادة لتلك الخُطَب والأحاديث المشكلة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كان محلّ انتقاد إنّما يكون في المسائل المذكورة في القسم الثاني من الفلسفة، والتي تتّكأ على الأدلّة النظريّة لا الضروريّات، وهي للأسف كثيرة في 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 الشيخ الأنصاري… قدس سره… في باب القطع من كتاب الرسائل ناظر إلى هذا القسم، حيث قال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وأوجب من ذلك ترك الخوض في المطالب العقليّة النظريّة، لإدراك ما يتعلّق بأصول الدين، فإنّه تعريض للهلاك الدائم والعذاب الخالد؛ وقد أشير إلى ذلك عند النهى عن الخوض فى مسئلة القضاء والقدر</w:t>
      </w:r>
      <w:r>
        <w:rPr>
          <w:rFonts w:eastAsia="Amiri" w:cs="Amiri" w:ascii="Amiri" w:hAnsi="Amiri"/>
          <w:color w:val="111111"/>
          <w:sz w:val="28"/>
          <w:szCs w:val="28"/>
          <w:rtl w:val="true"/>
          <w:lang w:bidi="ar-SA"/>
        </w:rPr>
        <w:t>.</w:t>
      </w:r>
      <w:r>
        <w:rPr>
          <w:rStyle w:val="FootnoteAnchor"/>
          <w:rtl w:val="true"/>
        </w:rPr>
        <w:footnoteReference w:id="20"/>
      </w:r>
      <w:bookmarkStart w:id="36" w:name="pg2333_12115"/>
    </w:p>
    <w:p>
      <w:pPr>
        <w:pStyle w:val="Heading2"/>
        <w:numPr>
          <w:ilvl w:val="1"/>
          <w:numId w:val="1"/>
        </w:numPr>
        <w:rPr/>
      </w:pPr>
      <w:bookmarkStart w:id="37" w:name="__RefHeading___Toc2514684_3804643083"/>
      <w:bookmarkStart w:id="38" w:name="_Toc13"/>
      <w:bookmarkEnd w:id="36"/>
      <w:bookmarkEnd w:id="37"/>
      <w:r>
        <w:rPr>
          <w:rtl w:val="true"/>
        </w:rPr>
        <w:t>السؤال الرابع</w:t>
      </w:r>
      <w:bookmarkEnd w:id="38"/>
    </w:p>
    <w:p>
      <w:pPr>
        <w:pStyle w:val="BookText"/>
        <w:rPr/>
      </w:pPr>
      <w:r>
        <w:rPr>
          <w:rFonts w:ascii="Amiri" w:hAnsi="Amiri" w:eastAsia="Amiri" w:cs="Amiri"/>
          <w:color w:val="111111"/>
          <w:sz w:val="28"/>
          <w:sz w:val="28"/>
          <w:szCs w:val="28"/>
          <w:rtl w:val="true"/>
          <w:lang w:bidi="ar-SA"/>
        </w:rPr>
        <w:t xml:space="preserve">قد يقال إنّا كثيراً ما نلاحظ في كلمات مؤيّدي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التفكيك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يستدلّون على بطلان طريقة الفلاسفة باختلافهم فيما بينهم، مع أنّ الاختلاف أيضاً موجود بوضوح في الفقه، وأنتم لا ترون اختلاف الفقهاء دليلاً على بطلان طريقتهم، فما تقولون؟</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Amiri" w:hAnsi="Amiri" w:eastAsia="Amiri" w:cs="Amiri"/>
          <w:color w:val="111111"/>
          <w:sz w:val="28"/>
          <w:sz w:val="28"/>
          <w:szCs w:val="28"/>
          <w:rtl w:val="true"/>
          <w:lang w:bidi="ar-SA"/>
        </w:rPr>
        <w:t>لو كان المقصود من طريقة الفلاسفة هو الاستفادة من العقل بالاتّكاء على الأصول العقلانيّة الواضحة في تحرّي ومعرفة المعارف والمطالب، فإنّ هذه الطريقة لا‌يمكن إبطالها، ونحن نعتقد أنّ كلّ من سار على هذه الطريقة العقلانيّة فإنّه يصل إلى الوحي، وبالنتيجة ينتخب الطريقة التي أسلفنا حقّانيّتها</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مَنْ كَانَ عَاقِلاً، كَانَ لَهُ دِينٌ، وَمَنْ كَانَ لَهُ دِينٌ، دَخَلَ الْجَنَّة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والاستفادة من تلك المسائل</w:t>
      </w:r>
    </w:p>
    <w:p>
      <w:pPr>
        <w:pStyle w:val="BookText"/>
        <w:rPr/>
      </w:pPr>
      <w:r>
        <w:rPr>
          <w:rFonts w:ascii="Amiri" w:hAnsi="Amiri" w:eastAsia="Amiri" w:cs="Amiri"/>
          <w:color w:val="111111"/>
          <w:sz w:val="28"/>
          <w:sz w:val="28"/>
          <w:szCs w:val="28"/>
          <w:rtl w:val="true"/>
          <w:lang w:bidi="ar-SA"/>
        </w:rPr>
        <w:t>الواضحة العقلانيّة ـ كما بيّنا عند الإجابة عن السؤال السابق بعنوان القسم الأوّل ـ هي لازمة، وطريق الوصول إلى الحقائق هو ذلك الطريق؛ إلّا أنّ ممّا يمكن استفادته من اختلاف الفلاسفة أنّ في المسائل التي هي من قبيل القسم الثاني هنالك اختلاف شديد في الآراء في أكثر المسائل المهمّة، ممّا يدلّ على أنّ الفلاسفة لم يتحرّكوا على أساس الحركة العقلانيّة ـ بالمعنى الحقيقيّ لذلك ـ ، وليس معناه أنّهم لم يريدوا الحركة العقلانيّة وإنّما لم يستيطعوا إليها سبيلاً، لأنّه لو كانت طريقتهم عقلانيّة لم يكن هذا الإختلاف في أمّهات المسائل وبحدّ النفي والإثبات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الاختلاف يدلّ على أنّه لم يصل أحدٌ إلى الواقع، أو وصول أحد الطرفين إلى الواقع بعنوان الاحتمال والباقي جميعهم في خطأ، هذا مع أنّ كلّ واحد من الأطراف يدّعي الوصول إلى الحقّ والحقيقة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وبالنتيجة فإنّ الاختلاف المذكور في تلك المسائل دالّ على أنّ الحركة المتّخذة في الفلسفة، ليست حركةً عقلانيّة بمعناها الواقعي وإنّما هي على صورتها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 العقل يرجعنا إلى الوحي بوضوح ـ إلّا أنّ من الأسف لأصحاب هذا الفكر أنّهم يقبلون بهذه الطريقة قولاً ويتركونها عملاً</w:t>
      </w:r>
    </w:p>
    <w:p>
      <w:pPr>
        <w:pStyle w:val="BookText"/>
        <w:rPr/>
      </w:pPr>
      <w:r>
        <w:rPr>
          <w:rFonts w:ascii="Amiri" w:hAnsi="Amiri" w:eastAsia="Amiri" w:cs="Amiri"/>
          <w:color w:val="111111"/>
          <w:sz w:val="28"/>
          <w:sz w:val="28"/>
          <w:szCs w:val="28"/>
          <w:rtl w:val="true"/>
          <w:lang w:bidi="ar-SA"/>
        </w:rPr>
        <w:t>ويسلكون طريقة الفلسفة</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قولنا المتصدّين لمعرفة الحقائق وهم أربع فِرَق لأنّهم إمّا أن يصلوا إليها بمجرّد الفكر أو مجرّد تصفية النفس بالتخلية والتحلية أو بالجمع بينهما، فالجامعون هم الإشراقيّون، والمصفّون هم الصوفيّة، والمقصّرون على الفكر إمّا يواظبون موافقة أوضاع ملّة الأديان وهم المتكلّمون، أو يبحثون على الإطلاق وهم المشّاؤون والفكر مشي العقل إذ الفكر حركة من المطالب الى المبادي ومن المبادي إلى المطالب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المنظومة،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الفلسفة، غرر فى أبحاث متعلّقة بالإمكان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الأسماء،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المعروفة التي ليس فيها شيء من التقييد بالشرع والوحي والديانة من بدو الأمر ـ فإنّه لا يبقى عذر في هذا الاختلاف و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حركة مجموعة من الأفراد على أساس العقل والوحي ولكنّهم اختلفوا فيه مع وجود الضوابط المرتبطة فيه؛ فبيد أنّ الوصول إلى مقاصد الوحي ليس إلّا واحد من تلك الاختلافات، وأنّ هذا الاختلاف دليل على عدم الوصول إلى الواقع ـ ومن هذه الجهة لا تختلف عن الفلسفة ـ إلّا أنّ ما يجب أن يُتنبّه عليه أنّ الفلاسفة اتّخذوا طريقاً غير مأمون في حال لم‌تكن لهم حجّة عقلانيّة على سلوك ذلك الطريق، أمّا في الصورة الثانية ـ أي طريقة الفقهاءـ فإنّهم سلكوا الطريق الذي عيّنه العقل،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تحرّكوا على أساس الحجّة فهم معذورون في طريقتهم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التوجّه إلى ما مضى يظهر أنّ طريقة الفقهاء في فهم الأحكام</w:t>
      </w:r>
    </w:p>
    <w:p>
      <w:pPr>
        <w:pStyle w:val="BookText"/>
        <w:rPr/>
      </w:pPr>
      <w:r>
        <w:rPr>
          <w:rFonts w:ascii="Amiri" w:hAnsi="Amiri" w:eastAsia="Amiri" w:cs="Amiri"/>
          <w:color w:val="111111"/>
          <w:sz w:val="28"/>
          <w:sz w:val="28"/>
          <w:szCs w:val="28"/>
          <w:rtl w:val="true"/>
          <w:lang w:bidi="ar-SA"/>
        </w:rPr>
        <w:t>لأجل اختلافهم أيضاً دالّ على عدم وصول بعضهم إلى الواقع، إلّا أنّهم لمّا كان عملهم طبقاً لوظيفتهم وعلى أساس المسؤولية التي على عاتقهم من الرجوع إلى الكتاب والسنّة وبيانات الأئمّة المعصومين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فهم معذورون في خطأهم، هذا مضافاً إلى أنّهم لا‌يدّعون القطع على ما توصّلوا إليه، فالأمر يدور حول المعذّريّة والمنجّزيّة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أولئك الذين أقبلوا بالوحي من جهة ولكنّهم لم يراعوا تعاليمه حقّ الراعيّة ولم يتّبعوه في معارفه، وبالنتيجة اكتفوا على أفكارهم وتعقّلاتهم المحدودة، فهؤلاء اختلافهم ليس كاختلاف الفقهاء ولا‌يُعذّرون في خطأهم، ولهذا يكون اختلافهم دليل على بطلان مشيهم وطريقتهم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ذكرنا سابقاً، لو اتّبع العبد تعاليم الوحي ـ الثابتة بالعقل ـ وحقّق في مسألة من المسائل الاعتقاديّة ولكنّه انجرّ به الأمر إلى الاختلاف مع آخرين، فمع أنّه من الواضح عدم وصول بعضهم إلى الواقع ولكنّهم معذورون فيما لو كان اعتقادهم مستنداً إلى الوحي حقيقةً؛ إلّا أنّه لا‌ينبغي الغفلة أنّه لا‌يوجد اختلاف ـ وإن وُجد ففي غاية النُدرة ـ في تعاليم الوحي، وبمراجعة القرآن والأحاديث الشريفة يظهر هذا الأمر جليّاً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هناك اختلاف من حيث الظاهر في بعض الموارد، فإنّ الوحي بنفسه قد وضّح مراده وبيّن عدم وجود الاختلاف</w:t>
      </w:r>
      <w:r>
        <w:rPr>
          <w:rFonts w:eastAsia="Amiri" w:cs="Amiri" w:ascii="Amiri" w:hAnsi="Amiri"/>
          <w:color w:val="111111"/>
          <w:sz w:val="28"/>
          <w:szCs w:val="28"/>
          <w:rtl w:val="true"/>
          <w:lang w:bidi="ar-SA"/>
        </w:rPr>
        <w:t>.</w:t>
      </w:r>
      <w:bookmarkStart w:id="39" w:name="pg2333_12119"/>
    </w:p>
    <w:p>
      <w:pPr>
        <w:pStyle w:val="Heading2"/>
        <w:numPr>
          <w:ilvl w:val="1"/>
          <w:numId w:val="1"/>
        </w:numPr>
        <w:rPr/>
      </w:pPr>
      <w:bookmarkStart w:id="40" w:name="__RefHeading___Toc2514686_3804643083"/>
      <w:bookmarkStart w:id="41" w:name="_Toc14"/>
      <w:bookmarkEnd w:id="39"/>
      <w:bookmarkEnd w:id="40"/>
      <w:r>
        <w:rPr>
          <w:rtl w:val="true"/>
        </w:rPr>
        <w:t>السؤال الخامس</w:t>
      </w:r>
      <w:bookmarkEnd w:id="41"/>
    </w:p>
    <w:p>
      <w:pPr>
        <w:pStyle w:val="BookText"/>
        <w:rPr/>
      </w:pPr>
      <w:r>
        <w:rPr>
          <w:rFonts w:ascii="Amiri" w:hAnsi="Amiri" w:eastAsia="Amiri" w:cs="Amiri"/>
          <w:color w:val="111111"/>
          <w:sz w:val="28"/>
          <w:sz w:val="28"/>
          <w:szCs w:val="28"/>
          <w:rtl w:val="true"/>
          <w:lang w:bidi="ar-SA"/>
        </w:rPr>
        <w:t>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نقرّ بهذ الأمر من أنّ الدين شيء والفلسفة والعرفان شيء آخر، إذ أنّ منشأ الدين هو الوحي الإلهيّ و منشأ الفلسفة هو التعقّل البشريّ والعرفان هو الشهود لنفس العارف،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التفكيكيّين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يلتزمون ببعض القضايا التي هي موضع إشكال، كإنكارهم للتأويل وقولهم بحجّية الظواهر؟</w:t>
      </w:r>
    </w:p>
    <w:p>
      <w:pPr>
        <w:pStyle w:val="BookText"/>
        <w:rPr/>
      </w:pPr>
      <w:r>
        <w:rPr>
          <w:rFonts w:ascii="IRNazanin" w:hAnsi="IRNazanin" w:eastAsia="IRNazanin"/>
          <w:color w:val="111111"/>
          <w:sz w:val="28"/>
          <w:sz w:val="28"/>
          <w:szCs w:val="28"/>
          <w:rtl w:val="true"/>
          <w:lang w:bidi="fa-IR"/>
        </w:rPr>
        <w:t>الجواب</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أصل المطلب هو ما ذكرنا في الإجابة على السؤال السابق، ولكن ما ذُكر في ذيل هذا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إنكار أبناء نظريّة التفكيك للتأويل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جملة الأمور التي نُسبت إليهم من دون أيّ دليل، فإنّ التأويل والتوجيه في الموارد التي كان الإدراك البيّن لعموم العقلاء على خلاف الظاهر هو من المسلّمات الواضحة، ونفس إدراك العقلاء لخلاف الظاهر قرينة على عدم إرادته، وعلى وجوب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الأمر أنّ</w:t>
      </w:r>
    </w:p>
    <w:p>
      <w:pPr>
        <w:pStyle w:val="BookText"/>
        <w:rPr/>
      </w:pPr>
      <w:r>
        <w:rPr>
          <w:rFonts w:ascii="Amiri" w:hAnsi="Amiri" w:eastAsia="Amiri" w:cs="Amiri"/>
          <w:color w:val="111111"/>
          <w:sz w:val="28"/>
          <w:sz w:val="28"/>
          <w:szCs w:val="28"/>
          <w:rtl w:val="true"/>
          <w:lang w:bidi="ar-SA"/>
        </w:rPr>
        <w:t>المتكلّم لمّا كان في مقام التفيهم والتخاطب، ولم يكن ظاهر كلامه مخالفاً لإدراك عموم العقلاء ولم تكن هناك قرينة على إرادة خلاف الظاهر، حينئذ يُؤخذ بالظاهر وكان هو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ذلك الظاهر ممّا يراه شخص خلافاً للعقل بينما عموم العقلاء لا يرونه كذلك، فإنّه يؤخذ بالظاهر وإن كان ذلك الشخص الذي يراه خلاف العقل لايمكن له أن يأخذ بظاهره وأن يتقبّله، وإنّه لو لم يكن مقصّراً في إدراكه كان معذوراً، وهذا المطلب ذكرناه سابقاً في موضعه صراحةً وقلنا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ما كان مستنداً إلى الوحي وكان مخالفاً للمدرَكات العقليّة القطعيّة، فواضح أنّ كونه وحيانيّ مردود، لأنّ الوحي لا‌يتكلّم بخلاف العقل، كيف؟ والعقل هو الذي دعى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الصدور والسند قطعياً لزم التوجيه، إلّا أنّ مثل هذا المورد غير موجودة في المدارك الوحيانيّة، وإذا وُجدت كان الشارع هو المبيّن لتوجيهها والمظهِر لحقيقة معناها، و قد أشرنا في الهامش هناك إلى بعض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لم يكن كلام المتكلّم ضمن ما ذكرنا من مواضع لزوم التأويل، حين ذاك يكون من الخطأ تأويل كلامه خلافاً للظاهر</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ولتوضيح الأمر نذكر مورداً واحداً من الموارد الكثيرة التي قامت الفلسفة بتأويل ما ليس من حقّه أن يؤوَّل، وحمل الكلام على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مسألة الحشر الجسمانيّ، وأنّ هذه الأبدان الدنيويّة هي التي تعود يوم القيامة وأنّ الأرواح متعلّقة بها، ليست فقط الآيات القرآنيّة الشريفة هي ظاهرة في هذا الأمر، وإنّما كثير منها نصّ وصريح فيه</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الآية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 لَنا مَثَلاً وَ نَسِيَ خَلْقَهُ قالَ مَنْ يُحْيِ الْعِظامَ وَ هِيَ رَميم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الآيات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أُقْسِمُ بِيَوْمِ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أُقْسِمُ بِالنَّفْسِ اللَّوَّامَة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يَحْسَبُ الْإِنْسانُ أَلَّنْ نَجْمَعَ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قادِرينَ عَلى أَنْ نُسَوِّيَ بَنانَه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اللهَ يَبْعَثُ مَنْ فِي الْقُبُور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الآيتين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إِذا كُنَّا عِظاماً نَخِرَة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تِلْكَ إِذاً كَرَّةٌ خاسِرَة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هِيَ زَجْرَةٌ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هُمْ بِالسَّاهِرَةِ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الآيتين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إِذا مِتْنا وَكُنَّا تُراباً ذلِكَ رَجْعٌ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ما تَنْقُصُ الْأَرْضُ مِنْهُمْ وَعِنْدَنا كِتابٌ حَفيظ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الآيتين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وَنُفِخَ فِي الصُّورِ فَإِذا هُمْ مِنَ الْأَجْداثِ إِلى رَبِّهِمْ يَنْسِلُون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وَيْلَنا مَنْ بَعَثَنا مِنْ مَرْقَدِنا هذا ما وَعَدَ الرَّحْمنُ وَصَدَقَ الْمُرْسَلُون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وعموم العقلاء لا‌يرون أيّ إشكال عقليّ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الذي خلق الخلق قادر على إعادتهم وإحياء الأبدان بعد تلاشيها وتفتتها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أنّا نرى بعض أهل الفلسفة، ولأجل بعض المباني الاختلافيّة التي أسّسوها وجعلوها مقياساً لأفكارهم وقيّدوا بها عقولهم، ذهبوا إلى لزوم تأويل كلّ هذه الآيات والروايات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أميرالمؤمنين… عليه السلام … في نهج البلاغة، الخطبة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مَنْ فِيهَا فَجَدَّدَهُمْ بَعْدَ إِخْلَاقِهِمْ وَجَمَعَهُمْ بَعْدَ تَفْرِيقِهِمْ ثُمَّ مَيَّزَهُمْ لِمَا يُرِيدُ مِنْ مُسَاءَلَتِهِمْ عَنْ خَفَايَا الْأَعْمَال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الصريحة بذريعة مخالفتها للعقل،</w:t>
      </w:r>
    </w:p>
    <w:p>
      <w:pPr>
        <w:pStyle w:val="BookText"/>
        <w:rPr/>
      </w:pPr>
      <w:r>
        <w:rPr>
          <w:rFonts w:ascii="Amiri" w:hAnsi="Amiri" w:eastAsia="Amiri" w:cs="Amiri"/>
          <w:color w:val="111111"/>
          <w:sz w:val="28"/>
          <w:sz w:val="28"/>
          <w:szCs w:val="28"/>
          <w:rtl w:val="true"/>
          <w:lang w:bidi="ar-SA"/>
        </w:rPr>
        <w:t>ويقولون إنّ الحقّ في المسألة هو أنّ الروح تخلق بإذن اللّه صورة مثاليّة وتكون معها، وأمّا البدن العنصريّ الذي من التراب فلا يرجع، فالحشر هو حشر روحانيّ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صراحة الوحي في هذا المورد و عدم ضدّيّته مع العقل ورد في عبارات الكثير من علمائنا الأعلام نشير إلى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قال المرحوم الخواجة نصيرالدين الطوسي في كتاب التجريد، في المقصد السادس، المسأله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والضرورة قاضية بثبوت الجسمانيّ من دين النبىّ… صلي الله عليه و آله و سلم … مع إمكانه</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وقد أشار المرحوم الخواجة في هذه العبارة إلى عدم مخالفة مسألة المعاد الجسماني للعقل مع إمكانه وكونه من ضروريّات دين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العلّامة في شرح عبارة الخواجة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على ثبوت المعاد الجسمانيّ بأنّه معلوم بالضرورة من دين محمّد… صلي الله عليه و آله و سلم … والقرآن دلّ عليه فى آيات كثيرة</w:t>
      </w:r>
    </w:p>
    <w:p>
      <w:pPr>
        <w:pStyle w:val="BookText"/>
        <w:rPr/>
      </w:pPr>
      <w:r>
        <w:rPr>
          <w:rFonts w:ascii="Amiri" w:hAnsi="Amiri" w:eastAsia="Amiri" w:cs="Amiri"/>
          <w:color w:val="111111"/>
          <w:sz w:val="28"/>
          <w:sz w:val="28"/>
          <w:szCs w:val="28"/>
          <w:rtl w:val="true"/>
          <w:lang w:bidi="ar-SA"/>
        </w:rPr>
        <w:t>بالنصّ مع أنّه ممكن، فيجب المصير إليه، وإنّما قلنا بأنّه ممكن لأنّ المراد من الإعادة جمع الأجزاء المتفرّقة وذلك جائز بالضرورة</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بيان هاذين العَلمين العالمين في كون المعاد الجسمانيّ من الضروريّات وكذا في دلالة نصّ الآيات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 آية اللّه الحاج ميرزا أحمد الآشتياني جامع المعقول والمنقول بعد بيان بعض المطالب في كتاب لوامع الحقايق في أصول العقائد،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فإنكار المعاد الجسمانيّ وعود الأرواح إلى الأجسام الذى يساعده العقل السليم يخالف نصّ القرآن، بل جميع الأديان وإنكار لما هو ضروريّ الإسلام، أعاذنا اللّه تعالي من زلّات الأوهام وتسويلات الشيطان</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وقال قبل هذا بأسطر</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وقع البحث في أنّ ما ينتقل أليه الأرواح في القيامة الكبرى ويوم الحساب، هل هو عين الأبدان العنصريّة بشمل شتاتها وجمع جهاتها بأمره تبارك وتعالى كما يقتضيه الإعتبار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بل تنتقل إلى صورة المجرّدة التعليميّة</w:t>
      </w:r>
    </w:p>
    <w:p>
      <w:pPr>
        <w:pStyle w:val="BookText"/>
        <w:rPr/>
      </w:pPr>
      <w:r>
        <w:rPr>
          <w:rFonts w:ascii="Amiri" w:hAnsi="Amiri" w:eastAsia="Amiri" w:cs="Amiri"/>
          <w:color w:val="111111"/>
          <w:sz w:val="28"/>
          <w:sz w:val="28"/>
          <w:szCs w:val="28"/>
          <w:rtl w:val="true"/>
          <w:lang w:bidi="ar-SA"/>
        </w:rPr>
        <w:t>نظير القوالب المثالية وصور المرآتيّة، ما وقع التصريح به فى القرآن الكريم هو الأوّل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إنّا نجتنب مثل هذه التأويلات التي تخالف النصوص الوحيانيّة ولا‌يوجد دليل عقلي على لزومها، بل أنّ بعضها ضدّ العقل وأنّ مكتب التفكيك يفتخر على أنّه لم يأوّل النصوص القرآنيّة وكلمات أئمّة الهدى… عليهم السلام … لوجود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كان ظاهره ضدّ العقل من الوحي فإنّه يجب تأويله إلّا في هذه الموارد، فإنّ الوحي هو المبيِّن ـ و قبل أيّ شخص ـ لتوجيه كلامه</w:t>
      </w:r>
      <w:bookmarkStart w:id="42" w:name="pg2333_12126"/>
    </w:p>
    <w:p>
      <w:pPr>
        <w:pStyle w:val="Heading2"/>
        <w:numPr>
          <w:ilvl w:val="1"/>
          <w:numId w:val="1"/>
        </w:numPr>
        <w:rPr/>
      </w:pPr>
      <w:bookmarkStart w:id="43" w:name="__RefHeading___Toc2514688_3804643083"/>
      <w:bookmarkStart w:id="44" w:name="_Toc15"/>
      <w:bookmarkEnd w:id="42"/>
      <w:bookmarkEnd w:id="43"/>
      <w:r>
        <w:rPr>
          <w:rtl w:val="true"/>
        </w:rPr>
        <w:t>فهرس المصادر</w:t>
      </w:r>
      <w:bookmarkEnd w:id="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محمّد بن يعقوب بن إسحاق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بحارالأنوار الجامعة لدرر أخبار الأئمّة الأطهار…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المجلسي، محمّدباقر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الأنصاريّ، مرتضي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الفكر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لوامع الحقايق في أصول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آشتياني، احمد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دارالتعارف للمطبوعات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المراد في شرح تجريد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 يوسف بن حسن 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تجريد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نصيرالدين الطوسيّ،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النشر لمكتب الإعلام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منظومه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سبزواري، ملّاهادي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انتشارات علمية إسلامية،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الأسماءالحسني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سبزواري، ملّاهادي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w:t>
      </w:r>
    </w:p>
    <w:p>
      <w:pPr>
        <w:pStyle w:val="BookText"/>
        <w:rPr/>
      </w:pPr>
      <w:r>
        <w:rPr>
          <w:rFonts w:ascii="Amiri" w:hAnsi="Amiri" w:eastAsia="Amiri" w:cs="Amiri"/>
          <w:color w:val="111111"/>
          <w:sz w:val="28"/>
          <w:sz w:val="28"/>
          <w:szCs w:val="28"/>
          <w:rtl w:val="true"/>
          <w:lang w:bidi="ar-SA"/>
        </w:rPr>
        <w:t>بصيرتي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المتألّهين، محمّد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الطهوري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ممدّ الهمم في شرح فصوص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حسن زاده الآملي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وزراة الثقافة والإرشاد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الحكمة المتعالية في الأسفار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المتألّهين، محمّد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المصطفوي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نظريه تفكيك يا روش فقها و علماء در فهم معارف حقّه</w:t>
      </w:r>
    </w:p>
    <w:p>
      <w:pPr>
        <w:pStyle w:val="BookText"/>
        <w:rPr/>
      </w:pPr>
      <w:r>
        <w:rPr>
          <w:rFonts w:ascii="IRNazanin" w:hAnsi="IRNazanin" w:eastAsia="IRNazanin"/>
          <w:color w:val="111111"/>
          <w:sz w:val="28"/>
          <w:sz w:val="28"/>
          <w:szCs w:val="28"/>
          <w:rtl w:val="true"/>
          <w:lang w:bidi="fa-IR"/>
        </w:rPr>
        <w:t>در گفتگو با استاد سيد جعفر سيدان</w:t>
      </w:r>
    </w:p>
    <w:p>
      <w:pPr>
        <w:pStyle w:val="BookText"/>
        <w:rPr/>
      </w:pPr>
      <w:r>
        <w:rPr>
          <w:rFonts w:ascii="Amiri" w:hAnsi="Amiri" w:eastAsia="Amiri" w:cs="Amiri"/>
          <w:color w:val="111111"/>
          <w:sz w:val="28"/>
          <w:sz w:val="28"/>
          <w:szCs w:val="28"/>
          <w:rtl w:val="true"/>
          <w:lang w:bidi="ar-SA"/>
        </w:rPr>
        <w:t>علي ملكي ميانجي</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حسين مدرسي</w:t>
      </w:r>
    </w:p>
    <w:p>
      <w:pPr>
        <w:pStyle w:val="BookText"/>
        <w:rPr/>
      </w:pPr>
      <w:r>
        <w:rPr>
          <w:rFonts w:ascii="Amiri" w:hAnsi="Amiri" w:eastAsia="Amiri" w:cs="Amiri"/>
          <w:color w:val="111111"/>
          <w:sz w:val="28"/>
          <w:sz w:val="28"/>
          <w:szCs w:val="28"/>
          <w:rtl w:val="true"/>
          <w:lang w:bidi="ar-SA"/>
        </w:rPr>
        <w:t>انتشارات ولايت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1435</w:t>
      </w:r>
      <w:bookmarkStart w:id="45" w:name="pg2333_12129"/>
    </w:p>
    <w:p>
      <w:pPr>
        <w:pStyle w:val="Heading2"/>
        <w:numPr>
          <w:ilvl w:val="1"/>
          <w:numId w:val="1"/>
        </w:numPr>
        <w:rPr/>
      </w:pPr>
      <w:bookmarkStart w:id="46" w:name="__RefHeading___Toc2514690_3804643083"/>
      <w:bookmarkStart w:id="47" w:name="_Toc16"/>
      <w:bookmarkEnd w:id="45"/>
      <w:bookmarkEnd w:id="46"/>
      <w:r>
        <w:rPr>
          <w:rtl w:val="true"/>
        </w:rPr>
        <w:t>چكيده</w:t>
      </w:r>
      <w:bookmarkEnd w:id="47"/>
    </w:p>
    <w:p>
      <w:pPr>
        <w:pStyle w:val="BookText"/>
        <w:rPr/>
      </w:pPr>
      <w:r>
        <w:rPr>
          <w:rFonts w:ascii="IRNazanin" w:hAnsi="IRNazanin" w:eastAsia="IRNazanin"/>
          <w:color w:val="111111"/>
          <w:sz w:val="28"/>
          <w:sz w:val="28"/>
          <w:szCs w:val="28"/>
          <w:rtl w:val="true"/>
          <w:lang w:bidi="fa-IR"/>
        </w:rPr>
        <w:t>انديشه اعتقادي فقهاي اماميه و دو مكتب فلسفي و عرفاني ديدگاه جدا و متفاوتند هدف در روش نخست استقلال معارف اعتقادي شيعه با ابتناء بر دو ميزان مقدس شناختِ عقل و وحي است و بهره مندي از تأويل در چارچوب قانون‌مند را مي‌پذيرد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در روش فلسفي و عرفاني داراي اهدافي متفاوت و مختلف در غايات و طرقند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بررسي تطبيقي ديدگاه‌هاي اين سه روش در مسائل اعتقادي به ويژه در مسائل روشن و بديهي توحيد و معاد اين حقيقت را عيان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عقايد تلفيقي و التقاطي، براهين وهمي يا نظري غير يقيني، اوهام كشفاني، تأويل بي حساب و ضابطه از عوامل اساسي جدايي دو ديگاه فلسفي و عرفاني و انديشه اعتقادي فقهاء شيعه مي‌باشد كه داراي اثر به صورت مجمل مورد بررسي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انتشارات ولايت</w:t>
      </w:r>
    </w:p>
    <w:p>
      <w:pPr>
        <w:pStyle w:val="BookText"/>
        <w:rPr/>
      </w:pPr>
      <w:r>
        <w:rPr>
          <w:rFonts w:ascii="IRNazanin" w:hAnsi="IRNazanin" w:eastAsia="IRNazanin"/>
          <w:color w:val="111111"/>
          <w:sz w:val="28"/>
          <w:sz w:val="28"/>
          <w:szCs w:val="28"/>
          <w:rtl w:val="true"/>
          <w:lang w:bidi="fa-IR"/>
        </w:rPr>
        <w:t>ايران ـ مشهد مقدس ـ بازار بزرگ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00989151162907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00989151576003</w:t>
      </w:r>
      <w:bookmarkStart w:id="48" w:name="pg2333_12130"/>
    </w:p>
    <w:p>
      <w:pPr>
        <w:pStyle w:val="Heading2"/>
        <w:numPr>
          <w:ilvl w:val="1"/>
          <w:numId w:val="1"/>
        </w:numPr>
        <w:rPr/>
      </w:pPr>
      <w:bookmarkStart w:id="49" w:name="__RefHeading___Toc2514692_3804643083"/>
      <w:bookmarkStart w:id="50" w:name="_Toc17"/>
      <w:bookmarkEnd w:id="48"/>
      <w:bookmarkEnd w:id="49"/>
      <w:r>
        <w:rPr/>
        <w:t>BOOK SUMMARY</w:t>
      </w:r>
      <w:bookmarkEnd w:id="50"/>
    </w:p>
    <w:p>
      <w:pPr>
        <w:pStyle w:val="BookText"/>
        <w:rPr/>
      </w:pPr>
      <w:r>
        <w:rPr>
          <w:rFonts w:eastAsia="Times New Roman" w:cs="Times New Roman" w:ascii="Times New Roman" w:hAnsi="Times New Roman"/>
          <w:color w:val="111111"/>
          <w:sz w:val="28"/>
          <w:szCs w:val="28"/>
          <w:lang w:val="en-US" w:bidi="en-US"/>
        </w:rPr>
        <w:t>This book is yet another valuable treatise by the eminent scholarly authority Ayatollah S. J. Seyyedan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author touches in the beginning on seven important points in regards to engaging in debates and offers insights on objective research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Ayatollah Sayyedan stresses, among other things, the essential need to stay firmly within the confines of the teachings of the Ahlulbayt, and cites verses and traditions in this regard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 also refers to several examples of erroneous conclusions arrived at by philosophers and mystics relevant to this discussion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Finally, the author points out several important issues on the separation between the school of Philosophy and Mysticism on one side, and that of divine revelation on the other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ــــــــــــــــــــــــــــــــــــــــــــــــــــــــــــــــــــــــــــــــــــــــ</w:t>
      </w:r>
    </w:p>
    <w:p>
      <w:pPr>
        <w:pStyle w:val="BookText"/>
        <w:rPr/>
      </w:pPr>
      <w:r>
        <w:rPr>
          <w:rFonts w:eastAsia="Times New Roman" w:cs="Times New Roman" w:ascii="Times New Roman" w:hAnsi="Times New Roman"/>
          <w:color w:val="111111"/>
          <w:sz w:val="28"/>
          <w:szCs w:val="28"/>
          <w:lang w:val="en-US" w:bidi="en-US"/>
        </w:rPr>
        <w:t>The publisher</w:t>
      </w:r>
    </w:p>
    <w:p>
      <w:pPr>
        <w:pStyle w:val="BookText"/>
        <w:rPr/>
      </w:pPr>
      <w:r>
        <w:rPr>
          <w:rFonts w:eastAsia="Times New Roman" w:cs="Times New Roman" w:ascii="Times New Roman" w:hAnsi="Times New Roman"/>
          <w:color w:val="111111"/>
          <w:sz w:val="28"/>
          <w:szCs w:val="28"/>
          <w:lang w:val="en-US" w:bidi="en-US"/>
        </w:rPr>
        <w:t>Velayat publishers</w:t>
      </w:r>
    </w:p>
    <w:p>
      <w:pPr>
        <w:pStyle w:val="BookText"/>
        <w:rPr/>
      </w:pPr>
      <w:r>
        <w:rPr>
          <w:rFonts w:eastAsia="Times New Roman" w:cs="Times New Roman" w:ascii="Times New Roman" w:hAnsi="Times New Roman"/>
          <w:color w:val="111111"/>
          <w:sz w:val="28"/>
          <w:szCs w:val="28"/>
          <w:lang w:val="en-US" w:bidi="en-US"/>
        </w:rPr>
        <w:t>Address: Iran, Mashhad, central bazaar, Velayat publisher</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Tel: 00989151576003 - 00989151162907</w:t>
      </w:r>
    </w:p>
    <w:p>
      <w:pPr>
        <w:pStyle w:val="BookText"/>
        <w:rPr/>
      </w:pPr>
      <w:r>
        <w:rPr>
          <w:rFonts w:eastAsia="Times New Roman" w:cs="Times New Roman" w:ascii="Times New Roman" w:hAnsi="Times New Roman"/>
          <w:color w:val="111111"/>
          <w:sz w:val="28"/>
          <w:szCs w:val="28"/>
          <w:lang w:val="en-US" w:bidi="en-US"/>
        </w:rPr>
        <w:t>Khorasan And The School of Divine Gnosis</w:t>
      </w:r>
    </w:p>
    <w:p>
      <w:pPr>
        <w:pStyle w:val="BookText"/>
        <w:rPr/>
      </w:pPr>
      <w:r>
        <w:rPr>
          <w:rFonts w:eastAsia="Times New Roman" w:cs="Times New Roman" w:ascii="Times New Roman" w:hAnsi="Times New Roman"/>
          <w:color w:val="111111"/>
          <w:sz w:val="28"/>
          <w:szCs w:val="28"/>
          <w:lang w:val="en-US" w:bidi="en-US"/>
        </w:rPr>
        <w:t>Ayatollah Seyyedan</w:t>
      </w:r>
    </w:p>
    <w:p>
      <w:pPr>
        <w:pStyle w:val="BookText"/>
        <w:rPr/>
      </w:pPr>
      <w:r>
        <w:rPr>
          <w:rFonts w:eastAsia="Times New Roman" w:cs="Times New Roman" w:ascii="Times New Roman" w:hAnsi="Times New Roman"/>
          <w:color w:val="111111"/>
          <w:sz w:val="28"/>
          <w:szCs w:val="28"/>
          <w:lang w:val="en-US" w:bidi="en-US"/>
        </w:rPr>
        <w:t>Ali Maleki Mianji</w:t>
      </w:r>
    </w:p>
    <w:p>
      <w:pPr>
        <w:pStyle w:val="BookText"/>
        <w:rPr/>
      </w:pPr>
      <w:r>
        <w:rPr>
          <w:rFonts w:eastAsia="Times New Roman" w:cs="Times New Roman" w:ascii="Times New Roman" w:hAnsi="Times New Roman"/>
          <w:color w:val="111111"/>
          <w:sz w:val="28"/>
          <w:szCs w:val="28"/>
          <w:lang w:val="en-US" w:bidi="en-US"/>
        </w:rPr>
        <w:t>Translator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Sayed Hossain Modarresi</w:t>
      </w:r>
    </w:p>
    <w:p>
      <w:pPr>
        <w:pStyle w:val="BookText"/>
        <w:rPr/>
      </w:pPr>
      <w:r>
        <w:rPr>
          <w:rFonts w:eastAsia="Times New Roman" w:cs="Times New Roman" w:ascii="Times New Roman" w:hAnsi="Times New Roman"/>
          <w:color w:val="111111"/>
          <w:sz w:val="28"/>
          <w:szCs w:val="28"/>
          <w:lang w:val="en-US" w:bidi="en-US"/>
        </w:rPr>
        <w:t>Velayat Publishers</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1393</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وَالـمَوعِظَةِ الـحَسَنَة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و معرفت بزرگترين و بهترين نعمت الهي است كه خداوند متعال آن را به بندگان صالح خويش عطا مي‌فرمايد و آن‌ها را در مسير عبوديت و كمال بندگي به سوي خود با آن ياري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افتخار بندگان خدا برخورداري آن‌ها از اين نعمت گرانسنگ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رباني و عارفان حقيقي كساني هستند كه در راه بندگي خدا همواره پيامبران الهي و امامان معصوم… عليهم السلام … را چراغ راه خويش قرار داده واز سلوك طريق علمي و عملي آن‌ها هيچ وقت احساس خستگي به خود راه نداده و از هر طريق ديگري غير از راه امامان معصوم… عليهم السلام …دوري و بيزاري مي‌جويند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بنياد با هدف احياي آثار چنين بزرگاني كه در طول تاريخ تشيع همواره مدافع و پشتيبان معارف اصيل وحياني و علوم راستين اهل بيت… عليهم السلام …بوده‌اند تشكل مي‌يابد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 است با توجهات خاص حضرات معصومين در اين راه توفيق يارشان باشد تا بتوانند قدم‌هاي مثبت مهمي در احياي آثار ارزشمند آن بزرگان با شرايط روز بردارند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وَالـمَوعِظَةِ الـحَسَنَة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Call on to the way of your lord with wisdom and good preaching</w:t>
      </w:r>
    </w:p>
    <w:p>
      <w:pPr>
        <w:pStyle w:val="BookText"/>
        <w:rPr/>
      </w:pPr>
      <w:r>
        <w:rPr>
          <w:rFonts w:eastAsia="Times New Roman" w:cs="Times New Roman" w:ascii="Times New Roman" w:hAnsi="Times New Roman"/>
          <w:color w:val="111111"/>
          <w:sz w:val="28"/>
          <w:szCs w:val="28"/>
          <w:lang w:val="en-US" w:bidi="en-US"/>
        </w:rPr>
        <w:t>Knowledge is arguably God's most precious blessing given to humanity, with which they can understand, worship, and submit to the Almighty's commandments. It is indeed the greatest of His gifts for both in this life and the afterlife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 those with divine understanding are the true inheritors of the prophets and their successors. Those are the people of wisdom who stop at nithing in carrying on their endeavor in seeking knowledge from its one and only source; The messengers of Allah</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This institution, was founded on the revival and republishing the canons and original works of the scholars who gave their life in supporting the foundations of the religion and the teachings of the holy prophet and his immaculate household. We ask Allah to guide us in this holy path</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لم يصل إلى هذه الحقيقة عليه أن يثبت الاحتياج إلى الوحي بالاستدلالات العقليّة بعد إثبات وجود اللّه و بثبوت حقّانيّته تثبت صحّة المسائل الوحيانيّة وسعتها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الحال في مثل قوله تعالى في سورة الفجر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الآية</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وَجاءَ رَبُّكَ وَالمَلَكُ صَفّاً 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فُسّر في المدراك الوحيانيّة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أمر 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ممدّ الهمم في شرح فصوص الحكم،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 في 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لا يَغْفِرُ أَنْ يُشْرَكَ بِهِ وَ يَغْفِرُ ما دُونَ ذلِكَ لِمَنْ يَشاءُ وَ مَنْ يُشْرِكْ بِاللهِ فَقَدِ افْتَرى إِثْماً عَظيماً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الآية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يُشْرِكْ بِاللهِ فَقَدْ ضَلَّ ضَلالاً بَعيداً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المشاعر،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المشعر الثامن في أنّ الوجود بالحقيقة هو الواحد الحقَ تعالى</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كيفيّة خلود أهل النار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الملّا صدرا في رسالة العرشيّة ص</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كمسألة السنخية بين الخالق والمخلوق، واتّحاد العلم والإرادة في اللّه تبارك وتعالى، وقِدم العالم، والمعاد المثالي، ومنشأيّة عالم الجنّة للنفوس البشريّة وقوامها بنفوسهم، وتبديل العذاب بالعذب في النار و</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ورد في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الأوّل من أبواب العقل والجهل من كتاب العقل والعلم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أبوعبداللّه… عليه السلام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المنظومة قسّم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المتصدّين للمعرفة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أربعة أقسام ، إليك نصّ عبارته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نذكّر ببعض الآيات الشريفة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تجريد الاعتقاد،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في شرح تجريد الاعتقاد،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الحقايق في أصول العقائد،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image" Target="media/image2.jpeg"/><Relationship Id="rId50" Type="http://schemas.openxmlformats.org/officeDocument/2006/relationships/image" Target="media/image2.jpeg"/><Relationship Id="rId51" Type="http://schemas.openxmlformats.org/officeDocument/2006/relationships/footer" Target="footer44.xml"/><Relationship Id="rId52" Type="http://schemas.openxmlformats.org/officeDocument/2006/relationships/footnotes" Target="footnotes.xml"/><Relationship Id="rId53" Type="http://schemas.openxmlformats.org/officeDocument/2006/relationships/numbering" Target="numbering.xml"/><Relationship Id="rId54" Type="http://schemas.openxmlformats.org/officeDocument/2006/relationships/fontTable" Target="fontTable.xml"/><Relationship Id="rId55" Type="http://schemas.openxmlformats.org/officeDocument/2006/relationships/settings" Target="settings.xml"/><Relationship Id="rId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Pages>
  <Words>6188</Words>
  <Characters>29182</Characters>
  <CharactersWithSpaces>35039</CharactersWithSpaces>
  <Paragraphs>373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2026-08-17T06:37:57Z</dcterms:created>
  <dc:creator>ghaemiyeh.com</dc:creator>
  <dc:description/>
  <dc:language>en-US</dc:language>
  <cp:lastModifiedBy/>
  <dcterms:modified xsi:type="dcterms:W3CDTF">2026-08-17T10:07:59Z</dcterms:modified>
  <cp:revision>1</cp:revision>
  <dc:subject/>
  <dc:title>خراسان ومدرسة المعارف الالهیة حوار مع آیةالله العلامة السیدجعفر سیدان دام ظله</dc:title>
</cp:coreProperties>
</file>

<file path=docProps/custom.xml><?xml version="1.0" encoding="utf-8"?>
<Properties xmlns="http://schemas.openxmlformats.org/officeDocument/2006/custom-properties" xmlns:vt="http://schemas.openxmlformats.org/officeDocument/2006/docPropsVTypes"/>
</file>