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بین العلمین الشیخ الصدوق والشیخ المفید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4037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14039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14041_3804643083">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1214043_3804643083">
            <w:r>
              <w:rPr>
                <w:webHidden/>
                <w:rStyle w:val="IndexLink"/>
                <w:rtl w:val="true"/>
              </w:rPr>
              <w:t>كتابان قيمان</w:t>
            </w:r>
            <w:r>
              <w:rPr>
                <w:rStyle w:val="IndexLink"/>
                <w:rtl w:val="true"/>
              </w:rPr>
              <w:tab/>
            </w:r>
            <w:r>
              <w:rPr>
                <w:rStyle w:val="IndexLink"/>
              </w:rPr>
              <w:t>9</w:t>
            </w:r>
          </w:hyperlink>
        </w:p>
        <w:p>
          <w:pPr>
            <w:pStyle w:val="Contents3"/>
            <w:tabs>
              <w:tab w:val="clear" w:pos="8459"/>
              <w:tab w:val="right" w:pos="9026" w:leader="dot"/>
            </w:tabs>
            <w:rPr/>
          </w:pPr>
          <w:hyperlink w:anchor="__RefHeading___Toc1214045_380464308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214047_3804643083">
            <w:r>
              <w:rPr>
                <w:webHidden/>
                <w:rStyle w:val="IndexLink"/>
                <w:rtl w:val="true"/>
              </w:rPr>
              <w:t>الاعتقاد في التوحيد</w:t>
            </w:r>
            <w:r>
              <w:rPr>
                <w:rStyle w:val="IndexLink"/>
                <w:rtl w:val="true"/>
              </w:rPr>
              <w:tab/>
            </w:r>
            <w:r>
              <w:rPr>
                <w:rStyle w:val="IndexLink"/>
              </w:rPr>
              <w:t>11</w:t>
            </w:r>
          </w:hyperlink>
        </w:p>
        <w:p>
          <w:pPr>
            <w:pStyle w:val="Contents3"/>
            <w:tabs>
              <w:tab w:val="clear" w:pos="8459"/>
              <w:tab w:val="right" w:pos="9026" w:leader="dot"/>
            </w:tabs>
            <w:rPr/>
          </w:pPr>
          <w:hyperlink w:anchor="__RefHeading___Toc1214049_3804643083">
            <w:r>
              <w:rPr>
                <w:webHidden/>
                <w:rStyle w:val="IndexLink"/>
                <w:rtl w:val="true"/>
              </w:rPr>
              <w:t>الاعتقاد في صفات الذات وصفات الأفعال</w:t>
            </w:r>
            <w:r>
              <w:rPr>
                <w:rStyle w:val="IndexLink"/>
                <w:rtl w:val="true"/>
              </w:rPr>
              <w:tab/>
            </w:r>
            <w:r>
              <w:rPr>
                <w:rStyle w:val="IndexLink"/>
              </w:rPr>
              <w:t>18</w:t>
            </w:r>
          </w:hyperlink>
        </w:p>
        <w:p>
          <w:pPr>
            <w:pStyle w:val="Contents3"/>
            <w:tabs>
              <w:tab w:val="clear" w:pos="8459"/>
              <w:tab w:val="right" w:pos="9026" w:leader="dot"/>
            </w:tabs>
            <w:rPr/>
          </w:pPr>
          <w:hyperlink w:anchor="__RefHeading___Toc1214051_3804643083">
            <w:r>
              <w:rPr>
                <w:webHidden/>
                <w:rStyle w:val="IndexLink"/>
                <w:rtl w:val="true"/>
              </w:rPr>
              <w:t>الاعتقاد في التكليف</w:t>
            </w:r>
            <w:r>
              <w:rPr>
                <w:rStyle w:val="IndexLink"/>
                <w:rtl w:val="true"/>
              </w:rPr>
              <w:tab/>
            </w:r>
            <w:r>
              <w:rPr>
                <w:rStyle w:val="IndexLink"/>
              </w:rPr>
              <w:t>21</w:t>
            </w:r>
          </w:hyperlink>
        </w:p>
        <w:p>
          <w:pPr>
            <w:pStyle w:val="Contents3"/>
            <w:tabs>
              <w:tab w:val="clear" w:pos="8459"/>
              <w:tab w:val="right" w:pos="9026" w:leader="dot"/>
            </w:tabs>
            <w:rPr/>
          </w:pPr>
          <w:hyperlink w:anchor="__RefHeading___Toc1214053_3804643083">
            <w:r>
              <w:rPr>
                <w:webHidden/>
                <w:rStyle w:val="IndexLink"/>
                <w:rtl w:val="true"/>
              </w:rPr>
              <w:t>الاعتقاد في أفعال العباد</w:t>
            </w:r>
            <w:r>
              <w:rPr>
                <w:rStyle w:val="IndexLink"/>
                <w:rtl w:val="true"/>
              </w:rPr>
              <w:tab/>
            </w:r>
            <w:r>
              <w:rPr>
                <w:rStyle w:val="IndexLink"/>
              </w:rPr>
              <w:t>21</w:t>
            </w:r>
          </w:hyperlink>
        </w:p>
        <w:p>
          <w:pPr>
            <w:pStyle w:val="Contents3"/>
            <w:tabs>
              <w:tab w:val="clear" w:pos="8459"/>
              <w:tab w:val="right" w:pos="9026" w:leader="dot"/>
            </w:tabs>
            <w:rPr/>
          </w:pPr>
          <w:hyperlink w:anchor="__RefHeading___Toc1214055_3804643083">
            <w:r>
              <w:rPr>
                <w:webHidden/>
                <w:rStyle w:val="IndexLink"/>
                <w:rtl w:val="true"/>
              </w:rPr>
              <w:t>الاعتقاد في نفي الجبر والتفويض</w:t>
            </w:r>
            <w:r>
              <w:rPr>
                <w:rStyle w:val="IndexLink"/>
                <w:rtl w:val="true"/>
              </w:rPr>
              <w:tab/>
            </w:r>
            <w:r>
              <w:rPr>
                <w:rStyle w:val="IndexLink"/>
              </w:rPr>
              <w:t>24</w:t>
            </w:r>
          </w:hyperlink>
        </w:p>
        <w:p>
          <w:pPr>
            <w:pStyle w:val="Contents3"/>
            <w:tabs>
              <w:tab w:val="clear" w:pos="8459"/>
              <w:tab w:val="right" w:pos="9026" w:leader="dot"/>
            </w:tabs>
            <w:rPr/>
          </w:pPr>
          <w:hyperlink w:anchor="__RefHeading___Toc1214057_3804643083">
            <w:r>
              <w:rPr>
                <w:webHidden/>
                <w:rStyle w:val="IndexLink"/>
                <w:rtl w:val="true"/>
              </w:rPr>
              <w:t>الاعتقاد في الإرادة والمشيّة</w:t>
            </w:r>
            <w:r>
              <w:rPr>
                <w:rStyle w:val="IndexLink"/>
                <w:rtl w:val="true"/>
              </w:rPr>
              <w:tab/>
            </w:r>
            <w:r>
              <w:rPr>
                <w:rStyle w:val="IndexLink"/>
              </w:rPr>
              <w:t>28</w:t>
            </w:r>
          </w:hyperlink>
        </w:p>
        <w:p>
          <w:pPr>
            <w:pStyle w:val="Contents3"/>
            <w:tabs>
              <w:tab w:val="clear" w:pos="8459"/>
              <w:tab w:val="right" w:pos="9026" w:leader="dot"/>
            </w:tabs>
            <w:rPr/>
          </w:pPr>
          <w:hyperlink w:anchor="__RefHeading___Toc1214059_3804643083">
            <w:r>
              <w:rPr>
                <w:webHidden/>
                <w:rStyle w:val="IndexLink"/>
                <w:rtl w:val="true"/>
              </w:rPr>
              <w:t>الاعتقاد في القضاء والقدر</w:t>
            </w:r>
            <w:r>
              <w:rPr>
                <w:rStyle w:val="IndexLink"/>
                <w:rtl w:val="true"/>
              </w:rPr>
              <w:tab/>
            </w:r>
            <w:r>
              <w:rPr>
                <w:rStyle w:val="IndexLink"/>
              </w:rPr>
              <w:t>30</w:t>
            </w:r>
          </w:hyperlink>
        </w:p>
        <w:p>
          <w:pPr>
            <w:pStyle w:val="Contents3"/>
            <w:tabs>
              <w:tab w:val="clear" w:pos="8459"/>
              <w:tab w:val="right" w:pos="9026" w:leader="dot"/>
            </w:tabs>
            <w:rPr/>
          </w:pPr>
          <w:hyperlink w:anchor="__RefHeading___Toc1214061_3804643083">
            <w:r>
              <w:rPr>
                <w:webHidden/>
                <w:rStyle w:val="IndexLink"/>
                <w:rtl w:val="true"/>
              </w:rPr>
              <w:t>الاعتقاد بالفطرة</w:t>
            </w:r>
            <w:r>
              <w:rPr>
                <w:rStyle w:val="IndexLink"/>
                <w:rtl w:val="true"/>
              </w:rPr>
              <w:tab/>
            </w:r>
            <w:r>
              <w:rPr>
                <w:rStyle w:val="IndexLink"/>
              </w:rPr>
              <w:t>35</w:t>
            </w:r>
          </w:hyperlink>
        </w:p>
        <w:p>
          <w:pPr>
            <w:pStyle w:val="Contents3"/>
            <w:tabs>
              <w:tab w:val="clear" w:pos="8459"/>
              <w:tab w:val="right" w:pos="9026" w:leader="dot"/>
            </w:tabs>
            <w:rPr/>
          </w:pPr>
          <w:hyperlink w:anchor="__RefHeading___Toc1214063_3804643083">
            <w:r>
              <w:rPr>
                <w:webHidden/>
                <w:rStyle w:val="IndexLink"/>
                <w:rtl w:val="true"/>
              </w:rPr>
              <w:t>الاعتقاد في الاستطاعة</w:t>
            </w:r>
            <w:r>
              <w:rPr>
                <w:rStyle w:val="IndexLink"/>
                <w:rtl w:val="true"/>
              </w:rPr>
              <w:tab/>
            </w:r>
            <w:r>
              <w:rPr>
                <w:rStyle w:val="IndexLink"/>
              </w:rPr>
              <w:t>37</w:t>
            </w:r>
          </w:hyperlink>
        </w:p>
        <w:p>
          <w:pPr>
            <w:pStyle w:val="Contents3"/>
            <w:tabs>
              <w:tab w:val="clear" w:pos="8459"/>
              <w:tab w:val="right" w:pos="9026" w:leader="dot"/>
            </w:tabs>
            <w:rPr/>
          </w:pPr>
          <w:hyperlink w:anchor="__RefHeading___Toc1214065_3804643083">
            <w:r>
              <w:rPr>
                <w:webHidden/>
                <w:rStyle w:val="IndexLink"/>
                <w:rtl w:val="true"/>
              </w:rPr>
              <w:t>الاعتقاد في البداء</w:t>
            </w:r>
            <w:r>
              <w:rPr>
                <w:rStyle w:val="IndexLink"/>
                <w:rtl w:val="true"/>
              </w:rPr>
              <w:tab/>
            </w:r>
            <w:r>
              <w:rPr>
                <w:rStyle w:val="IndexLink"/>
              </w:rPr>
              <w:t>37</w:t>
            </w:r>
          </w:hyperlink>
        </w:p>
        <w:p>
          <w:pPr>
            <w:pStyle w:val="Contents3"/>
            <w:tabs>
              <w:tab w:val="clear" w:pos="8459"/>
              <w:tab w:val="right" w:pos="9026" w:leader="dot"/>
            </w:tabs>
            <w:rPr/>
          </w:pPr>
          <w:hyperlink w:anchor="__RefHeading___Toc1214067_3804643083">
            <w:r>
              <w:rPr>
                <w:webHidden/>
                <w:rStyle w:val="IndexLink"/>
                <w:rtl w:val="true"/>
              </w:rPr>
              <w:t>الاعتقاد في التناهي عن الجدال</w:t>
            </w:r>
            <w:r>
              <w:rPr>
                <w:rStyle w:val="IndexLink"/>
                <w:rtl w:val="true"/>
              </w:rPr>
              <w:tab/>
            </w:r>
            <w:r>
              <w:rPr>
                <w:rStyle w:val="IndexLink"/>
              </w:rPr>
              <w:t>37</w:t>
            </w:r>
          </w:hyperlink>
        </w:p>
        <w:p>
          <w:pPr>
            <w:pStyle w:val="Contents3"/>
            <w:tabs>
              <w:tab w:val="clear" w:pos="8459"/>
              <w:tab w:val="right" w:pos="9026" w:leader="dot"/>
            </w:tabs>
            <w:rPr/>
          </w:pPr>
          <w:hyperlink w:anchor="__RefHeading___Toc1214069_3804643083">
            <w:r>
              <w:rPr>
                <w:webHidden/>
                <w:rStyle w:val="IndexLink"/>
                <w:rtl w:val="true"/>
              </w:rPr>
              <w:t>الاعتقاد في اللوح والقلم</w:t>
            </w:r>
            <w:r>
              <w:rPr>
                <w:rStyle w:val="IndexLink"/>
                <w:rtl w:val="true"/>
              </w:rPr>
              <w:tab/>
            </w:r>
            <w:r>
              <w:rPr>
                <w:rStyle w:val="IndexLink"/>
              </w:rPr>
              <w:t>38</w:t>
            </w:r>
          </w:hyperlink>
        </w:p>
        <w:p>
          <w:pPr>
            <w:pStyle w:val="Contents3"/>
            <w:tabs>
              <w:tab w:val="clear" w:pos="8459"/>
              <w:tab w:val="right" w:pos="9026" w:leader="dot"/>
            </w:tabs>
            <w:rPr/>
          </w:pPr>
          <w:hyperlink w:anchor="__RefHeading___Toc1214071_3804643083">
            <w:r>
              <w:rPr>
                <w:webHidden/>
                <w:rStyle w:val="IndexLink"/>
                <w:rtl w:val="true"/>
              </w:rPr>
              <w:t>الاعتقاد في الكرسي</w:t>
            </w:r>
            <w:r>
              <w:rPr>
                <w:rStyle w:val="IndexLink"/>
                <w:rtl w:val="true"/>
              </w:rPr>
              <w:tab/>
            </w:r>
            <w:r>
              <w:rPr>
                <w:rStyle w:val="IndexLink"/>
              </w:rPr>
              <w:t>40</w:t>
            </w:r>
          </w:hyperlink>
        </w:p>
        <w:p>
          <w:pPr>
            <w:pStyle w:val="Contents3"/>
            <w:tabs>
              <w:tab w:val="clear" w:pos="8459"/>
              <w:tab w:val="right" w:pos="9026" w:leader="dot"/>
            </w:tabs>
            <w:rPr/>
          </w:pPr>
          <w:hyperlink w:anchor="__RefHeading___Toc1214073_3804643083">
            <w:r>
              <w:rPr>
                <w:webHidden/>
                <w:rStyle w:val="IndexLink"/>
                <w:rtl w:val="true"/>
              </w:rPr>
              <w:t>ولم يستدرك على الصدوق في هذا الباب</w:t>
            </w:r>
            <w:r>
              <w:rPr>
                <w:rStyle w:val="IndexLink"/>
                <w:rtl w:val="true"/>
              </w:rPr>
              <w:t>.</w:t>
              <w:tab/>
            </w:r>
            <w:r>
              <w:rPr>
                <w:rStyle w:val="IndexLink"/>
              </w:rPr>
              <w:t>40</w:t>
            </w:r>
          </w:hyperlink>
        </w:p>
        <w:p>
          <w:pPr>
            <w:pStyle w:val="Contents3"/>
            <w:tabs>
              <w:tab w:val="clear" w:pos="8459"/>
              <w:tab w:val="right" w:pos="9026" w:leader="dot"/>
            </w:tabs>
            <w:rPr/>
          </w:pPr>
          <w:hyperlink w:anchor="__RefHeading___Toc1214075_3804643083">
            <w:r>
              <w:rPr>
                <w:webHidden/>
                <w:rStyle w:val="IndexLink"/>
                <w:rtl w:val="true"/>
              </w:rPr>
              <w:t>الاعتقاد في العرش</w:t>
            </w:r>
            <w:r>
              <w:rPr>
                <w:rStyle w:val="IndexLink"/>
                <w:rtl w:val="true"/>
              </w:rPr>
              <w:tab/>
            </w:r>
            <w:r>
              <w:rPr>
                <w:rStyle w:val="IndexLink"/>
              </w:rPr>
              <w:t>40</w:t>
            </w:r>
          </w:hyperlink>
        </w:p>
        <w:p>
          <w:pPr>
            <w:pStyle w:val="Contents3"/>
            <w:tabs>
              <w:tab w:val="clear" w:pos="8459"/>
              <w:tab w:val="right" w:pos="9026" w:leader="dot"/>
            </w:tabs>
            <w:rPr/>
          </w:pPr>
          <w:hyperlink w:anchor="__RefHeading___Toc1214077_3804643083">
            <w:r>
              <w:rPr>
                <w:webHidden/>
                <w:rStyle w:val="IndexLink"/>
                <w:rtl w:val="true"/>
              </w:rPr>
              <w:t>الاعتقاد في النفوس والأرواح</w:t>
            </w:r>
            <w:r>
              <w:rPr>
                <w:rStyle w:val="IndexLink"/>
                <w:rtl w:val="true"/>
              </w:rPr>
              <w:tab/>
            </w:r>
            <w:r>
              <w:rPr>
                <w:rStyle w:val="IndexLink"/>
              </w:rPr>
              <w:t>42</w:t>
            </w:r>
          </w:hyperlink>
        </w:p>
        <w:p>
          <w:pPr>
            <w:pStyle w:val="Contents3"/>
            <w:tabs>
              <w:tab w:val="clear" w:pos="8459"/>
              <w:tab w:val="right" w:pos="9026" w:leader="dot"/>
            </w:tabs>
            <w:rPr/>
          </w:pPr>
          <w:hyperlink w:anchor="__RefHeading___Toc1214079_3804643083">
            <w:r>
              <w:rPr>
                <w:webHidden/>
                <w:rStyle w:val="IndexLink"/>
                <w:rtl w:val="true"/>
              </w:rPr>
              <w:t>الاعتقاد في الموت</w:t>
            </w:r>
            <w:r>
              <w:rPr>
                <w:rStyle w:val="IndexLink"/>
                <w:rtl w:val="true"/>
              </w:rPr>
              <w:tab/>
            </w:r>
            <w:r>
              <w:rPr>
                <w:rStyle w:val="IndexLink"/>
              </w:rPr>
              <w:t>47</w:t>
            </w:r>
          </w:hyperlink>
        </w:p>
        <w:p>
          <w:pPr>
            <w:pStyle w:val="Contents3"/>
            <w:tabs>
              <w:tab w:val="clear" w:pos="8459"/>
              <w:tab w:val="right" w:pos="9026" w:leader="dot"/>
            </w:tabs>
            <w:rPr/>
          </w:pPr>
          <w:hyperlink w:anchor="__RefHeading___Toc1214081_3804643083">
            <w:r>
              <w:rPr>
                <w:webHidden/>
                <w:rStyle w:val="IndexLink"/>
                <w:rtl w:val="true"/>
              </w:rPr>
              <w:t>المسألة في القبر</w:t>
            </w:r>
            <w:r>
              <w:rPr>
                <w:rStyle w:val="IndexLink"/>
                <w:rtl w:val="true"/>
              </w:rPr>
              <w:tab/>
            </w:r>
            <w:r>
              <w:rPr>
                <w:rStyle w:val="IndexLink"/>
              </w:rPr>
              <w:t>51</w:t>
            </w:r>
          </w:hyperlink>
        </w:p>
        <w:p>
          <w:pPr>
            <w:pStyle w:val="Contents3"/>
            <w:tabs>
              <w:tab w:val="clear" w:pos="8459"/>
              <w:tab w:val="right" w:pos="9026" w:leader="dot"/>
            </w:tabs>
            <w:rPr/>
          </w:pPr>
          <w:hyperlink w:anchor="__RefHeading___Toc1214083_3804643083">
            <w:r>
              <w:rPr>
                <w:webHidden/>
                <w:rStyle w:val="IndexLink"/>
                <w:rtl w:val="true"/>
              </w:rPr>
              <w:t>الاعتقاد في الأعراف</w:t>
            </w:r>
            <w:r>
              <w:rPr>
                <w:rStyle w:val="IndexLink"/>
                <w:rtl w:val="true"/>
              </w:rPr>
              <w:tab/>
            </w:r>
            <w:r>
              <w:rPr>
                <w:rStyle w:val="IndexLink"/>
              </w:rPr>
              <w:t>51</w:t>
            </w:r>
          </w:hyperlink>
        </w:p>
        <w:p>
          <w:pPr>
            <w:pStyle w:val="Contents3"/>
            <w:tabs>
              <w:tab w:val="clear" w:pos="8459"/>
              <w:tab w:val="right" w:pos="9026" w:leader="dot"/>
            </w:tabs>
            <w:rPr/>
          </w:pPr>
          <w:hyperlink w:anchor="__RefHeading___Toc1214085_3804643083">
            <w:r>
              <w:rPr>
                <w:webHidden/>
                <w:rStyle w:val="IndexLink"/>
                <w:rtl w:val="true"/>
              </w:rPr>
              <w:t>الاعتقاد في العقبات</w:t>
            </w:r>
            <w:r>
              <w:rPr>
                <w:rStyle w:val="IndexLink"/>
                <w:rtl w:val="true"/>
              </w:rPr>
              <w:tab/>
            </w:r>
            <w:r>
              <w:rPr>
                <w:rStyle w:val="IndexLink"/>
              </w:rPr>
              <w:t>52</w:t>
            </w:r>
          </w:hyperlink>
        </w:p>
        <w:p>
          <w:pPr>
            <w:pStyle w:val="Contents2"/>
            <w:tabs>
              <w:tab w:val="clear" w:pos="8743"/>
              <w:tab w:val="right" w:pos="9026" w:leader="dot"/>
            </w:tabs>
            <w:rPr/>
          </w:pPr>
          <w:hyperlink w:anchor="__RefHeading___Toc1214087_3804643083">
            <w:r>
              <w:rPr>
                <w:webHidden/>
                <w:rStyle w:val="IndexLink"/>
                <w:rtl w:val="true"/>
              </w:rPr>
              <w:t>في باب الحساب والميزان</w:t>
            </w:r>
            <w:r>
              <w:rPr>
                <w:rStyle w:val="IndexLink"/>
                <w:rtl w:val="true"/>
              </w:rPr>
              <w:tab/>
            </w:r>
            <w:r>
              <w:rPr>
                <w:rStyle w:val="IndexLink"/>
              </w:rPr>
              <w:t>53</w:t>
            </w:r>
          </w:hyperlink>
        </w:p>
        <w:p>
          <w:pPr>
            <w:pStyle w:val="Contents3"/>
            <w:tabs>
              <w:tab w:val="clear" w:pos="8459"/>
              <w:tab w:val="right" w:pos="9026" w:leader="dot"/>
            </w:tabs>
            <w:rPr/>
          </w:pPr>
          <w:hyperlink w:anchor="__RefHeading___Toc1214089_380464308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214091_3804643083">
            <w:r>
              <w:rPr>
                <w:webHidden/>
                <w:rStyle w:val="IndexLink"/>
                <w:rtl w:val="true"/>
              </w:rPr>
              <w:t>الاعتقاد في الجنة والنار</w:t>
            </w:r>
            <w:r>
              <w:rPr>
                <w:rStyle w:val="IndexLink"/>
                <w:rtl w:val="true"/>
              </w:rPr>
              <w:tab/>
            </w:r>
            <w:r>
              <w:rPr>
                <w:rStyle w:val="IndexLink"/>
              </w:rPr>
              <w:t>55</w:t>
            </w:r>
          </w:hyperlink>
        </w:p>
        <w:p>
          <w:pPr>
            <w:pStyle w:val="Contents3"/>
            <w:tabs>
              <w:tab w:val="clear" w:pos="8459"/>
              <w:tab w:val="right" w:pos="9026" w:leader="dot"/>
            </w:tabs>
            <w:rPr/>
          </w:pPr>
          <w:hyperlink w:anchor="__RefHeading___Toc1214093_3804643083">
            <w:r>
              <w:rPr>
                <w:webHidden/>
                <w:rStyle w:val="IndexLink"/>
                <w:rtl w:val="true"/>
              </w:rPr>
              <w:t>الاعتقاد في كيفية نزول الوحي</w:t>
            </w:r>
            <w:r>
              <w:rPr>
                <w:rStyle w:val="IndexLink"/>
                <w:rtl w:val="true"/>
              </w:rPr>
              <w:tab/>
            </w:r>
            <w:r>
              <w:rPr>
                <w:rStyle w:val="IndexLink"/>
              </w:rPr>
              <w:t>57</w:t>
            </w:r>
          </w:hyperlink>
        </w:p>
        <w:p>
          <w:pPr>
            <w:pStyle w:val="Contents3"/>
            <w:tabs>
              <w:tab w:val="clear" w:pos="8459"/>
              <w:tab w:val="right" w:pos="9026" w:leader="dot"/>
            </w:tabs>
            <w:rPr/>
          </w:pPr>
          <w:hyperlink w:anchor="__RefHeading___Toc1214095_3804643083">
            <w:r>
              <w:rPr>
                <w:webHidden/>
                <w:rStyle w:val="IndexLink"/>
                <w:rtl w:val="true"/>
              </w:rPr>
              <w:t>الإعتقاد في نزول القرآن</w:t>
            </w:r>
            <w:r>
              <w:rPr>
                <w:rStyle w:val="IndexLink"/>
                <w:rtl w:val="true"/>
              </w:rPr>
              <w:tab/>
            </w:r>
            <w:r>
              <w:rPr>
                <w:rStyle w:val="IndexLink"/>
              </w:rPr>
              <w:t>57</w:t>
            </w:r>
          </w:hyperlink>
        </w:p>
        <w:p>
          <w:pPr>
            <w:pStyle w:val="Contents3"/>
            <w:tabs>
              <w:tab w:val="clear" w:pos="8459"/>
              <w:tab w:val="right" w:pos="9026" w:leader="dot"/>
            </w:tabs>
            <w:rPr/>
          </w:pPr>
          <w:hyperlink w:anchor="__RefHeading___Toc1214097_3804643083">
            <w:r>
              <w:rPr>
                <w:webHidden/>
                <w:rStyle w:val="IndexLink"/>
                <w:rtl w:val="true"/>
              </w:rPr>
              <w:t>الاعتقاد في مَبْلَغ القرآن</w:t>
            </w:r>
            <w:r>
              <w:rPr>
                <w:rStyle w:val="IndexLink"/>
                <w:rtl w:val="true"/>
              </w:rPr>
              <w:tab/>
            </w:r>
            <w:r>
              <w:rPr>
                <w:rStyle w:val="IndexLink"/>
              </w:rPr>
              <w:t>58</w:t>
            </w:r>
          </w:hyperlink>
        </w:p>
        <w:p>
          <w:pPr>
            <w:pStyle w:val="Contents3"/>
            <w:tabs>
              <w:tab w:val="clear" w:pos="8459"/>
              <w:tab w:val="right" w:pos="9026" w:leader="dot"/>
            </w:tabs>
            <w:rPr/>
          </w:pPr>
          <w:hyperlink w:anchor="__RefHeading___Toc1214099_3804643083">
            <w:r>
              <w:rPr>
                <w:webHidden/>
                <w:rStyle w:val="IndexLink"/>
                <w:rtl w:val="true"/>
              </w:rPr>
              <w:t>الإعتقاد في الأنبياء والرسل والحجج والملائكة</w:t>
            </w:r>
            <w:r>
              <w:rPr>
                <w:rStyle w:val="IndexLink"/>
                <w:rtl w:val="true"/>
              </w:rPr>
              <w:tab/>
            </w:r>
            <w:r>
              <w:rPr>
                <w:rStyle w:val="IndexLink"/>
              </w:rPr>
              <w:t>58</w:t>
            </w:r>
          </w:hyperlink>
        </w:p>
        <w:p>
          <w:pPr>
            <w:pStyle w:val="Contents3"/>
            <w:tabs>
              <w:tab w:val="clear" w:pos="8459"/>
              <w:tab w:val="right" w:pos="9026" w:leader="dot"/>
            </w:tabs>
            <w:rPr/>
          </w:pPr>
          <w:hyperlink w:anchor="__RefHeading___Toc1214101_3804643083">
            <w:r>
              <w:rPr>
                <w:webHidden/>
                <w:rStyle w:val="IndexLink"/>
                <w:rtl w:val="true"/>
              </w:rPr>
              <w:t>الإعتقاد في العصمة</w:t>
            </w:r>
            <w:r>
              <w:rPr>
                <w:rStyle w:val="IndexLink"/>
                <w:rtl w:val="true"/>
              </w:rPr>
              <w:tab/>
            </w:r>
            <w:r>
              <w:rPr>
                <w:rStyle w:val="IndexLink"/>
              </w:rPr>
              <w:t>58</w:t>
            </w:r>
          </w:hyperlink>
        </w:p>
        <w:p>
          <w:pPr>
            <w:pStyle w:val="Contents3"/>
            <w:tabs>
              <w:tab w:val="clear" w:pos="8459"/>
              <w:tab w:val="right" w:pos="9026" w:leader="dot"/>
            </w:tabs>
            <w:rPr/>
          </w:pPr>
          <w:hyperlink w:anchor="__RefHeading___Toc1214103_3804643083">
            <w:r>
              <w:rPr>
                <w:webHidden/>
                <w:rStyle w:val="IndexLink"/>
                <w:rtl w:val="true"/>
              </w:rPr>
              <w:t>الاعتقاد في نفي الغلو والتفويض</w:t>
            </w:r>
            <w:r>
              <w:rPr>
                <w:rStyle w:val="IndexLink"/>
                <w:rtl w:val="true"/>
              </w:rPr>
              <w:tab/>
            </w:r>
            <w:r>
              <w:rPr>
                <w:rStyle w:val="IndexLink"/>
              </w:rPr>
              <w:t>61</w:t>
            </w:r>
          </w:hyperlink>
        </w:p>
        <w:p>
          <w:pPr>
            <w:pStyle w:val="Contents3"/>
            <w:tabs>
              <w:tab w:val="clear" w:pos="8459"/>
              <w:tab w:val="right" w:pos="9026" w:leader="dot"/>
            </w:tabs>
            <w:rPr/>
          </w:pPr>
          <w:hyperlink w:anchor="__RefHeading___Toc1214105_3804643083">
            <w:r>
              <w:rPr>
                <w:webHidden/>
                <w:rStyle w:val="IndexLink"/>
                <w:rtl w:val="true"/>
              </w:rPr>
              <w:t>الإعتقاد في الظالمين</w:t>
            </w:r>
            <w:r>
              <w:rPr>
                <w:rStyle w:val="IndexLink"/>
                <w:rtl w:val="true"/>
              </w:rPr>
              <w:tab/>
            </w:r>
            <w:r>
              <w:rPr>
                <w:rStyle w:val="IndexLink"/>
              </w:rPr>
              <w:t>62</w:t>
            </w:r>
          </w:hyperlink>
        </w:p>
        <w:p>
          <w:pPr>
            <w:pStyle w:val="Contents3"/>
            <w:tabs>
              <w:tab w:val="clear" w:pos="8459"/>
              <w:tab w:val="right" w:pos="9026" w:leader="dot"/>
            </w:tabs>
            <w:rPr/>
          </w:pPr>
          <w:hyperlink w:anchor="__RefHeading___Toc1214107_3804643083">
            <w:r>
              <w:rPr>
                <w:webHidden/>
                <w:rStyle w:val="IndexLink"/>
                <w:rtl w:val="true"/>
              </w:rPr>
              <w:t>الإعتقاد في التقية</w:t>
            </w:r>
            <w:r>
              <w:rPr>
                <w:rStyle w:val="IndexLink"/>
                <w:rtl w:val="true"/>
              </w:rPr>
              <w:tab/>
            </w:r>
            <w:r>
              <w:rPr>
                <w:rStyle w:val="IndexLink"/>
              </w:rPr>
              <w:t>62</w:t>
            </w:r>
          </w:hyperlink>
        </w:p>
        <w:p>
          <w:pPr>
            <w:pStyle w:val="Contents3"/>
            <w:tabs>
              <w:tab w:val="clear" w:pos="8459"/>
              <w:tab w:val="right" w:pos="9026" w:leader="dot"/>
            </w:tabs>
            <w:rPr/>
          </w:pPr>
          <w:hyperlink w:anchor="__RefHeading___Toc1214109_3804643083">
            <w:r>
              <w:rPr>
                <w:webHidden/>
                <w:rStyle w:val="IndexLink"/>
                <w:rtl w:val="true"/>
              </w:rPr>
              <w:t>الإعتقاد في آباء النبي صلى الله عليه و آله</w:t>
            </w:r>
            <w:r>
              <w:rPr>
                <w:rStyle w:val="IndexLink"/>
                <w:rtl w:val="true"/>
              </w:rPr>
              <w:tab/>
            </w:r>
            <w:r>
              <w:rPr>
                <w:rStyle w:val="IndexLink"/>
              </w:rPr>
              <w:t>63</w:t>
            </w:r>
          </w:hyperlink>
        </w:p>
        <w:p>
          <w:pPr>
            <w:pStyle w:val="Contents3"/>
            <w:tabs>
              <w:tab w:val="clear" w:pos="8459"/>
              <w:tab w:val="right" w:pos="9026" w:leader="dot"/>
            </w:tabs>
            <w:rPr/>
          </w:pPr>
          <w:hyperlink w:anchor="__RefHeading___Toc1214111_3804643083">
            <w:r>
              <w:rPr>
                <w:webHidden/>
                <w:rStyle w:val="IndexLink"/>
                <w:rtl w:val="true"/>
              </w:rPr>
              <w:t>الإعتقاد في العلوية</w:t>
            </w:r>
            <w:r>
              <w:rPr>
                <w:rStyle w:val="IndexLink"/>
                <w:rtl w:val="true"/>
              </w:rPr>
              <w:tab/>
            </w:r>
            <w:r>
              <w:rPr>
                <w:rStyle w:val="IndexLink"/>
              </w:rPr>
              <w:t>63</w:t>
            </w:r>
          </w:hyperlink>
        </w:p>
        <w:p>
          <w:pPr>
            <w:pStyle w:val="Contents3"/>
            <w:tabs>
              <w:tab w:val="clear" w:pos="8459"/>
              <w:tab w:val="right" w:pos="9026" w:leader="dot"/>
            </w:tabs>
            <w:rPr/>
          </w:pPr>
          <w:hyperlink w:anchor="__RefHeading___Toc1214113_3804643083">
            <w:r>
              <w:rPr>
                <w:webHidden/>
                <w:rStyle w:val="IndexLink"/>
                <w:rtl w:val="true"/>
              </w:rPr>
              <w:t>الإعتقاد في الأخبار المفسّرة والمجملة</w:t>
            </w:r>
            <w:r>
              <w:rPr>
                <w:rStyle w:val="IndexLink"/>
                <w:rtl w:val="true"/>
              </w:rPr>
              <w:tab/>
            </w:r>
            <w:r>
              <w:rPr>
                <w:rStyle w:val="IndexLink"/>
              </w:rPr>
              <w:t>65</w:t>
            </w:r>
          </w:hyperlink>
        </w:p>
        <w:p>
          <w:pPr>
            <w:pStyle w:val="Contents3"/>
            <w:tabs>
              <w:tab w:val="clear" w:pos="8459"/>
              <w:tab w:val="right" w:pos="9026" w:leader="dot"/>
            </w:tabs>
            <w:rPr/>
          </w:pPr>
          <w:hyperlink w:anchor="__RefHeading___Toc1214115_3804643083">
            <w:r>
              <w:rPr>
                <w:webHidden/>
                <w:rStyle w:val="IndexLink"/>
                <w:rtl w:val="true"/>
              </w:rPr>
              <w:t>الإعتقاد في الحظر والإباحة</w:t>
            </w:r>
            <w:r>
              <w:rPr>
                <w:rStyle w:val="IndexLink"/>
                <w:rtl w:val="true"/>
              </w:rPr>
              <w:tab/>
            </w:r>
            <w:r>
              <w:rPr>
                <w:rStyle w:val="IndexLink"/>
              </w:rPr>
              <w:t>65</w:t>
            </w:r>
          </w:hyperlink>
        </w:p>
        <w:p>
          <w:pPr>
            <w:pStyle w:val="Contents3"/>
            <w:tabs>
              <w:tab w:val="clear" w:pos="8459"/>
              <w:tab w:val="right" w:pos="9026" w:leader="dot"/>
            </w:tabs>
            <w:rPr/>
          </w:pPr>
          <w:hyperlink w:anchor="__RefHeading___Toc1214117_3804643083">
            <w:r>
              <w:rPr>
                <w:webHidden/>
                <w:rStyle w:val="IndexLink"/>
                <w:rtl w:val="true"/>
              </w:rPr>
              <w:t>الإعتقاد في الأخبار الواردة في الطب</w:t>
            </w:r>
            <w:r>
              <w:rPr>
                <w:rStyle w:val="IndexLink"/>
                <w:rtl w:val="true"/>
              </w:rPr>
              <w:tab/>
            </w:r>
            <w:r>
              <w:rPr>
                <w:rStyle w:val="IndexLink"/>
              </w:rPr>
              <w:t>66</w:t>
            </w:r>
          </w:hyperlink>
        </w:p>
        <w:p>
          <w:pPr>
            <w:pStyle w:val="Contents3"/>
            <w:tabs>
              <w:tab w:val="clear" w:pos="8459"/>
              <w:tab w:val="right" w:pos="9026" w:leader="dot"/>
            </w:tabs>
            <w:rPr/>
          </w:pPr>
          <w:hyperlink w:anchor="__RefHeading___Toc1214119_3804643083">
            <w:r>
              <w:rPr>
                <w:webHidden/>
                <w:rStyle w:val="IndexLink"/>
                <w:rtl w:val="true"/>
              </w:rPr>
              <w:t>الإعتقاد في الحديثين المختلفين</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22_23192"/>
      <w:bookmarkStart w:id="1" w:name="pg2222_23192"/>
      <w:bookmarkEnd w:id="1"/>
    </w:p>
    <w:p>
      <w:pPr>
        <w:pStyle w:val="Heading2"/>
        <w:numPr>
          <w:ilvl w:val="1"/>
          <w:numId w:val="1"/>
        </w:numPr>
        <w:rPr/>
      </w:pPr>
      <w:bookmarkStart w:id="2" w:name="pg2222_23192"/>
      <w:bookmarkStart w:id="3" w:name="__RefHeading___Toc1214037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صافي گلپايگاني،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العلمين الشيخ الصدوق والشيخ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لطف‌الله الصافي؛ ترجمه محمدرضا آل‌صادق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جهاني هزاره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والرسالات؛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نويسي توصيفي</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والرسالات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كنگره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والرسالات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كنگره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آل‌صادق، محمدرضا،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كنگره جهاني هزاره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۱۲۹۵۲۷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4039_3804643083"/>
      <w:bookmarkStart w:id="6" w:name="_Toc2"/>
      <w:bookmarkEnd w:id="5"/>
      <w:r>
        <w:rPr>
          <w:rtl w:val="true"/>
        </w:rPr>
        <w:t>اشارة</w:t>
      </w:r>
      <w:bookmarkStart w:id="7" w:name="pg2222_23194"/>
      <w:bookmarkEnd w:id="6"/>
    </w:p>
    <w:p>
      <w:pPr>
        <w:pStyle w:val="Heading2"/>
        <w:numPr>
          <w:ilvl w:val="1"/>
          <w:numId w:val="1"/>
        </w:numPr>
        <w:rPr/>
      </w:pPr>
      <w:bookmarkStart w:id="8" w:name="__RefHeading___Toc1214041_380464308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أبي القاسم محمد وآله الطاهرين</w:t>
      </w:r>
    </w:p>
    <w:p>
      <w:pPr>
        <w:pStyle w:val="BookText"/>
        <w:rPr/>
      </w:pPr>
      <w:r>
        <w:rPr>
          <w:rFonts w:ascii="Amiri" w:hAnsi="Amiri" w:eastAsia="Amiri" w:cs="Amiri"/>
          <w:color w:val="111111"/>
          <w:sz w:val="28"/>
          <w:sz w:val="28"/>
          <w:szCs w:val="28"/>
          <w:rtl w:val="true"/>
          <w:lang w:bidi="ar-SA"/>
        </w:rPr>
        <w:t>لاريب في أن للاعتقاد الصحيح أو الفاسد تأثيراً كبيراً في تقدّم الإنسان ورقيه وكماله وسعادته، وبناء شخصيته في الدنيا والآخرة، أو انحطاطه وتأخره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فالعقيدة هي التي تدفع الإنسان إلى العمل والنشاط والتضحية والإيثار، والعقيدة هي التي تسوق إلى النهضة والثورة والمقاومة والثبات في الجهاد والحرب، وهي من وراء السلام والإعمار أو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مظاهر التمدن والحضارة التي تبدو في صور مختلفة كلها ناشئة عن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فالمسجد تبنيه العقيدة، ومعبد الأصنام ترعاه العقيدة أيضاً، ومراحل النموّ السياسي والفكري والاجتماعي والاقتصادي في كل أُمةٍ أو قوم إنما ترتبط بعقيدتهم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والمحور في تبليغ الأنبياء والرسل هدايتهم العقيدة، العقيدة بالتوحيد وسائر الاعتقادات النزيهة عن الخرافات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أوضح نبينا الأكرم محمد صلى الله عليه و آله للبشرية بكلمة طيبةٍ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لاإله إلا اللّه عقيدة التوحيد، ونفي الشرك وجعلها أساس دعوته وتبليغه، وإن قسماً مهمّاً من آيات القرآن المجيد يدعو إلى الاعتقاد الصحيح والعقائد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والمسائل الأخلاقية والعبادية والعملية تعدّ في المرحلة الثانية والثالثة من مراحل هداية الأنبياء وتعاليمهم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مرحلة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والفقه الأكبر الذي هو حسن المعرفة باللّه تعالى، الشامل لجميع المسائل الاعتقادية كالتوحيد والنبوة والإمامة والمعاد، إنما هو الإيمان والاعتقاد بهذه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المواجهات التي كان يقوم بها المشركون بوجه خاتم الأنبياء صلى الله عليه و آله إنما كانت مواجهات لما كان يبديه من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فإنه ما لم تصح عقيدة الإنسان والمجتمع وتخلص من الخرافات و تتنزه عن الأوهام، فلاسبيل للمجتمع إلى الرقي الحقيقي والرشد والتقدم، بل حتى لو قدر له أن يتقدم في المظاهر المادية أو الظواهر الاقتصادية فإن ذلك سيحدث له صعوبات ومشاكل، وسيبتلي بالظلم والاستكبار والاستعلاء، ولذا فإن انحراف العقيدة وتلوّن الاعتقاد أشد خطراً من أي سقم ومرض</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حفظ العقيدة جاء الاسلام بتعاليم مهمة لصيانة المجتمع عن الانحراف العقائدي والفساد الفكري، لئلا يختطف سرّاق العقيدة هذه الثروة الإنسانية النفيسة التي لانظير لها، فكان من هذه التعاليم والفرائض</w:t>
      </w:r>
    </w:p>
    <w:p>
      <w:pPr>
        <w:pStyle w:val="BookText"/>
        <w:rPr/>
      </w:pPr>
      <w:r>
        <w:rPr>
          <w:rFonts w:ascii="Amiri" w:hAnsi="Amiri" w:eastAsia="Amiri" w:cs="Amiri"/>
          <w:color w:val="111111"/>
          <w:sz w:val="28"/>
          <w:sz w:val="28"/>
          <w:szCs w:val="28"/>
          <w:rtl w:val="true"/>
          <w:lang w:bidi="ar-SA"/>
        </w:rPr>
        <w:t>المهمة وجوب كشف البدع والبراءة من أهل البدع، والرد على شبهاتهم، وتحريم نشر عقائدهم الفاسدة، ومنع نشر كتب الضلال، ووجوب إبطال الباطل وإظهار الحق، وأمثال هذه التكاليف من أجل صيانة العقائد عن الانحراف، وحماية ثغور المسلمين الفكرية والعقائدية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هذا 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الى ناطق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 على مجالسة العلماء والاجتناب عن مجالسة أهل البدع إنما كان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يأمر به القرآن الكريم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آيات الله يكفر بها ويستهزأ بها فلا تقعدوا معهم حتى يخوضوا فى حديث غيره إنكم إذاً مثلهم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كل ذلك للحفاظ على العقائد والأخلاق وصونها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مسلم أن يفكر في عقائده ليطمئن إلى مطابقتها لتعاليم القرآن المجيد وإرشاداته، وتعاليم النبي الأكرم صلى الله عليه و آله وسيرته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وليخلص نفسه من خطر الضلال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والمرجع الأول أو الأساس لبلوغ الإنسان هذا الهدف هو القرآن المجيد، والأحاديث المتواترة المقطوعة الصدور التي رواها رواة أحاديث علوم أهل البيت عليهم‌السّلام وحملة 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عليه أن يعرض دينه في الدرجة الثانية على العلماء المتعمّقون في القرآن والحديث، وليس الغرض من الرجوع إليهم في‌العقائد تقليدهم فيها، بل من أجل أن يتعلم منهم ويصل إلى اليقين والاعتقاد بالاستدلال المناسب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السبل لتصحيح مباني الاعتقاد الإسلامي مطالعة الكتب التي ألّفها أساطين العلماء أمثال الصدوق، والشيخ المفيد، والشيخ المجلسي </w:t>
      </w:r>
      <w:r>
        <w:rPr>
          <w:rStyle w:val="FootnoteAnchor"/>
          <w:rtl w:val="true"/>
        </w:rPr>
        <w:footnoteReference w:id="4"/>
      </w:r>
      <w:r>
        <w:rPr>
          <w:rFonts w:ascii="Amiri" w:hAnsi="Amiri" w:eastAsia="Amiri" w:cs="Amiri"/>
          <w:color w:val="111111"/>
          <w:sz w:val="28"/>
          <w:sz w:val="28"/>
          <w:szCs w:val="28"/>
          <w:rtl w:val="true"/>
          <w:lang w:bidi="ar-SA"/>
        </w:rPr>
        <w:t>والشيخ البهائي، والشهيدان ونصير الدين الطوسي وغيرهم من الأعاظم ممن كتب في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أن كتب الاعتقادات والعقائد في أصول الدين وسائر عناوينه كثيرة جداً، يضاف إليها ما كتب بكثرة في بعض المسائل الاعتقادية بوجه خاص، كالتوحيد والنبوة والإمامة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والهدف من تأليف هذه الكتب هو أن لايضيف ذوو الأهواء والأغراض والمبدعون شيئاً على العقائد والمعارف الإسلامية، بل تبقى مسائلها الاعتقادية مصونةً عن النقيصة والزيادة أوّلا، ثم للرد على أُولئك الذين ينسبون العقائد الفاسدة حصومةً للمسلمين وخاصة شيعة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الثالثة هي أن ينظر المسلمون فيها ليصححوا اعتقاداتهم</w:t>
      </w:r>
      <w:bookmarkStart w:id="10" w:name="pg2222_23198"/>
    </w:p>
    <w:p>
      <w:pPr>
        <w:pStyle w:val="BookText"/>
        <w:rPr/>
      </w:pPr>
      <w:bookmarkEnd w:id="10"/>
      <w:r>
        <w:rPr>
          <w:rFonts w:ascii="Amiri" w:hAnsi="Amiri" w:eastAsia="Amiri" w:cs="Amiri"/>
          <w:color w:val="111111"/>
          <w:sz w:val="28"/>
          <w:sz w:val="28"/>
          <w:szCs w:val="28"/>
          <w:rtl w:val="true"/>
          <w:lang w:bidi="ar-SA"/>
        </w:rPr>
        <w:t>ويعرفوا آراء علماء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لاينبغي أن يجهل أن بعض هذه الكتب اذا اشتملت على مسائل لايجب الاعتقاد بها في حد نفسها، فالهدف منها أن تشمل الثقافة الإسلامية جميع المسائل التي تتعلق بالمعارف الإسلامية من تفسير، وقصص أنبياء، وما يجري في القيامة وعالم البرزخ، والملائكة والجنة والنار، والأمور الأخرى المستفادة من الكتاب العزيز والأحاديث الشريفة، ولئلا يؤول أحد القرآن أو الحديث حسب ظنه وسليقته على خلاف ظواهره، وعلى خلاف الأصول المقبولة في التفسير فيعد ذلك عرفاناً أو فلسفة من‌نفسه، ثم ينسبه إلى الإسلام وأولياء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كانت مطالعة كتب العقائد مفيدة جداً، نافعة في الوعي والمعرفة</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214043_3804643083"/>
      <w:bookmarkStart w:id="12" w:name="_Toc4"/>
      <w:bookmarkEnd w:id="11"/>
      <w:r>
        <w:rPr>
          <w:rtl w:val="true"/>
        </w:rPr>
        <w:t>كتابان قيمان</w:t>
      </w:r>
      <w:bookmarkEnd w:id="12"/>
    </w:p>
    <w:p>
      <w:pPr>
        <w:pStyle w:val="Heading3"/>
        <w:numPr>
          <w:ilvl w:val="2"/>
          <w:numId w:val="1"/>
        </w:numPr>
        <w:rPr/>
      </w:pPr>
      <w:bookmarkStart w:id="13" w:name="__RefHeading___Toc1214045_380464308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من جملة الكتب القيمة النفيسة التي ألفت في هذا الحقل كتاب الاعتقادات للشيخ الجليل الحافظ لأسرار علوم آل البيت عليهم‌السّلام الشيخ الصدوق وكتاب تصحيح الاعتقاد للشيخ الأعظم فخر الشيعة، وقامع البدع، ورافع رايات الحق الشيخ المفيد رضوان اللّه تعالى عليهما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فهذان الكتابان قيمان نافعان متضمنان فوائد جمة، وإن مطالعتهما جميعاً تفتح للقراء آفاقاً بعيدة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الاعتقادات مسائل يجب على الكل الاعتقاد بها، كما ذكرت إلى جانبها مسائل لايجب الاعتقاد بها،</w:t>
      </w:r>
    </w:p>
    <w:p>
      <w:pPr>
        <w:pStyle w:val="BookText"/>
        <w:rPr/>
      </w:pPr>
      <w:r>
        <w:rPr>
          <w:rFonts w:ascii="Amiri" w:hAnsi="Amiri" w:eastAsia="Amiri" w:cs="Amiri"/>
          <w:color w:val="111111"/>
          <w:sz w:val="28"/>
          <w:sz w:val="28"/>
          <w:szCs w:val="28"/>
          <w:rtl w:val="true"/>
          <w:lang w:bidi="ar-SA"/>
        </w:rPr>
        <w:t xml:space="preserve">وفي بعض الموارد أُثيرت بحوث فقهية وفرعية وعملية، وهي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بين هذه المسائل لامن قبل الشيخ أبي جعفر الصدوق نفسه، ولا من قبل أبي عبداللّه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مسلم في المسائل التي لايجب الاعتقاد بها أنه ينبغي أن يكون الاعتقاد بها غير مخالف‌للمسائل والاعتقادات الواجبة الأصلية، ولامخالفاً لضروريات الدين، لكن لايلزم أن‌يكون الإنسان معتقداً بهاأو بكيفيات بعضها، وإن كان يجب الاعتقاد بأصلها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في باب الاعتقاد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بأن اللّه تعالى يكلف بما لايطاق لكان ذلك منافيا للعقيدة بعدل الباري، و تنزّهه عن الصفات والأفعال القبيحة، إلا أنه لايلزم مع الاعتقاد بتنزه اللّه تعالى عن فعل القبيح، الالتفات إلى تفاصيله مثل أنه تعالى لايكلف بما لايطاق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الإعتقاد بالجبر المستلزم إثبات صدور الظلم والقبيح عن اللّه مناف للاعتقاد بالعدل، والاعتقاد بالتفويض في بعض معانيه مناف للتوحيد، إلا أن عدم الالتفات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مفهومه العقيدة بأحد الأمرين لايوجب الخروج عن الإيمان، فليست معرفة الأمر بين الأمرين شرطاً في الإيمان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مسألة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بالوحي وارتباط النبي بعالم الغيب، ورسالته من قبل‌الله ونبوته، لكن لايجب الاعتقاد بكيفية ذلك وإن‌افترضناإمكان معرفته واستيعابه</w:t>
      </w:r>
      <w:r>
        <w:rPr>
          <w:rFonts w:eastAsia="Amiri" w:cs="Amiri" w:ascii="Amiri" w:hAnsi="Amiri"/>
          <w:color w:val="111111"/>
          <w:sz w:val="28"/>
          <w:szCs w:val="28"/>
          <w:rtl w:val="true"/>
          <w:lang w:bidi="ar-SA"/>
        </w:rPr>
        <w:t>.</w:t>
      </w:r>
      <w:bookmarkStart w:id="15" w:name="pg2222_23200"/>
    </w:p>
    <w:p>
      <w:pPr>
        <w:pStyle w:val="BookText"/>
        <w:rPr/>
      </w:pPr>
      <w:bookmarkEnd w:id="15"/>
      <w:r>
        <w:rPr>
          <w:rFonts w:ascii="Amiri" w:hAnsi="Amiri" w:eastAsia="Amiri" w:cs="Amiri"/>
          <w:color w:val="111111"/>
          <w:sz w:val="28"/>
          <w:sz w:val="28"/>
          <w:szCs w:val="28"/>
          <w:rtl w:val="true"/>
          <w:lang w:bidi="ar-SA"/>
        </w:rPr>
        <w:t>إلى غير ذلك من الأمثلة الكثيرة في الاعتقادات مما لسنا في صدد استقصائه، ولعلنا سنشير إلى بعضها خلال بحثنا في أبواب هذين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نَود بمراجعتنا لهذين الكتابين أن نجلس بين يدى نابغتين في الحديث والكلام وعَمَدَين في معارف الدين، ونَنهل من مَعينهما الفياض، ونقتطف من ثمار علومهما اليانعة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214047_3804643083"/>
      <w:bookmarkStart w:id="17" w:name="_Toc6"/>
      <w:bookmarkEnd w:id="16"/>
      <w:r>
        <w:rPr>
          <w:rtl w:val="true"/>
        </w:rPr>
        <w:t>الاعتقاد في التوحيد</w:t>
      </w:r>
      <w:bookmarkEnd w:id="17"/>
    </w:p>
    <w:p>
      <w:pPr>
        <w:pStyle w:val="BookText"/>
        <w:rPr/>
      </w:pPr>
      <w:r>
        <w:rPr>
          <w:rFonts w:ascii="Amiri" w:hAnsi="Amiri" w:eastAsia="Amiri" w:cs="Amiri"/>
          <w:color w:val="111111"/>
          <w:sz w:val="28"/>
          <w:sz w:val="28"/>
          <w:szCs w:val="28"/>
          <w:rtl w:val="true"/>
          <w:lang w:bidi="ar-SA"/>
        </w:rPr>
        <w:t>وأول باب فتحه أبوجعفر عليه الرحمة في هذه الرسالة الموسومة بالاعتقادات باب له تقدم مطلق على جميع الأبواب، وهو باب‌التوحيد الذي 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اعتقاد الإمامية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اعتقادنا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واحد أحد ليس كمثله شي‌ء، قديم لم يزل ولايزال سميعاًبصيراً، عليماً حكيماً، حيّاً قيوماً، عزيزاً قدوساً، عالماً قادراً غنياً، لايوصف بجوهر ولاجسم ولاصورة ولاعرض ولاخط ولاسطح، ولاثقل ولاخفة، ولاسكون ولاحركة، ولامكان ولازمان، وإنه تعالى متعال عن جميع صفات خلقه،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وحد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هذه الكلمات الرفيعة العرفانية مشيراً إلى بعض آيات القرآن وتفسيرها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هذه‌الآيةالكريمة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يوم‌يكشف عن ساق ويدعون إلى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سالمون</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فقال في مقام نفي توهم دلالة الساق على ساق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 وجه الأمر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قدّس سرّه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ينكشف فيه عن أمر شديد صعب عظيم وهو الحساب والمداقّة على الأعمال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بنيناها بأيد</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فقال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عبدنا داود ذا الأيد</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يعني ذا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ومضى في كلام أبي جعفر رحمه اللّه شاهد اليد عن القدرة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عبدنا داود ذا 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آخر وهو أن اليد عبارة عن النعمة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عليّ أياد لست أُكفرهاوإنما الكفر ألّا تشكر النعم</w:t>
      </w:r>
    </w:p>
    <w:p>
      <w:pPr>
        <w:pStyle w:val="BookText"/>
        <w:rPr/>
      </w:pPr>
      <w:r>
        <w:rPr>
          <w:rFonts w:ascii="Amiri" w:hAnsi="Amiri" w:eastAsia="Amiri" w:cs="Amiri"/>
          <w:color w:val="111111"/>
          <w:sz w:val="28"/>
          <w:sz w:val="28"/>
          <w:szCs w:val="28"/>
          <w:rtl w:val="true"/>
          <w:lang w:bidi="ar-SA"/>
        </w:rPr>
        <w:t xml:space="preserve">فيحتمل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ذا الأيد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النعم،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اشتبه الأيد المفرد الذي هو بمعنى القدرة والقوة بالأيد الذي</w:t>
      </w:r>
    </w:p>
    <w:p>
      <w:pPr>
        <w:pStyle w:val="BookText"/>
        <w:rPr/>
      </w:pPr>
      <w:r>
        <w:rPr>
          <w:rFonts w:ascii="Amiri" w:hAnsi="Amiri" w:eastAsia="Amiri" w:cs="Amiri"/>
          <w:color w:val="111111"/>
          <w:sz w:val="28"/>
          <w:sz w:val="28"/>
          <w:szCs w:val="28"/>
          <w:rtl w:val="true"/>
          <w:lang w:bidi="ar-SA"/>
        </w:rPr>
        <w:t>جمع يد، والشيخ أبو جعفر فسّر الآية على الأيد المفرد لا على الأيد الذي هو جمع، والشيخ أبو عبد اللّه فسّره على ما هو جمع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تفسيره لهذه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روح مخلوقة جعل اللّه منها في آدم وعيسى،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بيتي وعبدي وجنتي، أي مخلوقي وناري وسمائي وأرضي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استدرك الشيخ أبو عبد اللّه المفيد على هذا التفسير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وجه إضافة الروح إلى نفسه والبيت إليه من حيث الخلق فحسب، بل الوجه في ذلك التمييز لهما بالإعظام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الاستدراك على الصدوق 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موجه لأن الظاهر أن الغرض من وصف الروح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روح مخلوقة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حدوث الروح ومخلوقيتها وإثبات صفات الحدوث والمخلوقية لها، ودفع توهم عدم حدوثها لا أنه لم يلتفت الى أن الاضافة تكريمية وتشريفية، ويكفي دليلًا على التفاته إلى هذه اللطيفة أنه في مقام التشبيه شبه إضافة الروح بإضافة البيت إلى ذاته المقدسة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التي فسرها الصدوق في هذا الباب في رفع توهم المجسمة</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إبليس ما منعك أن تسجد لما خلقت بيدَىَّ</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بقدرتي وقوتي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استدرك عليه الشيخ المفيد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يفيد تكرار المعنى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بقدرتي وقدرتي، أو بقوتي وقوتي، إذ القدرة هي القوة والقوة هي القدرة، بل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بنعمتيَّ، والمراد منهما نعمة الدنيا ونعمة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مقام اللام واللام لام الغاية، أي خلقت لنعمتيَّ كما قال في سورة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تأويل الآية وجه آخر وهو أن المراد باليدين فيهما هو القوة والنعمة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بقوتي ونعمتي، وفيه وجه آخر وهو أن إضافة اليدين إليه إنما اريد تحقق الفعل وتأكيد إضافته إليه وتخصيصه به دون ما سوى ذلك من قدرة أو نعمة، وشاهد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يداك أوكَتا، وفُوك نَفخ</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تجدر الإشارة إليه هو أن الصدوق قال في تفسير الآية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نعمة الدنيا ونعمة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استفيد ذلك من قول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حيث ذكروا اليد مفردة بمعنى أن اليهود لما كانوا غير معتقدين بعالم الآخرة، بل كانوا يعتقدون بنعمة الدنيا وهذا العالم فحسب، فإنهم عبروا عن ذلك باليد، وبما أنهم كانوا يزعمون أن هذا العالم يجري لوحده وأن اللّه فرغ منه وخرج عن أمره، فقد أنكروا استمرار نعمة اللّه وإفاضة فيضه، ولذا فقد عبر عن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الاعتقادين الفاسدين، وذلك بأن الدنيا ونعمتها واستمرارها منه سبحانه، والآخرة ونعمتها واستمرارها من قبله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لم‌يفرغ من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تفسيره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الباء بمعنى اللام وجعل اللام للغاية فيبدو بعيداً، أضف إلى ذلك أن لفظي القوة والقدرة ليسا مترادفين بمعنى واحد، فمعناهما مختلف بحسب اللغة، ولذا فقد قيل في الأسماء الحسنى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القادر غير معنى القوي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أظهر الوجوه في تفسير الآية الشريفة هو الوجه الثالث من الوجوه التي أشار إليها المفيد، وهو بما أن ظهور قدرة الإنسان إنما تكون بكلتي يديه، وبكلتي اليدين تتجلى القدرة بصورة أكمل وأكثر لذا فقد بيّن بهذا التعبير ظهور كمال قدرة اللّه في خلق آدم وعبر</w:t>
      </w:r>
    </w:p>
    <w:p>
      <w:pPr>
        <w:pStyle w:val="BookText"/>
        <w:rPr/>
      </w:pP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المراد منه أن قدرة اللّه لها مراتب، وليس حالها حال المقدورات كالإنسان مثلًا، إذ لايستطيع أن يحمل بيد واحدة ما ينبغي حمله بيديه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علم اللّه وقدرته لايوجد هذا التفاوت والاختلاف بالنسبة إلى المقدورات والمعلومات، لكن قدرة اللّه الواسعة غير المتناهية، هي التي أظهرها بخلق المخلوقات الصغيرة والكبيرة، وما يرى وما لايرى، والإنسان والحيوان، والملائكة والمجردات، والنمل والجراد، والذرة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بيان وجود الإنسان إظهار للقدرة بصورة أجلى، ومن أفراد البشر الكاملين آدم عليه‌السلام وسائر الأنبياء، وخاصةً الرسول الأكرم صلى الله عليه و آله وأوصياءه، فهم أكمل وأجلى وأتم صورةً لإظهار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الجهة كان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آدم أكثر ملائمة ومناسبة وموافقة للبلاغة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 بمراده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الآيات التي فسّرها الصدوق في هذا الباب، دفعاً لتوهم النقص في ذات الباري تعالى،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يستهزي بهم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ومعنى ذلك كله أنه عزّوجلّ يجازيهم جزاء المكر، وجزاء المخادعة، وجزاء الاستهزاء، وجزاء النسيان، وهو أن ينسيهم أنفسهم كما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نسوا اللّه فأنساهم أنفسهم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لأنه عزوجل في الحقيقة لايمكر ولايخادع ولايستهزى‌ء ولايسخر ولاينسى،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استدرك المفيد عليه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كما قال إلّا أنه لم يذكر الوجه في ذلك، والوجه أن العرب تسمي الشي‌ء باسم المجازى عليه للتعلق فيما بينهما والمقارنة، فلما كانت المجازى عليها مستحقة لهذه الأسماء كان الجزاء سمّي بأسمائها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استشهد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ما يأكلون من الطيبات تسمية النار وجعله ناراً لأن الجزاء عليه النار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وبديهي أنه إذا كان غرض المفيد من الاستشهاد بهذه الآية لبيان أنه بمجرد المقارنة بين الجزاء والمجازى عليه يطلق أحدهما على الآخر كما هو</w:t>
      </w:r>
      <w:bookmarkStart w:id="18" w:name="pg2222_23207"/>
    </w:p>
    <w:p>
      <w:pPr>
        <w:pStyle w:val="BookText"/>
        <w:rPr/>
      </w:pPr>
      <w:bookmarkEnd w:id="18"/>
      <w:r>
        <w:rPr>
          <w:rFonts w:ascii="Amiri" w:hAnsi="Amiri" w:eastAsia="Amiri" w:cs="Amiri"/>
          <w:color w:val="111111"/>
          <w:sz w:val="28"/>
          <w:sz w:val="28"/>
          <w:szCs w:val="28"/>
          <w:rtl w:val="true"/>
          <w:lang w:bidi="ar-SA"/>
        </w:rPr>
        <w:t>الحال في آيات المكر والخديعة والاستهزاء، حيث اطلق الجزاء وأُريد به المجازى عليه، وفي هذه الآية انعكس الأمر فاطلق المجازى عليه مكان الجزاء وهو النار، فذاك إتمام للمطلب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استدرك المفيد على الصدوق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في اللغة هو الترك والتأخير، وبناء على هذا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إطاعة اللّه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تركهم من ثوابه، ومعنى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ألجأهم إلى ترك تعاهدها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إن المتبادر إلى ذهن العرف هو تفسير الصدوق واللّه أعلم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214049_3804643083"/>
      <w:bookmarkStart w:id="20" w:name="_Toc7"/>
      <w:bookmarkEnd w:id="19"/>
      <w:r>
        <w:rPr>
          <w:rtl w:val="true"/>
        </w:rPr>
        <w:t>الاعتقاد في صفات الذات وصفات الأفعال</w:t>
      </w:r>
      <w:bookmarkEnd w:id="20"/>
    </w:p>
    <w:p>
      <w:pPr>
        <w:pStyle w:val="BookText"/>
        <w:rPr/>
      </w:pPr>
      <w:r>
        <w:rPr>
          <w:rFonts w:ascii="Amiri" w:hAnsi="Amiri" w:eastAsia="Amiri" w:cs="Amiri"/>
          <w:color w:val="111111"/>
          <w:sz w:val="28"/>
          <w:sz w:val="28"/>
          <w:szCs w:val="28"/>
          <w:rtl w:val="true"/>
          <w:lang w:bidi="ar-SA"/>
        </w:rPr>
        <w:t>قال الشيخ أبو جعفر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وصفنا اللّه تعالى من صفات ذاته، فإنما نريد بكل صفة منها نفي ضدها عنه عز وجل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عزوجل سميعاً بصيراً عليماً حكيماً قادراً عزيزاً حياً قيوماً واحداً قديماً، وهذه صفات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لم يزل خلاقا فاعلًا شائياً مريداً راضياً ساخطاً رازقاً وهاباً متكلماً، لأن هذه الصفات صفات أفعاله وهي محدَثة لايجوز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يزل موصوفاً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المفيد فقد استدرك على الصدوق فقال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اللّه تعالى على ضربين،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الذات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الذات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الأفعال،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الأفعال والمعنى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الذات أن الذات مستحقة لمعناها استحقاقاً لازماً لا لمعنى سواها، ومعنى صفة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الفعل وصدوره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بالفعل وبدونه، أو كما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وجوده لايوصف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فصفات الذات تطلق على الذات، واللّه متصف بها دون واسطة معنى آخر غير ذاته جل‌وعلا، إلّا أن اتصافه بصفة الفعل بواسطة معنى آخر وهو صدور الفعل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الذات لايصح لصاحبها الوصف بأضدادها ولاخلوه منها، وأوصاف الأفعال يصح الوصف لمستحقيها بأضدادها وخروجه عنها، ألا ترى أنه لايصح وصف اللّه تعالى بأنه يموت، ولا بأنه يعجز، ولا بأنه يجهل، ولايصح الوصف بكونه حياً عالماً قادراً ويصح الوصف بأنه غير خالق اليوم ولارازق لزيد ولامحيي لميت،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وتوضيحاً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الصدوق أراد من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وصفنا اللّه تعالى من صفات ذاته فإنما نريد بكل صفة منها نفي ضدها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الصفات الزائدة على الذات فلانقول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علمٌ وعالم ذاته وعلمه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العالم والقادر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يفهم من ذلك مع ملاحظة نفي الصفات الزائدة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ليس بجاهل أو اللّه ليس بعاجز،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أن الفرق بين صفة الذات وصفة الفعل، أن مفهوم صفة الذات هو نفي ضدها عن اللّه،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w:t>
      </w:r>
    </w:p>
    <w:p>
      <w:pPr>
        <w:pStyle w:val="BookText"/>
        <w:rPr/>
      </w:pPr>
      <w:r>
        <w:rPr>
          <w:rFonts w:ascii="Amiri" w:hAnsi="Amiri" w:eastAsia="Amiri" w:cs="Amiri"/>
          <w:color w:val="111111"/>
          <w:sz w:val="28"/>
          <w:sz w:val="28"/>
          <w:szCs w:val="28"/>
          <w:rtl w:val="true"/>
          <w:lang w:bidi="ar-SA"/>
        </w:rPr>
        <w:t xml:space="preserve">العلم للّه، أن ضده بهذا المفهوم منفي عن اللّه، وأن اللّه ليس متّصفاً بضد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مفهومه نفي كل نوع من الجهل كالجهل بالجزئيات، لأن نقيض السالبة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بالجزئيات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مفهومه أن اللّه ليس بالشافي و ليس بالكافي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وبهذين المعيارين تتميز صفات الذات عن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واللطيفة المهمة الأخرى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إذا كانت في الصفات التي ذكرها الصدوق وسائر صفات اللّه الكمالية، سواء كانت جمالية أو جلالية، ما اختلف فيه أهو صفة الذات أم صفة الفعل، ولم تتضح ماهيتها من الكتاب والسنة، فإن طريق السلامة والنجاة أن نتجنب الخوض فيها ونكتفى بالاعتقاد الإجمالي في مورد الاعتقاد والتدين بها، وأن نعرض عن الجدل والنقاش في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نروي بعض الأحاديث الواردة عن أهل بيت العصمة في هذا المقام لمناسبة الكلام، فقد ورد عن الإمام الصادق عليه‌السلام أنه قال لمحمد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الناس لايزال بهم النطق حتى يتكلّموا في اللّه فإذا سمعتم ذلك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إلّا اللّه الواحد الذي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عليه‌السلام أنه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اللّه كيف هو هلك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 عن أحد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الباقر أو ابنه أبي عبد اللّه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ما سُئل عن شي‌ء من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bookmarkStart w:id="21" w:name="pg2222_23210"/>
    </w:p>
    <w:p>
      <w:pPr>
        <w:pStyle w:val="BookText"/>
        <w:rPr/>
      </w:pPr>
      <w:bookmarkEnd w:id="21"/>
      <w:r>
        <w:rPr>
          <w:rFonts w:ascii="Amiri" w:hAnsi="Amiri" w:eastAsia="Amiri" w:cs="Amiri"/>
          <w:color w:val="111111"/>
          <w:sz w:val="28"/>
          <w:sz w:val="28"/>
          <w:szCs w:val="28"/>
          <w:rtl w:val="true"/>
          <w:lang w:bidi="ar-SA"/>
        </w:rPr>
        <w:t>الجبار تعالى الجبار من تعاطى ما ثَمَّ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أمير المؤمنين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الراسخين في العلم هم الذين أغناهم اللّه عن الإقتحام على السدد المضروبة دون الغيوب، إقراراً بجهل ما جهلوا تفسيره من الغيب المحجوب،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وقد مدح اللّه اعترافهم بالعجز عن تناول ما لم يحيطوا به علماً، وسمّى تركهم التعمق فيما لم يكلّفهم البحث عن كنهه رسوخاً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214051_3804643083"/>
      <w:bookmarkStart w:id="23" w:name="_Toc8"/>
      <w:bookmarkEnd w:id="22"/>
      <w:r>
        <w:rPr>
          <w:rtl w:val="true"/>
        </w:rPr>
        <w:t>الاعتقاد في التكليف</w:t>
      </w:r>
      <w:bookmarkEnd w:id="23"/>
    </w:p>
    <w:p>
      <w:pPr>
        <w:pStyle w:val="BookText"/>
        <w:rPr/>
      </w:pPr>
      <w:r>
        <w:rPr>
          <w:rFonts w:ascii="Amiri" w:hAnsi="Amiri" w:eastAsia="Amiri" w:cs="Amiri"/>
          <w:color w:val="111111"/>
          <w:sz w:val="28"/>
          <w:sz w:val="28"/>
          <w:szCs w:val="28"/>
          <w:rtl w:val="true"/>
          <w:lang w:bidi="ar-SA"/>
        </w:rPr>
        <w:t xml:space="preserve">لم يستدرك الشيخ أبو عبد اللّه المفيد في هذا الباب على الشيخ الصدوق رحمهما اللّه وخلاصة كلام الشيخ أبي جعفر هو أن اللّه تعالى لم يكلف عباده إلا دون ما يطيقون واستشهد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الايكلف اللّه نفساً إلا وسعها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ثم فسّر الوسع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تمسك بحديث روي عن الصادق عليه‌السلام في هذا الشأن أيضاً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214053_3804643083"/>
      <w:bookmarkStart w:id="25" w:name="_Toc9"/>
      <w:bookmarkEnd w:id="24"/>
      <w:r>
        <w:rPr>
          <w:rtl w:val="true"/>
        </w:rPr>
        <w:t>الاعتقاد في أفعال العباد</w:t>
      </w:r>
      <w:bookmarkEnd w:id="25"/>
    </w:p>
    <w:p>
      <w:pPr>
        <w:pStyle w:val="BookText"/>
        <w:rPr/>
      </w:pPr>
      <w:r>
        <w:rPr>
          <w:rFonts w:ascii="Amiri" w:hAnsi="Amiri" w:eastAsia="Amiri" w:cs="Amiri"/>
          <w:color w:val="111111"/>
          <w:sz w:val="28"/>
          <w:sz w:val="28"/>
          <w:szCs w:val="28"/>
          <w:rtl w:val="true"/>
          <w:lang w:bidi="ar-SA"/>
        </w:rPr>
        <w:t>قال الصدوق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أفعال العباد أنها مخلوقة خلق تقدير لاخلق تكوين، ومعنى ذلك أنه لم يزل عالماً بمقاديرها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استدرك الشيخ المفيد قدس سره على الشيخ أبي جعفر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عن آل محمد صلى الله عليه و آله أن أفعال العباد غير مخلوقة للّه، والذي ذكره أبو جعفر قدجاء به حديث غير معمول به ولامرضيّ الإسناد، والأخبار الصحيحة بخلافه، وليس يعرف في لغة العرب أن العلم بالشي‌ء هو خلق له، ولو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المخالفون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يكون من علم النبي صلى الله عليه و آله فقد خلقه، ومن عَلِمَ السماء والأرض فهو خالق لهما، ومن عرف بنفسه شيئاً من صنع اللّه تعالى وقرره في نفسه لوجب أن يكون خالقاً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محال لايذهب وجه الخطأ فيه على بعض رعية الأئمة عليهم‌السلام فضلًا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التقدير فهو الخلق في اللغة لأن التقدير لايكون إلا بالفعل، فأما بالعلم فلايكون تقديراً ولايكون أيضاً بالفكر، واللّه تعالى متعال عن خلق الفواحش والقبائح على كل حال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وعقّب على ذلك برواية عن أبي الحسن الثالث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أفعال العباد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مخلوقة للّه تعالى؟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خالقاً لها لما تبرّأ منها، وقد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بري‌ءٌ من المشركين ورسولُه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ولم يرد البراءة من خلق ذواتهم وإنما تبرّأ من شركهم وقبائحهم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الإمام عليه‌السلام ما جرى بين أبي حنيفة والإمام موسى بن جعفر عليهماالسلام في هذا المقام واستشهد ببعض الآيات التي تدل على تنزّه اللّه عن</w:t>
      </w:r>
    </w:p>
    <w:p>
      <w:pPr>
        <w:pStyle w:val="BookText"/>
        <w:rPr/>
      </w:pPr>
      <w:r>
        <w:rPr>
          <w:rFonts w:ascii="Amiri" w:hAnsi="Amiri" w:eastAsia="Amiri" w:cs="Amiri"/>
          <w:color w:val="111111"/>
          <w:sz w:val="28"/>
          <w:sz w:val="28"/>
          <w:szCs w:val="28"/>
          <w:rtl w:val="true"/>
          <w:lang w:bidi="ar-SA"/>
        </w:rPr>
        <w:t>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المتيقن به أن الشيخ الصدوق كالشيخ المفيد لا يرى أن اللّه فاعل أفعال العباد، وما ذكره الشيخ المفيد من الآيات والروايات فيه تطابق نظر ووحدة رأي بينه وبين الشيخ الصدوق إلا أنه هنا أراد أن يفسّر ظواهر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ففي الوقت الذي يكون الإنسان نفسه فاعل أفعال نفسه، لكن لما كان العلم بما فيه من هذا النظام والترتيب والتقدير، ومن جملته كون الإنسان مختاراً هو فعل اللّه ومحكوم تقديره، فمن هذه الجهة يكون صدور المعصية والقبيح من الإنسان باختياره بتقدير اللّه ومن لوازم خلقه وتقديره وآثارهما أيضاً، لذا فلو قيل بأن أفعال العباد هي مخلوقة من اللّه، فإنه لم يقع في ذلك خلاف ولاإثبات نقص واستناد قبيح إليه سبحانه، ولعل ذلك هو معنى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بمشيئتي كنت أنت الذي تشاء لنفسك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وبديهي أن العالم بالمقادير هو خالق التقادير، ومن هذا المنطلق جاز أن يطلق عليه خالق المقادير، وهذا هو غير الفعل المتعلق بالتقدير الواقع في التقدير، كما أن تقدير أمور عالم الخلق ونظامه المقدر والمقرر، غير العلم بالنظام والتقدير، وعلم اللّه وإن كانت حقيقته التي هي حقيقة الذات</w:t>
      </w:r>
      <w:bookmarkStart w:id="26" w:name="pg2222_23213"/>
    </w:p>
    <w:p>
      <w:pPr>
        <w:pStyle w:val="BookText"/>
        <w:rPr/>
      </w:pPr>
      <w:bookmarkEnd w:id="26"/>
      <w:r>
        <w:rPr>
          <w:rFonts w:ascii="Amiri" w:hAnsi="Amiri" w:eastAsia="Amiri" w:cs="Amiri"/>
          <w:color w:val="111111"/>
          <w:sz w:val="28"/>
          <w:sz w:val="28"/>
          <w:szCs w:val="28"/>
          <w:rtl w:val="true"/>
          <w:lang w:bidi="ar-SA"/>
        </w:rPr>
        <w:t>عينها غير معلومة لأحد، إلا أننا نعلم هذا القدر وهو أن غير العلم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كانت أفعال العباد مخلوقة بخلق التقدير فمن علم النبي فقد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والانصاف أنه لايرد على الصدوق أي إشكال، وما قاله الصدوق وتوضيحنا عليه هو ما قاله الشيخ المفيد في ذيل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الجبر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فما قاله المفيد هو الحقيقة عينها،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متعال عن خلق الفواحش والقبائح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يعتقد بها الصدوق وأهل العلم جميعاً والشيعة قاطبة، والآيات والروايات صريحة في ذلك، ولايتهم أي شيعي بغير 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الاستدلال بخصوص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فمحل نظر وتأمل، لأننا إذا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معناه المصدري وهو الإيجاد، لابمعنى اسم المصدر، فإن المعنى الثاني ليس بأرجح من المعنى الأول</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214055_3804643083"/>
      <w:bookmarkStart w:id="28" w:name="_Toc10"/>
      <w:bookmarkEnd w:id="27"/>
      <w:r>
        <w:rPr>
          <w:rtl w:val="true"/>
        </w:rPr>
        <w:t>الاعتقاد في نفي الجبر والتفويض</w:t>
      </w:r>
      <w:bookmarkEnd w:id="28"/>
    </w:p>
    <w:p>
      <w:pPr>
        <w:pStyle w:val="BookText"/>
        <w:rPr/>
      </w:pPr>
      <w:r>
        <w:rPr>
          <w:rFonts w:ascii="Amiri" w:hAnsi="Amiri" w:eastAsia="Amiri" w:cs="Amiri"/>
          <w:color w:val="111111"/>
          <w:sz w:val="28"/>
          <w:sz w:val="28"/>
          <w:szCs w:val="28"/>
          <w:rtl w:val="true"/>
          <w:lang w:bidi="ar-SA"/>
        </w:rPr>
        <w:t>قال الشيخ أبو جعفر الصدوق اعتقادنا في الجبر والتفويض قول الإمام الصادق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لاجبر ولاتفويض بل أمر بين الأمرين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أمر بين أمرين؟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مثل رجل رأيته على معصيته فنهيته فلم ينته، فتركته، ففعل تلك المعصية، فليس حيث لايقبل منك فتركته، كنت أنت الذي أمرته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هذا الحديث الشريف وقبل التعرض إلى كلام الشيخ أبي عبد اللّه المفيد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أن الأمور غير مفوَّضة إلى الناس أنفسهم، وإلّا لكان كل من التكليف والأمر والنهي في غير محله، كما أن الاختيار لم يسلب منهم، وإلّا لما كان يتحقق منهم العصيان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يكون وجيهاً في‌صورة مالوكان‌المراد من‌التفويض هو التفويض‌المطلق أي‌الأعم من‌التفويض التكويني والتشريعي، لأن التفويض التشريعي ينتفي بهذا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أن‌يبين بهذا النحو وهو أن الأمر بين الأمرين، يعني أن نهي العبد عن المعصية لايكون سبباً عن صدّه عن المعصية، وتركه على حاله لايكون دافعاً له إلى المعصية، وفي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اختياره محفوظاً لكنه ليس بلاتكليف ولامفوض إليه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الشيخ أبا عبد اللّه المفيد عرف الجبر 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الحمل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بالقهر والغلبة، وحقيقته إيجاد الفعل في الخلق دون أن يكون لهم القدرة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عما يفعله الإنسان بالقدرة التي معه على وجه الإكراه له على التخويف والإلجاء، أنه جبر، والأصل فيه ما فعل من غير قدرة على امتناعه منه حسب ما قدمناه، وإذا تحقق القول في</w:t>
      </w:r>
    </w:p>
    <w:p>
      <w:pPr>
        <w:pStyle w:val="BookText"/>
        <w:rPr/>
      </w:pPr>
      <w:r>
        <w:rPr>
          <w:rFonts w:ascii="Amiri" w:hAnsi="Amiri" w:eastAsia="Amiri" w:cs="Amiri"/>
          <w:color w:val="111111"/>
          <w:sz w:val="28"/>
          <w:sz w:val="28"/>
          <w:szCs w:val="28"/>
          <w:rtl w:val="true"/>
          <w:lang w:bidi="ar-SA"/>
        </w:rPr>
        <w:t>الجبر على ما وصفناه كان مذهب أصحاب المخلوق هو بعينه، لأنهم يزعمون أن اللّه تعالى خلق في العبد الطاعة من غير أن يكون للعبد قدرة على ضدها والإمتناع منها، وخلق فيه المعصية كذلك، فهم المجبرة حقاً والجبر مذهبهم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برفع الحظر عن الخلق في الأفعال، والإباحة لهم مع ما شاءوا من الأعمال، وهذا قول الزنادقة وأصحاب الإباحات، والواسطة بين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أقدر الخلق على أفعالهم ومكّنهم من أعمالهم وحدّ لهم الحدود في ذلك، ورسم لهم الرسوم، ونهاهم عن القبائح بالزجر والتخويف والوعد والوعيد، فلم يكن بتمكينهم من الأعمال مجبراً لهم عليها، ولم يفوض إليهم الأعمال لمنعهم من أكثرها الخ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وتعقيباً على ما قاله هذان الشيخان العظيمان،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آنفاً من شرح توضيحي لمفاد الرواية التي رواها الشيخ الصدوق عليه الرحمة ينكشف أن التفويض عندهما جميعاً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أن نستدرك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التفويض اطلق على معنيين آخرين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الخلق والرزق إلى الأئمة عليهم‌السلام كما روي عن الإمام الرضا عليه‌السلام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يفعل أفعالنا ثم يعذبنا عليه فقد قال بالجبر، ومن زعم أن اللّه فوّض الخلق والرزق إلى حججه</w:t>
      </w:r>
    </w:p>
    <w:p>
      <w:pPr>
        <w:pStyle w:val="BookText"/>
        <w:rPr/>
      </w:pPr>
      <w:r>
        <w:rPr>
          <w:rFonts w:ascii="Amiri" w:hAnsi="Amiri" w:eastAsia="Amiri" w:cs="Amiri"/>
          <w:color w:val="111111"/>
          <w:sz w:val="28"/>
          <w:sz w:val="28"/>
          <w:szCs w:val="28"/>
          <w:rtl w:val="true"/>
          <w:lang w:bidi="ar-SA"/>
        </w:rPr>
        <w:t>عليهم‌السلام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بالجبر كافر والقائل بالتفويض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يلمس من خلال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الجبر والتفويض ليس واحداً، فالجبر في مورد أفعال العباد، والتفويض في أمر الخلق والرزق، ووفقاً لهذا التعريف، فإنّ تصور الأمر بين الأمرين اللذين هما في مورد واحد يكون بغير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في أفعالهم مخيرون وهم في غنى واستقلال عن المدد الإلهي وقوته، وأعمالهم تصدر دون حوله وقوته، ولاتوجد في البين مسائل من قبيل التوفيق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المسألة التي أُثيرت بين المتكلمين والأشاعرة والعدلية في الجبر بمعناه المذكور والتفويض، كانت بهذا المعنى، والحديث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لاجبر ولاتفويض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الكثيرة الأخرى والوجوه المذكورة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بهذا المعنى وهو أن التفويض في قبال الجبر، كالرواية الواردة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اللّه الأمر إلى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يفوّض الأمر إليهم،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 اللّه العباد على أفعالهم؟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يجبر عبداً على فعل ثم يعذّبه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عليه‌السلام في حديث آخر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تبارك وتعالى أكرم من أن يكلّف الناس ما لايطيقونه، واللّه أعزّ من أن يكون في سلطانه ما لايريد</w:t>
      </w:r>
      <w:r>
        <w:rPr>
          <w:rFonts w:eastAsia="Amiri" w:cs="Amiri" w:ascii="Amiri" w:hAnsi="Amiri"/>
          <w:color w:val="111111"/>
          <w:sz w:val="28"/>
          <w:szCs w:val="28"/>
          <w:rtl w:val="true"/>
          <w:lang w:bidi="ar-SA"/>
        </w:rPr>
        <w:t>».</w:t>
      </w:r>
      <w:bookmarkStart w:id="29" w:name="pg2222_23217"/>
    </w:p>
    <w:p>
      <w:pPr>
        <w:pStyle w:val="Heading3"/>
        <w:numPr>
          <w:ilvl w:val="2"/>
          <w:numId w:val="1"/>
        </w:numPr>
        <w:rPr/>
      </w:pPr>
      <w:bookmarkStart w:id="30" w:name="__RefHeading___Toc1214057_3804643083"/>
      <w:bookmarkStart w:id="31" w:name="_Toc11"/>
      <w:bookmarkEnd w:id="29"/>
      <w:bookmarkEnd w:id="30"/>
      <w:r>
        <w:rPr>
          <w:rtl w:val="true"/>
        </w:rPr>
        <w:t>الاعتقاد في الإرادة والمشيّة</w:t>
      </w:r>
      <w:bookmarkEnd w:id="31"/>
    </w:p>
    <w:p>
      <w:pPr>
        <w:pStyle w:val="BookText"/>
        <w:rPr/>
      </w:pPr>
      <w:r>
        <w:rPr>
          <w:rFonts w:ascii="Amiri" w:hAnsi="Amiri" w:eastAsia="Amiri" w:cs="Amiri"/>
          <w:color w:val="111111"/>
          <w:sz w:val="28"/>
          <w:sz w:val="28"/>
          <w:szCs w:val="28"/>
          <w:rtl w:val="true"/>
          <w:lang w:bidi="ar-SA"/>
        </w:rPr>
        <w:t>ما قاله الصدوق عليه الرحمة في هذا الباب ليس بمكان من الوضوح يصل إليه فَهْمُ أمثالي بسهولة، ويستطيع أن يدرك نظرات هذا الرجل العظيم، لذا فنحن في حدود ما فهمناه واستظهرناه من أقواله في هذا الشأن نسجل ملاحظاتنا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كلمات الصدوق أنه عدّ الإرادة والمشيئة بمثابة اللفظين المترادفين، وفرق بينهما وبين الحب والرضا والسخط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متعلق الإرادة والمشيئة فهو حتمي الوقوع، وما كان متعلق الحب والرضا فلايلزم منه الوقوع، كما أن ما هو متعلق السخط والكراهة لايلزم منه العدم، بل أراد ما يكون متعلق حبه أو كرهه أن يُفعل أو يُترك باختيار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ولإيضاح هذا الأمر استشهد بآيات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لايرضى لعباده الكفر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كلهم‌جميعاً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واستعمل عبارات هي محل نقاش،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أن لايكون شي‌ء إلا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الإرادة أو المشيئة تتعلق بأمر لايوجد لولا الإرادة والمشيئة، أما الشي الذي لايكون إلا بعلمه فهذا تحصيل حاصل وواقعية ثابتة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ينبغي التنويه عنه هنا أن العبارة في النسخة المطبوعة عندي من</w:t>
      </w:r>
    </w:p>
    <w:p>
      <w:pPr>
        <w:pStyle w:val="BookText"/>
        <w:rPr/>
      </w:pPr>
      <w:r>
        <w:rPr>
          <w:rFonts w:ascii="Amiri" w:hAnsi="Amiri" w:eastAsia="Amiri" w:cs="Amiri"/>
          <w:color w:val="111111"/>
          <w:sz w:val="28"/>
          <w:sz w:val="28"/>
          <w:szCs w:val="28"/>
          <w:rtl w:val="true"/>
          <w:lang w:bidi="ar-SA"/>
        </w:rPr>
        <w:t xml:space="preserve">اعتقادات الصدوق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أن لايكون شي‌ء إلا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وإذا أردنا أن نؤوّل هذه الجملة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أن لايقع شي‌ء إلّا بسبب علمه،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لايقع ما لايعلمه، فهذا مستلزم للجبر والدور، وهو ما نقله الشيخ المفيد عن قول المجبرة الذين لم يصرحوا أن اللّه أراد المعصية فيكونوا كفاراً بذلك،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يكون ما علم كما علم، ويريد أن تكون معاصيه قبائح منهياً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الدور لأن ارادة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وجود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على إرادة وجوده، وإرادة الوجود ستكون متوقفة على كونه معلوما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تنسجم مع نظرتي هذين الشيخين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النظام المقرر بتقدير اللّه وتدبيره في العالم كله، واللّه عالم به، سيقع وفقاً للنظام المقرر بالإرادة الإلهية، ومن جملته صدور الأفعال عن العباد باختيارهم متعلق هذه الإرادة، أما الكفر والظلم والأعمال القبيحة فلايرضاها وقد نهى عنها ولو صدرت عن العباد في هذا النظام فقد اسند صدورها إليهم أنفسهم، فما هو متعلق الإرادة كون العباد مخيرين، ومن هذه الجهة فإنه لم يجبر العباد ولم يضطرهم على صدور أفعال الخير، ولم يرد أن يضيق عليهم ويثقلهم ويعسر عليهم، لذا فإن جميع العالم يجري وفقاً لإرادة اللّه تعالى ومشيئته، ولايقع شي‌ء خارج إرادته ومشيئته، ومن ذلك أفعال العباد أيضاً فلاتصدر عنهم جبراً، ومع</w:t>
      </w:r>
      <w:bookmarkStart w:id="32" w:name="pg2222_23219"/>
    </w:p>
    <w:p>
      <w:pPr>
        <w:pStyle w:val="BookText"/>
        <w:rPr/>
      </w:pPr>
      <w:bookmarkEnd w:id="32"/>
      <w:r>
        <w:rPr>
          <w:rFonts w:ascii="Amiri" w:hAnsi="Amiri" w:eastAsia="Amiri" w:cs="Amiri"/>
          <w:color w:val="111111"/>
          <w:sz w:val="28"/>
          <w:sz w:val="28"/>
          <w:szCs w:val="28"/>
          <w:rtl w:val="true"/>
          <w:lang w:bidi="ar-SA"/>
        </w:rPr>
        <w:t xml:space="preserve">ذلك فجريان نظام العالم تحت رعايته ولاحول ولاقوة إلا باللّه وهو يجري بحوله وقوته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214059_3804643083"/>
      <w:bookmarkStart w:id="34" w:name="_Toc12"/>
      <w:bookmarkEnd w:id="33"/>
      <w:r>
        <w:rPr>
          <w:rtl w:val="true"/>
        </w:rPr>
        <w:t>الاعتقاد في القضاء والقدر</w:t>
      </w:r>
      <w:bookmarkEnd w:id="34"/>
    </w:p>
    <w:p>
      <w:pPr>
        <w:pStyle w:val="BookText"/>
        <w:rPr/>
      </w:pPr>
      <w:r>
        <w:rPr>
          <w:rFonts w:ascii="Amiri" w:hAnsi="Amiri" w:eastAsia="Amiri" w:cs="Amiri"/>
          <w:color w:val="111111"/>
          <w:sz w:val="28"/>
          <w:sz w:val="28"/>
          <w:szCs w:val="28"/>
          <w:rtl w:val="true"/>
          <w:lang w:bidi="ar-SA"/>
        </w:rPr>
        <w:t>ذكر الصدوق رحمه اللّه في هذا الباب روايات مهمة وغزيرة جداً، يدرك مضامينها المتضلّعون في المعرفة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 الروايات تشير إلى غموض أمر القدر وعظمة أسرار الخلق ودقائقه، وعجز البشر عن أن يتوصل إلى معرفة جميع أسرار عالم الخلق والأفعال، بحيث يبسط العارفون ألسنة التقديس والتسبيح تلقائياً خاضعين خاشعين للّه وهم يصغون إلى هذا النشيد الصوفي الرائع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يحيط بكنه ذاتك عابدأم كيف يرقى للعُقاب ذباب</w:t>
      </w:r>
    </w:p>
    <w:p>
      <w:pPr>
        <w:pStyle w:val="BookText"/>
        <w:rPr/>
      </w:pPr>
      <w:r>
        <w:rPr>
          <w:rFonts w:ascii="Amiri" w:hAnsi="Amiri" w:eastAsia="Amiri" w:cs="Amiri"/>
          <w:color w:val="111111"/>
          <w:sz w:val="28"/>
          <w:sz w:val="28"/>
          <w:szCs w:val="28"/>
          <w:rtl w:val="true"/>
          <w:lang w:bidi="ar-SA"/>
        </w:rPr>
        <w:t xml:space="preserve">أتحيط بالبحر الخضم فراشةفيماط عن ربِّ الوجود حجاب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هرگز نرسد به كنه معبود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 كند سرّ هما را مگسى</w:t>
      </w:r>
    </w:p>
    <w:p>
      <w:pPr>
        <w:pStyle w:val="BookText"/>
        <w:rPr/>
      </w:pPr>
      <w:r>
        <w:rPr>
          <w:rFonts w:ascii="Amiri" w:hAnsi="Amiri" w:eastAsia="Amiri" w:cs="Amiri"/>
          <w:color w:val="111111"/>
          <w:sz w:val="28"/>
          <w:sz w:val="28"/>
          <w:szCs w:val="28"/>
          <w:rtl w:val="true"/>
          <w:lang w:bidi="ar-SA"/>
        </w:rPr>
        <w:t>از روى مثل خداست درياى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 را نكند احاطه هر خار و خسى</w:t>
      </w:r>
    </w:p>
    <w:p>
      <w:pPr>
        <w:pStyle w:val="BookText"/>
        <w:rPr/>
      </w:pPr>
      <w:r>
        <w:rPr>
          <w:rFonts w:ascii="Amiri" w:hAnsi="Amiri" w:eastAsia="Amiri" w:cs="Amiri"/>
          <w:color w:val="111111"/>
          <w:sz w:val="28"/>
          <w:sz w:val="28"/>
          <w:szCs w:val="28"/>
          <w:rtl w:val="true"/>
          <w:lang w:bidi="ar-SA"/>
        </w:rPr>
        <w:t>فسبحان الذي دانت له السماوات والأرض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هذه الروايات عند أُولئك الذين ذاقوا من عين طعم معرفة اللّه وأسماءه الحسنى، في منتهى العذوبة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الشيخ أبو عبدالله المفيد فقد أشار في معنى القضاء إلى أربعة معان بل إلى خمسة معان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في فصل</w:t>
      </w:r>
    </w:p>
    <w:p>
      <w:pPr>
        <w:pStyle w:val="BookText"/>
        <w:rPr/>
      </w:pPr>
      <w:r>
        <w:rPr>
          <w:rFonts w:ascii="Amiri" w:hAnsi="Amiri" w:eastAsia="Amiri" w:cs="Amiri"/>
          <w:color w:val="111111"/>
          <w:sz w:val="28"/>
          <w:sz w:val="28"/>
          <w:szCs w:val="28"/>
          <w:rtl w:val="true"/>
          <w:lang w:bidi="ar-SA"/>
        </w:rPr>
        <w:t>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على هذه المعاني مستشهداً بالقرآن المجيد، وإن كان الأنسب أن يستشهد في الاستدلال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أن‌المعنى المناسب من‌هذه‌المعاني الخمسة للقضاء الذي يقترن ذكره بالقدر،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والحكم الذي يشمل الحكم والقضاء التكويني والحكم والقضاء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النهي عن التكلّم فيه هو الكلام في القدر، وليس المراد منه أن الكلام والفحص عن كيفية الأشياء ممنوعان ومنهي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أردنا أن نعرف مثلًا ممَّ يتألف الماء وكم هي نسبة عناصره بالمئة، أو نعرف مقدار الهواء والأشياء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ذلك ليس منهياً عنه، وما هو بواد مظلم حتى يكون السلوك فيه خطراً، فاكتشاف علل الأشياء الظاهرية والطبيعية والكلام فيها وفي ما هو مبدأ العلوم المتعارفة، كالطب والكيمياء والفيزياء والهيئة وغيرها، كل ذلك غير منهي عنه، بل التدبر والتفكر فيه مما رغبت فيه الآيات وحضّت عليه الأحاديث كما يقول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آيات للموقنين، وفي أنفسكم أفلا تبصرون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البحث أو الفحص عن الحكمة من الأحكام الإلهية وما فيها من</w:t>
      </w:r>
    </w:p>
    <w:p>
      <w:pPr>
        <w:pStyle w:val="BookText"/>
        <w:rPr/>
      </w:pPr>
      <w:r>
        <w:rPr>
          <w:rFonts w:ascii="Amiri" w:hAnsi="Amiri" w:eastAsia="Amiri" w:cs="Amiri"/>
          <w:color w:val="111111"/>
          <w:sz w:val="28"/>
          <w:sz w:val="28"/>
          <w:szCs w:val="28"/>
          <w:rtl w:val="true"/>
          <w:lang w:bidi="ar-SA"/>
        </w:rPr>
        <w:t>مصلحة، وهو ما تتناوله أقلام المتكلمين، كل ذلك ليس بحثاً عن القدر، إلا أن يكون البحث في سلسلة أحكام عبادية بحتة، ومعرفة أسرارها وعللها لاتتم إلا عن طريق الوحي والنبي الأكرم نفسه صلى الله عليه و آله والأئمة عليهم‌السلام من بعده الذين هم خلفاءه، فبواسطتهم يمكن استكشافها ومعرفة كنهها، فليس بيان حكمتها تعويلًا على الحدس والتخمين فيها مقنعاً والقول بغير علم فيها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المقصود من القدر، الغامضة معرفتُه والمظلم مسلكه وواديه، هو المعايير والمقادير والنظم الكائنة في عالم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النظم الظاهرية والأسباب والمسببات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التي لايرقى إليها إدراك البشر والبعيدة عن متناول العلوم البشرية، وبعبارة اخرى أسرار الخلق والإيجاد والنظم والأحوال الكلية، العامة الجارية على العالم وسرّ قسمة الأرزاق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المنهي عنه هو الأمور التي يكون البحث فيها والفحص عنها، موجباً للشك والحيرة والتردد وظهور فلسفة التحيّر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تكون مدعاة للاعتراض وسوء الظن، وسالباً لحال الاطمئنان في النفس وحسن ظن الإنسان بكل ما يجري في العالم، ومزلزلا لركونه وتسليمه لأمر اللّه الذي يكون فيه في أحسن الحالات وأسعدها، أي أن السلوك في هذا الوادي والتفكير فيه لايعيق الإنسان من أن ينتهي إلى هدف، بل يجعله مبتلى بمرض سوء الظن والحيرة، وهو من أخطر الأمراض النفسية، وربما تسوق صاحبها إلى التفكير في انتحاره وتدمير أحبابه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مجال للاستدراك على الشيخ المفيد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أبوجعفر في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القدر منهي عنه، وروى حديثاً لم يذكر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مقصوده الحديث عن أمير المؤمنين عليه‌السلام في جواب رجل سأله عن القدر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عميق فلاتلجه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يكتف السائل بذلك وسأله ثانية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فلاتسلكه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سأله ثالثة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فلاتتكلّفه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هو الحديث الثالث من الكتاب القيم توحيد الصدوق وقد رواه في 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والقدر والأرزاق والأسعار والآجال عن أبيه علي بن الحسين بن بابويه القمي بسند ينتهي إلى أمير المؤمنين عليه‌السلام، ولم يذكر مسنده في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واستدراك المفيد الآخر على الصدوق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 أبو جعفر في هذا الباب على أحاديث شواذ لها وجوه يعرفها العلماء متى صحت و ثبت أسنادها ولم يقل فيه قولا محصلا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الصدوق في صدد بيان معنى القضاء، وإنما روى حديثاً قيماً عن زرارة أنه سأل الصادق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تقول في القضاء والقدر؟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جمع العباد يوم القيامة سألهم عما عهد إليهم، ولم يسألهم عما قضى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نظير هذا الحديث في الباب المذكور من كتابه التوحيد بسند ينتهى إلى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حديثاً آخر في باب القضاء والقدر من كتابه المشار إليه آنفاً بسند ينتهى إلى الأصبغ بن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الصدوق إذا لم يكن هنا قد بيّن معنى القضاء و ربما أعرض عنه لوضوحه، فإنه ذكر للقضاء في كتابه التوحيد عشر معان، واستشهد لجميع هذه المعاني بآيات القرآن الكريم، بينما لم يذكر المفيد قدس سره هنا أكثر من أربعة معان للقضاء، وإن كانت المعاني العشرة يمكن إرجاعها بعضها إلى بعض، ونحن لسنا في مقام البحث اللغوي عنها هنا، وإنما مقصودنا أن يعلم أن مثل هذه المعاني لم تكن خافية على الصدوق</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أساس ومعيار عدّت هذه الأخبار من الشواذ، مع أن الصدوق نفسه روى في كتابه التوحيد في باب القضاء والقدر ستة وثلاثين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رواه من الأحاديث في هذا الباب حديث آخر مهيب وقيّم جداً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القدر سرّ من سرّ اللّه، وستر من ستر اللّه، وحرز من حرز اللّه، مرفوع في حجاب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التوحيد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فإننا في هذا الباب نتزوّد من كلمات هذين العلمين ونجلس على خوان نعمةٍ ومائدة بسطاها وأمثالهما للُامة الإسلامية عامة وللعلماء والباحثين خاصة، فشكر اللّه مساعيهم</w:t>
      </w:r>
      <w:r>
        <w:rPr>
          <w:rFonts w:eastAsia="Amiri" w:cs="Amiri" w:ascii="Amiri" w:hAnsi="Amiri"/>
          <w:color w:val="111111"/>
          <w:sz w:val="28"/>
          <w:szCs w:val="28"/>
          <w:rtl w:val="true"/>
          <w:lang w:bidi="ar-SA"/>
        </w:rPr>
        <w:t>.</w:t>
      </w:r>
      <w:bookmarkStart w:id="35" w:name="pg2222_23224"/>
    </w:p>
    <w:p>
      <w:pPr>
        <w:pStyle w:val="BookText"/>
        <w:rPr/>
      </w:pPr>
      <w:bookmarkEnd w:id="35"/>
      <w:r>
        <w:rPr>
          <w:rFonts w:ascii="Amiri" w:hAnsi="Amiri" w:eastAsia="Amiri" w:cs="Amiri"/>
          <w:color w:val="111111"/>
          <w:sz w:val="28"/>
          <w:sz w:val="28"/>
          <w:szCs w:val="28"/>
          <w:rtl w:val="true"/>
          <w:lang w:bidi="ar-SA"/>
        </w:rPr>
        <w:t>والأولى أن نتأدب في هذه الأبواب بأدب الروايات وأن نتجنب عن الخوض في القدر، والأولى من ذلك أن نقيد النهي المطلق في هذه الروايات ونعتبره خاصاً باولئك الذين يعد تكلّمهم في القدر خلاف مصلحتهم ويعرضهم للضلال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فنظن أن إثارة مسألة قضاء اللّه وقدره والإيمان بها، من فوائدها أن لا يعد أحد أن يد اللّه لادخل لها في الأمر، ولايغفل الناس عن التوكل على اللّه والاستمداد من حوله وقوته، في الوقت نراهم يتوسلون بالأسباب الظاهرية، ولايبسطوا ألسنة الاعتراض والشك بوجه الحوادث والمصائب المكدّرة أيضاً، وأن لاينسوا الحقيقة المشار إليها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تكرهوا شيئاً وهو خير لكم وعسى أن تحبوا شيئاً وهو شرٌّ لكم واللّه يعلم وأنتم لاتعلمون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فيرضوا بقضاء اللّه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الأركان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لتعبير الإمام أمير المؤمنين عليه‌السلام، 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214061_3804643083"/>
      <w:bookmarkStart w:id="37" w:name="_Toc13"/>
      <w:bookmarkEnd w:id="36"/>
      <w:r>
        <w:rPr>
          <w:rtl w:val="true"/>
        </w:rPr>
        <w:t>الاعتقاد بالفطرة</w:t>
      </w:r>
      <w:bookmarkEnd w:id="37"/>
    </w:p>
    <w:p>
      <w:pPr>
        <w:pStyle w:val="BookText"/>
        <w:rPr/>
      </w:pPr>
      <w:r>
        <w:rPr>
          <w:rFonts w:ascii="Amiri" w:hAnsi="Amiri" w:eastAsia="Amiri" w:cs="Amiri"/>
          <w:color w:val="111111"/>
          <w:sz w:val="28"/>
          <w:sz w:val="28"/>
          <w:szCs w:val="28"/>
          <w:rtl w:val="true"/>
          <w:lang w:bidi="ar-SA"/>
        </w:rPr>
        <w:t>للشيخ المفيد في بحث الاعتقاد بالفطرة رأي آخر غير ما ذهب إليه الشيخ الصدوق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باب الاعتقاد بالفطرة وآيات الفطرة وأحاديثها كالحديث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w:t>
      </w:r>
    </w:p>
    <w:p>
      <w:pPr>
        <w:pStyle w:val="BookText"/>
        <w:rPr/>
      </w:pP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ذلك هو أن اللّه جعل فطرة الإنسان نقية مقتضية للتوحيد والعقائد الحقة، وحب الحق والخير، والتصديق بحسن العدل وقبح الظلم، والنفور عن الباطل والشر، بحيث لو لم يحجب هذه الفطرة الأمورُ المخالفة من قبيل سوء التربية، فالإنسان بنفسه سيهتدي إلى اللّه ويقر بوجود الصانع كما يتقبل العقائد الحقة عند ما تعرض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والصدوق فسّر الفطرة بهذا المعنى وقد بحثنا بتفصيل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الفطرة حول هذا الوجه، وكونه موافقاً لأصول العقائد الإسلامية في الفطرة والأحاديث الشريفة التي تدل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الله الخلق على‌التوحيد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للتوحيد، أي خلق الناس للاعتقاد بالتوحيد، وإلى هذا المعنى ذهب الشيخ الأعظم الشيخ المفيد واختاره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عبّر عن إرادة التوحيد منهم بالإرادة التكوينية، والظاهر أن المفيد استظهر من كلام الصدوق هذا الوجه فأجاب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كذلك لكان الجميع موحدين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وبديهي أنه لوكان الأمر دائراً بين الوجه الثاني والثالث فالقول الصحيح والمعتبر هو قول‌المفيد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لكن‌بما أنّنا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بأن‌الوجه المعتبرالمستفاد من‌الآية والروايات هو القول‌الأول، وهو مااختاره الصدوق ظاهراً، وفيه رجحان على القول‌الثاني ظاهراً</w:t>
      </w:r>
      <w:r>
        <w:rPr>
          <w:rFonts w:eastAsia="Amiri" w:cs="Amiri" w:ascii="Amiri" w:hAnsi="Amiri"/>
          <w:color w:val="111111"/>
          <w:sz w:val="28"/>
          <w:szCs w:val="28"/>
          <w:rtl w:val="true"/>
          <w:lang w:bidi="ar-SA"/>
        </w:rPr>
        <w:t>.</w:t>
      </w:r>
      <w:bookmarkStart w:id="38" w:name="pg2222_23226"/>
    </w:p>
    <w:p>
      <w:pPr>
        <w:pStyle w:val="Heading3"/>
        <w:numPr>
          <w:ilvl w:val="2"/>
          <w:numId w:val="1"/>
        </w:numPr>
        <w:rPr/>
      </w:pPr>
      <w:bookmarkStart w:id="39" w:name="__RefHeading___Toc1214063_3804643083"/>
      <w:bookmarkStart w:id="40" w:name="_Toc14"/>
      <w:bookmarkEnd w:id="38"/>
      <w:bookmarkEnd w:id="39"/>
      <w:r>
        <w:rPr>
          <w:rtl w:val="true"/>
        </w:rPr>
        <w:t>الاعتقاد في الاستطاعة</w:t>
      </w:r>
      <w:bookmarkEnd w:id="40"/>
    </w:p>
    <w:p>
      <w:pPr>
        <w:pStyle w:val="BookText"/>
        <w:rPr/>
      </w:pPr>
      <w:r>
        <w:rPr>
          <w:rFonts w:ascii="Amiri" w:hAnsi="Amiri" w:eastAsia="Amiri" w:cs="Amiri"/>
          <w:color w:val="111111"/>
          <w:sz w:val="28"/>
          <w:sz w:val="28"/>
          <w:szCs w:val="28"/>
          <w:rtl w:val="true"/>
          <w:lang w:bidi="ar-SA"/>
        </w:rPr>
        <w:t>اختلاف وَجهتي نظر هذين العلمين في باب الاعتقاد أشبه ما يكون بالاختلاف اللفظي، فتعريفنا للاستطاعة بأنها الوجود المقتضي للقدرة، أو الوجود المقتضي للقدرة على الفعل بشرطه، ولما كان عدم القدرة مستنداً إلى عدم المقتضي فمع وجود المقتضي وعدم الشرط، فالمستند هو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 الاستطاعة بالمعنى الأول في الآيات والروايات أحياناً، وعبر عنها بالمعنى الثاني في موارد أُخرى، فإذا كان المقصود من مصطلح الاستطاعة ما يقابل عدم الاستطاعة والجبر، فالقدرة على الفعل وتركه استطاعة وإن لم يوجد شرط إعمالها، وعلى أيّ، لايوجد اختلاف جوهري بين هذين العلمين، أو لانعرفه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214065_3804643083"/>
      <w:bookmarkStart w:id="42" w:name="_Toc15"/>
      <w:bookmarkEnd w:id="41"/>
      <w:r>
        <w:rPr>
          <w:rtl w:val="true"/>
        </w:rPr>
        <w:t>الاعتقاد في البداء</w:t>
      </w:r>
      <w:bookmarkEnd w:id="42"/>
    </w:p>
    <w:p>
      <w:pPr>
        <w:pStyle w:val="BookText"/>
        <w:rPr/>
      </w:pPr>
      <w:r>
        <w:rPr>
          <w:rFonts w:ascii="Amiri" w:hAnsi="Amiri" w:eastAsia="Amiri" w:cs="Amiri"/>
          <w:color w:val="111111"/>
          <w:sz w:val="28"/>
          <w:sz w:val="28"/>
          <w:szCs w:val="28"/>
          <w:rtl w:val="true"/>
          <w:lang w:bidi="ar-SA"/>
        </w:rPr>
        <w:t>يبدو أن هذين العلمين متفقان في مسألة البداء، وإن كان تعبير المفيد أكثر تفصيلا ونفعاً، وقد تعرضت لجوانب هذه المسألة في رسالة سر البداء</w:t>
      </w:r>
    </w:p>
    <w:p>
      <w:pPr>
        <w:pStyle w:val="BookText"/>
        <w:rPr/>
      </w:pPr>
      <w:r>
        <w:rPr>
          <w:rFonts w:ascii="Amiri" w:hAnsi="Amiri" w:eastAsia="Amiri" w:cs="Amiri"/>
          <w:color w:val="111111"/>
          <w:sz w:val="28"/>
          <w:sz w:val="28"/>
          <w:szCs w:val="28"/>
          <w:rtl w:val="true"/>
          <w:lang w:bidi="ar-SA"/>
        </w:rPr>
        <w:t>وبوسع القارى‌ء العزيز أن يرجع إلى تلك الرسالة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214067_3804643083"/>
      <w:bookmarkStart w:id="44" w:name="_Toc16"/>
      <w:bookmarkEnd w:id="43"/>
      <w:r>
        <w:rPr>
          <w:rtl w:val="true"/>
        </w:rPr>
        <w:t>الاعتقاد في التناهي عن الجدال</w:t>
      </w:r>
      <w:bookmarkEnd w:id="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أن هذين العلمين متفقا النظر في باب الجدال أيضاً، وإن كان كلام المفيد أبسط وأبين،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 المفيد موضح لكلام الصدوق وشرح له لم نعدُ في ذلك وجهَ الصواب</w:t>
      </w:r>
      <w:r>
        <w:rPr>
          <w:rFonts w:eastAsia="Amiri" w:cs="Amiri" w:ascii="Amiri" w:hAnsi="Amiri"/>
          <w:color w:val="111111"/>
          <w:sz w:val="28"/>
          <w:szCs w:val="28"/>
          <w:rtl w:val="true"/>
          <w:lang w:bidi="ar-SA"/>
        </w:rPr>
        <w:t>.</w:t>
      </w:r>
      <w:bookmarkStart w:id="45" w:name="pg2222_23227"/>
    </w:p>
    <w:p>
      <w:pPr>
        <w:pStyle w:val="Heading3"/>
        <w:numPr>
          <w:ilvl w:val="2"/>
          <w:numId w:val="1"/>
        </w:numPr>
        <w:rPr/>
      </w:pPr>
      <w:bookmarkStart w:id="46" w:name="__RefHeading___Toc1214069_3804643083"/>
      <w:bookmarkStart w:id="47" w:name="_Toc17"/>
      <w:bookmarkEnd w:id="45"/>
      <w:bookmarkEnd w:id="46"/>
      <w:r>
        <w:rPr>
          <w:rtl w:val="true"/>
        </w:rPr>
        <w:t>الاعتقاد في اللوح والقلم</w:t>
      </w:r>
      <w:bookmarkEnd w:id="47"/>
    </w:p>
    <w:p>
      <w:pPr>
        <w:pStyle w:val="BookText"/>
        <w:rPr/>
      </w:pPr>
      <w:r>
        <w:rPr>
          <w:rFonts w:ascii="Amiri" w:hAnsi="Amiri" w:eastAsia="Amiri" w:cs="Amiri"/>
          <w:color w:val="111111"/>
          <w:sz w:val="28"/>
          <w:sz w:val="28"/>
          <w:szCs w:val="28"/>
          <w:rtl w:val="true"/>
          <w:lang w:bidi="ar-SA"/>
        </w:rPr>
        <w:t xml:space="preserve">الرواية التي رواها الصدوق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منهما الملكين القائمين على اللوح والقلم بأمر اللّه، وهما يقرآن ما يكتب بقلم القدرة ويبلغانه سائر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الملائكة يدعون بالألواح والأقلام فغير مستبعد، حيث يكفي في التسمية أدنى مناسبة، وما ورد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الذي رواه الإمام علي بن موسى الرضا عليه‌السلام وذكر سند الحديث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اللوح عن القلم عن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منه أن اللوح والقلم إسمان 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ما ورد في هذه المصطلحات على لسان الشرع من اللوح والقلم والعرش والكرسي، وما يتعلق بعالم الغيب، فمصدر رواياته صحيح حتماً، والاستظهار البدائي منها غير صحيح، وما قاله الصدوق من هذه الجهة قابل للمناقشة، إذ كيف يمكن التعويل على خبر الواحد الذي لايكون موجباً للعلم، فيدّعى الاعتقاد به، ثم يعبّر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يوهم بأنه هو عقيدة الشيعة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هنا أن نذكر ملاحظات حول المصطلحات الإسلامية والعقائدية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تعريف مخالف للأُصول الإسلامية، مثل عدم تنزّه الخالق عن صفات المخلوق وشبهه بهم فهو باطل ومردود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التعبير القاطع بالجزم بمحض خبر الواحد خاصة إذا كان سنده ضعيفاً غير قوي، فإنه لايحصل الاعتقاد واليقين بالخبر الظني الصدور، وكل تعريف ينافي اصول المذهب أيضاً في مثل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 والعرش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تنزّه الباري تعالى عن الجسمية وصفات المخلوق الأخرى فهو في عقيدة الشيعة باطل ومردود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تعريف العرش بالملك أو المعاني الأخرى، بالاستناد إلى ظاهر اللفظ أو الروايات الشارحة فقابل للطرح، لكن الروايات إذا لم تكن متواترة أو قطعية الصدور، فلاتوجب اليقين والعلم والعقيدة نوعاً، وتجري فيها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لايوجب علماً ولاعملا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القطع والعمل بالروايات التي هي أخبار آحاد، أي أن القطع لايحصل منها عادةً، إلا أنها إذا لم يعارض مضمونها اصول المذهب فلايجوز ردها 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ففي مسئلة الكرسي والعرش إن كان مراد الصدوق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جميع الشيعة، الواجب عليهم، فكيف يمكن أن يحصل الاعتقاد في شي‌ء غالباً ما يكون سبباً للاحتمال أو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يصح عد هذا المعنى من المسائل الاعتقادية عند الشيعة؟ وإذا كان المراد هو اعتقاد الصدوق شخصياً فلانقاش فيه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يحصل لمثله من أخبار الآحاد هذا الاعتقاد بها لوجود القرائن، لكن ذلك لايلزم منه اعتقاد الآخرين بها، ويكون القول ما قاله الشيخ المفيد 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لمثل</w:t>
      </w:r>
      <w:bookmarkStart w:id="48" w:name="pg2222_23229"/>
    </w:p>
    <w:p>
      <w:pPr>
        <w:pStyle w:val="BookText"/>
        <w:rPr/>
      </w:pPr>
      <w:bookmarkEnd w:id="48"/>
      <w:r>
        <w:rPr>
          <w:rFonts w:ascii="Amiri" w:hAnsi="Amiri" w:eastAsia="Amiri" w:cs="Amiri"/>
          <w:color w:val="111111"/>
          <w:sz w:val="28"/>
          <w:sz w:val="28"/>
          <w:szCs w:val="28"/>
          <w:rtl w:val="true"/>
          <w:lang w:bidi="ar-SA"/>
        </w:rPr>
        <w:t xml:space="preserve">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 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فيعول على ذلك الظاهر،</w:t>
      </w:r>
    </w:p>
    <w:p>
      <w:pPr>
        <w:pStyle w:val="BookText"/>
        <w:rPr/>
      </w:pPr>
      <w:r>
        <w:rPr>
          <w:rFonts w:ascii="IRNazanin" w:hAnsi="IRNazanin" w:eastAsia="IRNazanin"/>
          <w:color w:val="111111"/>
          <w:sz w:val="28"/>
          <w:sz w:val="28"/>
          <w:szCs w:val="28"/>
          <w:rtl w:val="true"/>
          <w:lang w:bidi="fa-IR"/>
        </w:rPr>
        <w:t>وإلا فالوجه الوقوف عندها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214071_3804643083"/>
      <w:bookmarkStart w:id="50" w:name="_Toc18"/>
      <w:bookmarkEnd w:id="49"/>
      <w:r>
        <w:rPr>
          <w:rtl w:val="true"/>
        </w:rPr>
        <w:t>الاعتقاد في الكرسي</w:t>
      </w:r>
      <w:bookmarkEnd w:id="50"/>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الكرسي أنه وعاء جميع الخلق والعرش والسماوات والأرض وكل شي‌ء خلق اللّه تعالى، والكرسي في وجه آخر هو العلم، وقد سئل الصادق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علمه</w:t>
      </w:r>
      <w:r>
        <w:rPr>
          <w:rFonts w:eastAsia="IRNazanin" w:cs="IRNazanin"/>
          <w:color w:val="111111"/>
          <w:sz w:val="28"/>
          <w:szCs w:val="28"/>
          <w:rtl w:val="true"/>
          <w:lang w:bidi="fa-IR"/>
        </w:rPr>
        <w:t>.</w:t>
      </w:r>
    </w:p>
    <w:p>
      <w:pPr>
        <w:pStyle w:val="Heading3"/>
        <w:numPr>
          <w:ilvl w:val="2"/>
          <w:numId w:val="1"/>
        </w:numPr>
        <w:rPr/>
      </w:pPr>
      <w:bookmarkStart w:id="51" w:name="__RefHeading___Toc1214073_3804643083"/>
      <w:bookmarkStart w:id="52" w:name="_Toc19"/>
      <w:bookmarkEnd w:id="51"/>
      <w:r>
        <w:rPr>
          <w:rtl w:val="true"/>
        </w:rPr>
        <w:t>ولم يستدرك على الصدوق في هذا الباب</w:t>
      </w:r>
      <w:r>
        <w:rPr>
          <w:rtl w:val="true"/>
        </w:rPr>
        <w:t>.</w:t>
      </w:r>
      <w:bookmarkEnd w:id="52"/>
    </w:p>
    <w:p>
      <w:pPr>
        <w:pStyle w:val="Heading3"/>
        <w:numPr>
          <w:ilvl w:val="2"/>
          <w:numId w:val="1"/>
        </w:numPr>
        <w:rPr/>
      </w:pPr>
      <w:bookmarkStart w:id="53" w:name="__RefHeading___Toc1214075_3804643083"/>
      <w:bookmarkStart w:id="54" w:name="_Toc20"/>
      <w:bookmarkEnd w:id="53"/>
      <w:r>
        <w:rPr>
          <w:rtl w:val="true"/>
        </w:rPr>
        <w:t>الاعتقاد في العرش</w:t>
      </w:r>
      <w:bookmarkEnd w:id="54"/>
    </w:p>
    <w:p>
      <w:pPr>
        <w:pStyle w:val="BookText"/>
        <w:rPr/>
      </w:pPr>
      <w:r>
        <w:rPr>
          <w:rFonts w:ascii="Amiri" w:hAnsi="Amiri" w:eastAsia="Amiri" w:cs="Amiri"/>
          <w:color w:val="111111"/>
          <w:sz w:val="28"/>
          <w:sz w:val="28"/>
          <w:szCs w:val="28"/>
          <w:rtl w:val="true"/>
          <w:lang w:bidi="ar-SA"/>
        </w:rPr>
        <w:t xml:space="preserve">يستفاد من كلام الصدوق أن العرش يطلق على مجموع الخلق، ويطلق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وروى الشيخ الصدوق هنا حديثاً عن أبي عبد اللّه الصادق عليه‌السلام قد رواه في كتاب التوحيد أيضاً، إذ سئل عليه‌السلام عن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من كل شي‌ء، فليس شي‌ء أقرب إليه من شي‌ء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هذه الرواية أنه استشهد بإطلاق العرش على العلم،</w:t>
      </w:r>
    </w:p>
    <w:p>
      <w:pPr>
        <w:pStyle w:val="BookText"/>
        <w:rPr/>
      </w:pPr>
      <w:r>
        <w:rPr>
          <w:rFonts w:ascii="Amiri" w:hAnsi="Amiri" w:eastAsia="Amiri" w:cs="Amiri"/>
          <w:color w:val="111111"/>
          <w:sz w:val="28"/>
          <w:sz w:val="28"/>
          <w:szCs w:val="28"/>
          <w:rtl w:val="true"/>
          <w:lang w:bidi="ar-SA"/>
        </w:rPr>
        <w:t>واستفاد منه أن نسبة جميع الأشياء إلى علم الله على سبيل الاستواء والتساوي، فليس شي‌ء أقرب إليه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بعض الأخبار الواردة عن حملة العرش من الملائكة، وإذا لم يمكن تأويلها من الأخبار نفسها فلاننفي ظاهرها بل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وسبحانك ما أعظم ما نرى من خلقك، وما أصغر عظيمه في جنب ما غاب عنّا من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الاعتقاد بهذه المعاني، ولايحصل اليقين والاعتقاد لكل أحد بأخبار الآحاد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القسم الآخر من هذا الباب فسّر جملة العرش بالمعنى الثاني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جملتهم بل أكملهم رسول اللّه صلى الله عليه و آله والأئمة الطاهرين صلوات اللّه عليهم أجمعين، وكل شيعي مؤمن بولاية الأئمة الإثنى عشر عليهم‌السّلام يعتقد بذلك، وقد أدلى المفيد في هذا الباب بدلوه فقال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العرش في اللغة هو الملك، والاستواء عليه هو الاستيلاء عليه، فأما الوصف للعالم بالعرش فهو في مجاز اللغة دون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العرش الذي تحمله الملائكة فهو بعض المُلك، والأحاديث التي رويت في صفة الملائكة الحاملين للعرش، أحاديث آحاد وروايات أفراد لايجوز القطع بها</w:t>
      </w:r>
      <w:bookmarkStart w:id="55" w:name="pg2222_23231"/>
    </w:p>
    <w:p>
      <w:pPr>
        <w:pStyle w:val="BookText"/>
        <w:rPr/>
      </w:pPr>
      <w:bookmarkEnd w:id="55"/>
      <w:r>
        <w:rPr>
          <w:rFonts w:ascii="Amiri" w:hAnsi="Amiri" w:eastAsia="Amiri" w:cs="Amiri"/>
          <w:color w:val="111111"/>
          <w:sz w:val="28"/>
          <w:sz w:val="28"/>
          <w:szCs w:val="28"/>
          <w:rtl w:val="true"/>
          <w:lang w:bidi="ar-SA"/>
        </w:rPr>
        <w:t>ولاالعمل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214077_3804643083"/>
      <w:bookmarkStart w:id="57" w:name="_Toc21"/>
      <w:bookmarkEnd w:id="56"/>
      <w:r>
        <w:rPr>
          <w:rtl w:val="true"/>
        </w:rPr>
        <w:t>الاعتقاد في النفوس والأرواح</w:t>
      </w:r>
      <w:bookmarkEnd w:id="57"/>
    </w:p>
    <w:p>
      <w:pPr>
        <w:pStyle w:val="BookText"/>
        <w:rPr/>
      </w:pPr>
      <w:r>
        <w:rPr>
          <w:rFonts w:ascii="Amiri" w:hAnsi="Amiri" w:eastAsia="Amiri" w:cs="Amiri"/>
          <w:color w:val="111111"/>
          <w:sz w:val="28"/>
          <w:sz w:val="28"/>
          <w:szCs w:val="28"/>
          <w:rtl w:val="true"/>
          <w:lang w:bidi="ar-SA"/>
        </w:rPr>
        <w:t xml:space="preserve">ناقش المفيد الصدوقَ في بحث النفوس والأرواح، فأورد على كلام الصدوق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النفوس أنها هي الأرواح، وأنها الخلق الأول، وأنها خلقت للبقاء، وأنها في الأرض غريبة وفي الأبدان مسجونة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بشدة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أبي جعفر في النفس والروح على مذهب الحدس دون التحقيق، ولو اقتصر على الأخبار ولم يتعاط ذكرَ معانيها كان أسلم له من الدخول في باب يضيق عنه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المفيد لكل من النفس والروح أربعة معان لاتلاقي بينها لا في الترادف ولا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هنا محتملين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الصدوق أراد بالنفوس هنا ذوات الناس، أي الخصوصية أو الامتياز ما بين هذا الإنسان وذاك الإنسان، وهذا هو المعنى الأول من المعاني الأربعة التي ذكرها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للنفس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الإنسان وذاته روح، وفي قبال هذا المعنى ما قيل في نفس الحيوان </w:t>
      </w:r>
      <w:r>
        <w:rPr>
          <w:rStyle w:val="FootnoteAnchor"/>
          <w:rtl w:val="true"/>
        </w:rPr>
        <w:footnoteReference w:id="40"/>
      </w:r>
      <w:r>
        <w:rPr>
          <w:rFonts w:ascii="Amiri" w:hAnsi="Amiri" w:eastAsia="Amiri" w:cs="Amiri"/>
          <w:color w:val="111111"/>
          <w:sz w:val="28"/>
          <w:sz w:val="28"/>
          <w:szCs w:val="28"/>
          <w:rtl w:val="true"/>
          <w:lang w:bidi="ar-SA"/>
        </w:rPr>
        <w:t>وذاتِه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بدنه العنصري الحي، فإذا لم نقل بأن الحيوانات لها روح بحسب طبيعتها ونفسها، أو روح أطلقها الصدوق على النفس، لاتصح على أي معنى من المعاني التي عرفها المفيد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معنى هاتين الكلمتين غير منحصر بهذا العدد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الروح فعبارة عن معان،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ملائكة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ورد في أحاديث كثيرة التعبير بالروح واريد بها روح الإنسان، والمفيد نفسُه أشار إلى أن الروح تطلق على سائر الملائكة أيضاً، وقال إضافة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الأرواح بعد موت الأجساد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المعنى هو غير المعاني الأربعة التي ذكرها المفيد للروح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في نقاش المفيد وإشكاله على الصدوق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الأرواح قبل الأجسام الذي يعتقد به الصدوق وفقاً لدلالة الروايات الكثيرة عليه، وكأن المفيد أنكر ذلك حتى نسبه إلى القائلين بالتناسخ والحشوية من الشيعة الذين يقولون بأنّ الذوات الفعالة أو الأرواح مخلوقة في عالم الذر، واستدل على نفي كل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ذلك كذلك، لكنا نعرف نحن ما كنا عليه، وإذا ذكّرنا به ذكرناه ولاخفي علينا الحال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 حديث الأرواح بالملائكة، واعترض على شيخه الصدوق بشدة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صرّح به أبو جعفر في معنى النفس والروح هو قول التناسخية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يعلم أنه قولهم، فالجناية بذلك على نفسه وعلى غيره عظيمة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ننوّه هنا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كانت حقيقة الروح والنفس والعقل وما بطن من وجود الإنسان، كسائر كثير من الحقائق الأخرى، ما تزال مجهولة، إلا أنه ورد التصريح بخلق الأرواح قبل الأجساد في أحاديث كثيرة، ولما لم يكن للصدوق رحمه اللّه سبيل إلى ردها فقد أظهر اعتقاده بها، ولاعلاقة لهذا الاعتقاد بالتناسخ، لأن التناسخ هو عبارة عن تعلق الروح بالأجسام العنصرية المتعددة في هذه الدنيا، فهي تحلّ بعد فناء كل جسم بجسم آخر</w:t>
      </w:r>
      <w:r>
        <w:rPr>
          <w:rStyle w:val="FootnoteAnchor"/>
          <w:rtl w:val="true"/>
        </w:rPr>
        <w:footnoteReference w:id="42"/>
      </w:r>
      <w:r>
        <w:rPr>
          <w:rFonts w:ascii="Amiri" w:hAnsi="Amiri" w:eastAsia="Amiri" w:cs="Amiri"/>
          <w:color w:val="111111"/>
          <w:sz w:val="28"/>
          <w:sz w:val="28"/>
          <w:szCs w:val="28"/>
          <w:rtl w:val="true"/>
          <w:lang w:bidi="ar-SA"/>
        </w:rPr>
        <w:t>، وأن تظهر الحقيقة الواحدة في صور متعددة، وأن تنال في كل مرحلة جزاء المرحلة السابقة من ثواب أو عقاب، مع أنّ خلق الأرواح قبل الأجسام، يعني تعلق الروح منحصراً بجسم عنصري واحد، وهو غير الأرواح والأجسام الأخرى روحاً وجسماً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ممكن في حد نفسه دون أن نكون في صدد إثباته، وإن كان عند مثل الصدوق ثابتاً فقد أخذه عن رجال كان لهم حذاقة وتتبع كامل للأخبار، ولاينبغي قياسه على القول بالتناسخ</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مناقشةَ المفيد الثانيةَ للصدوق في مسألة بقاء الأرواح،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أنها خلقت للبقاء ولم تخلق للفناء،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خلقتم للفناء بل خلقتم للبقاء، وإنما تنقلون من دار إلى دار وإنها في الأرض غريبة وفي الأبدان مسجونة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واعتقادنا أنها إذا فارقت الأبدان فهي باقية منعّمة ومنها معذّبة إلى أن يردّها اللّه عزوجل</w:t>
      </w:r>
    </w:p>
    <w:p>
      <w:pPr>
        <w:pStyle w:val="BookText"/>
        <w:rPr/>
      </w:pPr>
      <w:r>
        <w:rPr>
          <w:rFonts w:ascii="IRNazanin" w:hAnsi="IRNazanin" w:eastAsia="IRNazanin"/>
          <w:color w:val="111111"/>
          <w:sz w:val="28"/>
          <w:sz w:val="28"/>
          <w:szCs w:val="28"/>
          <w:rtl w:val="true"/>
          <w:lang w:bidi="fa-IR"/>
        </w:rPr>
        <w:t>بقدرته إلى أبدانها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فاستدرك المفيد على هذا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من أن الأنفس باقية فعبارة مذمومة ولفظ يضادّ ألفاظ القرآن،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استدراكنا على كلام الشيخ المفيد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الأرواح بالجملة مستفاد من آيات القرآن، وفي مقام الجمع بين هذه الآيات والآية التي تمسّك بها المفيد، يرد هذا الاحتمال، وهو أنّ الحكم أو الإخبار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بمخلوقات الكرة الأرضية، ولاينافي بقاء الروح بعد فناء ذات الإنسان بعد الموت، كما ورد التصريح بحياة الشهداء بعد الموت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وجاء التصريح في بعض الآيات الأخرى، وكثير من الأخبار بحياتهم بعد الموت، وأن النبي الأكرم صلى الله عليه و آله وأمير المؤمنين عليه‌السلام خاطباهم بعد الموت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أن الشيخ الأعظم أبا عبد اللّه المفيد نفسه بَيَّن الحياة بعد الموت في هذا الفصل، وأكد على ذلك في الجملة، وفي كتابه أوائل المقالات أيضاً، في مثل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احتمال الرسل والأنبياء والأئمة، الآلام وأحوالهم بعد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أبان المفيد حياة الأنبياء والأئمة عليهم‌السّلام</w:t>
      </w:r>
    </w:p>
    <w:p>
      <w:pPr>
        <w:pStyle w:val="BookText"/>
        <w:rPr/>
      </w:pPr>
      <w:r>
        <w:rPr>
          <w:rFonts w:ascii="Amiri" w:hAnsi="Amiri" w:eastAsia="Amiri" w:cs="Amiri"/>
          <w:color w:val="111111"/>
          <w:sz w:val="28"/>
          <w:sz w:val="28"/>
          <w:szCs w:val="28"/>
          <w:rtl w:val="true"/>
          <w:lang w:bidi="ar-SA"/>
        </w:rPr>
        <w:t xml:space="preserve">بعد الموت، واستشهد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ولاتحسبن الذين قتلوا في سبيل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في قصة مؤمن آل فرعون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ياليت قومي يعلمون بما غفر لي ربّي وجعلني من المكرمين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وأكّد على هذا المعنى أيضاً في 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العكبرية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وصرّح بحياة الروح في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أحوال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نزول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تنعيم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فالظاهر أنّ مراد المفيد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أرواح الجميع في البرزخ لاتنتقل إلى حال الثواب أو العقاب، وهو في قبال جماعة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تحيا في البرزخ جميعاً، وأما من لم يمحّضوا الإيمان أو الكفر فتنعدم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الأرواح تفنى وتنعدم بحكم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يستفاد من كلامه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تحيا هناك،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يدل على أنه تعالى يحيي العبد بعد موته للمسألة، ويديم حياته لنعيم إن كان يستحقه، أو لعذاب إن كان يستحقه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وبديهي أنه لاالاعتقاد بأن الأرواح تفنى، ولاالاعتقاد بأن الأرواح لاتفنى، لايصطدم بالبرهان العقلي على استحالتها، وينبغي استفادة ذلك</w:t>
      </w:r>
      <w:bookmarkStart w:id="58" w:name="pg2222_23236"/>
    </w:p>
    <w:p>
      <w:pPr>
        <w:pStyle w:val="BookText"/>
        <w:rPr/>
      </w:pPr>
      <w:bookmarkEnd w:id="58"/>
      <w:r>
        <w:rPr>
          <w:rFonts w:ascii="Amiri" w:hAnsi="Amiri" w:eastAsia="Amiri" w:cs="Amiri"/>
          <w:color w:val="111111"/>
          <w:sz w:val="28"/>
          <w:sz w:val="28"/>
          <w:szCs w:val="28"/>
          <w:rtl w:val="true"/>
          <w:lang w:bidi="ar-SA"/>
        </w:rPr>
        <w:t>من دليل النقل، ومسلك المحدثين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مظنة للاعتماد، وتصريحهم بالبقاء أدعى للاطمئنان، وإن كان لايصح الاعتماد على التقليد في مثل هذه المسائل، لأنه لايكون موجباً لعلم ولا 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متفقة على أن الأرواح باقية إلى يوم القيامة، فإما هي في العذاب والنقمة، أو الثواب والنعمة، والحديث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يوصف به الموت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والقبر بيته، والجنة مأواه، والدنيا جنة الكافر، والقبر سجنه، والنار مأواه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214079_3804643083"/>
      <w:bookmarkStart w:id="60" w:name="_Toc22"/>
      <w:bookmarkEnd w:id="59"/>
      <w:r>
        <w:rPr>
          <w:rtl w:val="true"/>
        </w:rPr>
        <w:t>الاعتقاد في الموت</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 المفيد على الصدوق في باب الاعتقاد في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 الباب بالموت، وذكر غيره، وقد كان ينبغي أن يذكر حقيقة الموت، أو يترجم الباب بمآل الموت، وعاقبة الأموات</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إلا أن أبا جعفر عنون الباب بالاعتقاد بالموت لابحقيقة الموت حتى يرد عليه هذا الاعتراض من قِبَل المفيد، كما أن قصده في بعض الأبواب الأخرى لم يكن بيان الحقيقة، مثل باب النفوس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التعريف الذي ذكره المفيد للحياة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بها النموّ والإحساس، وتصح معها القدرة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تعريفاً لحقيقة الحياة أيضاً، بل هو تعريف لأثر الحياة وحقيقة الحياة، حسب اعتقاد بعض من الأمور المجهولة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فإن تعريف الموت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استحال معه النمو والإحساس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تعريفاً لحقيقة الموت أيضاً،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انعدام الإحساس واستحالة النموّ والعجز عن الحركة،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النموّ والإحساس أنفسهما، فقد عرفنا لفظيِ الحياة والموت ظاهراً دون 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أبوعبداللّه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يميت اللّه عبداً من عبيده إلا وإماتته أصلح له من بقائه، ولايحييه إلا وحياته أصلح له من موته، وكل ما يفعله اللّه تعالى بخلقه فهو أصلح لهم وأصوب في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فمراده غير واضح عندنا، وبديهي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يفعله اللّه تعالى بخلقه فهو أصلح لهم وأصوب في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مسلم وثابت في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النظام، ولاريب فيه، والإحياء والرزق والخلق ومثل هذه الأمور التي تعطى، هي في صالح العباد جميعاً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إماتة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منها الإماتة عند الأجل المسمى، فهذه هي الإماتة التي في صالح العبد، ولكن إذا اريد بها ما يشمل غير الأجل المسمى، أيضاً من أسباب يحصل بها الموت كالقتل ظلماً مثلا</w:t>
      </w:r>
    </w:p>
    <w:p>
      <w:pPr>
        <w:pStyle w:val="BookText"/>
        <w:rPr/>
      </w:pPr>
      <w:r>
        <w:rPr>
          <w:rFonts w:ascii="Amiri" w:hAnsi="Amiri" w:eastAsia="Amiri" w:cs="Amiri"/>
          <w:color w:val="111111"/>
          <w:sz w:val="28"/>
          <w:sz w:val="28"/>
          <w:szCs w:val="28"/>
          <w:rtl w:val="true"/>
          <w:lang w:bidi="ar-SA"/>
        </w:rPr>
        <w:t>فتصور هذه الإماتة في صالح العبد هو في منتهى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لاريب فيه، أنه قد قدر في نظام الخلق أن يحصل الموت بالأسباب العدوانية أيضاً، والمصلحة الكلية تقتضي ذلك، أما أن المصلحة الشخصية تقتضي ذلك أيضاً فهذا مشكل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إشكالا من ذلك أن يقال أو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الهالكين بالحوادث المختلفة من زلازل، أو حوادث دهس، أو انهدام، أو غرق أو افتراس حيوان، كل ذلك من مصلحة الشخص، فذلك محل تأمل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يتدارك الضرر الوارد على الشخص، فإن نسبة مثل هذه الإماتة إلى اللّه تختلف عن نسبة الشرور والسيئات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وإن كان الموت بسبب ارتكاب القتل وتأثير فعل القاتل في القتل، مقرراً في نظام كل العالم الذي هو خلق اللّه وفعله، إلا أن هذا الفعل ينسب إلى الفاعل، وإن كان الفعل صادراً من الفاعل بالقدرة التي منحها اللّه، وكان تأثيره أيضاً وفقاً للنظام الذي قرره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إذاً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 ويميت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الموت والحياة في الكائنات على الدوام، في جسم الإنسان، وفي خلايا الإنسان والحيوانات وجميع الموجودات الحية، حتى النباتات، فالأرض تحيا بالربيع ثم تموت في فصلي الصيف والخريف تدريجاً، واللّه يميتها ويحييها بحكم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يحيي</w:t>
      </w:r>
    </w:p>
    <w:p>
      <w:pPr>
        <w:pStyle w:val="BookText"/>
        <w:rPr/>
      </w:pPr>
      <w:r>
        <w:rPr>
          <w:rFonts w:ascii="IRNazanin" w:hAnsi="IRNazanin" w:eastAsia="IRNazanin"/>
          <w:color w:val="111111"/>
          <w:sz w:val="28"/>
          <w:sz w:val="28"/>
          <w:szCs w:val="28"/>
          <w:rtl w:val="true"/>
          <w:lang w:bidi="fa-IR"/>
        </w:rPr>
        <w:t>الأرض بعد موتها</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إن آثار إماتة اللّه وإحياءه واسعة وكثيرة إلى درجة لايتم شرحها وبسطها بكتابة مجلدات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أسرار هذا الإحياء والإماتة في غاية من الغموض والكثرة إلى درجة يجد البشر نفسه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جده واجتهاده وبحثه في كائنات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في المرحلة الابتدائية من الدراسة، وفي صفها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المميت والمحيي وهو يميت ويحيي، ولكن الفلاح مثلا ينثر حب الحنطة أو البذور الأخرى ويحرث الأرض ويسقيها، واللّه هو الذي ينمي الزرع وهو الزارع الحقيقي كما قال سبحانه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 أأنتم تزرعونه أم نحن الزارعون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ولكن هناك فرقاً بين من ينثر الحب ويحرث الأرض أو يغرس الشجر، وإن كان الله ينمي كل ذلك، ويهبه النضرة والخضرة، ويونعه بالأزهار والأثمار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يهلك الحرث ويحرقه ويقطع الشجر، فهذا الأمر وإن كان بسبب القوة التي منحها اللّه إياه، وما أودعه من أثر في‌الآلات، لكن ذلك لايسند إلى الله تعالى ولايكون في صالح العبد دائماً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فنحن لانسهب في الكلام، خوفاً أن ننتهي إلى الخوض في قدر اللّه المنهي عنه، ونأتمر مطيعين أمر القائل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الكلام إلى الله فأمسكوا</w:t>
      </w:r>
      <w:r>
        <w:rPr>
          <w:rFonts w:eastAsia="Amiri" w:cs="Amiri" w:ascii="Amiri" w:hAnsi="Amiri"/>
          <w:color w:val="111111"/>
          <w:sz w:val="28"/>
          <w:szCs w:val="28"/>
          <w:rtl w:val="true"/>
          <w:lang w:bidi="ar-SA"/>
        </w:rPr>
        <w:t>.</w:t>
      </w:r>
      <w:bookmarkStart w:id="61" w:name="pg2222_23240"/>
    </w:p>
    <w:p>
      <w:pPr>
        <w:pStyle w:val="Heading3"/>
        <w:numPr>
          <w:ilvl w:val="2"/>
          <w:numId w:val="1"/>
        </w:numPr>
        <w:rPr/>
      </w:pPr>
      <w:bookmarkStart w:id="62" w:name="__RefHeading___Toc1214081_3804643083"/>
      <w:bookmarkStart w:id="63" w:name="_Toc23"/>
      <w:bookmarkEnd w:id="61"/>
      <w:bookmarkEnd w:id="62"/>
      <w:r>
        <w:rPr>
          <w:rtl w:val="true"/>
        </w:rPr>
        <w:t>المسألة في القبر</w:t>
      </w:r>
      <w:bookmarkEnd w:id="63"/>
    </w:p>
    <w:p>
      <w:pPr>
        <w:pStyle w:val="BookText"/>
        <w:rPr/>
      </w:pPr>
      <w:r>
        <w:rPr>
          <w:rFonts w:ascii="Amiri" w:hAnsi="Amiri" w:eastAsia="Amiri" w:cs="Amiri"/>
          <w:color w:val="111111"/>
          <w:sz w:val="28"/>
          <w:sz w:val="28"/>
          <w:szCs w:val="28"/>
          <w:rtl w:val="true"/>
          <w:lang w:bidi="ar-SA"/>
        </w:rPr>
        <w:t xml:space="preserve">يبدو أن هذين العلمين متفقان في المسألة في القبر وإن كان الشيخ أبو عبد اللّه المفيد بين ذلك بتفصيل أكثر، وبما أن أبا عبد اللّه لم يعترض على أبي جعفر الصدوق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فيبدوا أنه متفق معه، كما أنه لم يعلق على الأبواب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يكتب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العدل جاء كلام أبي عبد اللّه ببيان وافٍ وشرح كافٍ مكملا ومتمماً لكلام أبي جعفر رحمه اللّه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214083_3804643083"/>
      <w:bookmarkStart w:id="65" w:name="_Toc24"/>
      <w:bookmarkEnd w:id="64"/>
      <w:r>
        <w:rPr>
          <w:rtl w:val="true"/>
        </w:rPr>
        <w:t>الاعتقاد في الأعراف</w:t>
      </w:r>
      <w:bookmarkEnd w:id="65"/>
    </w:p>
    <w:p>
      <w:pPr>
        <w:pStyle w:val="BookText"/>
        <w:rPr/>
      </w:pP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لايوجد اختلاف كبير بين وجهتي نظر الصدوق والمفيد، سوى ما قاله الصدوق في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بين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المفيد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الأعراف جبل بين الجنة والنار،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إنه سورٌ بين الجنة والنار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فالاختلاف بينهما إن وجد، فهو من حيث الإيجاز والتفصيل، وكلام المفيد في ذيل هذا الباب في منتهى الكمال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ذكرناه جائز في العقول وقد وردت به أخبار واللّه أعلم بالحقيقة من ذلك، إلا أن المقطوع به في جملته أن الأعراف مكان بين الجنّة والنار، يقف فيه من سميناه من حجج اللّه تعالى على خلقه، ويكون به يوم القيامة من المرجئين</w:t>
      </w:r>
      <w:bookmarkStart w:id="66" w:name="pg2222_23241"/>
    </w:p>
    <w:p>
      <w:pPr>
        <w:pStyle w:val="BookText"/>
        <w:rPr/>
      </w:pPr>
      <w:bookmarkEnd w:id="66"/>
      <w:r>
        <w:rPr>
          <w:rFonts w:ascii="Amiri" w:hAnsi="Amiri" w:eastAsia="Amiri" w:cs="Amiri"/>
          <w:color w:val="111111"/>
          <w:sz w:val="28"/>
          <w:sz w:val="28"/>
          <w:szCs w:val="28"/>
          <w:rtl w:val="true"/>
          <w:lang w:bidi="ar-SA"/>
        </w:rPr>
        <w:t>لأمر اللّه، وما بعد ذلك فاللّه أعلم بالحال فيه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كل منهما قريب من الآخر بل موافق للآخر، قدس‌الله‌سرهما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214085_3804643083"/>
      <w:bookmarkStart w:id="68" w:name="_Toc25"/>
      <w:bookmarkEnd w:id="67"/>
      <w:r>
        <w:rPr>
          <w:rtl w:val="true"/>
        </w:rPr>
        <w:t>الاعتقاد في العقبات</w:t>
      </w:r>
      <w:bookmarkEnd w:id="68"/>
    </w:p>
    <w:p>
      <w:pPr>
        <w:pStyle w:val="BookText"/>
        <w:rPr/>
      </w:pPr>
      <w:r>
        <w:rPr>
          <w:rFonts w:ascii="Amiri" w:hAnsi="Amiri" w:eastAsia="Amiri" w:cs="Amiri"/>
          <w:color w:val="111111"/>
          <w:sz w:val="28"/>
          <w:sz w:val="28"/>
          <w:szCs w:val="28"/>
          <w:rtl w:val="true"/>
          <w:lang w:bidi="ar-SA"/>
        </w:rPr>
        <w:t xml:space="preserve">خلاصة رأي الشيخ أبي جعفر الصدوق في العقبات على طريق المحشر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كل واحدةٍ منها اسمٌ على حدة، اسمُ فرضٍ أو أمر أو نهي، فمتى انتهى الإنسان إلى عقبة اسمها الفرض وكان قصَّر في ذلك الفرض حبس عندها وطولب بحق الله، فإن خرج منها بعمل صالح قدّمه أو برحمة تداركه، نجا منها إلى عقبة اخرى، فلايزال يدفع من عقبة إلى اخرى، فإن سلم من جميعها انتهى إلى دار البقاء، وإن لم ينجه عمل صالح ولاأدركته من الله تعالى رحمة، زلت به قدمه عن العقبة فهوى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منها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العقبات كلها على الصراط، اسم عقبة منها الولاية، يوقف جميع الخلائق عندها، فيسألون عن ولاية أمير المؤمنين والأئمة عليهم‌السّلام من بعده، فمن أتى بها نجا وجاز، ومن لم يأت بها بقي فهوى الخ </w:t>
      </w:r>
      <w:r>
        <w:rPr>
          <w:rFonts w:eastAsia="Amiri" w:cs="Amiri" w:ascii="Amiri" w:hAnsi="Amiri"/>
          <w:color w:val="111111"/>
          <w:sz w:val="28"/>
          <w:szCs w:val="28"/>
          <w:rtl w:val="true"/>
          <w:lang w:bidi="ar-SA"/>
        </w:rPr>
        <w:t>...).</w:t>
      </w:r>
      <w:bookmarkStart w:id="69" w:name="pg2222_23242"/>
    </w:p>
    <w:p>
      <w:pPr>
        <w:pStyle w:val="BookText"/>
        <w:rPr/>
      </w:pPr>
      <w:bookmarkEnd w:id="69"/>
      <w:r>
        <w:rPr>
          <w:rFonts w:ascii="Amiri" w:hAnsi="Amiri" w:eastAsia="Amiri" w:cs="Amiri"/>
          <w:color w:val="111111"/>
          <w:sz w:val="28"/>
          <w:sz w:val="28"/>
          <w:szCs w:val="28"/>
          <w:rtl w:val="true"/>
          <w:lang w:bidi="ar-SA"/>
        </w:rPr>
        <w:t xml:space="preserve">أما خلاصة رأي المفيد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بها جبال في الأرض تقطع، وإنما هي الأعمال شبهت بالعقبات، وجعل الوصف لما يلحق الإنسان في تخلصه من التقصير في طاعة اللّه تعالى كالعقبة التي يجهد صعودها وقطعها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واستشهد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وما أدريك ما العقبة فكُّ رقبة</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أمامكم عقبة كؤودا، ومنازل مهولة، لابدّ من الممرّ بها، والوقوف عليها، فإما برحمة من اللّه نجوتم وإما بهلكة ليس بعدها 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تعقيباً على ذلك، إن استظهار أبي عبد اللّه المفيد لطيف في حد نفسه، إلا أنه غاية ما 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استظهار الشيخ أبي جعفر لايرجح عليه، وكل على استظهاره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الاستدلال على ذلك، بالاستناد إلى ما ظنه الحشوية، وأن الحكمة لاتقتضي هذه العقبات، ولاوجه لخلق عقبات تسمى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موقوف على إحاطة الإنسان بجميع الحِكَم من الأفعال الإلهية، والمعيار هنا هو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خبر معتبر وصحيح،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العرفي لأحد الاستظهارين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هو العالم</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214087_3804643083"/>
      <w:bookmarkStart w:id="71" w:name="_Toc26"/>
      <w:bookmarkEnd w:id="70"/>
      <w:r>
        <w:rPr>
          <w:rtl w:val="true"/>
        </w:rPr>
        <w:t>في باب الحساب والميزان</w:t>
      </w:r>
      <w:bookmarkEnd w:id="71"/>
    </w:p>
    <w:p>
      <w:pPr>
        <w:pStyle w:val="Heading3"/>
        <w:numPr>
          <w:ilvl w:val="2"/>
          <w:numId w:val="1"/>
        </w:numPr>
        <w:rPr/>
      </w:pPr>
      <w:bookmarkStart w:id="72" w:name="__RefHeading___Toc1214089_3804643083"/>
      <w:bookmarkStart w:id="73" w:name="_Toc27"/>
      <w:bookmarkEnd w:id="72"/>
      <w:r>
        <w:rPr>
          <w:rtl w:val="true"/>
        </w:rPr>
        <w:t>اشارة</w:t>
      </w:r>
      <w:bookmarkEnd w:id="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لايظهر في هذا الباب اختلاف بين هذين العالمين العلمين أيضاً، إلا أن</w:t>
      </w:r>
    </w:p>
    <w:p>
      <w:pPr>
        <w:pStyle w:val="BookText"/>
        <w:rPr/>
      </w:pPr>
      <w:r>
        <w:rPr>
          <w:rFonts w:ascii="Amiri" w:hAnsi="Amiri" w:eastAsia="Amiri" w:cs="Amiri"/>
          <w:color w:val="111111"/>
          <w:sz w:val="28"/>
          <w:sz w:val="28"/>
          <w:szCs w:val="28"/>
          <w:rtl w:val="true"/>
          <w:lang w:bidi="ar-SA"/>
        </w:rPr>
        <w:t>الشيخ أبا عبد اللّه في كتابيه تصحيح الاعتقاد و أوائل المقالات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الحساب هو المقابلة بين الأعمال والجزاء عليها والمواقفة للعبد على ما 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حسابهم وعقابهم على حسب الاستحقاق، ويوفّى المؤمنون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العامة إليه من مقابلة الحسنات بالسيئات والموازنة بينهما، على حسب استحقاق الثواب والعقاب عليهما، إذ كان التحابط بين الأعمال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ما ذهب إليه أهل الحشو من أن في القيامة موازين كموازين الدنيا، لكل ميزان كفتان توضع الأعمال فيها، إذ الأعمال أعراض والأعراض لايصح 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مطالب هذه المقولة مصدرها السمع، وهي تستفاد من ظواهر القرآن والأحاديث الشريفة، ويمكن أن يكون المراد من وزن العمل هو وزن المثال، كما هو مذكور في باب تجسم الأعمال، وهي أُمور خفيت حقائقها علينا، فلايمكن إنكارها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أعراض والأعراض لايصح وزنها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أن تكون هناك موازين توزن فيها الأعمال ليعلم موافقتها من مخالفتها للأوامر والنواهي، وليوزن صاحب العمل، أو العمل نفسه مع سجل العمل وصحائف الأعمال، وقد وردت عندنا في باب تجسم الأعمال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بتجسم العمل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عرض، فيبدو في صورة حسنة جميلة، وإليه أشارت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w:t>
      </w:r>
      <w:bookmarkStart w:id="74" w:name="pg2222_23244"/>
    </w:p>
    <w:p>
      <w:pPr>
        <w:pStyle w:val="BookText"/>
        <w:rPr/>
      </w:pPr>
      <w:bookmarkEnd w:id="74"/>
      <w:r>
        <w:rPr>
          <w:rFonts w:ascii="Amiri" w:hAnsi="Amiri" w:eastAsia="Amiri" w:cs="Amiri"/>
          <w:color w:val="111111"/>
          <w:sz w:val="28"/>
          <w:sz w:val="28"/>
          <w:szCs w:val="28"/>
          <w:rtl w:val="true"/>
          <w:lang w:bidi="ar-SA"/>
        </w:rPr>
        <w:t>مثقال ذرة خيراً يره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المراد منه أن العمل نفسه يحفظ، كما يلاحظ اليوم في التلفاز، مع أن صاحب العمل ترك مكانه مثلا، أو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منه سجل الأعمال، أو يكون المراد جزاء العمل والثواب، أو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الأمور محتملة، ولاينبغي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 لايسمع في ذلك العالم، مع أنه قد أمكن سمعه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والخطأ الذي وقع فيه بعض المتكلمين هو أن هذه الأمور التي أخبر عنها الوحي والنبى صلى الله عليه و آله، جعلوها محلًا للمناقشة والرفض والقبول بسلسلة من المعلومات الناقصة عندهم، ثم أرادوا أن يزنوا الأشياء الضخمة الهائلة، بميزان توزن فيه الأشياء اليسيرة، شأن من يريد أن يَزِن الكرات والمجرات بميزان أعده للبطيخ مثلا، أو العكس من ذلك، كمن يَزِن الذهب بميزان توزن فيه الصخور والجبال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الصدوق والمفيد كليهما متفقان على أن النبي الأكرم صلى الله عليه و آله والأئمة من أهل بيته عليهم‌السّلام هم المتولون أمر الحساب</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214091_3804643083"/>
      <w:bookmarkStart w:id="76" w:name="_Toc28"/>
      <w:bookmarkEnd w:id="75"/>
      <w:r>
        <w:rPr>
          <w:rtl w:val="true"/>
        </w:rPr>
        <w:t>الاعتقاد في الجنة والنار</w:t>
      </w:r>
      <w:bookmarkEnd w:id="7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وجهتا نظر هذين العلمين متقاربتان في كتابيهما، في ما يتعلق بالجنة</w:t>
      </w:r>
    </w:p>
    <w:p>
      <w:pPr>
        <w:pStyle w:val="BookText"/>
        <w:rPr/>
      </w:pPr>
      <w:r>
        <w:rPr>
          <w:rFonts w:ascii="Amiri" w:hAnsi="Amiri" w:eastAsia="Amiri" w:cs="Amiri"/>
          <w:color w:val="111111"/>
          <w:sz w:val="28"/>
          <w:sz w:val="28"/>
          <w:szCs w:val="28"/>
          <w:rtl w:val="true"/>
          <w:lang w:bidi="ar-SA"/>
        </w:rPr>
        <w:t>والنار، وفي كل من الكتابين تفاصيل لم يذكر بعضها في الكتاب الآخر، فما هو ثابت من هذه التفاصيل بموجب الآيات والأخبار الصحيحة فهو حق وإن لم يجب الاعتقاد به، لكن إنكاره بل الشك فيه بعد الاطلاع على موارده ومصادره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الذي لايوافق الشيخ المفيد فيه أبا جعفر الصدوق هو أن الصدوق جعل أهل الجنة أنواعاً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مراتب منهم المتنعمون بتقديس اللّه وتسبيحه وتكبيره في جملة ملائكته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ذلك المفيد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من زعم أن في الجنة بشراً يلتذ بالتسبيح والتقديس من دون الأكل والشرب، قول شاذ عن دين الإسلام، وهو مأخوذ من مذهب النصارى الذين زعموا أن المطيعين في الدنيا يصيرون في الجنة ملائكة لايطعمون ولايشربون ولاينكحون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 على ذلك مستشهداً بآيات من الكتاب العزيز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اكلها دائم وظلّها تلك عقبى الذين اتّقوا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الجنّة اليوم في شغل 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وأزواجهم في ظلال على الأرائك متكئون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وغير ذلك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الآيات كثير في القرآن، وما قاله المفيد أوفق بمدلول هذه الآيات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ولاريب أن التنعم بهذه النعم غير مناف للالتذاذ بحصول القرب الإلهي، وبلوغ الثواب ومجالسة الأنبياء والأئمة الطاهرين والمقربين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bookmarkStart w:id="77" w:name="pg2222_23246"/>
    </w:p>
    <w:p>
      <w:pPr>
        <w:pStyle w:val="Heading3"/>
        <w:numPr>
          <w:ilvl w:val="2"/>
          <w:numId w:val="1"/>
        </w:numPr>
        <w:rPr/>
      </w:pPr>
      <w:bookmarkStart w:id="78" w:name="__RefHeading___Toc1214093_3804643083"/>
      <w:bookmarkStart w:id="79" w:name="_Toc29"/>
      <w:bookmarkEnd w:id="77"/>
      <w:bookmarkEnd w:id="78"/>
      <w:r>
        <w:rPr>
          <w:rtl w:val="true"/>
        </w:rPr>
        <w:t>الاعتقاد في كيفية نزول الوحي</w:t>
      </w:r>
      <w:bookmarkEnd w:id="79"/>
    </w:p>
    <w:p>
      <w:pPr>
        <w:pStyle w:val="BookText"/>
        <w:rPr/>
      </w:pPr>
      <w:r>
        <w:rPr>
          <w:rFonts w:ascii="Amiri" w:hAnsi="Amiri" w:eastAsia="Amiri" w:cs="Amiri"/>
          <w:color w:val="111111"/>
          <w:sz w:val="28"/>
          <w:sz w:val="28"/>
          <w:szCs w:val="28"/>
          <w:rtl w:val="true"/>
          <w:lang w:bidi="ar-SA"/>
        </w:rPr>
        <w:t>ما قاله الشيخ أبو عبد اللّه المفيد في حقيقة الوحي ونزوله، أكثر قبولا ومتانةً مما قاله الشيخ أبو جعفر الصدوق</w:t>
      </w:r>
    </w:p>
    <w:p>
      <w:pPr>
        <w:pStyle w:val="BookText"/>
        <w:rPr/>
      </w:pPr>
      <w:r>
        <w:rPr>
          <w:rFonts w:ascii="Amiri" w:hAnsi="Amiri" w:eastAsia="Amiri" w:cs="Amiri"/>
          <w:color w:val="111111"/>
          <w:sz w:val="28"/>
          <w:sz w:val="28"/>
          <w:szCs w:val="28"/>
          <w:rtl w:val="true"/>
          <w:lang w:bidi="ar-SA"/>
        </w:rPr>
        <w:t xml:space="preserve">فالوحي والعلاقة القائمة بين اللّه سبحانه والمصطفيْن من عباده لحمل رسالته إلى الناس حقيقةٌ إظهارُ العجز عن إدراكها، والاكتفاء بمعرفتها عن طريق آثارها، خير من إظهار وجهة النظر في حقيقتها، فالأمور التي تعرف بالآثار فحسب، أو تعرف بإخبار الأنبياء، كثيرة، ولايلزم أن تكون منحصرة بالوحي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الشيخ المفيد الوحي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يطلق على كل شي‌ء قصد به إفهام المخاطب على السرّ له عن غيره، والتخصيص له به دون سواه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214095_3804643083"/>
      <w:bookmarkStart w:id="81" w:name="_Toc30"/>
      <w:bookmarkEnd w:id="80"/>
      <w:r>
        <w:rPr>
          <w:rtl w:val="true"/>
        </w:rPr>
        <w:t>الإعتقاد في نزول القرآن</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الشيخ أبي عبد اللّه المفيد في هذا الباب، أرجح وأقوى من رأي شيخه الصدوق وملخص ما قاله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نزول القرآن جملة في بدء البعثة مع وجود آيات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 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 اللّه</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أو الآيات النازلة في مناسبات خاصة ونزولها قبل تلك المناسبات، لاينطبق معانيها، ولو كانت هناك رواية صحيحة معتبرة،</w:t>
      </w:r>
      <w:bookmarkStart w:id="82" w:name="pg2222_23247"/>
    </w:p>
    <w:p>
      <w:pPr>
        <w:pStyle w:val="BookText"/>
        <w:rPr/>
      </w:pPr>
      <w:bookmarkEnd w:id="82"/>
      <w:r>
        <w:rPr>
          <w:rFonts w:ascii="Amiri" w:hAnsi="Amiri" w:eastAsia="Amiri" w:cs="Amiri"/>
          <w:color w:val="111111"/>
          <w:sz w:val="28"/>
          <w:sz w:val="28"/>
          <w:szCs w:val="28"/>
          <w:rtl w:val="true"/>
          <w:lang w:bidi="ar-SA"/>
        </w:rPr>
        <w:t>فينبغي حملها على معنى يوافق هذه الآيات، لأن حمل الحديث على خلاف الظاهر أولى وأهون من حمل القرآن على خلاف الظاهر</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214097_3804643083"/>
      <w:bookmarkStart w:id="84" w:name="_Toc31"/>
      <w:bookmarkEnd w:id="83"/>
      <w:r>
        <w:rPr>
          <w:rtl w:val="true"/>
        </w:rPr>
        <w:t>الاعتقاد في مَبْلَغ القرآن</w:t>
      </w:r>
      <w:bookmarkEnd w:id="84"/>
    </w:p>
    <w:p>
      <w:pPr>
        <w:pStyle w:val="BookText"/>
        <w:rPr/>
      </w:pPr>
      <w:r>
        <w:rPr>
          <w:rFonts w:ascii="Amiri" w:hAnsi="Amiri" w:eastAsia="Amiri" w:cs="Amiri"/>
          <w:color w:val="111111"/>
          <w:sz w:val="28"/>
          <w:sz w:val="28"/>
          <w:szCs w:val="28"/>
          <w:rtl w:val="true"/>
          <w:lang w:bidi="ar-SA"/>
        </w:rPr>
        <w:t xml:space="preserve">لم يضف الشيخ أبو عبد اللّه المفيد في هذا الباب شيئاً على ما قاله أبوجعفر الصدوق ويبدو أنه متفق معه في أن القرآن النازل على رسول اللّه صلى الله عليه و آله، هو 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الدفتين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وافقه في سائر الأمور الأخرى هنا</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214099_3804643083"/>
      <w:bookmarkStart w:id="86" w:name="_Toc32"/>
      <w:bookmarkEnd w:id="85"/>
      <w:r>
        <w:rPr>
          <w:rtl w:val="true"/>
        </w:rPr>
        <w:t>الإعتقاد في الأنبياء والرسل والحجج والملائكة</w:t>
      </w:r>
      <w:bookmarkEnd w:id="86"/>
    </w:p>
    <w:p>
      <w:pPr>
        <w:pStyle w:val="BookText"/>
        <w:rPr/>
      </w:pPr>
      <w:r>
        <w:rPr>
          <w:rFonts w:ascii="Amiri" w:hAnsi="Amiri" w:eastAsia="Amiri" w:cs="Amiri"/>
          <w:color w:val="111111"/>
          <w:sz w:val="28"/>
          <w:sz w:val="28"/>
          <w:szCs w:val="28"/>
          <w:rtl w:val="true"/>
          <w:lang w:bidi="ar-SA"/>
        </w:rPr>
        <w:t xml:space="preserve">اتفق هذان العلمان الجليلان اتفاقاً تاماً في الاعتقاد بالأنبياء والرسل والحجج والملائكة، وفي عدد الأنبياء والأوصياء والأئمة الطاهرين عليهم‌السّلام الى خاتم الأئمة ومنقذ الأمة مولانا وسيدنا المهدي المنتظر أرواح العالمين له الفداء، ولاشبهة ولاكلام في ذلك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214101_3804643083"/>
      <w:bookmarkStart w:id="88" w:name="_Toc33"/>
      <w:bookmarkEnd w:id="87"/>
      <w:r>
        <w:rPr>
          <w:rtl w:val="true"/>
        </w:rPr>
        <w:t>الإعتقاد في العصمة</w:t>
      </w:r>
      <w:bookmarkEnd w:id="88"/>
    </w:p>
    <w:p>
      <w:pPr>
        <w:pStyle w:val="BookText"/>
        <w:rPr/>
      </w:pPr>
      <w:r>
        <w:rPr>
          <w:rFonts w:ascii="Amiri" w:hAnsi="Amiri" w:eastAsia="Amiri" w:cs="Amiri"/>
          <w:color w:val="111111"/>
          <w:sz w:val="28"/>
          <w:sz w:val="28"/>
          <w:szCs w:val="28"/>
          <w:rtl w:val="true"/>
          <w:lang w:bidi="ar-SA"/>
        </w:rPr>
        <w:t>قال أبو جعفر الصدوق في باب الاعتقاد بالعصمة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الأنبياء والرسل والأئمة والملائكة أنهم معصومون، مطهرون من كل دنس، وأنهم لايذنبون ذنباً، لاصغيراً ولاكبيراً، ولايعصون اللّه ما أمرهم ويفعلون ما يؤمرون، ومن نفى عنهم العصمة في شي‌ء من أحوالهم</w:t>
      </w:r>
    </w:p>
    <w:p>
      <w:pPr>
        <w:pStyle w:val="BookText"/>
        <w:rPr/>
      </w:pPr>
      <w:r>
        <w:rPr>
          <w:rFonts w:ascii="Amiri" w:hAnsi="Amiri" w:eastAsia="Amiri" w:cs="Amiri"/>
          <w:color w:val="111111"/>
          <w:sz w:val="28"/>
          <w:sz w:val="28"/>
          <w:szCs w:val="28"/>
          <w:rtl w:val="true"/>
          <w:lang w:bidi="ar-SA"/>
        </w:rPr>
        <w:t>فقد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واعتقادنا فيهم أنهم معصومون موصوفون بالكمال والتمام والعلم من أوائل امورهم وأواخرها، لايوصفون في شي‌ء من أحوالهم بنقص ولاعصيان ولاجهل</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يستفاد من كلام أبي عبد اللّه المفيد أن الأنبياء جميعهم والأئمة الطاهرين معصومون وموصوفون بالكمال حال النبوة و الإمامة،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والأنبياء والأئمة من بعدهم معصومون في حال نبوتهم وإمامتهم، من الكبائر كلها والصغائر، والعقل يجوز عليهم ترك مندوب إليه على غير التعمّد للتقصير والعصيان، ولايجوز عليهم ترك مفترض، لأن نبينا صلى الله عليه و آله والأئمة عليهم‌السّلام من بعده كانوا سالمين من ترك المندوب والمفترض قبل حال إمامتهم وبعدها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أنه صرّح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لهم قبل أحوال التكليف أحوال نقص وجهل، فإنهم يجرون مجرى عيسى ويحيى في حصول الكمال لهم مع صغر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تجوزه العقول ولاتنكره، وليس إلى تكذيب الأخبار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أن نقطع على كمالهم عليهم‌السّلام في العلم والعصمة في أحوال النبوة والإمامة، ونتوقف في ما قبل ذلك وهل كانت أحوال نبوة وإمامة أم لا؟ ونقطع على أن العصمة لازمة منذ أن أكمل اللّه تعالى عقولهم إلى أن قبضهم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ننوّه موضحين بأن هذا الكلام مخالف لضرورة المذهب والأحاديث المتواترة، فالشيعة متفقون على أن النبي صلى الله عليه و آله قبل بعثته، والأئمة عليهم‌السّلام قبل تكليفهم بالقيام بمسؤولية الإمامة، كانوا في مقام العصمة وكمال الصفات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قدس سره لاينسجم، وقداسة مقام خاتم الأنبياء الرفيعِ صلى الله عليه و آله الذي وصفه أمير المؤمنين عليه‌السلام بما كان عليه قبل بعثته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اعتقاد كل شيعي ومن جملتهم أبو عبد اللّه المفيد نفسه أن أميرالمؤمنين عليه‌السّلام كان معصوماً في‌عصر النبي صلى الله عليه و آله، وإن كانت‌مسؤولية الإمامة مناطة بشخص رسول الله صلى الله عليه و آله يومئذ، وكان أميرالمؤمنين عليه‌السلام مؤهلا لكل ما يستلزم الإمامة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للحسن عليه‌السلام فقد كان في عهد أبيه معصوماً مؤهلا لمستلزمات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أخوه الحسين عليه‌السلام في عهد أبيه أميرالمؤمنين عليه‌السلام وأخيه الحسن عليه‌السلام، حيث كان معصوماً مؤهلا لخصائص الإمامة ومستلزماتها و هكذا سائر الأئمة عليهم‌السّلام كانوا معصومين مؤهلين للإمامة قبل إمامتهم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الدالة على هذه العقيدة تفوق حد التواتر، مضافا الى أنه تترتب عقلا على عدم عصمة النبي والإمام قبل النبوة والإمامة نفس المفاسد التي تترتب في حال النبوة والإمامة لو قيل بعدم عصمتهم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ولايجوز شرعاً ولاعقلا التفكيك أو الفصل بين هاتين الحالتين وقبول</w:t>
      </w:r>
      <w:bookmarkStart w:id="89" w:name="pg2222_23250"/>
    </w:p>
    <w:p>
      <w:pPr>
        <w:pStyle w:val="BookText"/>
        <w:rPr/>
      </w:pPr>
      <w:bookmarkEnd w:id="89"/>
      <w:r>
        <w:rPr>
          <w:rFonts w:ascii="Amiri" w:hAnsi="Amiri" w:eastAsia="Amiri" w:cs="Amiri"/>
          <w:color w:val="111111"/>
          <w:sz w:val="28"/>
          <w:sz w:val="28"/>
          <w:szCs w:val="28"/>
          <w:rtl w:val="true"/>
          <w:lang w:bidi="ar-SA"/>
        </w:rPr>
        <w:t>النبوة وإمامة أصحاب السوابق السيئة، وليس من حقنا أن نُسي‌ء إلى ساحة المفيد القدسية، لكن الشيخ الصدوق لو قدّر له أن يواجهه في عالم مّا من العوالم وعاتبه على كلماته، لقال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اطلاعك على العلوم الإسلامية ومعارف أهل البيت، لكنك وقعت في هذا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فنحن نقر بعظمة هذين العلمين،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لمن أعطاهم اللّه تعالى هذه الحالة القدسية من أنبيائه والأئمة الطاهرين والملائكة عليهم‌السّلام و الجواد قد يكبوا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214103_3804643083"/>
      <w:bookmarkStart w:id="91" w:name="_Toc34"/>
      <w:bookmarkEnd w:id="90"/>
      <w:r>
        <w:rPr>
          <w:rtl w:val="true"/>
        </w:rPr>
        <w:t>الاعتقاد في نفي الغلو والتفويض</w:t>
      </w:r>
      <w:bookmarkEnd w:id="91"/>
    </w:p>
    <w:p>
      <w:pPr>
        <w:pStyle w:val="BookText"/>
        <w:rPr/>
      </w:pPr>
      <w:r>
        <w:rPr>
          <w:rFonts w:ascii="Amiri" w:hAnsi="Amiri" w:eastAsia="Amiri" w:cs="Amiri"/>
          <w:color w:val="111111"/>
          <w:sz w:val="28"/>
          <w:sz w:val="28"/>
          <w:szCs w:val="28"/>
          <w:rtl w:val="true"/>
          <w:lang w:bidi="ar-SA"/>
        </w:rPr>
        <w:t>لايوجد اختلاف جوهري في هذا البحث بين هذين العلمين، في نفي الغلو والتفويض، لكن تدارك الشيخ المفيد البحث السابق، وأورد على الصدوق في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المفوضة والغلاة وأصنافهم، نسبتهم إلى مشايخهم وعلمائهم، القول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نسبة هؤلاء القوم إلى التقصير علامةً على غلو الناس،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سمعنا حكاية ظاهرةً عن أبي جعفر محمد بن الحسن بن الوليد رحمه اللّه، لم نجد لها رافعاً في التقصير، وهي ما حكي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درجة في الغلو، نفي السهو عن النبي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صحت هذه الحكاية عنه فهو مقصر مع أنه من علماء القميين ومشيختهم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وجدنا جماعةً وردوا إلينا من قم يقصرون</w:t>
      </w:r>
      <w:bookmarkStart w:id="92" w:name="pg2222_23251"/>
    </w:p>
    <w:p>
      <w:pPr>
        <w:pStyle w:val="BookText"/>
        <w:rPr/>
      </w:pPr>
      <w:bookmarkEnd w:id="92"/>
      <w:r>
        <w:rPr>
          <w:rFonts w:ascii="Amiri" w:hAnsi="Amiri" w:eastAsia="Amiri" w:cs="Amiri"/>
          <w:color w:val="111111"/>
          <w:sz w:val="28"/>
          <w:sz w:val="28"/>
          <w:szCs w:val="28"/>
          <w:rtl w:val="true"/>
          <w:lang w:bidi="ar-SA"/>
        </w:rPr>
        <w:t>تقصيراً ظاهرا في الدين، وينزلون الأئمة عليهم‌السّلام عن مراتبهم ويزعمون أنهم كانوا لايعرفون كثيراً من الأحكام الدينية، حتى ينكت في قلوبهم، ورأينا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ملتجئون في حكم الشريعة إلى الرأي والظنون، ويدّعون مع ذلك أنهم من العلماء، وهذا هو التقصير الذي لاشبهة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علامة الغلو نفي القائل به عن الأئمة، سمات الحدوث، وحكمه لهم بالإلهية والقدم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ولايحتاج مع ذلك إلى الحكم عليهم وتحقيق أمرهم بما جعله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سمة للغلو على كل حال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214105_3804643083"/>
      <w:bookmarkStart w:id="94" w:name="_Toc35"/>
      <w:bookmarkEnd w:id="93"/>
      <w:r>
        <w:rPr>
          <w:rtl w:val="true"/>
        </w:rPr>
        <w:t>الإعتقاد في الظالمين</w:t>
      </w:r>
      <w:bookmarkEnd w:id="94"/>
    </w:p>
    <w:p>
      <w:pPr>
        <w:pStyle w:val="BookText"/>
        <w:rPr/>
      </w:pPr>
      <w:r>
        <w:rPr>
          <w:rFonts w:ascii="Amiri" w:hAnsi="Amiri" w:eastAsia="Amiri" w:cs="Amiri"/>
          <w:color w:val="111111"/>
          <w:sz w:val="28"/>
          <w:sz w:val="28"/>
          <w:szCs w:val="28"/>
          <w:rtl w:val="true"/>
          <w:lang w:bidi="ar-SA"/>
        </w:rPr>
        <w:t>لم يستدرك الشيخ المفيد في هذا الباب، على الشيخ أبي جعفر الصدوق ويظهر أن وجهتي نظرهما متحدتان</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214107_3804643083"/>
      <w:bookmarkStart w:id="96" w:name="_Toc36"/>
      <w:bookmarkEnd w:id="95"/>
      <w:r>
        <w:rPr>
          <w:rtl w:val="true"/>
        </w:rPr>
        <w:t>الإعتقاد في التقية</w:t>
      </w:r>
      <w:bookmarkEnd w:id="96"/>
    </w:p>
    <w:p>
      <w:pPr>
        <w:pStyle w:val="BookText"/>
        <w:rPr/>
      </w:pPr>
      <w:r>
        <w:rPr>
          <w:rFonts w:ascii="Amiri" w:hAnsi="Amiri" w:eastAsia="Amiri" w:cs="Amiri"/>
          <w:color w:val="111111"/>
          <w:sz w:val="28"/>
          <w:sz w:val="28"/>
          <w:szCs w:val="28"/>
          <w:rtl w:val="true"/>
          <w:lang w:bidi="ar-SA"/>
        </w:rPr>
        <w:t>في فصل التقية التي تعرض لها أبو جعفر بإجمال، فصّل الشيخ أبو عبد اللّه فيها، وكما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لايجوز كتمان الحق بصورة مطلقة، والصدوق وإن لم يصرّح بذلك إلّا أن مراده هذا المعنى نفسه أيضاً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وبديهي إذالم يكن موجب للتقية ولاضرورة في الأمر، ولايجوز حينئذ</w:t>
      </w:r>
      <w:bookmarkStart w:id="97" w:name="pg2222_23252"/>
    </w:p>
    <w:p>
      <w:pPr>
        <w:pStyle w:val="BookText"/>
        <w:rPr/>
      </w:pPr>
      <w:bookmarkEnd w:id="97"/>
      <w:r>
        <w:rPr>
          <w:rFonts w:ascii="Amiri" w:hAnsi="Amiri" w:eastAsia="Amiri" w:cs="Amiri"/>
          <w:color w:val="111111"/>
          <w:sz w:val="28"/>
          <w:sz w:val="28"/>
          <w:szCs w:val="28"/>
          <w:rtl w:val="true"/>
          <w:lang w:bidi="ar-SA"/>
        </w:rPr>
        <w:t>إنكار الحق وترك إظهاره، وجميع أدلة التقية في القرآن والأحاديث تدل على هذا التفصيل، ومعنى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ثابتة والعمل بها واجب حتى ظهور المهدي أرواحنا له الفداء، هو أنه قد تحصل ضرورات أو أخطار قبل ظهور المهدي سلام اللّه عليه توجب التقية أو تجيزها وذلك ممكن، لكن بعد ظهوره حيث يظهر اللّه الإسلام والإيمان على الدين كله وينتشر ذلك في العالم وبحكم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المؤمنين من بعد خوفهم أمناً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فلاوجود للخوف حينئذ، فلايبقى موضوع للتقية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214109_3804643083"/>
      <w:bookmarkStart w:id="99" w:name="_Toc37"/>
      <w:bookmarkEnd w:id="98"/>
      <w:r>
        <w:rPr>
          <w:rtl w:val="true"/>
        </w:rPr>
        <w:t>الإعتقاد في آباء النبي صلى الله عليه و آله</w:t>
      </w:r>
      <w:bookmarkEnd w:id="99"/>
    </w:p>
    <w:p>
      <w:pPr>
        <w:pStyle w:val="BookText"/>
        <w:rPr/>
      </w:pPr>
      <w:r>
        <w:rPr>
          <w:rFonts w:ascii="Amiri" w:hAnsi="Amiri" w:eastAsia="Amiri" w:cs="Amiri"/>
          <w:color w:val="111111"/>
          <w:sz w:val="28"/>
          <w:sz w:val="28"/>
          <w:szCs w:val="28"/>
          <w:rtl w:val="true"/>
          <w:lang w:bidi="ar-SA"/>
        </w:rPr>
        <w:t>اتفق كلا العلمين على أن آباء النبي صلى الله عليه و آله موحدين مؤمنين، وكما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عصابة الحق على هذا الاعتقاد، وكذلك اتفقا على إيمان أبي‌طالب وآمنة ام النبي صلى الله عليه و آله وإن لم يصرح الشيخ المفيد بذلك</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214111_3804643083"/>
      <w:bookmarkStart w:id="101" w:name="_Toc38"/>
      <w:bookmarkEnd w:id="100"/>
      <w:r>
        <w:rPr>
          <w:rtl w:val="true"/>
        </w:rPr>
        <w:t>الإعتقاد في العلوية</w:t>
      </w:r>
      <w:bookmarkEnd w:id="1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إختلف نظر هذين العالمين العلمين الجليلين في 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حيث فسّر الصدوق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الإستثناء، لكن المفيد 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لكن،</w:t>
      </w:r>
    </w:p>
    <w:p>
      <w:pPr>
        <w:pStyle w:val="BookText"/>
        <w:rPr/>
      </w:pPr>
      <w:r>
        <w:rPr>
          <w:rFonts w:ascii="Amiri" w:hAnsi="Amiri" w:eastAsia="Amiri" w:cs="Amiri"/>
          <w:color w:val="111111"/>
          <w:sz w:val="28"/>
          <w:sz w:val="28"/>
          <w:szCs w:val="28"/>
          <w:rtl w:val="true"/>
          <w:lang w:bidi="ar-SA"/>
        </w:rPr>
        <w:t>فيكون مفاد الصدوق بناءً على هذا أن النبي صلى الله عليه و آله قال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لاأطلب منكم أجراً غير مودة القربى، أو قال على مبنى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لاأطلب منكم أجراً، وإنما أطلب منكم أو أُوجب عليكم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القول بأن اللّه تعالى جعل أجر نبيه مودة أهل بيته عليه‌السلام ولا أنه جعل ذلك من أجره عليه‌السلام، لأن أجر النبي صلى الله عليه و آله في التقرب إلى اللّه تعالى هو الثواب الدائم وهو مستحق على اللّه تعالى في عدله وجوده وكرمه، وليس المستحق على الأعمال يتعلق بالعباد لأن العمل يجب أن يكون للّه تعالى خالصاً، وما كان للّه فالأجر فيه على اللّه تعالى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أسألكم عليه أجراً إن أجري إلا على الذي فطرني</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فلو كان الأجر على ما ظنه أبو جعفر في معنى الآية لتناقض القرآن ثم قال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تاماً،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مبتدأ إلخ </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الجملتين مسوقتان للترغيب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الجملة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سؤال الأجر، بل مقدمة وتمهيد لبيان مفاد الجملة الثانية، فهي بمعنى أني لاأُريد منكم أجراً قبال حق الرسالة العظيم عليكم سوى المودة في القربى، ولما كانت</w:t>
      </w:r>
      <w:bookmarkStart w:id="102" w:name="pg2222_23254"/>
    </w:p>
    <w:p>
      <w:pPr>
        <w:pStyle w:val="BookText"/>
        <w:rPr/>
      </w:pPr>
      <w:bookmarkEnd w:id="102"/>
      <w:r>
        <w:rPr>
          <w:rFonts w:ascii="Amiri" w:hAnsi="Amiri" w:eastAsia="Amiri" w:cs="Amiri"/>
          <w:color w:val="111111"/>
          <w:sz w:val="28"/>
          <w:sz w:val="28"/>
          <w:szCs w:val="28"/>
          <w:rtl w:val="true"/>
          <w:lang w:bidi="ar-SA"/>
        </w:rPr>
        <w:t>الجملتان مترابطتين فلاتهافت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الرسالة لكونها عملا للّه فأجرها على اللّه، فجوابه أنه لازم أداء هذا العمل للّه هو إثبات الحق لرسول اللّه على أُمته، والأمة مسؤولة أيضاً أن تؤدي ما عليها من الحق، لذا فقد كلّفت هذه الأمة عرفاً وترغيباً لأداء حق الرسالة بمودة ذوي القربى من أهل بيت محمد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فينبغي أن يعالج هذا الكلام برُمّته في‌التفسير، لكن ما ينبغي الإشارة إليه وبناءً على التفسيرين ووفقاً لما ورد في الروايات الكثيرة فإن المراد بالقربى هو قربى رسول اللّه صلى الله عليه و آله، وقد اتفقت وجهتا نظر الصدوق والمفيد على ذلك</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214113_3804643083"/>
      <w:bookmarkStart w:id="104" w:name="_Toc39"/>
      <w:bookmarkEnd w:id="103"/>
      <w:r>
        <w:rPr>
          <w:rtl w:val="true"/>
        </w:rPr>
        <w:t>الإعتقاد في الأخبار المفسّرة والمجملة</w:t>
      </w:r>
      <w:bookmarkEnd w:id="104"/>
    </w:p>
    <w:p>
      <w:pPr>
        <w:pStyle w:val="BookText"/>
        <w:rPr/>
      </w:pPr>
      <w:r>
        <w:rPr>
          <w:rFonts w:ascii="Amiri" w:hAnsi="Amiri" w:eastAsia="Amiri" w:cs="Amiri"/>
          <w:color w:val="111111"/>
          <w:sz w:val="28"/>
          <w:sz w:val="28"/>
          <w:szCs w:val="28"/>
          <w:rtl w:val="true"/>
          <w:lang w:bidi="ar-SA"/>
        </w:rPr>
        <w:t>لايوجد في هذا الباب نقاش بين الصدوق والمفيد، إلا أن الظاهر اتفاقهما على أن الأخبار المفسرة حاكمة على الأخبارالمجملة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214115_3804643083"/>
      <w:bookmarkStart w:id="106" w:name="_Toc40"/>
      <w:bookmarkEnd w:id="105"/>
      <w:r>
        <w:rPr>
          <w:rtl w:val="true"/>
        </w:rPr>
        <w:t>الإعتقاد في الحظر والإباحة</w:t>
      </w:r>
      <w:bookmarkEnd w:id="106"/>
    </w:p>
    <w:p>
      <w:pPr>
        <w:pStyle w:val="BookText"/>
        <w:rPr/>
      </w:pPr>
      <w:r>
        <w:rPr>
          <w:rFonts w:ascii="Amiri" w:hAnsi="Amiri" w:eastAsia="Amiri" w:cs="Amiri"/>
          <w:color w:val="111111"/>
          <w:sz w:val="28"/>
          <w:sz w:val="28"/>
          <w:szCs w:val="28"/>
          <w:rtl w:val="true"/>
          <w:lang w:bidi="ar-SA"/>
        </w:rPr>
        <w:t xml:space="preserve">قال الصدوق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كلها مطلقة حتى يرد في شي‌ء منها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جواب الشيخ المفيد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الأشياء كلها مطلقة ومحكومة بالإباحة فالأشياء في أحكام العقول على ضربين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حظره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كالظلم والسفه 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w:t>
      </w:r>
      <w:bookmarkStart w:id="107" w:name="pg2222_23255"/>
    </w:p>
    <w:p>
      <w:pPr>
        <w:pStyle w:val="BookText"/>
        <w:rPr/>
      </w:pPr>
      <w:bookmarkEnd w:id="107"/>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ماليس للعقل فيها حكم، فهذه القاعدة جارية في هذا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الصدوق يوافق هذا الرأي أيضاً وتعبيره إنما هو بلحاظ أن كل ما قبّحه العقل ووبّخ عليه فاعلَه فقد نهى عنه الشارع، لذا بوسعنا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أحرار في جميع الأمور، إلا ما ورد النهي عنه</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214117_3804643083"/>
      <w:bookmarkStart w:id="109" w:name="_Toc41"/>
      <w:bookmarkEnd w:id="108"/>
      <w:r>
        <w:rPr>
          <w:rtl w:val="true"/>
        </w:rPr>
        <w:t>الإعتقاد في الأخبار الواردة في الطب</w:t>
      </w:r>
      <w:bookmarkEnd w:id="109"/>
    </w:p>
    <w:p>
      <w:pPr>
        <w:pStyle w:val="BookText"/>
        <w:rPr/>
      </w:pP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الواردة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الشيخ أبو عبد اللّه شيخه أبا جعفر الصدوق وأضاف قسماً آخر على هذه الأحاديث التي ذكرها الشيخ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الأمر أن 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صحيح والعلم به ثابت وطريقه الوحي وإنما أخذه العلماء عن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أنه وإن لم يكن هناك سبيل إلى نفي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وتعلّمه إنما هو من تلقين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القول بأن علم الطب كله من السماء مخالف للتجربة والحس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فالبشر وقف على الطب الذي هو واحد من العلوم الكثيرة والصناعات التي تعلّمها بذكائه واستعداده وتجاربه، وإن قلنا بجواز الإقتباس في بعض موارده وأقسامه من الأنبياء والوحي في ما مضى، أو في ما سيأتي من الزمن</w:t>
      </w:r>
      <w:r>
        <w:rPr>
          <w:rFonts w:eastAsia="Amiri" w:cs="Amiri" w:ascii="Amiri" w:hAnsi="Amiri"/>
          <w:color w:val="111111"/>
          <w:sz w:val="28"/>
          <w:szCs w:val="28"/>
          <w:rtl w:val="true"/>
          <w:lang w:bidi="ar-SA"/>
        </w:rPr>
        <w:t>.</w:t>
      </w:r>
      <w:bookmarkStart w:id="110" w:name="pg2222_23256"/>
    </w:p>
    <w:p>
      <w:pPr>
        <w:pStyle w:val="Heading3"/>
        <w:numPr>
          <w:ilvl w:val="2"/>
          <w:numId w:val="1"/>
        </w:numPr>
        <w:rPr/>
      </w:pPr>
      <w:bookmarkStart w:id="111" w:name="__RefHeading___Toc1214119_3804643083"/>
      <w:bookmarkStart w:id="112" w:name="_Toc42"/>
      <w:bookmarkEnd w:id="110"/>
      <w:bookmarkEnd w:id="111"/>
      <w:r>
        <w:rPr>
          <w:rtl w:val="true"/>
        </w:rPr>
        <w:t>الإعتقاد في الحديثين المختلفين</w:t>
      </w:r>
      <w:bookmarkEnd w:id="112"/>
    </w:p>
    <w:p>
      <w:pPr>
        <w:pStyle w:val="BookText"/>
        <w:rPr/>
      </w:pPr>
      <w:r>
        <w:rPr>
          <w:rFonts w:ascii="Amiri" w:hAnsi="Amiri" w:eastAsia="Amiri" w:cs="Amiri"/>
          <w:color w:val="111111"/>
          <w:sz w:val="28"/>
          <w:sz w:val="28"/>
          <w:szCs w:val="28"/>
          <w:rtl w:val="true"/>
          <w:lang w:bidi="ar-SA"/>
        </w:rPr>
        <w:t>لقد أشبع هذا الموضوع بحثاً وتفصيلا في باب التعادل والترجيح في الأصول، لذا فقد ارتأينا أن لانلج هذا البحث الذي تعرض له هذان العلمان الجليلان بل نحيل تحقيق مطلبه إلى مراجعة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سيدنا محمد وآله الطاهرين واللعن على أعدائهم أجمعين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الصافي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الطريف أن نذكر هنا أن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جمعها العلامة المجلسي في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وفقاً لما يرويه المحدث النوري في ليلة من اخريات ليالي محرم الحرام سنة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في مشهد الرضا عليه السلام، هي حسب تصورنا دليل على تأييده من عند اللّه لاستحضاره الذهني وإحاطته الشاملة، وهي كسائر التوفيقات التي لا نظير لها التي كانت من نصيب مفخرة الإسلام المجلسي قدس سره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تصحيح الاعتقاد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ترجمة لقول الشاعر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نص للشيخ المفيد وإنما نقلنا مضمون الترجمة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بنا أن نشير أن ما بين المعقوفين هو مقاطع من أقوال المفيد ذكرت مراعاة لترجمة الأصل لأن الكاتب لم يذكر من أقوال المفيد إلا عصارتها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التعبير في أصل المقال بصيغة الجمع وقد استغنى المترجم بصيغة المفرد الداخلة عليها لام الجنس لأنها تدل على العموم، 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تصحيح الاعتقاد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رأي صاحب المقال بل هو زعم القائلين بالتناسخ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التصحيح للمفيد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مقاطع من أقوال الصدوق في باب الاعتقاد في العقبات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الإعتقاد ص </w:t>
      </w:r>
      <w:r>
        <w:rPr>
          <w:rFonts w:eastAsia="IRNazanin" w:cs="IRNazanin"/>
          <w:b w:val="false"/>
          <w:bCs w:val="false"/>
          <w:i w:val="false"/>
          <w:iCs w:val="false"/>
          <w:color w:val="333333"/>
          <w:sz w:val="20"/>
          <w:szCs w:val="20"/>
        </w:rPr>
        <w:t>118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11576</Words>
  <Characters>53940</Characters>
  <CharactersWithSpaces>65084</CharactersWithSpaces>
  <Paragraphs>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2026-08-17T03:15:19Z</dcterms:created>
  <dc:creator>ghaemiyeh.com</dc:creator>
  <dc:description/>
  <dc:language>en-US</dc:language>
  <cp:lastModifiedBy/>
  <dcterms:modified xsi:type="dcterms:W3CDTF">2026-08-17T06:45:21Z</dcterms:modified>
  <cp:revision>1</cp:revision>
  <dc:subject/>
  <dc:title>بین العلمین الشیخ الصدوق والشیخ المفید</dc:title>
</cp:coreProperties>
</file>

<file path=docProps/custom.xml><?xml version="1.0" encoding="utf-8"?>
<Properties xmlns="http://schemas.openxmlformats.org/officeDocument/2006/custom-properties" xmlns:vt="http://schemas.openxmlformats.org/officeDocument/2006/docPropsVTypes"/>
</file>