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پیراستگی امامیه از تهمت های ابن تیمیه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85645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785647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85649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3785651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785653_3650668749">
            <w:r>
              <w:rPr>
                <w:webHidden/>
                <w:rStyle w:val="IndexLink"/>
                <w:rtl w:val="true"/>
              </w:rPr>
              <w:t>نقد سند روايت شَعبى</w:t>
            </w:r>
            <w:r>
              <w:rPr>
                <w:rStyle w:val="IndexLink"/>
                <w:rtl w:val="true"/>
              </w:rPr>
              <w:tab/>
            </w:r>
            <w:r>
              <w:rPr>
                <w:rStyle w:val="IndexLink"/>
              </w:rPr>
              <w:t>11</w:t>
            </w:r>
          </w:hyperlink>
        </w:p>
        <w:p>
          <w:pPr>
            <w:pStyle w:val="Contents3"/>
            <w:tabs>
              <w:tab w:val="clear" w:pos="8459"/>
              <w:tab w:val="right" w:pos="9026" w:leader="dot"/>
            </w:tabs>
            <w:rPr/>
          </w:pPr>
          <w:hyperlink w:anchor="__RefHeading___Toc3785655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785657_3650668749">
            <w:r>
              <w:rPr>
                <w:webHidden/>
                <w:rStyle w:val="IndexLink"/>
                <w:rtl w:val="true"/>
              </w:rPr>
              <w:t>اثبات شيعه‌نبودن شعبى</w:t>
            </w:r>
            <w:r>
              <w:rPr>
                <w:rStyle w:val="IndexLink"/>
                <w:rtl w:val="true"/>
              </w:rPr>
              <w:tab/>
            </w:r>
            <w:r>
              <w:rPr>
                <w:rStyle w:val="IndexLink"/>
              </w:rPr>
              <w:t>14</w:t>
            </w:r>
          </w:hyperlink>
        </w:p>
        <w:p>
          <w:pPr>
            <w:pStyle w:val="Contents2"/>
            <w:tabs>
              <w:tab w:val="clear" w:pos="8743"/>
              <w:tab w:val="right" w:pos="9026" w:leader="dot"/>
            </w:tabs>
            <w:rPr/>
          </w:pPr>
          <w:hyperlink w:anchor="__RefHeading___Toc3785659_3650668749">
            <w:r>
              <w:rPr>
                <w:webHidden/>
                <w:rStyle w:val="IndexLink"/>
                <w:rtl w:val="true"/>
              </w:rPr>
              <w:t xml:space="preserve">بى‌نيازى شيعه از جعل حديث براى فضايل على </w:t>
            </w:r>
            <w:r>
              <w:rPr>
                <w:rStyle w:val="IndexLink"/>
                <w:rtl w:val="true"/>
              </w:rPr>
              <w:t>(</w:t>
            </w:r>
            <w:r>
              <w:rPr>
                <w:rStyle w:val="IndexLink"/>
                <w:rtl w:val="true"/>
              </w:rPr>
              <w:t>ع</w:t>
            </w:r>
            <w:r>
              <w:rPr>
                <w:rStyle w:val="IndexLink"/>
                <w:rtl w:val="true"/>
              </w:rPr>
              <w:t>)</w:t>
              <w:tab/>
            </w:r>
            <w:r>
              <w:rPr>
                <w:rStyle w:val="IndexLink"/>
              </w:rPr>
              <w:t>17</w:t>
            </w:r>
          </w:hyperlink>
        </w:p>
        <w:p>
          <w:pPr>
            <w:pStyle w:val="Contents2"/>
            <w:tabs>
              <w:tab w:val="clear" w:pos="8743"/>
              <w:tab w:val="right" w:pos="9026" w:leader="dot"/>
            </w:tabs>
            <w:rPr/>
          </w:pPr>
          <w:hyperlink w:anchor="__RefHeading___Toc3785661_3650668749">
            <w:r>
              <w:rPr>
                <w:webHidden/>
                <w:rStyle w:val="IndexLink"/>
                <w:rtl w:val="true"/>
              </w:rPr>
              <w:t>تبرّى شيعه از عبدالله بن سبأ</w:t>
            </w:r>
            <w:r>
              <w:rPr>
                <w:rStyle w:val="IndexLink"/>
                <w:rtl w:val="true"/>
              </w:rPr>
              <w:tab/>
            </w:r>
            <w:r>
              <w:rPr>
                <w:rStyle w:val="IndexLink"/>
              </w:rPr>
              <w:t>23</w:t>
            </w:r>
          </w:hyperlink>
        </w:p>
        <w:p>
          <w:pPr>
            <w:pStyle w:val="Contents2"/>
            <w:tabs>
              <w:tab w:val="clear" w:pos="8743"/>
              <w:tab w:val="right" w:pos="9026" w:leader="dot"/>
            </w:tabs>
            <w:rPr/>
          </w:pPr>
          <w:hyperlink w:anchor="__RefHeading___Toc3785663_3650668749">
            <w:r>
              <w:rPr>
                <w:webHidden/>
                <w:rStyle w:val="IndexLink"/>
                <w:rtl w:val="true"/>
              </w:rPr>
              <w:t xml:space="preserve">اختصاص داشتن امامت به فرزندان على </w:t>
            </w:r>
            <w:r>
              <w:rPr>
                <w:rStyle w:val="IndexLink"/>
                <w:rtl w:val="true"/>
              </w:rPr>
              <w:t>(</w:t>
            </w:r>
            <w:r>
              <w:rPr>
                <w:rStyle w:val="IndexLink"/>
                <w:rtl w:val="true"/>
              </w:rPr>
              <w:t>ع</w:t>
            </w:r>
            <w:r>
              <w:rPr>
                <w:rStyle w:val="IndexLink"/>
                <w:rtl w:val="true"/>
              </w:rPr>
              <w:t>)</w:t>
              <w:tab/>
            </w:r>
            <w:r>
              <w:rPr>
                <w:rStyle w:val="IndexLink"/>
              </w:rPr>
              <w:t>25</w:t>
            </w:r>
          </w:hyperlink>
        </w:p>
        <w:p>
          <w:pPr>
            <w:pStyle w:val="Contents2"/>
            <w:tabs>
              <w:tab w:val="clear" w:pos="8743"/>
              <w:tab w:val="right" w:pos="9026" w:leader="dot"/>
            </w:tabs>
            <w:rPr/>
          </w:pPr>
          <w:hyperlink w:anchor="__RefHeading___Toc3785665_3650668749">
            <w:r>
              <w:rPr>
                <w:webHidden/>
                <w:rStyle w:val="IndexLink"/>
                <w:rtl w:val="true"/>
              </w:rPr>
              <w:t>حكم جهاد از نظر شيعه</w:t>
            </w:r>
            <w:r>
              <w:rPr>
                <w:rStyle w:val="IndexLink"/>
                <w:rtl w:val="true"/>
              </w:rPr>
              <w:tab/>
            </w:r>
            <w:r>
              <w:rPr>
                <w:rStyle w:val="IndexLink"/>
              </w:rPr>
              <w:t>27</w:t>
            </w:r>
          </w:hyperlink>
        </w:p>
        <w:p>
          <w:pPr>
            <w:pStyle w:val="Contents2"/>
            <w:tabs>
              <w:tab w:val="clear" w:pos="8743"/>
              <w:tab w:val="right" w:pos="9026" w:leader="dot"/>
            </w:tabs>
            <w:rPr/>
          </w:pPr>
          <w:hyperlink w:anchor="__RefHeading___Toc3785667_3650668749">
            <w:r>
              <w:rPr>
                <w:webHidden/>
                <w:rStyle w:val="IndexLink"/>
                <w:rtl w:val="true"/>
              </w:rPr>
              <w:t>عدّه نگه‌داشتن زنان نزد شيعه</w:t>
            </w:r>
            <w:r>
              <w:rPr>
                <w:rStyle w:val="IndexLink"/>
                <w:rtl w:val="true"/>
              </w:rPr>
              <w:tab/>
            </w:r>
            <w:r>
              <w:rPr>
                <w:rStyle w:val="IndexLink"/>
              </w:rPr>
              <w:t>29</w:t>
            </w:r>
          </w:hyperlink>
        </w:p>
        <w:p>
          <w:pPr>
            <w:pStyle w:val="Contents2"/>
            <w:tabs>
              <w:tab w:val="clear" w:pos="8743"/>
              <w:tab w:val="right" w:pos="9026" w:leader="dot"/>
            </w:tabs>
            <w:rPr/>
          </w:pPr>
          <w:hyperlink w:anchor="__RefHeading___Toc3785669_3650668749">
            <w:r>
              <w:rPr>
                <w:webHidden/>
                <w:rStyle w:val="IndexLink"/>
                <w:rtl w:val="true"/>
              </w:rPr>
              <w:t>نمازهاى واجب از نظر شيعه</w:t>
            </w:r>
            <w:r>
              <w:rPr>
                <w:rStyle w:val="IndexLink"/>
                <w:rtl w:val="true"/>
              </w:rPr>
              <w:tab/>
            </w:r>
            <w:r>
              <w:rPr>
                <w:rStyle w:val="IndexLink"/>
              </w:rPr>
              <w:t>33</w:t>
            </w:r>
          </w:hyperlink>
        </w:p>
        <w:p>
          <w:pPr>
            <w:pStyle w:val="Contents2"/>
            <w:tabs>
              <w:tab w:val="clear" w:pos="8743"/>
              <w:tab w:val="right" w:pos="9026" w:leader="dot"/>
            </w:tabs>
            <w:rPr/>
          </w:pPr>
          <w:hyperlink w:anchor="__RefHeading___Toc3785671_3650668749">
            <w:r>
              <w:rPr>
                <w:webHidden/>
                <w:rStyle w:val="IndexLink"/>
                <w:rtl w:val="true"/>
              </w:rPr>
              <w:t>جواز تأخير نماز مغرب از اول وقت از نظر شيعه</w:t>
            </w:r>
            <w:r>
              <w:rPr>
                <w:rStyle w:val="IndexLink"/>
                <w:rtl w:val="true"/>
              </w:rPr>
              <w:tab/>
            </w:r>
            <w:r>
              <w:rPr>
                <w:rStyle w:val="IndexLink"/>
              </w:rPr>
              <w:t>36</w:t>
            </w:r>
          </w:hyperlink>
        </w:p>
        <w:p>
          <w:pPr>
            <w:pStyle w:val="Contents2"/>
            <w:tabs>
              <w:tab w:val="clear" w:pos="8743"/>
              <w:tab w:val="right" w:pos="9026" w:leader="dot"/>
            </w:tabs>
            <w:rPr/>
          </w:pPr>
          <w:hyperlink w:anchor="__RefHeading___Toc3785673_3650668749">
            <w:r>
              <w:rPr>
                <w:webHidden/>
                <w:rStyle w:val="IndexLink"/>
                <w:rtl w:val="true"/>
              </w:rPr>
              <w:t>انحراف از قبله از نظر شيعه</w:t>
            </w:r>
            <w:r>
              <w:rPr>
                <w:rStyle w:val="IndexLink"/>
                <w:rtl w:val="true"/>
              </w:rPr>
              <w:tab/>
            </w:r>
            <w:r>
              <w:rPr>
                <w:rStyle w:val="IndexLink"/>
              </w:rPr>
              <w:t>39</w:t>
            </w:r>
          </w:hyperlink>
        </w:p>
        <w:p>
          <w:pPr>
            <w:pStyle w:val="Contents2"/>
            <w:tabs>
              <w:tab w:val="clear" w:pos="8743"/>
              <w:tab w:val="right" w:pos="9026" w:leader="dot"/>
            </w:tabs>
            <w:rPr/>
          </w:pPr>
          <w:hyperlink w:anchor="__RefHeading___Toc3785675_3650668749">
            <w:r>
              <w:rPr>
                <w:webHidden/>
                <w:rStyle w:val="IndexLink"/>
                <w:rtl w:val="true"/>
              </w:rPr>
              <w:t>تكان دادن سر و كتف در نماز</w:t>
            </w:r>
            <w:r>
              <w:rPr>
                <w:rStyle w:val="IndexLink"/>
                <w:rtl w:val="true"/>
              </w:rPr>
              <w:tab/>
            </w:r>
            <w:r>
              <w:rPr>
                <w:rStyle w:val="IndexLink"/>
              </w:rPr>
              <w:t>42</w:t>
            </w:r>
          </w:hyperlink>
        </w:p>
        <w:p>
          <w:pPr>
            <w:pStyle w:val="Contents2"/>
            <w:tabs>
              <w:tab w:val="clear" w:pos="8743"/>
              <w:tab w:val="right" w:pos="9026" w:leader="dot"/>
            </w:tabs>
            <w:rPr/>
          </w:pPr>
          <w:hyperlink w:anchor="__RefHeading___Toc3785677_3650668749">
            <w:r>
              <w:rPr>
                <w:webHidden/>
                <w:rStyle w:val="IndexLink"/>
                <w:rtl w:val="true"/>
              </w:rPr>
              <w:t>ديدگاه شيعه درباره مواضع سجده</w:t>
            </w:r>
            <w:r>
              <w:rPr>
                <w:rStyle w:val="IndexLink"/>
                <w:rtl w:val="true"/>
              </w:rPr>
              <w:tab/>
            </w:r>
            <w:r>
              <w:rPr>
                <w:rStyle w:val="IndexLink"/>
              </w:rPr>
              <w:t>43</w:t>
            </w:r>
          </w:hyperlink>
        </w:p>
        <w:p>
          <w:pPr>
            <w:pStyle w:val="Contents2"/>
            <w:tabs>
              <w:tab w:val="clear" w:pos="8743"/>
              <w:tab w:val="right" w:pos="9026" w:leader="dot"/>
            </w:tabs>
            <w:rPr/>
          </w:pPr>
          <w:hyperlink w:anchor="__RefHeading___Toc3785679_3650668749">
            <w:r>
              <w:rPr>
                <w:webHidden/>
                <w:rStyle w:val="IndexLink"/>
                <w:rtl w:val="true"/>
              </w:rPr>
              <w:t>تكان دادن سر پيش از سجده از نظر شيعه</w:t>
            </w:r>
            <w:r>
              <w:rPr>
                <w:rStyle w:val="IndexLink"/>
                <w:rtl w:val="true"/>
              </w:rPr>
              <w:tab/>
            </w:r>
            <w:r>
              <w:rPr>
                <w:rStyle w:val="IndexLink"/>
              </w:rPr>
              <w:t>47</w:t>
            </w:r>
          </w:hyperlink>
        </w:p>
        <w:p>
          <w:pPr>
            <w:pStyle w:val="Contents2"/>
            <w:tabs>
              <w:tab w:val="clear" w:pos="8743"/>
              <w:tab w:val="right" w:pos="9026" w:leader="dot"/>
            </w:tabs>
            <w:rPr/>
          </w:pPr>
          <w:hyperlink w:anchor="__RefHeading___Toc3785681_3650668749">
            <w:r>
              <w:rPr>
                <w:webHidden/>
                <w:rStyle w:val="IndexLink"/>
                <w:rtl w:val="true"/>
              </w:rPr>
              <w:t>پايين انداختن لباس، هنگام نماز</w:t>
            </w:r>
            <w:r>
              <w:rPr>
                <w:rStyle w:val="IndexLink"/>
                <w:rtl w:val="true"/>
              </w:rPr>
              <w:tab/>
            </w:r>
            <w:r>
              <w:rPr>
                <w:rStyle w:val="IndexLink"/>
              </w:rPr>
              <w:t>48</w:t>
            </w:r>
          </w:hyperlink>
        </w:p>
        <w:p>
          <w:pPr>
            <w:pStyle w:val="Contents2"/>
            <w:tabs>
              <w:tab w:val="clear" w:pos="8743"/>
              <w:tab w:val="right" w:pos="9026" w:leader="dot"/>
            </w:tabs>
            <w:rPr/>
          </w:pPr>
          <w:hyperlink w:anchor="__RefHeading___Toc3785683_3650668749">
            <w:r>
              <w:rPr>
                <w:webHidden/>
                <w:rStyle w:val="IndexLink"/>
                <w:rtl w:val="true"/>
              </w:rPr>
              <w:t>سجده بر جاى بلند از ديدگاه شيعه</w:t>
            </w:r>
            <w:r>
              <w:rPr>
                <w:rStyle w:val="IndexLink"/>
                <w:rtl w:val="true"/>
              </w:rPr>
              <w:tab/>
            </w:r>
            <w:r>
              <w:rPr>
                <w:rStyle w:val="IndexLink"/>
              </w:rPr>
              <w:t>50</w:t>
            </w:r>
          </w:hyperlink>
        </w:p>
        <w:p>
          <w:pPr>
            <w:pStyle w:val="Contents2"/>
            <w:tabs>
              <w:tab w:val="clear" w:pos="8743"/>
              <w:tab w:val="right" w:pos="9026" w:leader="dot"/>
            </w:tabs>
            <w:rPr/>
          </w:pPr>
          <w:hyperlink w:anchor="__RefHeading___Toc3785685_3650668749">
            <w:r>
              <w:rPr>
                <w:webHidden/>
                <w:rStyle w:val="IndexLink"/>
                <w:rtl w:val="true"/>
              </w:rPr>
              <w:t>چگونگى سلام گفتن شيعيان</w:t>
            </w:r>
            <w:r>
              <w:rPr>
                <w:rStyle w:val="IndexLink"/>
                <w:rtl w:val="true"/>
              </w:rPr>
              <w:tab/>
            </w:r>
            <w:r>
              <w:rPr>
                <w:rStyle w:val="IndexLink"/>
              </w:rPr>
              <w:t>55</w:t>
            </w:r>
          </w:hyperlink>
        </w:p>
        <w:p>
          <w:pPr>
            <w:pStyle w:val="Contents2"/>
            <w:tabs>
              <w:tab w:val="clear" w:pos="8743"/>
              <w:tab w:val="right" w:pos="9026" w:leader="dot"/>
            </w:tabs>
            <w:rPr/>
          </w:pPr>
          <w:hyperlink w:anchor="__RefHeading___Toc3785687_3650668749">
            <w:r>
              <w:rPr>
                <w:webHidden/>
                <w:rStyle w:val="IndexLink"/>
                <w:rtl w:val="true"/>
              </w:rPr>
              <w:t>اتهام تحريف قرآن به نظر شيعه</w:t>
            </w:r>
            <w:r>
              <w:rPr>
                <w:rStyle w:val="IndexLink"/>
                <w:rtl w:val="true"/>
              </w:rPr>
              <w:tab/>
            </w:r>
            <w:r>
              <w:rPr>
                <w:rStyle w:val="IndexLink"/>
              </w:rPr>
              <w:t>58</w:t>
            </w:r>
          </w:hyperlink>
        </w:p>
        <w:p>
          <w:pPr>
            <w:pStyle w:val="Contents2"/>
            <w:tabs>
              <w:tab w:val="clear" w:pos="8743"/>
              <w:tab w:val="right" w:pos="9026" w:leader="dot"/>
            </w:tabs>
            <w:rPr/>
          </w:pPr>
          <w:hyperlink w:anchor="__RefHeading___Toc3785689_3650668749">
            <w:r>
              <w:rPr>
                <w:webHidden/>
                <w:rStyle w:val="IndexLink"/>
                <w:rtl w:val="true"/>
              </w:rPr>
              <w:t>ديدگاه شيعه درباره جبرئيل</w:t>
            </w:r>
            <w:r>
              <w:rPr>
                <w:rStyle w:val="IndexLink"/>
                <w:rtl w:val="true"/>
              </w:rPr>
              <w:tab/>
            </w:r>
            <w:r>
              <w:rPr>
                <w:rStyle w:val="IndexLink"/>
              </w:rPr>
              <w:t>63</w:t>
            </w:r>
          </w:hyperlink>
        </w:p>
        <w:p>
          <w:pPr>
            <w:pStyle w:val="Contents2"/>
            <w:tabs>
              <w:tab w:val="clear" w:pos="8743"/>
              <w:tab w:val="right" w:pos="9026" w:leader="dot"/>
            </w:tabs>
            <w:rPr/>
          </w:pPr>
          <w:hyperlink w:anchor="__RefHeading___Toc3785691_3650668749">
            <w:r>
              <w:rPr>
                <w:webHidden/>
                <w:rStyle w:val="IndexLink"/>
                <w:rtl w:val="true"/>
              </w:rPr>
              <w:t>حرمت جان و مال مسلمانان نزد شيعه</w:t>
            </w:r>
            <w:r>
              <w:rPr>
                <w:rStyle w:val="IndexLink"/>
                <w:rtl w:val="true"/>
              </w:rPr>
              <w:tab/>
            </w:r>
            <w:r>
              <w:rPr>
                <w:rStyle w:val="IndexLink"/>
              </w:rPr>
              <w:t>66</w:t>
            </w:r>
          </w:hyperlink>
        </w:p>
        <w:p>
          <w:pPr>
            <w:pStyle w:val="Contents2"/>
            <w:tabs>
              <w:tab w:val="clear" w:pos="8743"/>
              <w:tab w:val="right" w:pos="9026" w:leader="dot"/>
            </w:tabs>
            <w:rPr/>
          </w:pPr>
          <w:hyperlink w:anchor="__RefHeading___Toc3785693_3650668749">
            <w:r>
              <w:rPr>
                <w:webHidden/>
                <w:rStyle w:val="IndexLink"/>
                <w:rtl w:val="true"/>
              </w:rPr>
              <w:t>شرايط طلاق زن نزد شيعه</w:t>
            </w:r>
            <w:r>
              <w:rPr>
                <w:rStyle w:val="IndexLink"/>
                <w:rtl w:val="true"/>
              </w:rPr>
              <w:tab/>
            </w:r>
            <w:r>
              <w:rPr>
                <w:rStyle w:val="IndexLink"/>
              </w:rPr>
              <w:t>70</w:t>
            </w:r>
          </w:hyperlink>
        </w:p>
        <w:p>
          <w:pPr>
            <w:pStyle w:val="Contents2"/>
            <w:tabs>
              <w:tab w:val="clear" w:pos="8743"/>
              <w:tab w:val="right" w:pos="9026" w:leader="dot"/>
            </w:tabs>
            <w:rPr/>
          </w:pPr>
          <w:hyperlink w:anchor="__RefHeading___Toc3785695_3650668749">
            <w:r>
              <w:rPr>
                <w:webHidden/>
                <w:rStyle w:val="IndexLink"/>
                <w:rtl w:val="true"/>
              </w:rPr>
              <w:t>حكم ازدواج موقت از نظر شيعه</w:t>
            </w:r>
            <w:r>
              <w:rPr>
                <w:rStyle w:val="IndexLink"/>
                <w:rtl w:val="true"/>
              </w:rPr>
              <w:tab/>
            </w:r>
            <w:r>
              <w:rPr>
                <w:rStyle w:val="IndexLink"/>
              </w:rPr>
              <w:t>74</w:t>
            </w:r>
          </w:hyperlink>
        </w:p>
        <w:p>
          <w:pPr>
            <w:pStyle w:val="Contents3"/>
            <w:tabs>
              <w:tab w:val="clear" w:pos="8459"/>
              <w:tab w:val="right" w:pos="9026" w:leader="dot"/>
            </w:tabs>
            <w:rPr/>
          </w:pPr>
          <w:hyperlink w:anchor="__RefHeading___Toc3785697_365066874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785699_3650668749">
            <w:r>
              <w:rPr>
                <w:webHidden/>
                <w:rStyle w:val="IndexLink"/>
                <w:rtl w:val="true"/>
              </w:rPr>
              <w:t xml:space="preserve">معناى اول متعه </w:t>
            </w:r>
            <w:r>
              <w:rPr>
                <w:rStyle w:val="IndexLink"/>
                <w:rtl w:val="true"/>
              </w:rPr>
              <w:t>(</w:t>
            </w:r>
            <w:r>
              <w:rPr>
                <w:rStyle w:val="IndexLink"/>
                <w:rtl w:val="true"/>
              </w:rPr>
              <w:t>ازدواج موقت</w:t>
            </w:r>
            <w:r>
              <w:rPr>
                <w:rStyle w:val="IndexLink"/>
                <w:rtl w:val="true"/>
              </w:rPr>
              <w:t>)</w:t>
              <w:tab/>
            </w:r>
            <w:r>
              <w:rPr>
                <w:rStyle w:val="IndexLink"/>
              </w:rPr>
              <w:t>74</w:t>
            </w:r>
          </w:hyperlink>
        </w:p>
        <w:p>
          <w:pPr>
            <w:pStyle w:val="Contents3"/>
            <w:tabs>
              <w:tab w:val="clear" w:pos="8459"/>
              <w:tab w:val="right" w:pos="9026" w:leader="dot"/>
            </w:tabs>
            <w:rPr/>
          </w:pPr>
          <w:hyperlink w:anchor="__RefHeading___Toc3785701_3650668749">
            <w:r>
              <w:rPr>
                <w:webHidden/>
                <w:rStyle w:val="IndexLink"/>
                <w:rtl w:val="true"/>
              </w:rPr>
              <w:t>معناى دوم متعه</w:t>
            </w:r>
            <w:r>
              <w:rPr>
                <w:rStyle w:val="IndexLink"/>
                <w:rtl w:val="true"/>
              </w:rPr>
              <w:tab/>
            </w:r>
            <w:r>
              <w:rPr>
                <w:rStyle w:val="IndexLink"/>
              </w:rPr>
              <w:t>76</w:t>
            </w:r>
          </w:hyperlink>
        </w:p>
        <w:p>
          <w:pPr>
            <w:pStyle w:val="Contents2"/>
            <w:tabs>
              <w:tab w:val="clear" w:pos="8743"/>
              <w:tab w:val="right" w:pos="9026" w:leader="dot"/>
            </w:tabs>
            <w:rPr/>
          </w:pPr>
          <w:hyperlink w:anchor="__RefHeading___Toc3785703_3650668749">
            <w:r>
              <w:rPr>
                <w:webHidden/>
                <w:rStyle w:val="IndexLink"/>
                <w:rtl w:val="true"/>
              </w:rPr>
              <w:t>حكم عزل در جماع</w:t>
            </w:r>
            <w:r>
              <w:rPr>
                <w:rStyle w:val="IndexLink"/>
                <w:rtl w:val="true"/>
              </w:rPr>
              <w:tab/>
            </w:r>
            <w:r>
              <w:rPr>
                <w:rStyle w:val="IndexLink"/>
              </w:rPr>
              <w:t>81</w:t>
            </w:r>
          </w:hyperlink>
        </w:p>
        <w:p>
          <w:pPr>
            <w:pStyle w:val="Contents3"/>
            <w:tabs>
              <w:tab w:val="clear" w:pos="8459"/>
              <w:tab w:val="right" w:pos="9026" w:leader="dot"/>
            </w:tabs>
            <w:rPr/>
          </w:pPr>
          <w:hyperlink w:anchor="__RefHeading___Toc3785705_365066874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3785707_3650668749">
            <w:r>
              <w:rPr>
                <w:webHidden/>
                <w:rStyle w:val="IndexLink"/>
                <w:rtl w:val="true"/>
              </w:rPr>
              <w:t>پرسشى بى‌پاسخ</w:t>
            </w:r>
            <w:r>
              <w:rPr>
                <w:rStyle w:val="IndexLink"/>
                <w:rtl w:val="true"/>
              </w:rPr>
              <w:tab/>
            </w:r>
            <w:r>
              <w:rPr>
                <w:rStyle w:val="IndexLink"/>
              </w:rPr>
              <w:t>86</w:t>
            </w:r>
          </w:hyperlink>
        </w:p>
        <w:p>
          <w:pPr>
            <w:pStyle w:val="Contents2"/>
            <w:tabs>
              <w:tab w:val="clear" w:pos="8743"/>
              <w:tab w:val="right" w:pos="9026" w:leader="dot"/>
            </w:tabs>
            <w:rPr/>
          </w:pPr>
          <w:hyperlink w:anchor="__RefHeading___Toc3785709_3650668749">
            <w:r>
              <w:rPr>
                <w:webHidden/>
                <w:rStyle w:val="IndexLink"/>
                <w:rtl w:val="true"/>
              </w:rPr>
              <w:t>حكم مارماهى و خرگوش و طحال از نظر شيعه</w:t>
            </w:r>
            <w:r>
              <w:rPr>
                <w:rStyle w:val="IndexLink"/>
                <w:rtl w:val="true"/>
              </w:rPr>
              <w:tab/>
            </w:r>
            <w:r>
              <w:rPr>
                <w:rStyle w:val="IndexLink"/>
              </w:rPr>
              <w:t>87</w:t>
            </w:r>
          </w:hyperlink>
        </w:p>
        <w:p>
          <w:pPr>
            <w:pStyle w:val="Contents2"/>
            <w:tabs>
              <w:tab w:val="clear" w:pos="8743"/>
              <w:tab w:val="right" w:pos="9026" w:leader="dot"/>
            </w:tabs>
            <w:rPr/>
          </w:pPr>
          <w:hyperlink w:anchor="__RefHeading___Toc3785711_3650668749">
            <w:r>
              <w:rPr>
                <w:webHidden/>
                <w:rStyle w:val="IndexLink"/>
                <w:rtl w:val="true"/>
              </w:rPr>
              <w:t>عدم جواز مسح بر روى كفش</w:t>
            </w:r>
            <w:r>
              <w:rPr>
                <w:rStyle w:val="IndexLink"/>
                <w:rtl w:val="true"/>
              </w:rPr>
              <w:tab/>
            </w:r>
            <w:r>
              <w:rPr>
                <w:rStyle w:val="IndexLink"/>
              </w:rPr>
              <w:t>91</w:t>
            </w:r>
          </w:hyperlink>
        </w:p>
        <w:p>
          <w:pPr>
            <w:pStyle w:val="Contents2"/>
            <w:tabs>
              <w:tab w:val="clear" w:pos="8743"/>
              <w:tab w:val="right" w:pos="9026" w:leader="dot"/>
            </w:tabs>
            <w:rPr/>
          </w:pPr>
          <w:hyperlink w:anchor="__RefHeading___Toc3785713_3650668749">
            <w:r>
              <w:rPr>
                <w:webHidden/>
                <w:rStyle w:val="IndexLink"/>
                <w:rtl w:val="true"/>
              </w:rPr>
              <w:t>حكم لحد از نظر شيعه</w:t>
            </w:r>
            <w:r>
              <w:rPr>
                <w:rStyle w:val="IndexLink"/>
                <w:rtl w:val="true"/>
              </w:rPr>
              <w:tab/>
            </w:r>
            <w:r>
              <w:rPr>
                <w:rStyle w:val="IndexLink"/>
              </w:rPr>
              <w:t>93</w:t>
            </w:r>
          </w:hyperlink>
        </w:p>
        <w:p>
          <w:pPr>
            <w:pStyle w:val="Contents2"/>
            <w:tabs>
              <w:tab w:val="clear" w:pos="8743"/>
              <w:tab w:val="right" w:pos="9026" w:leader="dot"/>
            </w:tabs>
            <w:rPr/>
          </w:pPr>
          <w:hyperlink w:anchor="__RefHeading___Toc3785715_3650668749">
            <w:r>
              <w:rPr>
                <w:webHidden/>
                <w:rStyle w:val="IndexLink"/>
                <w:rtl w:val="true"/>
              </w:rPr>
              <w:t xml:space="preserve">گذاشتن </w:t>
            </w:r>
            <w:r>
              <w:rPr>
                <w:rStyle w:val="IndexLink"/>
                <w:rtl w:val="true"/>
              </w:rPr>
              <w:t>«</w:t>
            </w:r>
            <w:r>
              <w:rPr>
                <w:rStyle w:val="IndexLink"/>
                <w:rtl w:val="true"/>
              </w:rPr>
              <w:t>جريدتين</w:t>
            </w:r>
            <w:r>
              <w:rPr>
                <w:rStyle w:val="IndexLink"/>
                <w:rtl w:val="true"/>
              </w:rPr>
              <w:t xml:space="preserve">» </w:t>
            </w:r>
            <w:r>
              <w:rPr>
                <w:rStyle w:val="IndexLink"/>
                <w:rtl w:val="true"/>
              </w:rPr>
              <w:t>در كفن ميت</w:t>
            </w:r>
            <w:r>
              <w:rPr>
                <w:rStyle w:val="IndexLink"/>
                <w:rtl w:val="true"/>
              </w:rPr>
              <w:tab/>
            </w:r>
            <w:r>
              <w:rPr>
                <w:rStyle w:val="IndexLink"/>
              </w:rPr>
              <w:t>96</w:t>
            </w:r>
          </w:hyperlink>
        </w:p>
        <w:p>
          <w:pPr>
            <w:pStyle w:val="Contents2"/>
            <w:tabs>
              <w:tab w:val="clear" w:pos="8743"/>
              <w:tab w:val="right" w:pos="9026" w:leader="dot"/>
            </w:tabs>
            <w:rPr/>
          </w:pPr>
          <w:hyperlink w:anchor="__RefHeading___Toc3785717_3650668749">
            <w:r>
              <w:rPr>
                <w:webHidden/>
                <w:rStyle w:val="IndexLink"/>
                <w:rtl w:val="true"/>
              </w:rPr>
              <w:t>بهترين امت از نظر يهود، نصارا و شيعيان</w:t>
            </w:r>
            <w:r>
              <w:rPr>
                <w:rStyle w:val="IndexLink"/>
                <w:rtl w:val="true"/>
              </w:rPr>
              <w:tab/>
            </w:r>
            <w:r>
              <w:rPr>
                <w:rStyle w:val="IndexLink"/>
              </w:rPr>
              <w:t>100</w:t>
            </w:r>
          </w:hyperlink>
        </w:p>
        <w:p>
          <w:pPr>
            <w:pStyle w:val="Contents2"/>
            <w:tabs>
              <w:tab w:val="clear" w:pos="8743"/>
              <w:tab w:val="right" w:pos="9026" w:leader="dot"/>
            </w:tabs>
            <w:rPr/>
          </w:pPr>
          <w:hyperlink w:anchor="__RefHeading___Toc3785719_3650668749">
            <w:r>
              <w:rPr>
                <w:webHidden/>
                <w:rStyle w:val="IndexLink"/>
                <w:rtl w:val="true"/>
              </w:rPr>
              <w:t>ديدگاه عالمان اهل سنت درباره شيعه</w:t>
            </w:r>
            <w:r>
              <w:rPr>
                <w:rStyle w:val="IndexLink"/>
                <w:rtl w:val="true"/>
              </w:rPr>
              <w:tab/>
            </w:r>
            <w:r>
              <w:rPr>
                <w:rStyle w:val="IndexLink"/>
              </w:rPr>
              <w:t>113</w:t>
            </w:r>
          </w:hyperlink>
        </w:p>
        <w:p>
          <w:pPr>
            <w:pStyle w:val="Contents2"/>
            <w:tabs>
              <w:tab w:val="clear" w:pos="8743"/>
              <w:tab w:val="right" w:pos="9026" w:leader="dot"/>
            </w:tabs>
            <w:rPr/>
          </w:pPr>
          <w:hyperlink w:anchor="__RefHeading___Toc3785721_3650668749">
            <w:r>
              <w:rPr>
                <w:webHidden/>
                <w:rStyle w:val="IndexLink"/>
                <w:rtl w:val="true"/>
              </w:rPr>
              <w:t>اندك بودن اهل حق</w:t>
            </w:r>
            <w:r>
              <w:rPr>
                <w:rStyle w:val="IndexLink"/>
                <w:rtl w:val="true"/>
              </w:rPr>
              <w:tab/>
            </w:r>
            <w:r>
              <w:rPr>
                <w:rStyle w:val="IndexLink"/>
              </w:rPr>
              <w:t>122</w:t>
            </w:r>
          </w:hyperlink>
        </w:p>
        <w:p>
          <w:pPr>
            <w:pStyle w:val="Contents2"/>
            <w:tabs>
              <w:tab w:val="clear" w:pos="8743"/>
              <w:tab w:val="right" w:pos="9026" w:leader="dot"/>
            </w:tabs>
            <w:rPr/>
          </w:pPr>
          <w:hyperlink w:anchor="__RefHeading___Toc3785723_3650668749">
            <w:r>
              <w:rPr>
                <w:webHidden/>
                <w:rStyle w:val="IndexLink"/>
                <w:rtl w:val="true"/>
              </w:rPr>
              <w:t>چگونگى سلوك شيعيان با مخالفان</w:t>
            </w:r>
            <w:r>
              <w:rPr>
                <w:rStyle w:val="IndexLink"/>
                <w:rtl w:val="true"/>
              </w:rPr>
              <w:tab/>
            </w:r>
            <w:r>
              <w:rPr>
                <w:rStyle w:val="IndexLink"/>
              </w:rPr>
              <w:t>128</w:t>
            </w:r>
          </w:hyperlink>
        </w:p>
        <w:p>
          <w:pPr>
            <w:pStyle w:val="Contents2"/>
            <w:tabs>
              <w:tab w:val="clear" w:pos="8743"/>
              <w:tab w:val="right" w:pos="9026" w:leader="dot"/>
            </w:tabs>
            <w:rPr/>
          </w:pPr>
          <w:hyperlink w:anchor="__RefHeading___Toc3785725_3650668749">
            <w:r>
              <w:rPr>
                <w:webHidden/>
                <w:rStyle w:val="IndexLink"/>
                <w:rtl w:val="true"/>
              </w:rPr>
              <w:t>پرهيز شيعه از فسادطلبى</w:t>
            </w:r>
            <w:r>
              <w:rPr>
                <w:rStyle w:val="IndexLink"/>
                <w:rtl w:val="true"/>
              </w:rPr>
              <w:tab/>
            </w:r>
            <w:r>
              <w:rPr>
                <w:rStyle w:val="IndexLink"/>
              </w:rPr>
              <w:t>134</w:t>
            </w:r>
          </w:hyperlink>
        </w:p>
        <w:p>
          <w:pPr>
            <w:pStyle w:val="Contents2"/>
            <w:tabs>
              <w:tab w:val="clear" w:pos="8743"/>
              <w:tab w:val="right" w:pos="9026" w:leader="dot"/>
            </w:tabs>
            <w:rPr/>
          </w:pPr>
          <w:hyperlink w:anchor="__RefHeading___Toc3785727_3650668749">
            <w:r>
              <w:rPr>
                <w:webHidden/>
                <w:rStyle w:val="IndexLink"/>
                <w:rtl w:val="true"/>
              </w:rPr>
              <w:t>نتيجه‌گيرى</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0_17808"/>
      <w:bookmarkStart w:id="1" w:name="pg1980_17808"/>
      <w:bookmarkEnd w:id="1"/>
    </w:p>
    <w:p>
      <w:pPr>
        <w:pStyle w:val="Heading2"/>
        <w:numPr>
          <w:ilvl w:val="1"/>
          <w:numId w:val="1"/>
        </w:numPr>
        <w:rPr/>
      </w:pPr>
      <w:bookmarkStart w:id="2" w:name="pg1980_17808"/>
      <w:bookmarkStart w:id="3" w:name="__RefHeading___Toc3785645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آل‌م‍ح‍س‍ن‌، ع‍ل‍ي‌،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براءه‌ الشيعه‌ الاماميه من‌ العقائده و‌ الاحكام‌ اليهوديه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پيراستگي اماميه از تهمت هاي 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علي آل‌محسن ؛ ترجمه اكبر ترابي‌شهرضايي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‫‬‭978-964-540-446-6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يهوديت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يهوديت و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ت‍راب‍ي‌ شهرضايي، اك‍ب‍ر،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آ۷۵ب۴۰۴۱ ۱۳۹۲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۳۱۵۷۲۰۵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85647_3650668749"/>
      <w:bookmarkStart w:id="6" w:name="_Toc2"/>
      <w:bookmarkEnd w:id="5"/>
      <w:r>
        <w:rPr>
          <w:rtl w:val="true"/>
        </w:rPr>
        <w:t>اشاره</w:t>
      </w:r>
      <w:bookmarkStart w:id="7" w:name="pg1980_17816"/>
      <w:bookmarkEnd w:id="6"/>
    </w:p>
    <w:p>
      <w:pPr>
        <w:pStyle w:val="Heading2"/>
        <w:numPr>
          <w:ilvl w:val="1"/>
          <w:numId w:val="1"/>
        </w:numPr>
        <w:rPr/>
      </w:pPr>
      <w:bookmarkStart w:id="8" w:name="__RefHeading___Toc3785649_3650668749"/>
      <w:bookmarkStart w:id="9" w:name="_Toc3"/>
      <w:bookmarkEnd w:id="7"/>
      <w:bookmarkEnd w:id="8"/>
      <w:r>
        <w:rPr>
          <w:rtl w:val="true"/>
        </w:rPr>
        <w:t>ديباچه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وصلي الله علي محمد و آله الطاهرين الذين اذهب الله عنهم الرجس و طهرهم تطهيرا</w:t>
      </w:r>
    </w:p>
    <w:p>
      <w:pPr>
        <w:pStyle w:val="BookText"/>
        <w:rPr/>
      </w:pPr>
      <w:r>
        <w:rPr>
          <w:rFonts w:ascii="IRNazanin" w:hAnsi="IRNazanin" w:eastAsia="IRNazanin"/>
          <w:color w:val="111111"/>
          <w:sz w:val="28"/>
          <w:sz w:val="28"/>
          <w:szCs w:val="28"/>
          <w:rtl w:val="true"/>
          <w:lang w:bidi="fa-IR"/>
        </w:rPr>
        <w:t xml:space="preserve">شيعه اماميه به خود مى‌بالد كه پيرو كسانى است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رهايى از لغزش و گمراهى را پيروى از آنان دانسته و آنان را كشتى نجات امت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توفيق پيروى از آنان را نيافته‌اند، در پى آن‌اند كه پيروان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تهمت‌هاى خويش، از صحنه نقش‌آفرينى سياسى و اجتماعى و مكتبى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حرانى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براساس آموزه‌هاى اسلام اموى، عليه پيروان مذهب علوى موضع‌گيرى كرده،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افترائات فراوانى را عليه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ارجمند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آل‌محسن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عالمان شيعه سرزمين حجاز، پاسخ بخشى از اين تهمت‌ها را در اين نوشتار داده است و مترجم گرانقدر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اكبرترابى شهرضايى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به فارسى</w:t>
      </w:r>
    </w:p>
    <w:p>
      <w:pPr>
        <w:pStyle w:val="BookText"/>
        <w:rPr/>
      </w:pPr>
      <w:r>
        <w:rPr>
          <w:rFonts w:ascii="IRNazanin" w:hAnsi="IRNazanin" w:eastAsia="IRNazanin"/>
          <w:color w:val="111111"/>
          <w:sz w:val="28"/>
          <w:sz w:val="28"/>
          <w:szCs w:val="28"/>
          <w:rtl w:val="true"/>
          <w:lang w:bidi="fa-IR"/>
        </w:rPr>
        <w:t>برگردان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حج و زيارت ضمن ارجگذارى به تلاش نويسنده و مترجم اثر، از خدا مى‌طلبد به آنان توفيق هرچه بيشتر خدمت به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عنايت كند و اين اثر را روشنى‌بخش راه حقيقت‌جويان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0" w:name="pg1980_17818"/>
    </w:p>
    <w:p>
      <w:pPr>
        <w:pStyle w:val="Heading2"/>
        <w:numPr>
          <w:ilvl w:val="1"/>
          <w:numId w:val="1"/>
        </w:numPr>
        <w:rPr/>
      </w:pPr>
      <w:bookmarkStart w:id="11" w:name="__RefHeading___Toc3785651_3650668749"/>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صلي الله علي سيدنا محمد و آله الطاهرين و لعنة الله علي اعدائهم اجمعين من الآن الي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مى‌كنيد، تحقيق كنيد و به خاطر اينكه متاع ناپايدار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 به كسى كه اظهار صلح و اسلام مى‌كند، نگوييد مسلمان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پيدايش خلافت عباسيان، آتش اختلافات مذهبى بين پيروان مذاهب مختلف اسلامى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هر گروهى براى اثبات عقايد خويش و ابطال باورهاى ديگران، توان خود را در استدلال به آيات قرآنى و سنت صحيح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نوشته‌هاى زيادى درباره مسائل اعتقادى و فقهى گرد آمد و هريك از مذاهب، در نقد و ايراد آراى يكديگر، كتابهاى بيشمارى تأليف كردند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شيعه اماميه نيز به ميدان اين گفت‌وگوهاى آتشين وارد شد</w:t>
      </w:r>
    </w:p>
    <w:p>
      <w:pPr>
        <w:pStyle w:val="BookText"/>
        <w:rPr/>
      </w:pPr>
      <w:r>
        <w:rPr>
          <w:rFonts w:ascii="IRNazanin" w:hAnsi="IRNazanin" w:eastAsia="IRNazanin"/>
          <w:color w:val="111111"/>
          <w:sz w:val="28"/>
          <w:sz w:val="28"/>
          <w:szCs w:val="28"/>
          <w:rtl w:val="true"/>
          <w:lang w:bidi="fa-IR"/>
        </w:rPr>
        <w:t>و با پيروان چهار مذهب فقهى اهل تسنن و پيروان اشاعره، معتزله، خوارج و غيرآنان به بحث و مناظره پرداخت و به دليل مهارت، چيره‌دستى و برخوردارى از برهان قوى، توانست بى‌مايه بودن افكار مخالفانش را آشكار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گفت‌وگوها در كتابهاى مختلفى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جمع‌آورى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برخى از دشمنان اماميه كه در مقام اقامه برهان مغلوب شده بودند، به تهمت زدن و ياوهگويى پناه آوردند تا بتوانند شيعيان را از ميدان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چهره ناخوشايندى از باورهاى شيعه و آراى فقهى‌شان ترسيم كردند و ناجوانمردانه، امور ناروايى را به شيعه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هنگامى كه اشخاص پست، در بحث و استدلال ناتوان مى‌شوند و سخن باطلشان برملا مى‌شود، به اين‌گونه روش‌هاى ناپسند پناه مى‌برند تا خود را پيروز ميدان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مسلمانان، تنها شيعه اماميه بود كه خلافت بنى‌اميه و بنى‌عباس را مشروع نميدانست و آنان را طاغوت 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دشمنان براى رويارويى با شيعيان، در زمينه‌هاى فرهنگى، سياسى، اعتقادى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انگيزه‌اى قوى داشتند و تنها هدف‌شان، نابودى شيعه و از بين بردن انديشه‌هاى آنان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در طول تاريخ، علماى بزرگ اماميه به اين تهمتها پاسخ‌هاى دندان‌شكنى داده و پوچى گفتارشان را آشكار كرده‌اند، باز هم پيوسته و بدون فكر، آثار گذشتگان خود را براى مقابله با شيعيان، رونويسى و منتشر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آنكه برخى عالم‌نمايان‌آنها به كفر شيعيان فتوا مى‌دهند و خطر شيعه را براى اسلام و مسلمانان، بيشتر از يهود و نصارا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شيعيان را، در احكام و عقايد، پيرو مردى يهودى، كينه‌توز و دشمن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اين پندار پوچ، ساخته و پرداخته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عمر تميمى</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دروغگوى وضّاع </w:t>
      </w:r>
      <w:r>
        <w:rPr>
          <w:rStyle w:val="FootnoteAnchor"/>
          <w:rtl w:val="true"/>
        </w:rPr>
        <w:footnoteReference w:id="3"/>
      </w:r>
      <w:r>
        <w:rPr>
          <w:rFonts w:ascii="IRNazanin" w:hAnsi="IRNazanin" w:eastAsia="IRNazanin"/>
          <w:color w:val="111111"/>
          <w:sz w:val="28"/>
          <w:sz w:val="28"/>
          <w:szCs w:val="28"/>
          <w:rtl w:val="true"/>
          <w:lang w:bidi="fa-IR"/>
        </w:rPr>
        <w:t xml:space="preserve">است، متأسفانه، برخى عالمان اهل سنت، اين پندار پوچ را حقيقت پنداشته‌اند؛ به ويژه ابن تيميه كه اين نظر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و آن را با عباراتى از ياوههاى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به زعم خودش به بيان وجوه تشابه بين يهود و شيعه پرداخته،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مايه تأسف است كه برخى از اين بيمايهها، كلام ابن تيميه را بدون علم و درايت، مكرر نقل ميكنند، بى‌آنكه دريابند اين سخنان چيزى جز ياوه و افترا نيست؛ زيرا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دارند و مقلد اويند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كلام ابن تيميه، وحى است و در آن هيچ اشتباهى نيست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تصميم گرفتم سخنان ابن تيميه را نقد كنم و اشكالاتش را آشكار سازم تا براى خوانندگان عزيز روشن شود كه او در اين گفتههايش، چه اتهام‌هاى بى‌اساسى به شيعه مى‌زند و چه دروغ‌هايى را با ظاهرى زيبا بيان مى‌كند؛ درحالى‌كه شيعه اماميه از آنچه به او نسبت داده‌اند، پاك و مبراست و در احكام و عقايدش هيچ شباهتى به يهود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ميخواهم كه اين عمل ناچيز را از من بپذيرد و در روز تنگدستيام مرا به آن سود بخشد؛ چرا كه او شنواى اجابت‌كننده است، و آخرين گفتار ما اين است كه حمد و سپاس مخصوص پروردگار جهانيان است و درود خداوند بر محمد و خاندان پاكش باد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آل محسن</w:t>
      </w:r>
      <w:bookmarkStart w:id="13" w:name="pg1980_17822"/>
    </w:p>
    <w:p>
      <w:pPr>
        <w:pStyle w:val="Heading2"/>
        <w:numPr>
          <w:ilvl w:val="1"/>
          <w:numId w:val="1"/>
        </w:numPr>
        <w:rPr/>
      </w:pPr>
      <w:bookmarkStart w:id="14" w:name="__RefHeading___Toc3785653_3650668749"/>
      <w:bookmarkStart w:id="15" w:name="_Toc5"/>
      <w:bookmarkEnd w:id="13"/>
      <w:bookmarkEnd w:id="14"/>
      <w:r>
        <w:rPr>
          <w:rtl w:val="true"/>
        </w:rPr>
        <w:t>نقد سند روايت شَعبى</w:t>
      </w:r>
      <w:bookmarkEnd w:id="15"/>
    </w:p>
    <w:p>
      <w:pPr>
        <w:pStyle w:val="Heading3"/>
        <w:numPr>
          <w:ilvl w:val="2"/>
          <w:numId w:val="1"/>
        </w:numPr>
        <w:rPr/>
      </w:pPr>
      <w:bookmarkStart w:id="16" w:name="__RefHeading___Toc3785655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ابن تيميه در كتاب منهاج‌السنة، به شدت به شيعه حمله مى‌كند و آنان را به بدترين صورت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توان خود را در بدگويى از آنان به كار مى‌گيرد و براى رسيدن به اين مقصود، از روش‌هاى خود براى دروغ‌سازى و تهمت‌زنى، بيشترين استفاده را مى‌برد؛ زيرا در مذهب او تهمت و دروغ عليه كسانى كه به زعم او اهل بدعت‌اند،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كوبيدن شيعيان، سخنان پوچى را از شعبى در عيب‌جويى از شيعيان نقل مى‌كند؛ با آنكه خود، به ضعيف بودن سند آنها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ازآنرو كه اين توهمات شعبى، در بردارنده وجوه شباهت بين يهود و رافضيان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ابن تيميه آن را حجت مى‌شمارد و با استناد به آن، عليه شيعه استدلال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يارى خدا در آينده ثابت خواهيم كرد كه تمام اين سخنان، دروغ و تهمتى بيش نيست و از حق و انصاف به دور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شايسته است گفتارى كه ابن تيميه از شعبى نقل كرده است از نظر سند و دلالت، نقد و بررسى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سند مطالبى كه ابن تيميه از شعبى نقل ميكند حتى از ديدگاه</w:t>
      </w:r>
    </w:p>
    <w:p>
      <w:pPr>
        <w:pStyle w:val="BookText"/>
        <w:rPr/>
      </w:pPr>
      <w:r>
        <w:rPr>
          <w:rFonts w:ascii="IRNazanin" w:hAnsi="IRNazanin" w:eastAsia="IRNazanin"/>
          <w:color w:val="111111"/>
          <w:sz w:val="28"/>
          <w:sz w:val="28"/>
          <w:szCs w:val="28"/>
          <w:rtl w:val="true"/>
          <w:lang w:bidi="fa-IR"/>
        </w:rPr>
        <w:t xml:space="preserve">ابن تيميه نيز ضعيف است؛ زيرا وى پس از نقل كلام شعبى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ابن مالك بن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ضعيف بودن اين راوى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افزون بر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سند صحيح نيست</w:t>
      </w:r>
      <w:r>
        <w:rPr>
          <w:rFonts w:eastAsia="IRNazanin" w:cs="IRNazanin"/>
          <w:color w:val="111111"/>
          <w:sz w:val="28"/>
          <w:szCs w:val="28"/>
          <w:rtl w:val="true"/>
          <w:lang w:bidi="fa-IR"/>
        </w:rPr>
        <w:t xml:space="preserve">» . </w:t>
      </w:r>
      <w:r>
        <w:rPr>
          <w:rStyle w:val="FootnoteAnchor"/>
          <w:rtl w:val="true"/>
        </w:rPr>
        <w:footnoteReference w:id="4"/>
      </w:r>
      <w:r>
        <w:rPr>
          <w:rFonts w:ascii="Amiri" w:hAnsi="Amiri" w:eastAsia="Amiri" w:cs="Amiri"/>
          <w:color w:val="111111"/>
          <w:sz w:val="28"/>
          <w:sz w:val="28"/>
          <w:szCs w:val="28"/>
          <w:rtl w:val="true"/>
          <w:lang w:bidi="ar-SA"/>
        </w:rPr>
        <w:t>علت ضعف اين سند، اجماع دانشمندان بر ضعيف شمردن عبدالرحمان بن مالك بن مغول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خطيب بغدادى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جوزى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 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گفتار دانشمندان رجالى اهل سنت را درباره عبدالرحمان چنين بازگو كرده‌اند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ابوعلى صالح بن محمد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مالك بن مغول از دروغگوترين مردمان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ابوزكريا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مالك بن مغول را در اينجا ديدم و او در خور اعتنا نيست</w:t>
      </w:r>
      <w:r>
        <w:rPr>
          <w:rFonts w:eastAsia="IRNazanin" w:cs="IRNazanin"/>
          <w:color w:val="111111"/>
          <w:sz w:val="28"/>
          <w:szCs w:val="28"/>
          <w:rtl w:val="true"/>
          <w:lang w:bidi="fa-IR"/>
        </w:rPr>
        <w:t xml:space="preserve">»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يحيى بن معين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ديده‌ام و انسان مطمئن و ثقهاى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دربارهاش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زُرعه نيز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قوى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احاديثش را پاره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ديرزمانى است كه خرفت و كودن شده است</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عمار موصلى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مالك بن مغول دروغگويى قهار و بسيار تهمت‌زننده بود و در اين مطلب، كسى شك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جوزجانى بيان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جداً ضعيف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ابوداوود سليمان بن اشعث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آيهاى از آيات </w:t>
      </w:r>
      <w:r>
        <w:rPr>
          <w:rStyle w:val="FootnoteAnchor"/>
          <w:rtl w:val="true"/>
        </w:rPr>
        <w:footnoteReference w:id="7"/>
      </w:r>
      <w:r>
        <w:rPr>
          <w:rFonts w:ascii="IRNazanin" w:hAnsi="IRNazanin" w:eastAsia="IRNazanin"/>
          <w:color w:val="111111"/>
          <w:sz w:val="28"/>
          <w:sz w:val="28"/>
          <w:szCs w:val="28"/>
          <w:rtl w:val="true"/>
          <w:lang w:bidi="fa-IR"/>
        </w:rPr>
        <w:t>و 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جعل ميكرد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قُطنى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او متروك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بخارى در توصيف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حديثش بيارزش است</w:t>
      </w:r>
      <w:r>
        <w:rPr>
          <w:rFonts w:eastAsia="IRNazanin" w:cs="IRNazanin"/>
          <w:color w:val="111111"/>
          <w:sz w:val="28"/>
          <w:szCs w:val="28"/>
          <w:rtl w:val="true"/>
          <w:lang w:bidi="fa-IR"/>
        </w:rPr>
        <w:t xml:space="preserve">»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ابن‌حبان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مقلوب را به نام افراد ثقه نقل ميكرد و احاديثى كه اساس نداشت، از بزرگان حديث نقل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نقل روايت از او را ترك كرد</w:t>
      </w:r>
      <w:r>
        <w:rPr>
          <w:rFonts w:eastAsia="IRNazanin" w:cs="IRNazanin"/>
          <w:color w:val="111111"/>
          <w:sz w:val="28"/>
          <w:szCs w:val="28"/>
          <w:rtl w:val="true"/>
          <w:lang w:bidi="fa-IR"/>
        </w:rPr>
        <w:t xml:space="preserve">» . </w:t>
      </w:r>
      <w:r>
        <w:rPr>
          <w:rStyle w:val="FootnoteAnchor"/>
          <w:rtl w:val="true"/>
        </w:rPr>
        <w:footnoteReference w:id="9"/>
      </w:r>
      <w:r>
        <w:rPr>
          <w:rFonts w:ascii="IRNazanin" w:hAnsi="IRNazanin" w:eastAsia="IRNazanin"/>
          <w:color w:val="111111"/>
          <w:sz w:val="28"/>
          <w:sz w:val="28"/>
          <w:szCs w:val="28"/>
          <w:rtl w:val="true"/>
          <w:lang w:bidi="fa-IR"/>
        </w:rPr>
        <w:t>سعدى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حديث، جداً 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نيست</w:t>
      </w:r>
      <w:r>
        <w:rPr>
          <w:rFonts w:eastAsia="IRNazanin" w:cs="IRNazanin"/>
          <w:color w:val="111111"/>
          <w:sz w:val="28"/>
          <w:szCs w:val="28"/>
          <w:rtl w:val="true"/>
          <w:lang w:bidi="fa-IR"/>
        </w:rPr>
        <w:t xml:space="preserve">»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تضعيف عبدالرحمان بن مالك بن مغول، غير از آنچه ذكر كرديم، كلمات بسيارى از دانشمندان رجالى اهل سنت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همين مقدار براى كسى كه بخواهد از حال اين فرد آگاه شود، كفايت مى‌كند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اثر را به طرق مختلف و متعدد از عبدالرحمان بن مالك بن مغول نقل كردهاند كه برخى از آن طرق، برخى ديگر را تصديق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اين سخنى بيارزش و فاسد است؛ زيرا با ضعيف و كذاب بودن عبدالرحمان بن مالك بن مغول، كثرت طرق تا او سودى ندارد و نهايت چيزى كه ثابت ميشود اين است كه او اين كلمات را گفته است؛ ولى ثابت نميكند كه وى از پدرش، از شعبى چنين مطالبى را نقل كرده باشد؛ زيرا براى اثبات اين معنا بايد دليل بياورد</w:t>
      </w:r>
      <w:r>
        <w:rPr>
          <w:rFonts w:eastAsia="IRNazanin" w:cs="IRNazanin"/>
          <w:color w:val="111111"/>
          <w:sz w:val="28"/>
          <w:szCs w:val="28"/>
          <w:rtl w:val="true"/>
          <w:lang w:bidi="fa-IR"/>
        </w:rPr>
        <w:t>.</w:t>
      </w:r>
      <w:bookmarkStart w:id="18" w:name="pg1980_17825"/>
    </w:p>
    <w:p>
      <w:pPr>
        <w:pStyle w:val="BookText"/>
        <w:rPr/>
      </w:pPr>
      <w:bookmarkEnd w:id="18"/>
      <w:r>
        <w:rPr>
          <w:rFonts w:ascii="IRNazanin" w:hAnsi="IRNazanin" w:eastAsia="IRNazanin"/>
          <w:color w:val="111111"/>
          <w:sz w:val="28"/>
          <w:sz w:val="28"/>
          <w:szCs w:val="28"/>
          <w:rtl w:val="true"/>
          <w:lang w:bidi="fa-IR"/>
        </w:rPr>
        <w:t xml:space="preserve">آنچه او از پدرش، از شعبى نقل كرده، دروغى است كه بر شعبى بسته است؛ زيرا شعبى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اختلاف اقوال در تاريخ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سال‌هاى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٠٧</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پديدار شد؛ زيرا به گفته ابن تيميه، لفظ رافضه آن‌گاه ظاهر و رايج شد كه طرفداران زيد بن على بن حسين، او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زيد نيز در آخر خلافت هشام بن عبدالملك اموى، بعد از سال </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كنيم كه سخنان عبدالرحمان بن مالك بن مغول، دروغ نباشد و اين گفتهها از شخص شعبى باشد، باز هم هيچ ارزشى ندارد؛ زيرا شعبى نه از پيامبران است و نه از صحابه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سوى ديگر، او اين مطالب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صحابه نيز روايت نكرده است تا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از تابعان روايت كرده است و گفتار تابعان نيز نه حجتى براى شناختن حق است و نه دليلى بر آن به شمار مى‌آيد؛ به ويژه كه اين عبارات، حاوى مطالب بى‌اساس، گزافه و بى‌مايه متعددى است كه در آينده به آن اشاره ميكنيم</w:t>
      </w:r>
      <w:r>
        <w:rPr>
          <w:rFonts w:eastAsia="IRNazanin" w:cs="IRNazanin"/>
          <w:color w:val="111111"/>
          <w:sz w:val="28"/>
          <w:szCs w:val="28"/>
          <w:rtl w:val="true"/>
          <w:lang w:bidi="fa-IR"/>
        </w:rPr>
        <w:t>.</w:t>
      </w:r>
    </w:p>
    <w:p>
      <w:pPr>
        <w:pStyle w:val="Heading3"/>
        <w:numPr>
          <w:ilvl w:val="2"/>
          <w:numId w:val="1"/>
        </w:numPr>
        <w:rPr/>
      </w:pPr>
      <w:bookmarkStart w:id="19" w:name="__RefHeading___Toc3785657_3650668749"/>
      <w:bookmarkStart w:id="20" w:name="_Toc7"/>
      <w:bookmarkEnd w:id="19"/>
      <w:r>
        <w:rPr>
          <w:rtl w:val="true"/>
        </w:rPr>
        <w:t>اثبات شيعه‌نبودن شعبى</w:t>
      </w:r>
      <w:bookmarkEnd w:id="20"/>
    </w:p>
    <w:p>
      <w:pPr>
        <w:pStyle w:val="BookText"/>
        <w:rPr/>
      </w:pPr>
      <w:r>
        <w:rPr>
          <w:rFonts w:ascii="IRNazanin" w:hAnsi="IRNazanin" w:eastAsia="IRNazanin"/>
          <w:color w:val="111111"/>
          <w:sz w:val="28"/>
          <w:sz w:val="28"/>
          <w:szCs w:val="28"/>
          <w:rtl w:val="true"/>
          <w:lang w:bidi="fa-IR"/>
        </w:rPr>
        <w:t>ابتدا بهتر است به شرح حال شعبى از كتابهاى اهل تسنن اشاره كنيم تا روشن شود كه او اصلاً شيعه نبوده است، تا چه رسد به اينكه از بزرگان شيعه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شعبى، ابوعمرو عامر بن شراحيل كوفى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در كتاب طبقات الحفاظ دربارهاش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مشهور اين است كه وى شش سال پس از به خلافت رسيدن عمر بن خطاب به دنيا آمد و پانصد تن از صحابه را درك 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خطى بر كاغذى ننوشتم و كسى بر من حديثى نخواند كه بار ديگر از او بخواهم تا بر من بخواند، بلكه به مجرد شنيدن، حفظ ميشدم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ابومخلد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فقيهتر از شعبى نديدم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عبدالملك بن عمير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عمر، شعبى را ديد كه داشت غزوات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تعريف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جنگها بودم، ولى شعبى به آنها آگاه‌تر از من، و حافظهاش نسبت به آنها قويتر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شعبى در سال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w:t>
      </w:r>
      <w:r>
        <w:rPr>
          <w:rFonts w:ascii="IRNazanin" w:hAnsi="IRNazanin" w:eastAsia="IRNazanin"/>
          <w:color w:val="111111"/>
          <w:sz w:val="28"/>
          <w:sz w:val="28"/>
          <w:szCs w:val="28"/>
          <w:lang w:bidi="fa-IR"/>
        </w:rPr>
        <w:t>٠٧</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هجرى درگذشت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 مراجعه به كتبى كه شرح حال شعبى در آنها آمده است، خواهيد ديد كه در هيچ كتابى به اين نكته اشاره نشده كه شعبى از شيعيان بوده و سپس سنى شده است؛ تا چه رسد به اينكه از بزرگان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عكس اين مطلب صادق است؛ يعنى شعبى از پيروان بنياميه است و آنان نيز دشمن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شيعيان‌اند؛ زيرا شعبى با آنكه معاصر با اميرمؤمنان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آقاى جوانان بهشت،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حديثى از آنان نقل نكرده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شعبى، سفير عبدالملك بن مروان، خليفه اموى، به سوى پادشاه روم بود</w:t>
      </w:r>
    </w:p>
    <w:p>
      <w:pPr>
        <w:pStyle w:val="BookText"/>
        <w:rPr/>
      </w:pPr>
      <w:r>
        <w:rPr>
          <w:rFonts w:ascii="Amiri" w:hAnsi="Amiri" w:eastAsia="Amiri" w:cs="Amiri"/>
          <w:color w:val="111111"/>
          <w:sz w:val="28"/>
          <w:sz w:val="28"/>
          <w:szCs w:val="28"/>
          <w:rtl w:val="true"/>
          <w:lang w:bidi="ar-SA"/>
        </w:rPr>
        <w:t xml:space="preserve">و حجاج بن يوسف ثقفى نيز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عريف</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قومش قرار داد </w:t>
      </w:r>
      <w:r>
        <w:rPr>
          <w:rStyle w:val="FootnoteAnchor"/>
          <w:rtl w:val="true"/>
        </w:rPr>
        <w:footnoteReference w:id="14"/>
      </w:r>
      <w:r>
        <w:rPr>
          <w:rFonts w:ascii="IRNazanin" w:hAnsi="IRNazanin" w:eastAsia="IRNazanin"/>
          <w:color w:val="111111"/>
          <w:sz w:val="28"/>
          <w:sz w:val="28"/>
          <w:szCs w:val="28"/>
          <w:rtl w:val="true"/>
          <w:lang w:bidi="fa-IR"/>
        </w:rPr>
        <w:t>و در دستگاه بنى‌اميه قاضى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چگونه از شيعيان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مى‌آيد؟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روشن شد شعبى از اساس، شيعه نبوده است تا اين مذهب را ترك كرده و به اهل تسنن گرايش پيدا كرده باشد، سزاوار است مطالبى را كه به او نسبت دادهاند يا واقعاً از تراوش‌هاى ذهن اوست، نقد و بررسى كنيم</w:t>
      </w:r>
      <w:r>
        <w:rPr>
          <w:rFonts w:eastAsia="IRNazanin" w:cs="IRNazanin"/>
          <w:color w:val="111111"/>
          <w:sz w:val="28"/>
          <w:szCs w:val="28"/>
          <w:rtl w:val="true"/>
          <w:lang w:bidi="fa-IR"/>
        </w:rPr>
        <w:t>: [</w:t>
      </w:r>
      <w:bookmarkStart w:id="21" w:name="pg1980_17828"/>
    </w:p>
    <w:p>
      <w:pPr>
        <w:pStyle w:val="Heading2"/>
        <w:numPr>
          <w:ilvl w:val="1"/>
          <w:numId w:val="1"/>
        </w:numPr>
        <w:rPr/>
      </w:pPr>
      <w:bookmarkStart w:id="22" w:name="__RefHeading___Toc3785659_3650668749"/>
      <w:bookmarkStart w:id="23" w:name="_Toc8"/>
      <w:bookmarkEnd w:id="21"/>
      <w:bookmarkEnd w:id="22"/>
      <w:r>
        <w:rPr>
          <w:rtl w:val="true"/>
        </w:rPr>
        <w:t xml:space="preserve">بى‌نيازى شيعه از جعل حديث براى فضايل على </w:t>
      </w:r>
      <w:r>
        <w:rPr>
          <w:rtl w:val="true"/>
        </w:rPr>
        <w:t>(</w:t>
      </w:r>
      <w:r>
        <w:rPr>
          <w:rtl w:val="true"/>
        </w:rPr>
        <w:t>ع</w:t>
      </w:r>
      <w:r>
        <w:rPr>
          <w:rtl w:val="true"/>
        </w:rPr>
        <w:t>)</w:t>
      </w:r>
      <w:bookmarkEnd w:id="23"/>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آنان بخواهم بنده و غلام من شوند يا خانه‌ام را از طلا و جواهرات آكنده سازند و يا خانه‌ام را طواف كنند تا در قبال آن، دروغى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دهم، اين كار را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كار را نخواهم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گفتار، ياوهاى بيش نيست و نيازى به نقد ندارد؛ زيرا اگر شيعه مى‌خواست افرادى مانند شعبى را اجير كند تا به نفع شيعه، حديث جعل كنند، صدها نفر را مييافت و نياز نبود كه طوق بندگى دروغگويان بر گردن آويزند و آهنگ خانه آنان كنند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شيعيان، مناقب و فضايل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 نمى‌دانند تا به جعل احاديث دروغ احتياجى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ستوده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فراوانى و علو و اشتهار، به ستارگان آسمان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صحيح و موثقى كه اهل سنت در كتاب‌هاى معتبرشان، در شأن و فضيلت آن بزرگوار نقل كردهاند، براى اثبات برترى ايشان بر ساير صحابه،</w:t>
      </w:r>
    </w:p>
    <w:p>
      <w:pPr>
        <w:pStyle w:val="BookText"/>
        <w:rPr/>
      </w:pPr>
      <w:r>
        <w:rPr>
          <w:rFonts w:ascii="IRNazanin" w:hAnsi="IRNazanin" w:eastAsia="IRNazanin"/>
          <w:color w:val="111111"/>
          <w:sz w:val="28"/>
          <w:sz w:val="28"/>
          <w:szCs w:val="28"/>
          <w:rtl w:val="true"/>
          <w:lang w:bidi="fa-IR"/>
        </w:rPr>
        <w:t xml:space="preserve">حتى بر تمام امت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كافى و بلكه از حد كفايت نيز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كمال وضوح و روشنى است و دانشمندان امامى مذهب، آن را در كتابهاى خود ثابت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گروهى از دانشمندان اهل سنت به اين نكته اعتراف كرده‌اند كه فضايل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است و در شأن هيچ‌يك از صحابه به اندازه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صحيح و حسن نقل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مستدرك، با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منصور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 بن حنبل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يك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و مناقب، روايت نرسيده است</w:t>
      </w:r>
      <w:r>
        <w:rPr>
          <w:rFonts w:eastAsia="IRNazanin" w:cs="IRNazanin"/>
          <w:color w:val="111111"/>
          <w:sz w:val="28"/>
          <w:szCs w:val="28"/>
          <w:rtl w:val="true"/>
          <w:lang w:bidi="fa-IR"/>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همچنين ابن حجر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نسائى در رواياتى كه مخصوصاً در شأن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 تتبع و جست‌وجو ميكرد و به روايات فراوانى دست پيدا كرد كه بيشتر آنها سندهاى معتبر و خوبى دارند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قاضى، نسائى و ابوعلى نيشابورى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 هيچ‌كدام از صحابه با سندهاى حسن، به اندازهاى كه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رسيده، حديث نقل نشده است</w:t>
      </w:r>
      <w:r>
        <w:rPr>
          <w:rFonts w:eastAsia="IRNazanin" w:cs="IRNazanin"/>
          <w:color w:val="111111"/>
          <w:sz w:val="28"/>
          <w:szCs w:val="28"/>
          <w:rtl w:val="true"/>
          <w:lang w:bidi="fa-IR"/>
        </w:rPr>
        <w:t xml:space="preserve">» .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فضايل او در يك كتاب جمع نميشود و بسيارى از مردمان به جمع آورى آن پرداختند</w:t>
      </w:r>
      <w:r>
        <w:rPr>
          <w:rFonts w:eastAsia="IRNazanin" w:cs="IRNazanin"/>
          <w:color w:val="111111"/>
          <w:sz w:val="28"/>
          <w:szCs w:val="28"/>
          <w:rtl w:val="true"/>
          <w:lang w:bidi="fa-IR"/>
        </w:rPr>
        <w:t xml:space="preserve">» .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احوال و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چيزى، مشهور و غيرمنحصر است</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احمد بن حنبل به سند صحيح از عبدالله بن عمر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خصلت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كه داشتن يكى از آنها براى من، از داشتن شتران سرخ‌موى با ارزش‌تر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به او تزويج كرد كه برايش فرزند آورد، تمام درهايى كه به مسجد باز مى‌شد بست، مگر در خانه او را و روز خيبر پرچم لشكر اسلام را به دست او داد</w:t>
      </w:r>
      <w:r>
        <w:rPr>
          <w:rFonts w:eastAsia="IRNazanin" w:cs="IRNazanin"/>
          <w:color w:val="111111"/>
          <w:sz w:val="28"/>
          <w:szCs w:val="28"/>
          <w:rtl w:val="true"/>
          <w:lang w:bidi="fa-IR"/>
        </w:rPr>
        <w:t xml:space="preserve">» .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اوسط از ابن عباس نقل ميكند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منقبت اختصاصى دارد كه هيچ يك از امت با او شريك نيستند</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صحيح مسلم،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سنن، از سعدبن ابى‌وقاص نقل ميكنند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پسر ابوسفيان به سعد دستور داد تا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مانع تو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سه ويژگى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 به ياد ميآورم، او را دشنام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اين سه فضيلت را در حق من گفته بود، از داشتن شتران سرخ‌موى برايم دوست‌داشتنى‌تر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يكى از جنگها</w:t>
      </w:r>
    </w:p>
    <w:p>
      <w:pPr>
        <w:pStyle w:val="BookText"/>
        <w:rPr/>
      </w:pPr>
      <w:r>
        <w:rPr>
          <w:rFonts w:ascii="IRNazanin" w:hAnsi="IRNazanin" w:eastAsia="IRNazanin"/>
          <w:color w:val="111111"/>
          <w:sz w:val="28"/>
          <w:sz w:val="28"/>
          <w:szCs w:val="28"/>
          <w:rtl w:val="true"/>
          <w:lang w:bidi="fa-IR"/>
        </w:rPr>
        <w:t>با خود همراه نبرد و در مدينه باقى گذاشت، على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زنان و كودكان ميگذارى؟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ندارى براى من به منزله هارون براى موسى باشى؛ با اين تفاوت كه پس از من پيامبرى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پيامبر در غزوه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هرآينه پرچم را به دست كسى مى‌دهم كه خدا و رسولش را دوست دارد و خدا و رسول نيز او را دوست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حال، هركدام از اصحاب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دراز كردند تا بلكه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ببيند و پرچم اسلام را به او بسپارد،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برايم صدا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آوردند، درحالى‌كه چشمانش درد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آب دهان خود به چشمانش كشيد و پرچم را به دستش داد و خداوند به دست او قلعه خيبر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زمانى كه خداوند در مسئله نصاراى نجران آيه فَقُلْ تَعالَوْا نَدْعُ أَبْناءَنا وَ أَبْناءَكُمْ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من هستند</w:t>
      </w:r>
      <w:r>
        <w:rPr>
          <w:rFonts w:eastAsia="IRNazanin" w:cs="IRNazanin"/>
          <w:color w:val="111111"/>
          <w:sz w:val="28"/>
          <w:szCs w:val="28"/>
          <w:rtl w:val="true"/>
          <w:lang w:bidi="fa-IR"/>
        </w:rPr>
        <w:t xml:space="preserve">»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حاكم نيشابورى از عمر بن خطاب نقل ميكند كه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ويژگى داده شده است كه اگر يكى از آنها را داشتم، از اينكه به من، شتران سرخ‌موى داده شود،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كه اين خصال سه‌گانه چيست؟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با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سكونتش در مسجد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بودن امورى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مسجد بر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 و دادن پرچم لشكر اسلام به او در جنگ خيبر</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حاكم نيشابورى از ابن عباس روايت مى‌كند كه چهار خصلت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منحصر به فرد است و هيچ‌كس‌با او شريك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كسى است كه از ميان عرب و عجم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غزوهاى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حضور داشت، پرچم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مهراس </w:t>
      </w:r>
      <w:r>
        <w:rPr>
          <w:rStyle w:val="FootnoteAnchor"/>
          <w:rtl w:val="true"/>
        </w:rPr>
        <w:footnoteReference w:id="24"/>
      </w:r>
      <w:r>
        <w:rPr>
          <w:rFonts w:ascii="IRNazanin" w:hAnsi="IRNazanin" w:eastAsia="IRNazanin"/>
          <w:color w:val="111111"/>
          <w:sz w:val="28"/>
          <w:sz w:val="28"/>
          <w:szCs w:val="28"/>
          <w:rtl w:val="true"/>
          <w:lang w:bidi="fa-IR"/>
        </w:rPr>
        <w:t xml:space="preserve">كه همه فرار كردند،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مقابل شدايد جنگ، استقامت ورزيد و او كسى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و در قبر گذاشت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ابن عساكر از ابن عباس نقل كرد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اندازهاى كه در شأن و فضيلت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شده، براى كسى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سيصد آيه نازل شده است</w:t>
      </w:r>
      <w:r>
        <w:rPr>
          <w:rFonts w:eastAsia="IRNazanin" w:cs="IRNazanin"/>
          <w:color w:val="111111"/>
          <w:sz w:val="28"/>
          <w:szCs w:val="28"/>
          <w:rtl w:val="true"/>
          <w:lang w:bidi="fa-IR"/>
        </w:rPr>
        <w:t xml:space="preserve">»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بيان فضايل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طولانى شدن سخن ميشود و ما حتى از شمارش اندكى از فضايل آن بزرگوار عاجزيم؛ تا چه رسد بخواهيم تمام فضايلش را برشماريم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چنين فضايل و مناقبى برخوردار است، نيازى ندارد كه پيروان و يارانش براى او به دروغ منقبتى بسازند و فضيلتى ببافند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ديگران به ساختن فضايل و مناقب دروغ براى پيشوايان و بزرگان خود نياز دارند، نه شيعه اماميه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شيعيان براى اثبات فضايل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احتجاج و استدلال با دشمنان، به كتب مخالفان خود كه در آنها فضايل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مراجعه ميكنند و به نقل احاديث از كتب شيعى نيازى ندارند؛ در صورتى كه دشمنان اماميه براى اثبات فضايل پيشوايان خود، فقط به روايات ساختگى موجود در كتاب‌هايشان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شهد العدو بفضلها والفضل ما شهدت به الاعداء </w:t>
      </w:r>
      <w:r>
        <w:rPr>
          <w:rStyle w:val="FootnoteAnchor"/>
          <w:rtl w:val="true"/>
        </w:rPr>
        <w:footnoteReference w:id="27"/>
      </w:r>
      <w:bookmarkStart w:id="24" w:name="pg1980_17834"/>
    </w:p>
    <w:p>
      <w:pPr>
        <w:pStyle w:val="Heading2"/>
        <w:numPr>
          <w:ilvl w:val="1"/>
          <w:numId w:val="1"/>
        </w:numPr>
        <w:rPr/>
      </w:pPr>
      <w:bookmarkStart w:id="25" w:name="__RefHeading___Toc3785661_3650668749"/>
      <w:bookmarkStart w:id="26" w:name="_Toc9"/>
      <w:bookmarkEnd w:id="24"/>
      <w:bookmarkEnd w:id="25"/>
      <w:r>
        <w:rPr>
          <w:rtl w:val="true"/>
        </w:rPr>
        <w:t>تبرّى شيعه از عبدالله بن سبأ</w:t>
      </w:r>
      <w:bookmarkEnd w:id="26"/>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پيروان اين آرزوها و اميال گمراه‌كننده برحذر مى‌دارم كه بدترين آنان رافضيان‌اند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روى ميل و رغبت يا ترس از خداوند اسلام نياورده‌اند، بلكه براى دشمنى با اهل اسلام و از باب ستم بر آنان، در ظاهر به اسلام گرويده‌اند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آتش سوزانيد و به شهرها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تبعيدى‌ها عبدالله بن سبأ يهودى از يهوديان صنعاء بود كه به ساباط </w:t>
      </w:r>
      <w:r>
        <w:rPr>
          <w:rStyle w:val="FootnoteAnchor"/>
          <w:rtl w:val="true"/>
        </w:rPr>
        <w:footnoteReference w:id="28"/>
      </w:r>
      <w:r>
        <w:rPr>
          <w:rFonts w:ascii="IRNazanin" w:hAnsi="IRNazanin" w:eastAsia="IRNazanin"/>
          <w:color w:val="111111"/>
          <w:sz w:val="28"/>
          <w:sz w:val="28"/>
          <w:szCs w:val="28"/>
          <w:rtl w:val="true"/>
          <w:lang w:bidi="fa-IR"/>
        </w:rPr>
        <w:t>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آنها عبدالله بن يسار بود كه به خازر تبعيد 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مقصود شعبى از رافضه، فرقه خاصى است، يعنى گروهى كه از عبدالله بن سبأ پيروى ميكنند، اين گروه در اصطلاح كلامى، نه شيعه به شمار ميآيند و نه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از آنان و عقايدشان بيزارند و ما به دفاع از آنها يا تبرئه آنان نميپردازيم؛ زيرا به ما ربطى ندارند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مقصودش از رافضى، شيعه امامى اثنا عشرى است، بايد دانست كه اين گروه جملگى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آيين اسلام متولد شده‌اند و قبلاً</w:t>
      </w:r>
    </w:p>
    <w:p>
      <w:pPr>
        <w:pStyle w:val="BookText"/>
        <w:rPr/>
      </w:pPr>
      <w:r>
        <w:rPr>
          <w:rFonts w:ascii="IRNazanin" w:hAnsi="IRNazanin" w:eastAsia="IRNazanin"/>
          <w:color w:val="111111"/>
          <w:sz w:val="28"/>
          <w:sz w:val="28"/>
          <w:szCs w:val="28"/>
          <w:rtl w:val="true"/>
          <w:lang w:bidi="fa-IR"/>
        </w:rPr>
        <w:t>دين ديگرى نداشته‌اند كه بتوان گفت ورودشان به اسلام براى دشمنى و ضربه زدن به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عبدالله بن سبأ اصلاً از اين گروه نيست؛ بلكه از غاليانى است كه شيعه از آنان تبرى مى‌جويد و آنان را لعن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به‌طور مفصل از اين مطلب، در كتاب عبدالله بن سبأ پرده برداشتهايم </w:t>
      </w:r>
      <w:r>
        <w:rPr>
          <w:rStyle w:val="FootnoteAnchor"/>
          <w:rtl w:val="true"/>
        </w:rPr>
        <w:footnoteReference w:id="29"/>
      </w:r>
      <w:r>
        <w:rPr>
          <w:rFonts w:ascii="IRNazanin" w:hAnsi="IRNazanin" w:eastAsia="IRNazanin"/>
          <w:color w:val="111111"/>
          <w:sz w:val="28"/>
          <w:sz w:val="28"/>
          <w:szCs w:val="28"/>
          <w:rtl w:val="true"/>
          <w:lang w:bidi="fa-IR"/>
        </w:rPr>
        <w:t>كه خوانندگان عزيز مى‌توانند به آن كتاب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اميرمؤمنان</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به هيچ وجه شيعيانش را نسوزاند و به شهرها تبعيد نكرد؛ زيرا آنان ياور و دوستانش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شعبى، اسلام آوردن شيعيان را به قصد ضربه زدن به دين و دشمنى با آن معرفى ميكند، مطلبى است كه بطلانش بر هر انسان فرهيخته و عاقلى روشن است؛ زيرا از درون قلب افراد، به غير از داناى غيبها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از بى‌ايمان شمردن كسانى كه مسلمان‌اند و شهادتين را به زبان ميآورند، نهى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أَلْقى إِلَيْكُمُ السَّلامَ لَسْتَ مُؤْمِناً تَبْتَغُونَ عَرَضَ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خاطر اينكه متاع ناپايدار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 به كسى كه اظهار صلح و اسلام مى‌كند، نگوييد مسلمان نيستى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چنين كسانى را نميتوان غيرمؤمن شمرد، چگونه ميتوان به كسانى كه بر فطرت اسلام زاده‌اند و شعائر آن را به‌پا مى‌دارند و حلالش را حلال، و حرامش را حرام ميشمارند، اتهام كفر و بى‌دينى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كسانى قرآن را نخوانده‌اند يا بر قلبهايشان قفل زدهاند؟</w:t>
      </w:r>
      <w:bookmarkStart w:id="27" w:name="pg1980_17836"/>
    </w:p>
    <w:p>
      <w:pPr>
        <w:pStyle w:val="Heading2"/>
        <w:numPr>
          <w:ilvl w:val="1"/>
          <w:numId w:val="1"/>
        </w:numPr>
        <w:rPr/>
      </w:pPr>
      <w:bookmarkStart w:id="28" w:name="__RefHeading___Toc3785663_3650668749"/>
      <w:bookmarkStart w:id="29" w:name="_Toc10"/>
      <w:bookmarkEnd w:id="27"/>
      <w:bookmarkEnd w:id="28"/>
      <w:r>
        <w:rPr>
          <w:rtl w:val="true"/>
        </w:rPr>
        <w:t xml:space="preserve">اختصاص داشتن امامت به فرزندان على </w:t>
      </w:r>
      <w:r>
        <w:rPr>
          <w:rtl w:val="true"/>
        </w:rPr>
        <w:t>(</w:t>
      </w:r>
      <w:r>
        <w:rPr>
          <w:rtl w:val="true"/>
        </w:rPr>
        <w:t>ع</w:t>
      </w:r>
      <w:r>
        <w:rPr>
          <w:rtl w:val="true"/>
        </w:rPr>
        <w:t>)</w:t>
      </w:r>
      <w:bookmarkEnd w:id="29"/>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يهوديان مى‌گويند فرمانروايى فقط از آنِ آل داوود است و رافضيان نيز مى‌گويند امامت به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از ديدگاه شيعيان، فقط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امامت و خلافت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و اين امرى است كه روايات و احاديث صحيحى كه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و در كتب شيعه نيز به‌طور مفصل مطرح است،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علماى اماميه در كتاب‌هاى كلامى خود با براهين قوى و واضح، آن را ثابت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در اينجا درصدد اثبات آن نيستيم و خوانندگان بايد به كتب مذكور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منحصر دانستن امامت و خلافت در نسل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است كه همانند اهل‌سنت، خلافت را غنيمتى براى منافقان و طعمهاى براى زورگويانى بدانيم كه به ناحق بر امت مسلط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انحصار خلافت به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شباهت يافتن شيعه به يهود نميشود؛ زيرا شباهت در صورتى است كه شيعه، امامت را در نسل حضرت داوود بداند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گفته شود همين كه شيعيان، امامت را منحصر در افرادى خاص</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مى‌دانند، به يهود شباهت دارند،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همه مسلمانان، شبيه يهوديان‌اند، نه فقط شيعه؛ زيرا يهود، حضرت موسى را خاتم انبيا مى‌داند و مسلمانان نيز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يهود معتقد است كه تورات كنونى از سوى خدا نازل شده و در آن هيچ تحريفى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معتقدند كه قرآن از سوى خدا نازل شده و از تحريف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امور بسيار، و از حد شمارش بيرون است</w:t>
      </w:r>
      <w:r>
        <w:rPr>
          <w:rFonts w:eastAsia="IRNazanin" w:cs="IRNazanin"/>
          <w:color w:val="111111"/>
          <w:sz w:val="28"/>
          <w:szCs w:val="28"/>
          <w:rtl w:val="true"/>
          <w:lang w:bidi="fa-IR"/>
        </w:rPr>
        <w:t xml:space="preserve">. </w:t>
      </w:r>
      <w:r>
        <w:rPr>
          <w:rStyle w:val="FootnoteAnchor"/>
          <w:rtl w:val="true"/>
        </w:rPr>
        <w:footnoteReference w:id="30"/>
      </w:r>
      <w:bookmarkStart w:id="30" w:name="pg1980_17838"/>
    </w:p>
    <w:p>
      <w:pPr>
        <w:pStyle w:val="Heading2"/>
        <w:numPr>
          <w:ilvl w:val="1"/>
          <w:numId w:val="1"/>
        </w:numPr>
        <w:rPr/>
      </w:pPr>
      <w:bookmarkStart w:id="31" w:name="__RefHeading___Toc3785665_3650668749"/>
      <w:bookmarkStart w:id="32" w:name="_Toc11"/>
      <w:bookmarkEnd w:id="30"/>
      <w:bookmarkEnd w:id="31"/>
      <w:r>
        <w:rPr>
          <w:rtl w:val="true"/>
        </w:rPr>
        <w:t>حكم جهاد از نظر شيعه</w:t>
      </w:r>
      <w:bookmarkEnd w:id="32"/>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مسيحيان </w:t>
      </w:r>
      <w:r>
        <w:rPr>
          <w:rStyle w:val="FootnoteAnchor"/>
          <w:rtl w:val="true"/>
        </w:rPr>
        <w:footnoteReference w:id="31"/>
      </w:r>
      <w:r>
        <w:rPr>
          <w:rFonts w:ascii="IRNazanin" w:hAnsi="IRNazanin" w:eastAsia="IRNazanin"/>
          <w:color w:val="111111"/>
          <w:sz w:val="28"/>
          <w:sz w:val="28"/>
          <w:szCs w:val="28"/>
          <w:rtl w:val="true"/>
          <w:lang w:bidi="fa-IR"/>
        </w:rPr>
        <w:t>مى‌گويند تا هنگام خروج مسيح دجال و نزول شمشير از آسمان، جهاد در راه خدا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رافضيان نيز مى‌گويند تا زمان خروج مهدى آل محمد و ندا آمدن از آسمان، براى پيروى از او، جهاد در راه خدا لازم نيست</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را كه شعبى به اماميه نسبت داده، دروغى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با مسيحيان، اختلافى روشن دارند؛ زيرا از نگاه شيعه اماميه، دو نوع جهاد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جهاد دفاعى است كه به واسطه آن از كيان و اساس اسلام دفاع مى‌كنند و وجوب اين جهاد مشروط به اذن امام معصوم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زمان غيبت امام زمان نيز بر همه مسلمانان، اعم از مرد و زن،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ديگر، براى دعوت به اسلام و گسترش قلمرو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جهادى، اذن امام معصوم يا نايب خاص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پرسيد كه شعبى كدام قسم از جهاد را ادعا ميكند كه از نظر شيعه، بدون اجازه امام واجب نيست؟ آيا بايد شيعه اماميه را سرزنش كرد كه قسم دوم جهاد را در اين زمان واجب نميداند و حاضر نيست تا زير پرچم حكومتهاى جور و طاغوتى قرار بگيرد كه تنها براى توسعه و كشورگشايى دست به جنگ ميزنند، نه براى خدا و دعوت به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براى اهل تسنن، جنگيدن در ركاب سلاطين جور، فضيلتى به شمار مى‌آيد؟ درحالى‌كه ما در تاريخ پس از فتوحات اسلامى كه در صدر اسلام اتفاق افتاد، مشاهده نميكنيم كه اهل تسنن با دشمنان دين، از جمله يهود و نصارا، جنگيده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جنگ‌هايى كه رخ داده، بين مسلمانان و آن هم بر سر قدرت بوده، نه براى دعوت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حاضر، اهل تسنن در خوارى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همانند ميخى‌اند كه هركسى از راه ميرسد بر سر آن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يهود و نصارا، جان و ناموس و برنامه مسلمانان را بازيچه دست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 تسنن با اينكه جمعيتى ميلياردى را با دولت‌هاى متعدد تشكيل داده‌اند، تنها نظاره‌گر صحنه‌اند؛ گويى همگان، همانند كفى روى سيلاب‌اند كه هيچ خاصيت و ارزشى ندارند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 گروه از اهل تسنن نيز كه مى‌جنگند، با مسلمانان مى‌جنگند و بين مسلمانان تفرقه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عناوينى مانند طالبان و القاعده، مردم مسلمان را در عراق، افغانستان، مصر، الجزاير و ديگر بلاد اسلامى به خاك و خون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مبارزهاى با اسرائيل، امريكا و ساير كشورهاى جهانخوار و استعمارگر ندارند؛ با آنكه ميبينند آنان با تجاوز به كشورهاى اسلامى، مسلمانان را زير سطله خود قرار مى‌دهند</w:t>
      </w:r>
      <w:r>
        <w:rPr>
          <w:rFonts w:eastAsia="IRNazanin" w:cs="IRNazanin"/>
          <w:color w:val="111111"/>
          <w:sz w:val="28"/>
          <w:szCs w:val="28"/>
          <w:rtl w:val="true"/>
          <w:lang w:bidi="fa-IR"/>
        </w:rPr>
        <w:t>.</w:t>
      </w:r>
      <w:bookmarkStart w:id="33" w:name="pg1980_17840"/>
    </w:p>
    <w:p>
      <w:pPr>
        <w:pStyle w:val="Heading2"/>
        <w:numPr>
          <w:ilvl w:val="1"/>
          <w:numId w:val="1"/>
        </w:numPr>
        <w:rPr/>
      </w:pPr>
      <w:bookmarkStart w:id="34" w:name="__RefHeading___Toc3785667_3650668749"/>
      <w:bookmarkStart w:id="35" w:name="_Toc12"/>
      <w:bookmarkEnd w:id="33"/>
      <w:bookmarkEnd w:id="34"/>
      <w:r>
        <w:rPr>
          <w:rtl w:val="true"/>
        </w:rPr>
        <w:t>عدّه نگه‌داشتن زنان نزد شيعه</w:t>
      </w:r>
      <w:bookmarkEnd w:id="35"/>
    </w:p>
    <w:p>
      <w:pPr>
        <w:pStyle w:val="BookText"/>
        <w:rPr/>
      </w:pPr>
      <w:r>
        <w:rPr>
          <w:rFonts w:ascii="Amiri" w:hAnsi="Amiri" w:eastAsia="Amiri" w:cs="Amiri"/>
          <w:color w:val="111111"/>
          <w:sz w:val="28"/>
          <w:sz w:val="28"/>
          <w:szCs w:val="28"/>
          <w:rtl w:val="true"/>
          <w:lang w:bidi="ar-SA"/>
        </w:rPr>
        <w:t>شعبى معتقد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رافضيان همانند يهوديان، براى زنان عدّه قائل نيستند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سخن شعبى نيز تهمت و ياوهاى بيش نيست و دروغش بر همگان روشن است؛ زيرا وجوب عده براى زنانى كه پس از نزديكى با آنان طلاق داده شدهاند، مورد اتفاق‌نظر امت اسلام است و در برخى از آيات قرآن كريم نيز به آن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مطلقه بايد تا سه مرتبه عادت ماهانه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بكشند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خواستيد زنان را طلاق دهيد، در زمان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عادت ماهانه پاك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طلاق دهيد و حساب عدّه را نگه داريد،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پروردگار شماست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آنها را از خانه‌هايشان بيرون كنيد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كار زشت آشكارى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هر كس از حدود الهى تجاوز كند، به خويشتن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نمى‌دانى، شايد خداوند بعد از اين، وضع تازه‌اى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عدّه آنها به پايان نزديك شود، يا آنها را به طرز شايسته‌اى نگه داريد يا به طرز شايسته‌اى از آنان جدا شويد و دو مرد عادل از خودتان را گواه گيريد و شهادت را براى خدا برپا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مؤمنان به خدا و روز قيامت به آن اندرز داده مى‌شوند و هر كس تقواى الهى پيشه كند، خداوند راه نجاتى براى او فراهم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يَئِسْنَ مِنَ الْمَحيضِ مِنْ نِسائِكُمْ إِنِ ارْتَبْتُمْ فَعِدَّتُهُنَّ ثَلاثَةُ أَشْهُرٍ وَ اللاَّئي لَمْ يَحِضْنَ وَ أُولاتُ الْأَحْمالِ أَجَلُهُنَّ أَنْ يَضَعْنَ حَمْلَهُنَّ وَ مَنْ يَتَّقِ اللهَ يَجْعَلْ لَهُ مِنْ أَمْرِهِ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گروه از زنان شما كه از عادت ماهانه مأيوس‌اند، اگر در 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كنيد، عدّه آنان سه ماه است و همچنين آنها كه هيچ‌گاه حيض نديده‌اند و عدّه زنان باردار اين است كه وضع حمل كنند، و هر كس تقواى الهى پيشه كند، خداوند كارش را بر او آسان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دانشمندان اهل تسنن تصريح كردهاند همه مسلمانان بر وجوب عدّه زنان طلاق داده شده، اتفاق‌نظر دارند و اگر اختلافى باشد، در جزئيات و فروع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مغنى مينويسد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اجمالاً بر وجوب عدّه، اتفاق‌نظر دارند؛ هرچند در جزئيات با هم</w:t>
      </w:r>
    </w:p>
    <w:p>
      <w:pPr>
        <w:pStyle w:val="BookText"/>
        <w:rPr/>
      </w:pPr>
      <w:r>
        <w:rPr>
          <w:rFonts w:ascii="IRNazanin" w:hAnsi="IRNazanin" w:eastAsia="IRNazanin"/>
          <w:color w:val="111111"/>
          <w:sz w:val="28"/>
          <w:sz w:val="28"/>
          <w:szCs w:val="28"/>
          <w:rtl w:val="true"/>
          <w:lang w:bidi="fa-IR"/>
        </w:rPr>
        <w:t>اختلاف‌نظر دارند و همين‌طور در مورد زنى كه به او دخول نشده، اتفاق‌نظر دارند كه عدّه ندارد؛ آن هم به سبب گفتار خداوند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نَكَحْتُمُ الْمُؤْمِناتِ ثُمَّ طَلَّقْتُمُوهُنَّ مِنْ قَبْلِ أَنْ تَمَسُّوهُنَّ فَما لَكُمْ عَلَيْهِنَّ مِنْ عِدَّةٍ تَعْتَدُّونَها فَمَتِّعُوهُنَّ وَ سَرِّحُوهُنَّ سَراحاً جَميلاً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زنان با ايمان ازدواج كرديد و آنان را قبل از آميزش طلاق داديد، عدّه‌اى براى شما بر آنها نيست كه بخواهيد حساب آن را 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هديه مناسبى بهرهمند سازيد و به طرز نيكويى رهايشان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عدّه نداشتن اين‌گونه زنان، از حكمت عدّه برداشت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عدّه اين است كه فهميده شود زن از مرد، باردار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آميزش نكردن به باردار نشدن از اين مرد يقين مى‌كنيم و ديگر نيازى به عدّه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پايان يافتن زندگى زناشويى نظير فسخ نكاح به دليل رضاع يا عيب و نيز عتق، لعان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صورتى كه پيش از آميزش باشد، همين حكم را دارد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ديدگاه ما، اگر عدّه براى معلوم شدن پاكى رحم از حمل است، در طلاق صغيره غيربالغ و زن يائسه نيز، عدّه وجود ندارد؛ همان‌گونه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اللاَّئي يَئِسْنَ مِنَ الْمَحيضِ مِنْ نِسائِكُمْ إِنِ ارْتَبْتُمْ فَعِدَّتُهُنَّ ثَلاثَةُ أَشْهُرٍ وَ اللاَّئي لَمْ يَحِضْنَ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شريفه استفاده ميشود زنانى كه از حيض شدن مأيوس‌اند، عدّه ندارند، مگر در صورتى كه در آبستن بودنشان شك باشد يا به‌طور كلى حيض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اين دو گروه،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زنانى كه از حيض</w:t>
      </w:r>
    </w:p>
    <w:p>
      <w:pPr>
        <w:pStyle w:val="BookText"/>
        <w:rPr/>
      </w:pPr>
      <w:r>
        <w:rPr>
          <w:rFonts w:ascii="IRNazanin" w:hAnsi="IRNazanin" w:eastAsia="IRNazanin"/>
          <w:color w:val="111111"/>
          <w:sz w:val="28"/>
          <w:sz w:val="28"/>
          <w:szCs w:val="28"/>
          <w:rtl w:val="true"/>
          <w:lang w:bidi="fa-IR"/>
        </w:rPr>
        <w:t>شدن مأيوس‌اند يا اين دو ويژگى را ندارند، عدّه‌اى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زنانى كه شوهرشان از دنيا رفته است، عدّه آنان چهار ماه و ده روز است؛ زيرا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كسانى كه از شما ميميرند و همسرانى باقى ميگذارند، بايد چهار ماه و ده روز انتظار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پايان مدتشان رسيدند، گناهى بر شما نيست كه هرچه مى‌خواهند درباره خودشان به‌طور شايسته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 دلخواه خود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آيه دلالت دارد كه عدّه زنى كه شوهرش فوت كرده، چهار ماه و ده روز است؛ خواه آميزشى صورت گرفته، يا صورت نگرفته باشد و فرقى نمى‌كند كه صغيره، كبيره، يائسه يا باردار باشد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روشن شد كه از ديدگاه اماميه، زن طلاق داده شده فقط در سه صورت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صغيره يا يائسه باشد يا با او آميزش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زنى احتمال بارداربودنش داده شود، بايد سه ماه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نيز كه شوهرش از دنيا رفته است، بايد در تمام فرضها عدّه وفات را كه چهار ماه و ده روز است،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گفتار شعبى درباره نظر اماميه در بحث عدّه، دروغ و افترايى آشكار است</w:t>
      </w:r>
      <w:r>
        <w:rPr>
          <w:rFonts w:eastAsia="IRNazanin" w:cs="IRNazanin"/>
          <w:color w:val="111111"/>
          <w:sz w:val="28"/>
          <w:szCs w:val="28"/>
          <w:rtl w:val="true"/>
          <w:lang w:bidi="fa-IR"/>
        </w:rPr>
        <w:t>.</w:t>
      </w:r>
      <w:bookmarkStart w:id="36" w:name="pg1980_17844"/>
    </w:p>
    <w:p>
      <w:pPr>
        <w:pStyle w:val="Heading2"/>
        <w:numPr>
          <w:ilvl w:val="1"/>
          <w:numId w:val="1"/>
        </w:numPr>
        <w:rPr/>
      </w:pPr>
      <w:bookmarkStart w:id="37" w:name="__RefHeading___Toc3785669_3650668749"/>
      <w:bookmarkStart w:id="38" w:name="_Toc13"/>
      <w:bookmarkEnd w:id="36"/>
      <w:bookmarkEnd w:id="37"/>
      <w:r>
        <w:rPr>
          <w:rtl w:val="true"/>
        </w:rPr>
        <w:t>نمازهاى واجب از نظر شيعه</w:t>
      </w:r>
      <w:bookmarkEnd w:id="38"/>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همانند يهوديان مى‌گويند خداوند پنجاه نماز بر ما واجب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اماميه در هر شبانه‌روز، تنها پنج نماز را واجب ميداند و كتابهاى فقهى و رسالههاى عمليه، گواه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آنان، غير اين را نسبت دهد، دروغگويى است كه از گفتن دروغ شرم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مجموع نمازهاى واجب و مستحب در هر شبانه‌روز، نزد شيعه اماميه،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است كه هفده ركعت آن واجب،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مقصود شعبى، اين مطلب است، چرا به‌جاى ركعت، واژه نماز و به‌جاى نمازهاى مستحبى، نماز واجب به‌كار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او، دليلى غير از فرو رفتن در لجنزار افترا و دروغ بستن به شيعه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اين عمل از آنان دور نيست، بلكه اين روش و طبيعت آنان است كه براى از ميدان بيرون كردن دشمن، به او تهمت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پرسيد كه شعبى از كجا فهميده، كه خداوند بر يهود در هر روز، پنجاه نماز را واجب كرده است؛ زيرا رواياتى كه اهل تسنن نقل كردهاند، فقط بر</w:t>
      </w:r>
    </w:p>
    <w:p>
      <w:pPr>
        <w:pStyle w:val="BookText"/>
        <w:rPr/>
      </w:pPr>
      <w:r>
        <w:rPr>
          <w:rFonts w:ascii="IRNazanin" w:hAnsi="IRNazanin" w:eastAsia="IRNazanin"/>
          <w:color w:val="111111"/>
          <w:sz w:val="28"/>
          <w:sz w:val="28"/>
          <w:szCs w:val="28"/>
          <w:rtl w:val="true"/>
          <w:lang w:bidi="fa-IR"/>
        </w:rPr>
        <w:t xml:space="preserve">وجوب دو نماز يا كمتر از پنج نماز دلالت دارد؛ مانند روايتى كه معراج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ملاقاتش را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نسائى در سنن، و ابن كثير در تفسيرش از مالك بن انس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اين حديث طولانى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موسى آمدم كه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برگرد و از او تخفيف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برگشتم و خداوند، نمازها را به ده نماز رساند و پس از آن به پنج نماز تخفيف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بخواه كه از اين تعداد نيز كم كند؛ زيرا بر بنى‌اسرائيل دو نماز واجب كرد و آنان حقش را ادا نكردند</w:t>
      </w:r>
      <w:r>
        <w:rPr>
          <w:rFonts w:eastAsia="IRNazanin" w:cs="IRNazanin"/>
          <w:color w:val="111111"/>
          <w:sz w:val="28"/>
          <w:szCs w:val="28"/>
          <w:rtl w:val="true"/>
          <w:lang w:bidi="fa-IR"/>
        </w:rPr>
        <w:t xml:space="preserve">. . .» .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رواياتى ديگر از اهل تسنن، نمازهاى واجب بر امت موسى را كمتر از پنج نماز گفته است؛ مانند صحيح بخارى؛ بدين‌ترتيب كه پس از چند بار مراجعه و تخفيف گرفتن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برگرداندن پنجاه نماز به پنج نماز،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بنى‌اسرائيل كمتر از اين مقدار نماز را تثبيت كردم، ولى آنان ترك كردند و آن مقدار از نماز را هم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به نزد خدا برگرد و بخواه كه تخفيف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خجالت ميكشم؛ زيرا چندين بار نزد او رفته‌ام</w:t>
      </w:r>
      <w:r>
        <w:rPr>
          <w:rFonts w:eastAsia="IRNazanin" w:cs="IRNazanin"/>
          <w:color w:val="111111"/>
          <w:sz w:val="28"/>
          <w:szCs w:val="28"/>
          <w:rtl w:val="true"/>
          <w:lang w:bidi="fa-IR"/>
        </w:rPr>
        <w:t xml:space="preserve">» .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ابن حجر در شرح صحيح بخارى مى‌نويسد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يزيد بن</w:t>
      </w:r>
    </w:p>
    <w:p>
      <w:pPr>
        <w:pStyle w:val="BookText"/>
        <w:rPr/>
      </w:pPr>
      <w:r>
        <w:rPr>
          <w:rFonts w:ascii="Amiri" w:hAnsi="Amiri" w:eastAsia="Amiri" w:cs="Amiri"/>
          <w:color w:val="111111"/>
          <w:sz w:val="28"/>
          <w:sz w:val="28"/>
          <w:szCs w:val="28"/>
          <w:rtl w:val="true"/>
          <w:lang w:bidi="ar-SA"/>
        </w:rPr>
        <w:t>ابى مالك از انس، در تفسير ابن مردويه، مقدار نمازهاى بنى‌اسرائيل تعيين شده و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نماز بر بنى‌اسرائيل واجب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آن را اقامه نكردند</w:t>
      </w:r>
      <w:r>
        <w:rPr>
          <w:rFonts w:eastAsia="Amiri" w:cs="Amiri" w:ascii="Amiri" w:hAnsi="Amiri"/>
          <w:color w:val="111111"/>
          <w:sz w:val="28"/>
          <w:szCs w:val="28"/>
          <w:rtl w:val="true"/>
          <w:lang w:bidi="ar-SA"/>
        </w:rPr>
        <w:t xml:space="preserve">» . </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شعبى، نه تنها بر شيعه دروغ بسته، بلكه به يهوديان نيز تهمت زده است</w:t>
      </w:r>
      <w:r>
        <w:rPr>
          <w:rFonts w:eastAsia="Amiri" w:cs="Amiri" w:ascii="Amiri" w:hAnsi="Amiri"/>
          <w:color w:val="111111"/>
          <w:sz w:val="28"/>
          <w:szCs w:val="28"/>
          <w:rtl w:val="true"/>
          <w:lang w:bidi="ar-SA"/>
        </w:rPr>
        <w:t>.</w:t>
      </w:r>
      <w:bookmarkStart w:id="39" w:name="pg1980_17847"/>
    </w:p>
    <w:p>
      <w:pPr>
        <w:pStyle w:val="Heading2"/>
        <w:numPr>
          <w:ilvl w:val="1"/>
          <w:numId w:val="1"/>
        </w:numPr>
        <w:rPr/>
      </w:pPr>
      <w:bookmarkStart w:id="40" w:name="__RefHeading___Toc3785671_3650668749"/>
      <w:bookmarkStart w:id="41" w:name="_Toc14"/>
      <w:bookmarkEnd w:id="39"/>
      <w:bookmarkEnd w:id="40"/>
      <w:r>
        <w:rPr>
          <w:rtl w:val="true"/>
        </w:rPr>
        <w:t>جواز تأخير نماز مغرب از اول وقت از نظر شيعه</w:t>
      </w:r>
      <w:bookmarkEnd w:id="41"/>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رافضيان همانند يهوديان نماز مغرب را تا هنگام ظاهرشدن كامل ستارگان به تأخير مى‌اندازند؛ درحالى‌كه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تَزالَ أُمَّتي عَلَى الْفِطرَةِ مَا لَمْ يُؤخِّروا الْمَغرِبَ إلَى اشْتباكِ النُّجومِ مُضاهاةً لِلْيَهود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حديث از ابن اثير اين‌گونه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اشتباك نجوم، يعنى همه ستارگان ظاهر شوند؛ به طورى كه از زيادى ستارگان، برخى از آنها در بعض ديگر مخلوط به نظر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كنايه از تاريك شدن آسمان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بر استحباب مبادرت به نماز مغرب، و كراهت تأخير آن تا ظاهر شدن ستارگان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رافضيان، عكس اين مطلب را مستحب مى‌دانند و اين حديث، بر ضد عمل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رواياتى كه بر تأخير نماز مغرب تا زمانى نزديك به از بين رفتن شفق دلالت دارد، در مقام بيان جواز تأخير نماز مغرب تا آن زمان است، نه استحباب تأخير</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پاسخ اين افترا نيز روشن است؛ زيرا فتواى علماى اماميه همانند اهل سنت، بر استحباب تعجيل نماز مغرب است و به وجوب تأخير آن تا تاريك شدن آسمان و ظاهر شدن ستارگان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معتقدند كه وقت نماز مغرب با مخفى شدن خورشيد يا زايل شدن سرخى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حمره مشرقيه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سر شروع ميشود و مستحب است نماز مغرب و غير آن، در همان اول وقت انجام شود و هرچه تأخير شود، از ثوابش 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درخور ذكر است كه خود اهل سنت در اين مسئله اختلاف‌نظر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 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درباره وقت نماز مغرب، دو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مانند شافعى و ابن مبارك براى آن، يك وقت قائل‌اند كه همان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مشهور آنان معتقدند كه اول وقت نماز مغرب، غروب آفتاب، و پايان وقت آن، از بين رفتن سرخى در ناحيه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عبدالله بن مبارك به حديث جبرئيل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فقها به حديث عبدالله بن عمر استدلال كرده‌اند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مغرب تا زمانى است كه سرخى شفق پخش نشده و از بين نرفته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را مسلم و ديگران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حديث ابوموسى استدلال كرده‌اند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مغرب را به تأخير انداخت تا وقت از بين رفتن شفق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را مسلم و غير او روايت كرده‌اند و قول اكثر حق 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خواندن نماز مغرب تا وقتى كه ستارگان ظاهر شوند و آسمان تاريك شود، به دليل جواز تأخير اين نماز تا آن وقت باشد، در اين</w:t>
      </w:r>
    </w:p>
    <w:p>
      <w:pPr>
        <w:pStyle w:val="BookText"/>
        <w:rPr/>
      </w:pPr>
      <w:r>
        <w:rPr>
          <w:rFonts w:ascii="IRNazanin" w:hAnsi="IRNazanin" w:eastAsia="IRNazanin"/>
          <w:color w:val="111111"/>
          <w:sz w:val="28"/>
          <w:sz w:val="28"/>
          <w:szCs w:val="28"/>
          <w:rtl w:val="true"/>
          <w:lang w:bidi="fa-IR"/>
        </w:rPr>
        <w:t xml:space="preserve">صورت، اهل تسنن و شيعه اماميه در اين فتوا مساوى‌اند، و اگر تأخير آن تا زايل شدن سرخى طرف مشرق اشكال دارد، چرا علماى اهل تسنن به جواز تأخير آن تا زوال سرخى در طرف مغرب كه معمولاً پس از نيم ساعت از زوال سرخى در مشرق اتفاق مى‌افتد، فتوا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اين زمان، ستارگان ظاهر نشده، و آسمان را پر نكرده‌اند؟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خزيمه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اشتباك نجوم، خيلى پيش از زايل شدن سرخى در طرف مغرب است؛ به‌گونه‌اى كه در اين فاصله مى‌توان بيش از چهار ركعت نماز خواند، ولى هنوز شفق در مغرب موجود باشد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نكته ديگر اينكه عبارت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مضاهاة لليهود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رواياتى كه از تأخير انداختن نماز مغرب تا اشتباك نجوم نهى كرده است،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كتاب‌هايى چون سنن ابى‌داود، سنن ابن ماجة، سنن دارمى، السنن الكبرى بيهقى، صحيح ابن خزيمه، الأحاديث المختارة، مسند احمد بن حنبل، مستدرك حاكم نيشابورى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كنيد، اثرى از اين عبارت نمى‌بينيد</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شايد علتش اين باشد كه يهود نماز مغرب ندارد كه در اين صورت، تشابهى نيز وجود نخواهد داشت</w:t>
      </w:r>
      <w:r>
        <w:rPr>
          <w:rFonts w:eastAsia="Amiri" w:cs="Amiri" w:ascii="Amiri" w:hAnsi="Amiri"/>
          <w:color w:val="111111"/>
          <w:sz w:val="28"/>
          <w:szCs w:val="28"/>
          <w:rtl w:val="true"/>
          <w:lang w:bidi="ar-SA"/>
        </w:rPr>
        <w:t>.</w:t>
      </w:r>
      <w:bookmarkStart w:id="42" w:name="pg1980_17850"/>
    </w:p>
    <w:p>
      <w:pPr>
        <w:pStyle w:val="Heading2"/>
        <w:numPr>
          <w:ilvl w:val="1"/>
          <w:numId w:val="1"/>
        </w:numPr>
        <w:rPr/>
      </w:pPr>
      <w:bookmarkStart w:id="43" w:name="__RefHeading___Toc3785673_3650668749"/>
      <w:bookmarkStart w:id="44" w:name="_Toc15"/>
      <w:bookmarkEnd w:id="42"/>
      <w:bookmarkEnd w:id="43"/>
      <w:r>
        <w:rPr>
          <w:rtl w:val="true"/>
        </w:rPr>
        <w:t>انحراف از قبله از نظر شيعه</w:t>
      </w:r>
      <w:bookmarkEnd w:id="44"/>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همانند يهوديان، هنگام نماز قدرى از قبله منحرف مى‌ايستند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سخن نيز ياوهاى بيش نيست؛ زيرا علماى اماميه رو به قبله بودن در هنگام نماز را بدون هيچ انحرافى، چه كم و چه زياد، واجب ميدانند و كتابهاى فتوايى و استدلالى آنان بر اين مطلب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موضوع از امور بديهى مذهب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نيازى به طولانى كردن سخن در اين موضوع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برخى از رواياتى كه از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به اندكى انحراف به چپ در قبله عراق، فرمان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بيان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دستور به انحراف از قبله نيست، بلكه به سوى قبله گراييدن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نصيرالدين طوسى در اشكالى به محقق حلى،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انحراف اگر از قبله باشد جايز نيست و اگر از غيرقبله به قبله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جايى براى استحباب انحراف باقى نميماند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محقق نيز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انحراف از سوى قبله به قبله است</w:t>
      </w:r>
      <w:r>
        <w:rPr>
          <w:rFonts w:eastAsia="IRNazanin" w:cs="IRNazanin"/>
          <w:color w:val="111111"/>
          <w:sz w:val="28"/>
          <w:szCs w:val="28"/>
          <w:rtl w:val="true"/>
          <w:lang w:bidi="fa-IR"/>
        </w:rPr>
        <w:t xml:space="preserve">» . </w:t>
      </w:r>
      <w:r>
        <w:rPr>
          <w:rStyle w:val="FootnoteAnchor"/>
          <w:rtl w:val="true"/>
        </w:rPr>
        <w:footnoteReference w:id="41"/>
      </w:r>
      <w:r>
        <w:rPr>
          <w:rFonts w:ascii="IRNazanin" w:hAnsi="IRNazanin" w:eastAsia="IRNazanin"/>
          <w:color w:val="111111"/>
          <w:sz w:val="28"/>
          <w:sz w:val="28"/>
          <w:szCs w:val="28"/>
          <w:rtl w:val="true"/>
          <w:lang w:bidi="fa-IR"/>
        </w:rPr>
        <w:t>مرحوم علامه مجلسى در توضيح اين روايات، كلام متينى گفته، كه بيانگر علت استحباب اندكى انحراف به چپ، در قبله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محرابهايى كه در عراق وجود داشت و در زمان خلفاى جور بنا شده بود، به‌ويژه مسجد كوفه، رو به قبله نبود و از آنجايى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دستگاه طاغوت، امكان اظهار حق را نداشته‌اند، به اين وسيله، حكم واقعى را در قالب تقيه بيان كردهاند تا خطا بودن قبله محرابها، از سوى آنان پخش نشود؛ زيرا لازمه‌اش خطا شمردن كار خلفاى جور و درگير شدن با دستگاه طاغوت و به دنبال آن، گرفتار شدن شيعه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سخن روايتى درباره مسجد غنى و انحراف قبله آن است كه خواهد آمد و نشان مى‌دهد كه قبله ديگر مساجد نيز دقيق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غنى امروز برجا نمانده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علامه مجلسى در ادامه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تأييد اين مطلب، روايتى است كه نعمانى در كتاب غيبت با سند خودش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ميبينم كه شيعيان ما در مسجد كوفه خيمه‌اى بر پا كردهاند و به مردم، قرآن را آن‌گونه كه نازل شده است،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قائم ما قيام كند، اين مسجد را خراب مى‌كند و از نو مى‌سازد و قبلهاش را درست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برخى روايات، استفاده ميشود كه بناى مسجد كوفه پس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خودش باقى نمانده، بلكه منهدم شده و در آن تغييراتى ايجاد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آن حضرت به</w:t>
      </w:r>
    </w:p>
    <w:p>
      <w:pPr>
        <w:pStyle w:val="BookText"/>
        <w:rPr/>
      </w:pPr>
      <w:r>
        <w:rPr>
          <w:rFonts w:ascii="IRNazanin" w:hAnsi="IRNazanin" w:eastAsia="IRNazanin"/>
          <w:color w:val="111111"/>
          <w:sz w:val="28"/>
          <w:sz w:val="28"/>
          <w:szCs w:val="28"/>
          <w:rtl w:val="true"/>
          <w:lang w:bidi="fa-IR"/>
        </w:rPr>
        <w:t>مسجد كوفه آمد و در آن زمان، مسجد كوفه را با گل و خشت و آجر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كسى باد كه تو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باد كه اسباب خراب‌كردنت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تو را با گل پخته بسازد و قبله نوح پيامبر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همراه قائم ما، شاهد خرابى تو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بهترين امت، همراه با بهترين عترت‌اند</w:t>
      </w:r>
      <w:r>
        <w:rPr>
          <w:rFonts w:eastAsia="IRNazanin" w:cs="IRNazanin"/>
          <w:color w:val="111111"/>
          <w:sz w:val="28"/>
          <w:szCs w:val="28"/>
          <w:rtl w:val="true"/>
          <w:lang w:bidi="fa-IR"/>
        </w:rPr>
        <w:t xml:space="preserve">» .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پس با توجه به اين مطلب، اندكى انحراف به طرف چپ، براى درك قبله واقعى است، نه انحراف از قبله حقيقى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تفصيل دادن در اين موضوع، ما را از اصل بحث خارج مى‌كند و خوانندگان مى‌توانند به كتابهايى كه در اين موضوع نوشته شده است، مراجعه كنند</w:t>
      </w:r>
      <w:r>
        <w:rPr>
          <w:rFonts w:eastAsia="IRNazanin" w:cs="IRNazanin"/>
          <w:color w:val="111111"/>
          <w:sz w:val="28"/>
          <w:szCs w:val="28"/>
          <w:rtl w:val="true"/>
          <w:lang w:bidi="fa-IR"/>
        </w:rPr>
        <w:t>.</w:t>
      </w:r>
      <w:bookmarkStart w:id="45" w:name="pg1980_17853"/>
    </w:p>
    <w:p>
      <w:pPr>
        <w:pStyle w:val="Heading2"/>
        <w:numPr>
          <w:ilvl w:val="1"/>
          <w:numId w:val="1"/>
        </w:numPr>
        <w:rPr/>
      </w:pPr>
      <w:bookmarkStart w:id="46" w:name="__RefHeading___Toc3785675_3650668749"/>
      <w:bookmarkStart w:id="47" w:name="_Toc16"/>
      <w:bookmarkEnd w:id="45"/>
      <w:bookmarkEnd w:id="46"/>
      <w:r>
        <w:rPr>
          <w:rtl w:val="true"/>
        </w:rPr>
        <w:t>تكان دادن سر و كتف در نماز</w:t>
      </w:r>
      <w:bookmarkEnd w:id="47"/>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همانند يهوديان در نماز سر و كتف خود را تكان مى‌دهند و به راست و چپ متمايل ميشوند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سخن شعبى نيز از افتراهايى است كه كذبش بر همگان روشن است و هيچ‌يك از علماى اماميه، چنين سخنى نگفته است و به استحباب تمايل به راست و چپ يا تكان دادن سر و كتف در نماز يا غير آن فتوا نداده‌اند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مشاهده مى‌كنيم كه قاريان سنى مذهب در هنگام قرائت قرآن مرتب به طرف راست و چپ متمايل مى‌شوند و بالا و پايين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اين‌گونه حركات را از لوازم يا مستحبات قرائت قرآن ميدانند؛ با آنكه خودشان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يهوديان نباشيد كه هنگام بازكردن تورات، خود را تكان ميدهند و به راست و چپ متمايل مى‌شوند</w:t>
      </w:r>
      <w:r>
        <w:rPr>
          <w:rFonts w:eastAsia="IRNazanin" w:cs="IRNazanin"/>
          <w:color w:val="111111"/>
          <w:sz w:val="28"/>
          <w:szCs w:val="28"/>
          <w:rtl w:val="true"/>
          <w:lang w:bidi="fa-IR"/>
        </w:rPr>
        <w:t xml:space="preserve">» . </w:t>
      </w:r>
      <w:r>
        <w:rPr>
          <w:rStyle w:val="FootnoteAnchor"/>
          <w:rtl w:val="true"/>
        </w:rPr>
        <w:footnoteReference w:id="44"/>
      </w:r>
      <w:bookmarkStart w:id="48" w:name="pg1980_17854"/>
    </w:p>
    <w:p>
      <w:pPr>
        <w:pStyle w:val="Heading2"/>
        <w:numPr>
          <w:ilvl w:val="1"/>
          <w:numId w:val="1"/>
        </w:numPr>
        <w:rPr/>
      </w:pPr>
      <w:bookmarkStart w:id="49" w:name="__RefHeading___Toc3785677_3650668749"/>
      <w:bookmarkStart w:id="50" w:name="_Toc17"/>
      <w:bookmarkEnd w:id="48"/>
      <w:bookmarkEnd w:id="49"/>
      <w:r>
        <w:rPr>
          <w:rtl w:val="true"/>
        </w:rPr>
        <w:t>ديدگاه شيعه درباره مواضع سجده</w:t>
      </w:r>
      <w:bookmarkEnd w:id="50"/>
    </w:p>
    <w:p>
      <w:pPr>
        <w:pStyle w:val="BookText"/>
        <w:rPr/>
      </w:pPr>
      <w:r>
        <w:rPr>
          <w:rFonts w:ascii="IRNazanin" w:hAnsi="IRNazanin" w:eastAsia="IRNazanin"/>
          <w:color w:val="111111"/>
          <w:sz w:val="28"/>
          <w:sz w:val="28"/>
          <w:szCs w:val="28"/>
          <w:rtl w:val="true"/>
          <w:lang w:bidi="fa-IR"/>
        </w:rPr>
        <w:t>شعبى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همانند يهوديان با گذاشتن طرف بالاى سر بر روى زمين سجده ميكنند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سخن نيز از ياوههاى شعبى است؛ زيرا شيعيان در سجده، گذاشتن هفت عضو را روى زمين واجب مى‌دانند؛ يعنى پيشانى، دو كف دست، سر دو زانو و سر انگشت شست پا و اخلال به هركدام از اينها را سبب بطلان نماز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 شيعه به اين مطلب تصريح كردهاند كه به نمونه‌هايى از عباراتشان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عمل در سجده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اعضاى هفت گانه؛ يعنى پيشانى، دو كف دست، سر دو زانو و سر انگشت شست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پيشانى بر چيزى كه سجده بر آن صحيح باشد</w:t>
      </w:r>
      <w:r>
        <w:rPr>
          <w:rFonts w:eastAsia="IRNazanin" w:cs="IRNazanin"/>
          <w:color w:val="111111"/>
          <w:sz w:val="28"/>
          <w:szCs w:val="28"/>
          <w:rtl w:val="true"/>
          <w:lang w:bidi="fa-IR"/>
        </w:rPr>
        <w:t xml:space="preserve">. . . </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سجده در نماز، واجب است؛ آن هم به دليل روايات و اجماع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 علماى اماميه در سجده، نهادن هفت عضو بر زمين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دو كف دست، سر دو زانو و سر انگشت شست پا</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سجده كردى، دو كف دستت را انگشت‌بسته، بر زمين و مقابل دو زانو، به موازات صورتت پهن كن و سجده بر هفت عضو؛ يعنى پيشانى، دو كف دست، سر دو زانو و سر انگشتان شست پا واجب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علامه حلى در عبارتى ديگر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اعضاى هفتگانه يا يكى از آنها را عمداً بر زمين نگذارد، نمازش باطل است و اگر اخلالش از جهت فراموشى باشد، نمازش صحيح است؛ زيرا در صورت نسيان، واجب نيست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البته اگر نتواند بر پيشانياش سجده كند، بر يكى از دو طرف پيشانى سجده نمايد و اگر اين هم ممكن نبود، بر چانه‌اش سجده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اين باره مى‌نويسد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سجده، از جاى روييدن مو تا پيشانى، هر مقدارى كه از آن بر زمين قرار گيرد،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پيشانياش جراحت يا دملى باشد كه نتواند بر پيشانى سجده كند، اشكالى ندارد كه بر يكى از دو طرف آن سجده كند و اگر اين مقدار هم امكان نداشت بر چانهاش سجده كند و كافى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علامه حلى نيز در اين موضوع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 كه در سجده، گذاشتن پيشانى بر زمين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پيشانى‌اش دملى است كه نميتواند پيشانى را بر زمين بگذارد، گودالى حفر كند تا دمل در آن قرار گيرد و پيشانياش بر زمين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موضوع، روايتى است كه طى آن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دملى گرفتار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يك طرف پيشانى سجده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ديد و پس از جويا شدن از علتش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حفره‌اى بكن و دمل را در آن قرار بده تا پيشانى‌ات بر زمين قرار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اگر زخم و جراحت، تمام پيشانى را گرفته باشد، بر يكى از دو طرف پيشانى سجده كند؛ زيرا چنين سجده‌اى، به سجده واجب نزديكتر است تا سجده اشارهاى و سرانجام اگر سجده بر هيچ يك از دو طرف پيشانى ممكن نباشد، بر چانهاش سجده كند؛ زيرا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يَخِرُّونَ لِلْأَذْقانِ سُجَّداً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وقتى كه بر گذاشتن چانه بر زمين، عنوان سجده صدق كند، پس در حالت اضطرار، سجده بر چانه مُجزى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موضوع سؤال شد و حضرت با استدلال به آيه مذكور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چانه‌اش سجده كند و اگر آن هم امكان نداشت، اشاره كند</w:t>
      </w:r>
      <w:r>
        <w:rPr>
          <w:rFonts w:eastAsia="IRNazanin" w:cs="IRNazanin"/>
          <w:color w:val="111111"/>
          <w:sz w:val="28"/>
          <w:szCs w:val="28"/>
          <w:rtl w:val="true"/>
          <w:lang w:bidi="fa-IR"/>
        </w:rPr>
        <w:t xml:space="preserve">» . </w:t>
      </w:r>
      <w:r>
        <w:rPr>
          <w:rStyle w:val="FootnoteAnchor"/>
          <w:rtl w:val="true"/>
        </w:rPr>
        <w:footnoteReference w:id="5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علماى شيعه، سجده بر قرون </w:t>
      </w:r>
      <w:r>
        <w:rPr>
          <w:rStyle w:val="FootnoteAnchor"/>
          <w:rtl w:val="true"/>
        </w:rPr>
        <w:footnoteReference w:id="51"/>
      </w:r>
      <w:r>
        <w:rPr>
          <w:rFonts w:ascii="IRNazanin" w:hAnsi="IRNazanin" w:eastAsia="IRNazanin"/>
          <w:color w:val="111111"/>
          <w:sz w:val="28"/>
          <w:sz w:val="28"/>
          <w:szCs w:val="28"/>
          <w:rtl w:val="true"/>
          <w:lang w:bidi="fa-IR"/>
        </w:rPr>
        <w:t>و دو طرف پيشانى و محل فرورفتگى موى سر به‌جاى پيشانى را به اتفاق جايز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در اين‌باره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گونه يا سرش را براى سجده بر زمين بگذارد،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شافعى نيز با ما هم عقيده است</w:t>
      </w:r>
      <w:r>
        <w:rPr>
          <w:rFonts w:eastAsia="Amiri" w:cs="Amiri" w:ascii="Amiri" w:hAnsi="Amiri"/>
          <w:color w:val="111111"/>
          <w:sz w:val="28"/>
          <w:szCs w:val="28"/>
          <w:rtl w:val="true"/>
          <w:lang w:bidi="ar-SA"/>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اين بود كلمات صريح علماى شيعه كه حتى در حال اضطرار، سجده بر قسمت بالاى سر را جايز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يكى از شگفتيها، فتواى ابوحنيفه است كه در حال اختيار نيز جايز مى‌داند به جاى پيشانى، بينى بر زمين گذاشته شود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ابوحنيفه نقل شده است كه گذاشتن بينى بر زمين به جاى پيشانى، در سجده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پيش از ابوحنيفه سراغ نداريم كه چنين فتوايى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علت فتوايش اين باشد كه بينى و پيشانى را يك عضو به شمار آورده است؛ زيرا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پيشانى را نام برد، به بينى هم اشاره كرد و بر هر جاى عضو واحد مى‌توان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مخالف روايت صحيح و اجماعى است كه پيش از ابوحنيفه منعقد شده 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وجود چنين فتاواى عجيب بين خودشان بعيد نيست كه به كسانى تهمت زنند كه خداوند نعمت هدايت را به آنان داده است</w:t>
      </w:r>
      <w:r>
        <w:rPr>
          <w:rFonts w:eastAsia="IRNazanin" w:cs="IRNazanin"/>
          <w:color w:val="111111"/>
          <w:sz w:val="28"/>
          <w:szCs w:val="28"/>
          <w:rtl w:val="true"/>
          <w:lang w:bidi="fa-IR"/>
        </w:rPr>
        <w:t>.</w:t>
      </w:r>
      <w:bookmarkStart w:id="51" w:name="pg1980_17858"/>
    </w:p>
    <w:p>
      <w:pPr>
        <w:pStyle w:val="Heading2"/>
        <w:numPr>
          <w:ilvl w:val="1"/>
          <w:numId w:val="1"/>
        </w:numPr>
        <w:rPr/>
      </w:pPr>
      <w:bookmarkStart w:id="52" w:name="__RefHeading___Toc3785679_3650668749"/>
      <w:bookmarkStart w:id="53" w:name="_Toc18"/>
      <w:bookmarkEnd w:id="51"/>
      <w:bookmarkEnd w:id="52"/>
      <w:r>
        <w:rPr>
          <w:rtl w:val="true"/>
        </w:rPr>
        <w:t>تكان دادن سر پيش از سجده از نظر شيعه</w:t>
      </w:r>
      <w:bookmarkEnd w:id="53"/>
    </w:p>
    <w:p>
      <w:pPr>
        <w:pStyle w:val="BookText"/>
        <w:rPr/>
      </w:pPr>
      <w:r>
        <w:rPr>
          <w:rFonts w:ascii="IRNazanin" w:hAnsi="IRNazanin" w:eastAsia="IRNazanin"/>
          <w:color w:val="111111"/>
          <w:sz w:val="28"/>
          <w:sz w:val="28"/>
          <w:szCs w:val="28"/>
          <w:rtl w:val="true"/>
          <w:lang w:bidi="fa-IR"/>
        </w:rPr>
        <w:t>شعبى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همانند يهوديان قبل از سجده، سرشان را مثل ركوع چندين مرتبه تكان مى‌دهند</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درخور توجه است كه در هيچ‌يك از كتابهاى فقهى و فتوايى اماميه، چنين فتوايى يافت نميشود و نميدانيم كه شعبى، اين سخنان را از كجا آورده است</w:t>
      </w:r>
      <w:r>
        <w:rPr>
          <w:rFonts w:eastAsia="IRNazanin" w:cs="IRNazanin"/>
          <w:color w:val="111111"/>
          <w:sz w:val="28"/>
          <w:szCs w:val="28"/>
          <w:rtl w:val="true"/>
          <w:lang w:bidi="fa-IR"/>
        </w:rPr>
        <w:t>!</w:t>
      </w:r>
      <w:bookmarkStart w:id="54" w:name="pg1980_17859"/>
    </w:p>
    <w:p>
      <w:pPr>
        <w:pStyle w:val="Heading2"/>
        <w:numPr>
          <w:ilvl w:val="1"/>
          <w:numId w:val="1"/>
        </w:numPr>
        <w:rPr/>
      </w:pPr>
      <w:bookmarkStart w:id="55" w:name="__RefHeading___Toc3785681_3650668749"/>
      <w:bookmarkStart w:id="56" w:name="_Toc19"/>
      <w:bookmarkEnd w:id="54"/>
      <w:bookmarkEnd w:id="55"/>
      <w:r>
        <w:rPr>
          <w:rtl w:val="true"/>
        </w:rPr>
        <w:t>پايين انداختن لباس، هنگام نماز</w:t>
      </w:r>
      <w:bookmarkEnd w:id="56"/>
    </w:p>
    <w:p>
      <w:pPr>
        <w:pStyle w:val="BookText"/>
        <w:rPr/>
      </w:pPr>
      <w:r>
        <w:rPr>
          <w:rFonts w:ascii="IRNazanin" w:hAnsi="IRNazanin" w:eastAsia="IRNazanin"/>
          <w:color w:val="111111"/>
          <w:sz w:val="28"/>
          <w:sz w:val="28"/>
          <w:szCs w:val="28"/>
          <w:rtl w:val="true"/>
          <w:lang w:bidi="fa-IR"/>
        </w:rPr>
        <w:t>او دراين‌باره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همانند يهوديان، لباسشان را در نماز پايين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مردى گذشت كه ردايش را پايين كشيده بود و پيغمبر آن را برايش بالا 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مقصود از اسدال ثوب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انداختن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پوشانيدن عورت باشد، اين عمل در نماز واجب است و اگر براى خودنمايى و تكبر باشد، عملى مذموم است و دامن شيعه از اين تهمت پاك است؛ زيرا اسدال ثوب را به اين انگيزهها، نه واجب مى‌دانند و 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علماى بزرگ اهل تسنن، نه تنها اسدال ثوب را عمل مباحى دانسته‌اند، بلكه لباس‌هايشان را در نماز رها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ابى‌شيبه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را به بيان فتاواى كسانى كه اسدال ثوب را جايز دانسته‌اند يا در نمازشان اسدال ميكردهاند، اختصاص داده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نام عطاء بن سائب، ابراهيم نخعى، حكم بن عتيبه، مالك بن انس،</w:t>
      </w:r>
    </w:p>
    <w:p>
      <w:pPr>
        <w:pStyle w:val="BookText"/>
        <w:rPr/>
      </w:pPr>
      <w:r>
        <w:rPr>
          <w:rFonts w:ascii="Amiri" w:hAnsi="Amiri" w:eastAsia="Amiri" w:cs="Amiri"/>
          <w:color w:val="111111"/>
          <w:sz w:val="28"/>
          <w:sz w:val="28"/>
          <w:szCs w:val="28"/>
          <w:rtl w:val="true"/>
          <w:lang w:bidi="ar-SA"/>
        </w:rPr>
        <w:t>عبدالله بن عمر، سعيد بن جبير، عبدالرحمان بن اسود، حسن بصرى، محمدبن سيرين، مكحول و عبدالله بن الحسن را ذكر مى‌كند</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فتواى مالك بن انس، رييس مذهب مالكيه در اين موضوع شنيدنى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اشكالى در اسدال ثوب در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فقط پارچهاى به عنوان لُنگ بر پايين تنه بسته و پارچهاى به عنوان پيراهن بر دوش خود انداخته باشد، اشكالى در اسدال ثوب در اين حالت هم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فضلا و از جمله آنان عبدالله بن حسن را ديدم اين عمل را انجام مى‌دادند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پرسيد كه اگر بسيارى از علماى اهل تسنن، يا اسدال كرده، يا به جواز آن فتوا دادهاند، پس چرا شعبى، اين عمل را به شيعه نسبت داده است و آن را از وجوه تشابه شيعيان با يهود ميداند؟</w:t>
      </w:r>
      <w:bookmarkStart w:id="57" w:name="pg1980_17861"/>
    </w:p>
    <w:p>
      <w:pPr>
        <w:pStyle w:val="Heading2"/>
        <w:numPr>
          <w:ilvl w:val="1"/>
          <w:numId w:val="1"/>
        </w:numPr>
        <w:rPr/>
      </w:pPr>
      <w:bookmarkStart w:id="58" w:name="__RefHeading___Toc3785683_3650668749"/>
      <w:bookmarkStart w:id="59" w:name="_Toc20"/>
      <w:bookmarkEnd w:id="57"/>
      <w:bookmarkEnd w:id="58"/>
      <w:r>
        <w:rPr>
          <w:rtl w:val="true"/>
        </w:rPr>
        <w:t>سجده بر جاى بلند از ديدگاه شيعه</w:t>
      </w:r>
      <w:bookmarkEnd w:id="59"/>
    </w:p>
    <w:p>
      <w:pPr>
        <w:pStyle w:val="BookText"/>
        <w:rPr/>
      </w:pPr>
      <w:r>
        <w:rPr>
          <w:rFonts w:ascii="IRNazanin" w:hAnsi="IRNazanin" w:eastAsia="IRNazanin"/>
          <w:color w:val="111111"/>
          <w:sz w:val="28"/>
          <w:sz w:val="28"/>
          <w:szCs w:val="28"/>
          <w:rtl w:val="true"/>
          <w:lang w:bidi="fa-IR"/>
        </w:rPr>
        <w:t>او دراين‌باره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همانند يهوديان در نماز صبح، بر كندره سجده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نيافتيم تا ببينيم كه شعبى چه عملى را به 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كتابهاى لغت، نزديك‌ترين معنا به اين واژه را برآمدگى زمين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ياوهگو، همين معنا را اراده كرده باشد، بايد گفت كه شيعه، سجده بر زمين را جايز ميداند؛ چه زمين، مرتفع باشد و چه صاف؛ به بيان ديگر، آنان براى زمين مرتفع، خصوصيتى قائل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مقصود او سجده بر مُهرى باشد كه از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ميشود كه در اين صورت، بايد گفت بخشى از زمين است، نه زمين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همينطور كه سجده بر زمينهاى ديگر جايز است، بر اين تربت هم كه خاكى است از سرزمين كربلا،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براى نماز صبح هم ويژگى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تمام نمازهاى واجب و مستحب، اين عمل جايز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اماميه سجده بر تربت سرور و سالار 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برتر از سجده</w:t>
      </w:r>
    </w:p>
    <w:p>
      <w:pPr>
        <w:pStyle w:val="BookText"/>
        <w:rPr/>
      </w:pPr>
      <w:r>
        <w:rPr>
          <w:rFonts w:ascii="IRNazanin" w:hAnsi="IRNazanin" w:eastAsia="IRNazanin"/>
          <w:color w:val="111111"/>
          <w:sz w:val="28"/>
          <w:sz w:val="28"/>
          <w:szCs w:val="28"/>
          <w:rtl w:val="true"/>
          <w:lang w:bidi="fa-IR"/>
        </w:rPr>
        <w:t>بر هر چيز ديگر ميداند و ادله كافى بر اثبات اين مطلب اقامه كرده است كه براى مطالعه آن بهتر است به كتاب‌هاى فقه استدلالى از علماى اماميه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ما از اين ياوهگويان اين است كه آيا يهوديان، سجده بر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ميدانند كه امثال او، شيعه را به يهوديان تشبيه كرده‌اند؟</w:t>
      </w:r>
    </w:p>
    <w:p>
      <w:pPr>
        <w:pStyle w:val="BookText"/>
        <w:rPr/>
      </w:pPr>
      <w:r>
        <w:rPr>
          <w:rFonts w:ascii="IRNazanin" w:hAnsi="IRNazanin" w:eastAsia="IRNazanin"/>
          <w:color w:val="111111"/>
          <w:sz w:val="28"/>
          <w:sz w:val="28"/>
          <w:szCs w:val="28"/>
          <w:rtl w:val="true"/>
          <w:lang w:bidi="fa-IR"/>
        </w:rPr>
        <w:t xml:space="preserve">عجيب اين است كه همان كسانى كه سجده بر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مقدارى خاك پاك زمين است و اگر در سجده بر آن فضيلتى وجود نداشته باشد، دست‌كم مانند بقيه خاك‌ها سجده بر آن جايز است، عيب مى‌دانند و بر اماميه خرده‌گيرى مى‌كنند، خودشان در هنگام ازدحام، به جواز سجده بر پا يا پشت نمازگزارى كه جلوى او مشغول نماز است، فتوا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عبارات ابن حزم در كتاب المحلى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ازدحام در روز جمعه يا غير آن، اگر كسى نتواند بر زمين سجده كند و بر پا يا پشت كسى كه جلوى او مشغول نماز است سجده كند،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ديدگاه ابوحنيفه، شافعى، ابوسليمان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ندانستن اين عمل از سوى مالك، وجهى ندارد؛ زيرا خداوند به ما امر كرده است تا سجده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بيان نكرده است كه بر چه چيزى سجده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بر هر چيزى جايز است؛ زيرا پروردگارت فراموشكار نيست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خطاب نيز روايت شده است كه اگر گرما شديد بود، بر لباستان و اگر ازدحام جمعيت بود، بر پشت ديگرى سجده كنيد و هيچ يك از صحابه، با اين</w:t>
      </w:r>
    </w:p>
    <w:p>
      <w:pPr>
        <w:pStyle w:val="BookText"/>
        <w:rPr/>
      </w:pPr>
      <w:r>
        <w:rPr>
          <w:rFonts w:ascii="Amiri" w:hAnsi="Amiri" w:eastAsia="Amiri" w:cs="Amiri"/>
          <w:color w:val="111111"/>
          <w:sz w:val="28"/>
          <w:sz w:val="28"/>
          <w:szCs w:val="28"/>
          <w:rtl w:val="true"/>
          <w:lang w:bidi="ar-SA"/>
        </w:rPr>
        <w:t>فتواى عمر مخالفت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حسن بصرى و طاووس نقل شده است كه در صورت ازدحام، بر پشت برادرت، و از مجاهد حكايت شده است كه بر پاى او سجده كن</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پرسشى از اين عالمان داريم كه اگر زنى هنگام ازدحام، پشت سر مردى به نماز ايستاده باشد، آيا ميتواند بر پشت آن مرد يا بر ساق پاى او سجده كند؟ ديگر آنكه سجده بر پشت آن مرد، افضل است يا بر پاى او؟</w:t>
      </w:r>
    </w:p>
    <w:p>
      <w:pPr>
        <w:pStyle w:val="BookText"/>
        <w:rPr/>
      </w:pPr>
      <w:r>
        <w:rPr>
          <w:rFonts w:ascii="IRNazanin" w:hAnsi="IRNazanin" w:eastAsia="IRNazanin"/>
          <w:color w:val="111111"/>
          <w:sz w:val="28"/>
          <w:sz w:val="28"/>
          <w:szCs w:val="28"/>
          <w:rtl w:val="true"/>
          <w:lang w:bidi="fa-IR"/>
        </w:rPr>
        <w:t>با استدلالى كه ابن حزم در رد مالك داشت، ميتوان پاسخ اين سؤال را فهميد؛ يعنى خداوند بر ما سجده را واجب كرده، ولى نگفته است بر چه چيزى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چيزى، حتى بر پشت يا پاى مرد بيگانه و نامحرم نيز ميتوان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اگر نمازگزار جلويى كفش به پا داشت، طبق اين فتوا و مبنا ميتواند بر آن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بر اماميه خرده مى‌گيرند كه بر تربت كم‌حجم و پاكيزه و خوش‌بوى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مى‌كنند، خود به سجده بر منبر، با حجم و سنگينى وزنش، فتوا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گفته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جماعت در اثناى خطبه‌خوانى نماز جمعه، آيه سجده‌دار تلاوت كرد، مختار است در اينكه از منبر پايين بيايد و بر زمين سجده كند يا اگر امكان دارد بر همان منبر سجده كند يا به طور كلى سجده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گاهى سجده كرده و زمانى ديگر، ترك نموده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درخور توجه است كه سجده بر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پرستش تربت نيست؛ به بيان ديگر بايد بين سجده بر چيزى، با سجده براى چيزى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سجده بر تربت، سجده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گفته شود كه سجده بر تربت، عبادت و پرستش تربت است، در جواب مى‌گوييم پس سجده بر زمين يا سجاده نيز بايد عبادت زمين يا سجاده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سراغ نداريم كسى چنين توهمى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پيشانى بر تربت گذاشتن، عبادت تربت است، علماى اهل‌سنت روايت كردهاند كه بسيارى از صحابه، حجرالاسود را بوسيده و بر آن سجده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در شرح كتاب العمده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نسبت به سجده بر حجرالاسود، روايتى را از احمد بن حنبل به نقل از ابن عباس نقل كردهاند كه ابن حنبل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محمد بن عباد بن جعفر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عباس، در روز هشتم ذيحجه درحالى‌كه جامه احرام به تن داشت به مسجدالحرام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به طرف حجرالاسود رفت و آن را بوسيد و سه بار بر آن سجده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ابويعلى موصلى در مسندش از ابوداوود طيالسى از جعفر بن عثمان مخزومى نقل ميكند كه محمد بن عباد بن جعفر را ديدم كه حجرالاسود را بوسيد و بر آن سجده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دايى‌ام ابن عباس را ديدم كه حجر را بوسيد و بر آن سجده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ديدم كه حجر را بوسيد و بر آن سجده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ديدم كه اين‌گونه عمل ميكرد</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عمر در صحيح مسلم، مبنى بر اينكه حجر را بوسيد و خود را به آن چسبانيد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رسول خدا را اين‌گونه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مؤيد اين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 را ديدم كه كنار حجرالاسود آمد و سه بار آن را بوسيد و بر آن سجده كرد</w:t>
      </w:r>
      <w:r>
        <w:rPr>
          <w:rFonts w:eastAsia="IRNazanin" w:cs="IRNazanin"/>
          <w:color w:val="111111"/>
          <w:sz w:val="28"/>
          <w:szCs w:val="28"/>
          <w:rtl w:val="true"/>
          <w:lang w:bidi="fa-IR"/>
        </w:rPr>
        <w:t xml:space="preserve">» . </w:t>
      </w:r>
      <w:r>
        <w:rPr>
          <w:rStyle w:val="FootnoteAnchor"/>
          <w:rtl w:val="true"/>
        </w:rPr>
        <w:footnoteReference w:id="6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اگر سجده شيعه بر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تربت است، سجده اين گروه بر حجرالاسود نيز بايد عبادت حجرالاسود شمرده شود؛ وگرنه نبايد هيچ‌كدام را عبادت بدانيم</w:t>
      </w:r>
      <w:r>
        <w:rPr>
          <w:rFonts w:eastAsia="IRNazanin" w:cs="IRNazanin"/>
          <w:color w:val="111111"/>
          <w:sz w:val="28"/>
          <w:szCs w:val="28"/>
          <w:rtl w:val="true"/>
          <w:lang w:bidi="fa-IR"/>
        </w:rPr>
        <w:t>.</w:t>
      </w:r>
      <w:bookmarkStart w:id="60" w:name="pg1980_17866"/>
    </w:p>
    <w:p>
      <w:pPr>
        <w:pStyle w:val="Heading2"/>
        <w:numPr>
          <w:ilvl w:val="1"/>
          <w:numId w:val="1"/>
        </w:numPr>
        <w:rPr/>
      </w:pPr>
      <w:bookmarkStart w:id="61" w:name="__RefHeading___Toc3785685_3650668749"/>
      <w:bookmarkStart w:id="62" w:name="_Toc21"/>
      <w:bookmarkEnd w:id="60"/>
      <w:bookmarkEnd w:id="61"/>
      <w:r>
        <w:rPr>
          <w:rtl w:val="true"/>
        </w:rPr>
        <w:t>چگونگى سلام گفتن شيعيان</w:t>
      </w:r>
      <w:bookmarkEnd w:id="62"/>
    </w:p>
    <w:p>
      <w:pPr>
        <w:pStyle w:val="BookText"/>
        <w:rPr/>
      </w:pPr>
      <w:r>
        <w:rPr>
          <w:rFonts w:ascii="IRNazanin" w:hAnsi="IRNazanin" w:eastAsia="IRNazanin"/>
          <w:color w:val="111111"/>
          <w:sz w:val="28"/>
          <w:sz w:val="28"/>
          <w:szCs w:val="28"/>
          <w:rtl w:val="true"/>
          <w:lang w:bidi="fa-IR"/>
        </w:rPr>
        <w:t>شعبى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صادقانه و از سر اخلاص به مؤمنان سلام نمى‌كنند، رافضيان نيز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مرگ و نابودى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ياوه نيز از دروغهاى شعبى درباره اماميه است؛ زيرا تحيتى كه شيعيان هنگام ملاقات با ديگران دارند، چيزى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همه كسانى كه با شيعه معاشرت دارند، مى‌دانند و هركسى غير از آن را به شيعه نسبت دهد، بر آنان دروغ بسته و افترا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از گذشته تا حال، به وجوب رد سلام، حتى در حال نماز واجب فتوا دادهاند و عباراتشان به صراحت، اين مطلب را بازگو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گوشهاى از كلماتشان اشاره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همدانى مينويسد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ظاهرتر اين است كه رد سلام، به هر صيغهاى كه باشد واجب است و فرقى نميكند كه سلام‌كننده، صغير مميز باشد يا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با گفتن سلام، قصد تحيت داشته باشد </w:t>
      </w:r>
      <w:r>
        <w:rPr>
          <w:rStyle w:val="FootnoteAnchor"/>
          <w:rtl w:val="true"/>
        </w:rPr>
        <w:footnoteReference w:id="61"/>
      </w:r>
      <w:r>
        <w:rPr>
          <w:rFonts w:ascii="Amiri" w:hAnsi="Amiri" w:eastAsia="Amiri" w:cs="Amiri"/>
          <w:color w:val="111111"/>
          <w:sz w:val="28"/>
          <w:sz w:val="28"/>
          <w:szCs w:val="28"/>
          <w:rtl w:val="true"/>
          <w:lang w:bidi="ar-SA"/>
        </w:rPr>
        <w:t>زيرا ادلهاى كه در اين باره رسيده است، اطلاق دارد</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امورى كه خيال ميشود اماميه در آن از ديگر مذاهب اسلامى جداست، پاسخ دادن سلام در نماز است كه فقط سعيد بن مسيب و حسن بصرى با ما موافق‌اند؛ با اين تفاوت كه شيعه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رد سلام، همان صيغهاى را كه سلامدهنده استعمال كرده است به كار ميبرد؛ يعنى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و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با اشاره، جواب سلام را ميدهد نه با كلام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ابوحنيفه و يارانش معتقدند كه اگر پاسخ سلام را داد، نمازش باطل ميشود و اگر با اشاره جواب داد، فقط معصيت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كسى كه جواب سلامش واجب است، به شخصى كه در حال نماز است، سلام كند، جايز است پاسخش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مخالفى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اجماع محصل و منقول و روايات زيادى نزديك به حد تواتر، بر جواز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ميتوان گفت كه در كتاب انتصار، جامع المقاصد، فوائد الشرائع و بسيارى از كتابها بر وجوب پاسخ به سلام در حال نماز، ادعاى اجماع يا عدم مخالفت شده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رواياتى كه بر اين مطلب دلالت دارد، حديث صحيحى است كه از محمد بن مسلم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ميگويد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درحالى‌كه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از آن حضرت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جواب سلام در هنگام نماز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عبارتى كه سلام كرده است</w:t>
      </w:r>
      <w:r>
        <w:rPr>
          <w:rFonts w:eastAsia="IRNazanin" w:cs="IRNazanin"/>
          <w:color w:val="111111"/>
          <w:sz w:val="28"/>
          <w:szCs w:val="28"/>
          <w:rtl w:val="true"/>
          <w:lang w:bidi="fa-IR"/>
        </w:rPr>
        <w:t xml:space="preserve">» . </w:t>
      </w:r>
      <w:r>
        <w:rPr>
          <w:rStyle w:val="FootnoteAnchor"/>
          <w:rtl w:val="true"/>
        </w:rPr>
        <w:footnoteReference w:id="6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نميدانيم كه شعبى از كجا آورده است كه در جواب سلام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مرگتان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آنكه علماى اماميه بر وجوب رد سلام حتى در حال نماز اجماع دارند</w:t>
      </w:r>
      <w:r>
        <w:rPr>
          <w:rFonts w:eastAsia="IRNazanin" w:cs="IRNazanin"/>
          <w:color w:val="111111"/>
          <w:sz w:val="28"/>
          <w:szCs w:val="28"/>
          <w:rtl w:val="true"/>
          <w:lang w:bidi="fa-IR"/>
        </w:rPr>
        <w:t>.</w:t>
      </w:r>
      <w:bookmarkStart w:id="63" w:name="pg1980_17869"/>
    </w:p>
    <w:p>
      <w:pPr>
        <w:pStyle w:val="Heading2"/>
        <w:numPr>
          <w:ilvl w:val="1"/>
          <w:numId w:val="1"/>
        </w:numPr>
        <w:rPr/>
      </w:pPr>
      <w:bookmarkStart w:id="64" w:name="__RefHeading___Toc3785687_3650668749"/>
      <w:bookmarkStart w:id="65" w:name="_Toc22"/>
      <w:bookmarkEnd w:id="63"/>
      <w:bookmarkEnd w:id="64"/>
      <w:r>
        <w:rPr>
          <w:rtl w:val="true"/>
        </w:rPr>
        <w:t>اتهام تحريف قرآن به نظر شيعه</w:t>
      </w:r>
      <w:bookmarkEnd w:id="65"/>
    </w:p>
    <w:p>
      <w:pPr>
        <w:pStyle w:val="BookText"/>
        <w:rPr/>
      </w:pPr>
      <w:r>
        <w:rPr>
          <w:rFonts w:ascii="IRNazanin" w:hAnsi="IRNazanin" w:eastAsia="IRNazanin"/>
          <w:color w:val="111111"/>
          <w:sz w:val="28"/>
          <w:sz w:val="28"/>
          <w:szCs w:val="28"/>
          <w:rtl w:val="true"/>
          <w:lang w:bidi="fa-IR"/>
        </w:rPr>
        <w:t>شعبى در اين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تورات را تحريف كردند و رافضيان نيز قرآن را تحريف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مقصود اين ياوهگو، اين است كه رافضيان، قرآن را تحريف كردند، همان‌گونه كه يهوديان تورات را تحريف نمودند، كلام پوچى گفته است؛ زيرا قرآن كريم تحريف نشده است و شيعه و غيرشيعه، هيچ‌كسى آن را تحريف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كتاب، به همان نحوى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بدون هيچ كم و زيادى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شعبى اين است كه رافضيان، قرآن را تحريف‌شده مى‌دانند، بايد گفت كه حتى در اين صورت نيز آنان شباهتى به يهود ندارند؛ زيرا يهود، تورات را واقعاً تحريف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رافضيان قرآن را تحريف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گفته اين ياوهگو، آن را تحريف شده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رفع اين اتهام از شيعه، بهتر است كلمات و عبارات بزرگان علماى اماميه را از گذشته تاكنون مرور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اعتقادات مينويسد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ما اين است كه قرآنى كه خداوند بر پيامبرش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w:t>
      </w:r>
    </w:p>
    <w:p>
      <w:pPr>
        <w:pStyle w:val="BookText"/>
        <w:rPr/>
      </w:pPr>
      <w:r>
        <w:rPr>
          <w:rFonts w:ascii="IRNazanin" w:hAnsi="IRNazanin" w:eastAsia="IRNazanin"/>
          <w:color w:val="111111"/>
          <w:sz w:val="28"/>
          <w:sz w:val="28"/>
          <w:szCs w:val="28"/>
          <w:rtl w:val="true"/>
          <w:lang w:bidi="fa-IR"/>
        </w:rPr>
        <w:t xml:space="preserve">كرده، همين قرآنى است كه بين دو جلد و در دست مردم است و بيشتر از اين نبوده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الضحى و الم نشرح يك سورهاند و لايلاف و الم تر كيف نيز يك سوره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غير اين را به ما نسبت دهد، دروغگويى بيش نيست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اوائل المقالات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يافتن نقصان به قرآن از ديدگاه عقل، محال نيست و شيعه مانعى از وقوعش نميبيند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گروهى از شيعه اماميه معتقدند كه از كلمات و آيات و سورههاى قرآن، چيزى حذف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تفسير و تأويل و شأن نزول آن كه در مصحف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حذف شده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اعتقاد من اين قول به صواب، نزديكتر است تا اعتقاد كسانى كه به حذف شدن كلماتى از خود قرآن معتقدند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تفسير التبيان مينويسد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در زياده و نقصان قرآن، سخن صحيحى نيست كه در اين كتاب بيان شود؛ زيرا اجماع بر عدم زياده است و ظاهر مذهب مسلمانان بر عدم نقصان قرآن ميباشد و اين ديدگاه به مذهب اماميه لايقتر است و علم الهدى سيد مرتضى، آن را تقويت كرده است و روايات زيادى نيز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روايات زيادى از شيعه و عامه، از دست رفتن بسيارى از آيات قرآن يا جابه‌جايى آنها را بازگو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خبر واحد هستند و موجب علم و عمل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كه از آنها اعراض شود و به نقد و ايراد آنها نپردازيم؛ زيرا امكان توجيه آنها وجود دارد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الاسلام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زياد شدن سورهها يا آيات قرآن، بر اينكه چنين اتفاقى نيفتاده است، اجماع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كم شدن آنها، برخى از اماميه و قومى از حشويه از اهل سنت، به آن اعتقاد دارند و مى‌گويند كه در قرآن تغيير و نقصانى پديدار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مذهب اماميه، اعتقاد صحيح شمرده ميشود، عدم نقصان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نيز اين نظريه را تقويت كرده و در مسائل طرابلسيات با دليلهاى كافى و شافى، به اثبات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 بار اين مطلب را تكرار كرده كه علم به صحت نقل قرآن، مانند علم به وجود شهرها و حوادث بزرگ و وقايع شگفت‌انگيز، كتابهاى مشهور و اشعار عرب است كه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 براى حفظ قرآن از تحريف و تصحيف، به حدى قوى بوده است كه در هيچ موردى چنين انگيزهاى با اين شدت و قوت نميتوان يافت؛ زيرا قرآن، معجزه جاودان نبوت و منبع علوم شرعى و احكام دينى است و علماى مسلمان در نگهدارى آن، نهايت كوشش خود را به كار گرفته‌اند؛ به گونهاى كه حتى اختلافات در حروف و اعراب و آياتش نيز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اوصافى چگونه ممكن است دگرگون، يا از آن چيزى كم شده باشد؟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سيد رضى الدين 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۶۶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سعدالسعود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از هر تغيير به زياده و نقصان، مصون است و بر اين مطلب، ادله عقلى و شرعى دلالت ميكند</w:t>
      </w:r>
      <w:r>
        <w:rPr>
          <w:rFonts w:eastAsia="Amiri" w:cs="Amiri" w:ascii="Amiri" w:hAnsi="Amiri"/>
          <w:color w:val="111111"/>
          <w:sz w:val="28"/>
          <w:szCs w:val="28"/>
          <w:rtl w:val="true"/>
          <w:lang w:bidi="ar-SA"/>
        </w:rPr>
        <w:t xml:space="preserve">» . </w:t>
      </w:r>
      <w:r>
        <w:rPr>
          <w:rStyle w:val="FootnoteAnchor"/>
          <w:rtl w:val="true"/>
        </w:rPr>
        <w:footnoteReference w:id="7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مرجع شيعيان در عصر خويش، شيخ جعفر كبير، معروف به كاشف‌الغطاء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كشف الغطاء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هيچ سوره يا آيه يا كلمه يا حرفى زياد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امروزه، مابين دو جلد به عنوان قرآن تلاوت ميشود، همان كلام خداست و اين مطلب از ضروريات مذهب اماميه، بلكه از ضروريات دين، و مورد اجماع همه مسلمانان است و اخبار صادر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جانشينان طاهرش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گروه اندكى كه به مخالفت آنان اهميتى داده نميشود، معتقد به تحريف و افزايش در قرآن‌اند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هرگونه كاهش در امان بوده و خداوند منان آن را حفظ نموده است؛ همان‌گونه كه صريح قرآن بر آن دلالت دارد و اجماع بر عدم نقصان، در تمام ادوار تاريخ اسلام منعقد بوده است و به گفتار برخى كه شاذ و نادرند، اهميتى داده نميشود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آيت الله ميرزا محمد حسن آشتيانى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كتاب بحرالفوائد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 بين مجتهدان و علماى اصول، بلكه بيشتر محدثان، عدم وقوع هر تغييرى در قرآن است؛ بلكه بسيارى از علما بر اين مطلب، ادعاى اجماع كرده‌اند</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يكى ديگر از مراجع شيعه، آيت الله سيد محسن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استفتايى مى‌نويسد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بزرگان از محققان و رأى علماى شيعى و سنى و نوع مسلمانان از صدر اسلام تا به امروز بر اين است كه قرآن از نظر آيات و ترتيب سوره‌هاى آن و</w:t>
      </w:r>
    </w:p>
    <w:p>
      <w:pPr>
        <w:pStyle w:val="BookText"/>
        <w:rPr/>
      </w:pPr>
      <w:r>
        <w:rPr>
          <w:rFonts w:ascii="IRNazanin" w:hAnsi="IRNazanin" w:eastAsia="IRNazanin"/>
          <w:color w:val="111111"/>
          <w:sz w:val="28"/>
          <w:sz w:val="28"/>
          <w:szCs w:val="28"/>
          <w:rtl w:val="true"/>
          <w:lang w:bidi="fa-IR"/>
        </w:rPr>
        <w:t>كيفيت جمع‌آورياش همين بوده كه اكنون بين مردم متداول است و هيچ‌گونه تغيير و تحريفى در آن رخ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الله سيد ابوالقاسم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شيعه در عصر خودش در كتاب البيان فى تفسير القرآن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گفتيم روشن شد كه حديث تحريف قرآن، خيال و خرافهاى بيش نيست و به آن معتقد نميشود، مگر كسى كه عقلش كم باشد يا در اطراف آن دقت و تأمل نكند يا دوست دارد قرآن را تحريف شده بداند و دوست داشتن چيزى، انسان را كر و كور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فردى كه عاقل باشد و از انصاف و تدبر بهرهاى داشته باشد، در خرافه و باطل بودنِ قول به تحريف شكى ندارد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ممكن است تعداد كمى از دانشمندان شيعه يا سنى به تحريف قرآن اعتقاد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هرحال، آنان در اين اعتقاد خطا كرده‌اند و رأى آنان را نبايد رأى جامعه شيعى يا سنى دانست و ديگران را به داشتن چنين اعتقادى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براى آگاهى بيشتر از نظرات علماى اماميه به كتابهايى كه در اين موضوع نوشته‌اند، مراجعه شود</w:t>
      </w:r>
      <w:r>
        <w:rPr>
          <w:rFonts w:eastAsia="IRNazanin" w:cs="IRNazanin"/>
          <w:color w:val="111111"/>
          <w:sz w:val="28"/>
          <w:szCs w:val="28"/>
          <w:rtl w:val="true"/>
          <w:lang w:bidi="fa-IR"/>
        </w:rPr>
        <w:t>.</w:t>
      </w:r>
      <w:bookmarkStart w:id="66" w:name="pg1980_17874"/>
    </w:p>
    <w:p>
      <w:pPr>
        <w:pStyle w:val="Heading2"/>
        <w:numPr>
          <w:ilvl w:val="1"/>
          <w:numId w:val="1"/>
        </w:numPr>
        <w:rPr/>
      </w:pPr>
      <w:bookmarkStart w:id="67" w:name="__RefHeading___Toc3785689_3650668749"/>
      <w:bookmarkStart w:id="68" w:name="_Toc23"/>
      <w:bookmarkEnd w:id="66"/>
      <w:bookmarkEnd w:id="67"/>
      <w:r>
        <w:rPr>
          <w:rtl w:val="true"/>
        </w:rPr>
        <w:t>ديدگاه شيعه درباره جبرئيل</w:t>
      </w:r>
      <w:bookmarkEnd w:id="68"/>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با جبرئيل دشمنى ميكند و او را دشمن خود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رافضيان نيز ميگويند جبرئيل در رساندن وحى اشتباه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بايد گفت كه كتابهاى اعتقادى رافضيان در همه‌جا به‌وفور يافت مى‌شود و در دسترس همگان است و با رجوع به آنها ميتوان فهميد كه در هيچ كتابى، چنين مطلبى يافت نميشود و هيچ‌يك از اماميه با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امين وحى الهى است، دشمنى نميورزد و او را در رساندن وحى، مرتكب اشتباه نميداند؛ به بيان ديگر، اين دروغ و افترايى است كه اين جماعت از گذشته براى از ميدان به در كردن شيعه به آنان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اذان در بلاد شيعه از مأذنهها پخش ميشود و شيعيان در آن به رسالت خاتم انبيا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امير 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شهادت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هركسى كه خلاف اين مطلب را به شيعه نسبت دهد، دروغگويى افترا زننده است كه از خدا حيا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ضمن، فقهاى شيعه در كتب فقهى تصريح كردهاند كه جمله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w:t>
      </w:r>
    </w:p>
    <w:p>
      <w:pPr>
        <w:pStyle w:val="BookText"/>
        <w:rPr/>
      </w:pP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فصول اذان و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خودى خود مستحب است، گفتن آن در اذان و اقامه، نه به قصد جزئيت،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نمونه‌اى از كلمات فقهاى شيعه در اين رابطه اشاره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نراقى در كتاب مستندالشيعه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 علماى اماميه در اينكه اذان مركب از تكبير، شهادت به توحيد، شهادت به رسالت پيامبر خاتم، حى على الصلاة، حى على الفلاح، حى على خير العمل، و تكبير و تهليل است، يعنى از هشت جمله تشكيل شده است، ولى اقامه،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دارد،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متواتر صادر شده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دلالت دارد و در كلمات بسيارى از فقهاى عظام، بر آن ادعاى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علماى شيعه، مانند شيخ صدوق و شيخ طوسى تصريح كردهاند كه شهادت به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و اقامه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مبسوط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آنكه شهادت به ولايت جزء اذان و اقامه نيست، ولى گفتن آن، نه به قصد جزئيت، اشكالى ندارد</w:t>
      </w:r>
      <w:r>
        <w:rPr>
          <w:rFonts w:eastAsia="IRNazanin" w:cs="IRNazanin"/>
          <w:color w:val="111111"/>
          <w:sz w:val="28"/>
          <w:szCs w:val="28"/>
          <w:rtl w:val="true"/>
          <w:lang w:bidi="fa-IR"/>
        </w:rPr>
        <w:t xml:space="preserve">» . </w:t>
      </w:r>
      <w:r>
        <w:rPr>
          <w:rStyle w:val="FootnoteAnchor"/>
          <w:rtl w:val="true"/>
        </w:rPr>
        <w:footnoteReference w:id="7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اماميه همواره به رسالت رسول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خاتميت آن حضرت و افضليت او بر ساير پيامبران شهادت مى‌دهد و منكر نبوت و خاتميت آن حضرت را تكفير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شيعيان در گفتار و نوشتهها نام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مقرب پروردگار و امين وحى الهى را با عظمت ياد مى‌كنند و با ذكر نامش، بر او درود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ميبينيم كه اين ياوهگويان، مكرر به شيعه تهمت ميزنند كه آنان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خطاكار</w:t>
      </w:r>
    </w:p>
    <w:p>
      <w:pPr>
        <w:pStyle w:val="BookText"/>
        <w:rPr/>
      </w:pPr>
      <w:r>
        <w:rPr>
          <w:rFonts w:ascii="Amiri" w:hAnsi="Amiri" w:eastAsia="Amiri" w:cs="Amiri"/>
          <w:color w:val="111111"/>
          <w:sz w:val="28"/>
          <w:sz w:val="28"/>
          <w:szCs w:val="28"/>
          <w:rtl w:val="true"/>
          <w:lang w:bidi="ar-SA"/>
        </w:rPr>
        <w:t>مى‌دانند و اين را دليلى بر بطلان مذهب اماميه مى‌دانند؛ با آنكه تا به حال نتوانستهاند حتى يك دليل اقامه كنند كه اين مدعا را ثابت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اين مسئله كه اين همه واضح و روشن است به شيعه دروغ مى‌بندند، از آنان چه انتظارى ميرود كه در مسائل ديگر كه چه بسا وضوحش كمتر از اين مسئله باشد يا بسيارى از مردم عوام آن را ندانند، به اماميه افترا نزنند؟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اينگونه اعمال برداشت ميشود كه دشمن ما براى از بين بردن مخالفان خود و از ميدان به در كردن آنان، از هيچ دروغ و افترايى واهمه ندارند و آن را حلال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آنان، دليل بر اين است كه خودشان به باطل بودن عقايد و آرايشان اعتقاد دارند؛ زيرا كسى كه بر حق باشد، براى مجادله و مباحثه با خصم خود، نيازى به دروغ‌بافى و اين‌گونه شيوههاى حرام ندارد؛ زيرا با دليل و برهان قاطع ميتواند خصم را مغلوب كند</w:t>
      </w:r>
      <w:r>
        <w:rPr>
          <w:rFonts w:eastAsia="IRNazanin" w:cs="IRNazanin"/>
          <w:color w:val="111111"/>
          <w:sz w:val="28"/>
          <w:szCs w:val="28"/>
          <w:rtl w:val="true"/>
          <w:lang w:bidi="fa-IR"/>
        </w:rPr>
        <w:t>.</w:t>
      </w:r>
      <w:bookmarkStart w:id="69" w:name="pg1980_17877"/>
    </w:p>
    <w:p>
      <w:pPr>
        <w:pStyle w:val="Heading2"/>
        <w:numPr>
          <w:ilvl w:val="1"/>
          <w:numId w:val="1"/>
        </w:numPr>
        <w:rPr/>
      </w:pPr>
      <w:bookmarkStart w:id="70" w:name="__RefHeading___Toc3785691_3650668749"/>
      <w:bookmarkStart w:id="71" w:name="_Toc24"/>
      <w:bookmarkEnd w:id="69"/>
      <w:bookmarkEnd w:id="70"/>
      <w:r>
        <w:rPr>
          <w:rtl w:val="true"/>
        </w:rPr>
        <w:t>حرمت جان و مال مسلمانان نزد شيعه</w:t>
      </w:r>
      <w:bookmarkEnd w:id="71"/>
    </w:p>
    <w:p>
      <w:pPr>
        <w:pStyle w:val="BookText"/>
        <w:rPr/>
      </w:pPr>
      <w:r>
        <w:rPr>
          <w:rFonts w:ascii="IRNazanin" w:hAnsi="IRNazanin" w:eastAsia="IRNazanin"/>
          <w:color w:val="111111"/>
          <w:sz w:val="28"/>
          <w:sz w:val="28"/>
          <w:szCs w:val="28"/>
          <w:rtl w:val="true"/>
          <w:lang w:bidi="fa-IR"/>
        </w:rPr>
        <w:t>شعبى ادعا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اموال مردم را مباح مى‌شمارند و خداوند از گفتار آنها به ما خبر داد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عَلَيْنا فِي الْأُمِّيِّينَ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غيريهود مسئول نيستيم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رافضيان نيز اموال هر مسلمانى را مباح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خون هر مسلمانى را مباح مى‌داند و رافضيان هم همين‌گونهاند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فريب‌دادن مردم را روا مى‌دانند و همين‌طور رافضيان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شعبى به شيعيان نسبت داده، دقيقاً خلاف ضرورت مذهب شيعه اماميه است؛ زيرا فتواى علماى اين مذهب، بر حرمت جان و مال و آبروى هر انسانى است كه زبان به شهادتين گشوده باشد، مگر كسانى كه به سببى از اسلام خارج باشند؛ مانند خوارج و غاليان و ناصبيان كه احكام كفار براى آنان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نمونهاى از عبارات فقهاى اماميه در اين موضوع اشاره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در كتاب فتوايى هدايه مينويسد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اقرار به شهادتين ثابت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كسى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جانش محفوظ، و حسابش</w:t>
      </w:r>
    </w:p>
    <w:p>
      <w:pPr>
        <w:pStyle w:val="BookText"/>
        <w:rPr/>
      </w:pPr>
      <w:r>
        <w:rPr>
          <w:rFonts w:ascii="IRNazanin" w:hAnsi="IRNazanin" w:eastAsia="IRNazanin"/>
          <w:color w:val="111111"/>
          <w:sz w:val="28"/>
          <w:sz w:val="28"/>
          <w:szCs w:val="28"/>
          <w:rtl w:val="true"/>
          <w:lang w:bidi="fa-IR"/>
        </w:rPr>
        <w:t>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زبان و اعتقاد قلبى به آن و عمل به احكام دين با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اثر عمل، زياد ميشود و با ترك عمل، كم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مسلمان است، ولى هر مسلمانى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ايمان و اسلام، مانند مسجدالحرام و كعبه است؛ هركسى كه به درون كعبه پا نهد به مسجد نيز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اين‌طور نيست كه هر كسى به مسجدالحرام آمده، به درون كعبه نيز راه يافته باشد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بايد دانست كه شيعه اماميه، غش هيچ مسلمانى را جايز نميداند و هركسى چنين نسبتى به آنان بدهد، دروغ گفته و افترا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نيز در نهاية الاحكام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غش‌كردن به چيزى كه مخفى است، مانند مخلوط كردن آب با شير،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چيزى را كه ظاهر و آشكار است با چيز ديگرى مخلوط كنند، مانند مخلوط كردن گندم با جو، اشكالى ندارد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علت جواز مخلوط كردن شىء با چيزى كه آشكار است، ميتوان گفت كه مشترى در هنگام اين معامله، كالا را مشاهده كرده و مخلوط بودن آن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اقدام به معامله، بيانگر رضايت او به چنين معاملهاى است و غش نخواهد بود؛ زيرا اين معامله مخلوط كردن چيزى با چيز ديگر است كه خريدار، آن را مشاهده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مشمول آيه </w:t>
      </w: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سوره نساء ميشود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اموال يكديگر را ميان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اينكه تجارتى با رضايت طرفين شما انجام گيرد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شيخ يوسف بحرانى در كتاب حدائق الشيعه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غش خفى، مانند مخلوط كردن آب با شير، بدون هيچ اختلافى بين علماى شيعه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در كتاب المنتهى بر اين مطلب ادعاى عدم خلاف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كالاى خود را با چيزى كه مخفى نيست مخلوط كند، مانند اينكه همراه گندم، خاك باشد يا گندم متوسط را با گندم اعلا مخلوط كند، ظاهر فتواى اصحاب، عدم حرمت است؛ هرچند كار مكروهى انجام داده است؛ زيرا عيب كالا براى مشترى آشكار است و اگر به چنين معاملهاى اقدام كند، معلوم است كه به آن رضايت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كراهتش اين باشد كه به هرحال، يك نوع تدليس از اين فروشنده سر زده است و چه بسا مشترى، به مخلوط بودن آن التفاتى پيدا نكند؛ به ويژه اگر مقدار جنس متوسط به اندازهاى باشد كه جلب توجه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هشام بن سالم كه صحيح، يا به واسطه ابراهيم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ميشود، بر حرمت داشتن غش به شىء مخفى دلالت دارد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ما غش كند، از ما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همين سند از آن امام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كه خرما مى‌فروخت،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نميدانى كسى كه به مسلمانان غش كند، از آنها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دو روايت را شيخ طوسى هم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حكم در روايتى صحيح السند نقل ميكند كه من در سايه، به فروختن لباس شاپورى مشغول بودم كه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از مقابلم 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اين پارچه در سايه، غش است و غش، كار حلالى نيست</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در ادامه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شاپورى، پارچهاى بسيار ظريف و نازك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بر حرمت فروختن اين پارچه در سايه دلالت</w:t>
      </w:r>
    </w:p>
    <w:p>
      <w:pPr>
        <w:pStyle w:val="BookText"/>
        <w:rPr/>
      </w:pPr>
      <w:r>
        <w:rPr>
          <w:rFonts w:ascii="IRNazanin" w:hAnsi="IRNazanin" w:eastAsia="IRNazanin"/>
          <w:color w:val="111111"/>
          <w:sz w:val="28"/>
          <w:sz w:val="28"/>
          <w:szCs w:val="28"/>
          <w:rtl w:val="true"/>
          <w:lang w:bidi="fa-IR"/>
        </w:rPr>
        <w:t>دارد تا چه برسد به فروختنش در تاريكى</w:t>
      </w:r>
      <w:r>
        <w:rPr>
          <w:rFonts w:eastAsia="IRNazanin" w:cs="IRNazanin"/>
          <w:color w:val="111111"/>
          <w:sz w:val="28"/>
          <w:szCs w:val="28"/>
          <w:rtl w:val="true"/>
          <w:lang w:bidi="fa-IR"/>
        </w:rPr>
        <w:t xml:space="preserve">»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شهيد اول نيز در كتاب دروس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فروشنده واجب است عيبهاى مخفى كالا را اگر ميداند، به خريدار اعلام كند؛ زيرا غش در معامله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از عيوب كالا تبرى بجويد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بگويد مسئوليتى در اين خصوص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اعلام ساقط ميشود؛ هرچند كه شيخ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 در اعلام كردن آن است</w:t>
      </w:r>
      <w:r>
        <w:rPr>
          <w:rFonts w:eastAsia="IRNazanin" w:cs="IRNazanin"/>
          <w:color w:val="111111"/>
          <w:sz w:val="28"/>
          <w:szCs w:val="28"/>
          <w:rtl w:val="true"/>
          <w:lang w:bidi="fa-IR"/>
        </w:rPr>
        <w:t xml:space="preserve">» . </w:t>
      </w:r>
      <w:r>
        <w:rPr>
          <w:rStyle w:val="FootnoteAnchor"/>
          <w:rtl w:val="true"/>
        </w:rPr>
        <w:footnoteReference w:id="7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ترتيب، اقوال علماى اماميه در حرمت غش، از شمارش بيرون است و ما به همين اندازه اكتفا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شخص خردمند، واضح است كه وقتى اماميه، غش در معامله را با مسلمانان جايز نميدانند، چگونه ممكن است كه جان و مال مسلمانان را مباح بشمارند؟ آيا اين‌گونه سخنان، تهمت به ديگران نيست؟</w:t>
      </w:r>
      <w:bookmarkStart w:id="72" w:name="pg1980_17881"/>
    </w:p>
    <w:p>
      <w:pPr>
        <w:pStyle w:val="Heading2"/>
        <w:numPr>
          <w:ilvl w:val="1"/>
          <w:numId w:val="1"/>
        </w:numPr>
        <w:rPr/>
      </w:pPr>
      <w:bookmarkStart w:id="73" w:name="__RefHeading___Toc3785693_3650668749"/>
      <w:bookmarkStart w:id="74" w:name="_Toc25"/>
      <w:bookmarkEnd w:id="72"/>
      <w:bookmarkEnd w:id="73"/>
      <w:r>
        <w:rPr>
          <w:rtl w:val="true"/>
        </w:rPr>
        <w:t>شرايط طلاق زن نزد شيعه</w:t>
      </w:r>
      <w:bookmarkEnd w:id="74"/>
    </w:p>
    <w:p>
      <w:pPr>
        <w:pStyle w:val="BookText"/>
        <w:rPr/>
      </w:pPr>
      <w:r>
        <w:rPr>
          <w:rFonts w:ascii="IRNazanin" w:hAnsi="IRNazanin" w:eastAsia="IRNazanin"/>
          <w:color w:val="111111"/>
          <w:sz w:val="28"/>
          <w:sz w:val="28"/>
          <w:szCs w:val="28"/>
          <w:rtl w:val="true"/>
          <w:lang w:bidi="fa-IR"/>
        </w:rPr>
        <w:t>يكى ديگر از تهمت‌هاى شعبى، اين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همانند يهوديان مى‌گويند طلاق جز به هنگام قاعدگى واقع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مقصود او اين است كه اماميه، زن را در حال حيض طلاق مى‌دهند، اين سخن، تهمتى بيش نيست؛ زيرا اماميه به اين مطلب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مقصودش اين است كه پس از پاك شدن از حيض، طلاق زن را جايز مى‌دانند، اين مطلب،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اماميه افزون بر اين، شروط ديگرى را نيز در صحت طلاق، لازم ميدانند؛ از جمله آن شرايط، واقع شدن طلاق در پاكى و طُهرى است كه در آن، با زن نزديكى نشده باشد و اين همان طلاق سنت است كه احاديث شيعه و سنى بر صحت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نمونهاى از اين روايات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و مسلم و غير اين دو، در كتابهايشان با سندى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چنين نقل ميكنند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زنش را در حال قاعدگى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ماجراى طلاق او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به اين زن مراجعه كند و او را نگاه دارد تا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حيض گردد و سپس</w:t>
      </w:r>
    </w:p>
    <w:p>
      <w:pPr>
        <w:pStyle w:val="BookText"/>
        <w:rPr/>
      </w:pPr>
      <w:r>
        <w:rPr>
          <w:rFonts w:ascii="IRNazanin" w:hAnsi="IRNazanin" w:eastAsia="IRNazanin"/>
          <w:color w:val="111111"/>
          <w:sz w:val="28"/>
          <w:sz w:val="28"/>
          <w:szCs w:val="28"/>
          <w:rtl w:val="true"/>
          <w:lang w:bidi="fa-IR"/>
        </w:rPr>
        <w:t>از اين حيض نيز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ميخواهد او را نگاه دارد و اگر نميخواهد، پيش از آنكه با او نزديكى كند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عدّهاى است كه خداوند امر كرده تا زنان را در آن طلاق دهند</w:t>
      </w:r>
      <w:r>
        <w:rPr>
          <w:rFonts w:eastAsia="IRNazanin" w:cs="IRNazanin"/>
          <w:color w:val="111111"/>
          <w:sz w:val="28"/>
          <w:szCs w:val="28"/>
          <w:rtl w:val="true"/>
          <w:lang w:bidi="fa-IR"/>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مسلم در صحيح خود، با سندى كه به عبدالله بن عمر مى‌رسد،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عبدالله‌بن‌عمر، زنش را در حال قاعدگى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به آن زن مراجعه كند و او را نگاه دارد تا پاك شود و بار ديگر نزد او حيض گردد و به او مهلت دهد تا از اين حيض هم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اگر تصميم دارد كه او را طلاق دهد، پيش از آنكه با او نزديكى كند، طلاقش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عدّهاى است كه خداوند فرمان داده تا درآن، زنان را طلاق دهند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روايت ديگرى از صحيح مسلم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زنم را در حال قاعدگى طلاق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اين مطلب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حضرت غضبناك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بگوييد كه به آن زن مراجعه كند و او را نگاه دارد تا پاك شود و نزد او بار ديگر حيض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اين حيض پاك شد، اگر ميخواهد او را طلاق دهد، پيش از آنكه با او نزديكى كند، طلاقش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طلاق در زمان عدّه است كه خداوند بدان فرمان داده است</w:t>
      </w:r>
      <w:r>
        <w:rPr>
          <w:rFonts w:eastAsia="IRNazanin" w:cs="IRNazanin"/>
          <w:color w:val="111111"/>
          <w:sz w:val="28"/>
          <w:szCs w:val="28"/>
          <w:rtl w:val="true"/>
          <w:lang w:bidi="fa-IR"/>
        </w:rPr>
        <w:t xml:space="preserve">» . </w:t>
      </w:r>
      <w:r>
        <w:rPr>
          <w:rStyle w:val="FootnoteAnchor"/>
          <w:rtl w:val="true"/>
        </w:rPr>
        <w:footnoteReference w:id="8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اهل علم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آنان، مطابق با حديث مذكور است؛ يعنى طلاق سنت، طلاقى است كه زن را در</w:t>
      </w:r>
    </w:p>
    <w:p>
      <w:pPr>
        <w:pStyle w:val="BookText"/>
        <w:rPr/>
      </w:pPr>
      <w:r>
        <w:rPr>
          <w:rFonts w:ascii="Amiri" w:hAnsi="Amiri" w:eastAsia="Amiri" w:cs="Amiri"/>
          <w:color w:val="111111"/>
          <w:sz w:val="28"/>
          <w:sz w:val="28"/>
          <w:szCs w:val="28"/>
          <w:rtl w:val="true"/>
          <w:lang w:bidi="ar-SA"/>
        </w:rPr>
        <w:t>طُهرى غير از طُهر مواقعه طلاق دهد</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ابن قدامه نيز در مغنى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طلاق سنت، يعنى طلاقى كه موافق امر خدا و رسول است و در آيه شريفه و اين دو خبر مذكور آمده كه طلاق دادن زن در طُهرى است كه با او در آن پاكى، نزديكى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طلاق دادن نيز زن را به حال خود رها كند تا عدّهاش به سر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طلاقى بدون اينكه اختلافى بين علما باشد، مطابق با سنت و طلاق عدّى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و ابن‌منذر نيز بر اين عقيدهاند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و عبدالله بن عباس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طلاقى است كه در طهرى واقع شود كه در آن با زن نزديكى نكرده باشد</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زنش را طلاق بدعتى داد، به اينكه در حال حيض يا در طُهرى كه با او نزديكى كرده طلاقش بدهد، هرچند گناهكار است، ولى به اتفاق علماى اهل‌سنت چنين طلاقى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و ابن عبدالبر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اهل بدعت و گروههاى گمراه با صحت اين‌گونه طلاق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 را ابونصر از ابن عليه و هشام بن حكم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اين طلاق واقع نميشود، زيرا خداوند به آن قبل از عدّه امر كرده است و اگر كسى در غير عدّه، طلاق دهد، واقع نميشود؛ مانند وكيلى كه به او دستور داده شود در زمان معينى طلاق را اجرا كند، حال اگر در زمان ديگرى اجرا كرد آن طلاق واقع نميشود</w:t>
      </w:r>
      <w:r>
        <w:rPr>
          <w:rFonts w:eastAsia="IRNazanin" w:cs="IRNazanin"/>
          <w:color w:val="111111"/>
          <w:sz w:val="28"/>
          <w:szCs w:val="28"/>
          <w:rtl w:val="true"/>
          <w:lang w:bidi="fa-IR"/>
        </w:rPr>
        <w:t xml:space="preserve">» . </w:t>
      </w:r>
      <w:r>
        <w:rPr>
          <w:rStyle w:val="FootnoteAnchor"/>
          <w:rtl w:val="true"/>
        </w:rPr>
        <w:footnoteReference w:id="8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از علماى اهل‌سنت پرسيد چگونه طلاقى كه برخلاف سنت و احاديثى است كه در كتابهاى آنان روايت شده، واقع ميشود؛ با آنكه از آن روايات استفاده ميشود كه طلاق عبدالله بن عمر واقع نشده است و به همين دليل،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تا به زنش مراجعه كند و او را طلاق صحيح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اول صحيح بود، نيازى به ارجاع و طلاق دوم نبود</w:t>
      </w:r>
      <w:r>
        <w:rPr>
          <w:rFonts w:eastAsia="IRNazanin" w:cs="IRNazanin"/>
          <w:color w:val="111111"/>
          <w:sz w:val="28"/>
          <w:szCs w:val="28"/>
          <w:rtl w:val="true"/>
          <w:lang w:bidi="fa-IR"/>
        </w:rPr>
        <w:t>.</w:t>
      </w:r>
      <w:bookmarkStart w:id="75" w:name="pg1980_17885"/>
    </w:p>
    <w:p>
      <w:pPr>
        <w:pStyle w:val="Heading2"/>
        <w:numPr>
          <w:ilvl w:val="1"/>
          <w:numId w:val="1"/>
        </w:numPr>
        <w:rPr/>
      </w:pPr>
      <w:bookmarkStart w:id="76" w:name="__RefHeading___Toc3785695_3650668749"/>
      <w:bookmarkStart w:id="77" w:name="_Toc26"/>
      <w:bookmarkEnd w:id="75"/>
      <w:bookmarkEnd w:id="76"/>
      <w:r>
        <w:rPr>
          <w:rtl w:val="true"/>
        </w:rPr>
        <w:t>حكم ازدواج موقت از نظر شيعه</w:t>
      </w:r>
      <w:bookmarkEnd w:id="77"/>
    </w:p>
    <w:p>
      <w:pPr>
        <w:pStyle w:val="Heading3"/>
        <w:numPr>
          <w:ilvl w:val="2"/>
          <w:numId w:val="1"/>
        </w:numPr>
        <w:rPr/>
      </w:pPr>
      <w:bookmarkStart w:id="78" w:name="__RefHeading___Toc3785697_3650668749"/>
      <w:bookmarkStart w:id="79" w:name="_Toc27"/>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شعبى ادعا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يهوديان، مهريه‌اى به همسرانشان نمى‌دهند و تنها از آنها تمتع مى‌برند؛ رافضيان نيز متعه را جايز مى‌شمارند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جواب بايد گفت كه شيعيان در ازدواج وجود مهريه و صداق را لازم ميدانند و كتابهاى فقهى آنان گواه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متعه در كتاب و سنت، به دو معنا به كار رفته است؛ يك معناى آن مورد اتفاق تمام مذاهب اسلامى، از جمله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معناى ديگر را تنها شيعه، بر اثر پيروى از قرآن و سنت جايز مى‌داند</w:t>
      </w:r>
      <w:r>
        <w:rPr>
          <w:rFonts w:eastAsia="IRNazanin" w:cs="IRNazanin"/>
          <w:color w:val="111111"/>
          <w:sz w:val="28"/>
          <w:szCs w:val="28"/>
          <w:rtl w:val="true"/>
          <w:lang w:bidi="fa-IR"/>
        </w:rPr>
        <w:t>.</w:t>
      </w:r>
    </w:p>
    <w:p>
      <w:pPr>
        <w:pStyle w:val="Heading3"/>
        <w:numPr>
          <w:ilvl w:val="2"/>
          <w:numId w:val="1"/>
        </w:numPr>
        <w:rPr/>
      </w:pPr>
      <w:bookmarkStart w:id="80" w:name="__RefHeading___Toc3785699_3650668749"/>
      <w:bookmarkStart w:id="81" w:name="_Toc28"/>
      <w:bookmarkEnd w:id="80"/>
      <w:r>
        <w:rPr>
          <w:rtl w:val="true"/>
        </w:rPr>
        <w:t xml:space="preserve">معناى اول متعه </w:t>
      </w:r>
      <w:r>
        <w:rPr>
          <w:rtl w:val="true"/>
        </w:rPr>
        <w:t>(</w:t>
      </w:r>
      <w:r>
        <w:rPr>
          <w:rtl w:val="true"/>
        </w:rPr>
        <w:t>ازدواج موقت</w:t>
      </w:r>
      <w:r>
        <w:rPr>
          <w:rtl w:val="true"/>
        </w:rPr>
        <w:t>)</w:t>
      </w:r>
      <w:bookmarkEnd w:id="81"/>
    </w:p>
    <w:p>
      <w:pPr>
        <w:pStyle w:val="BookText"/>
        <w:rPr/>
      </w:pPr>
      <w:r>
        <w:rPr>
          <w:rFonts w:ascii="IRNazanin" w:hAnsi="IRNazanin" w:eastAsia="IRNazanin"/>
          <w:color w:val="111111"/>
          <w:sz w:val="28"/>
          <w:sz w:val="28"/>
          <w:szCs w:val="28"/>
          <w:rtl w:val="true"/>
          <w:lang w:bidi="fa-IR"/>
        </w:rPr>
        <w:t>اگر مقصود از متعه، مالى است كه پس از طلاق به زن داده ميشود، قرآن به اين مطلب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الْمُقْتِرِ قَدَرُهُ مَتاعاً بِالْمَعْرُوفِ حَقًّا عَلَى الْمُحْسِنينَ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زنان را قبل از آميزش جنسى با تعيين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دهيد، گناهى</w:t>
      </w:r>
    </w:p>
    <w:p>
      <w:pPr>
        <w:pStyle w:val="BookText"/>
        <w:rPr/>
      </w:pPr>
      <w:r>
        <w:rPr>
          <w:rFonts w:ascii="IRNazanin" w:hAnsi="IRNazanin" w:eastAsia="IRNazanin"/>
          <w:color w:val="111111"/>
          <w:sz w:val="28"/>
          <w:sz w:val="28"/>
          <w:szCs w:val="28"/>
          <w:rtl w:val="true"/>
          <w:lang w:bidi="fa-IR"/>
        </w:rPr>
        <w:t xml:space="preserve">بر شما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هديه‌اى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توانايى دارد، به اندازه توانايى‌اش، و آن كس كه تنگدست است، به اندازه توانش هديه‌اى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مناسب حال‌دهنده و گيرنده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اين بر نيكوكاران الزامى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در تفسيرش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طلاق زن را قبل از نزديكى و بعد از عقد با او مباح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اينرو فرمان داد بهرهاى از مال به او داده شود؛ يعنى در مقابل آنچه از دست او رفته است، شوهرش به اندازه توانايى مالى خود، به او چيزى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ثورى از اسماعيل بن اميه از عكرمه از ابن عباس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بيشترين مقدار مُتعه، خادم و برده، و كمترين آن دادن سكه‌هاى نقرهاى، و كمتر از آن دادن لباس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ابى‌طلحه از ابن عباس نقل كرده كه اگر مرد طلاق‌دهنده ثروتمند است، خادم و مانند آن بدهد و اگر تنگدست است، سه دست لباس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متوسط آن، پيراهن و مقنعه و روانداز و عبا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شريح قاضى نيز پانصد درهم براى متعه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از معمر بن ايوب نقل مى‌كند كه ابن سيرين، خادم يا مقدارى غذا يا لباس را براى متعه ميداد و متعه حسن بن على ده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زنى را طلاق داد و به او متعه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جدا شدن از حبيبى همچون تو، مال اندكى است</w:t>
      </w:r>
      <w:r>
        <w:rPr>
          <w:rFonts w:eastAsia="IRNazanin" w:cs="IRNazanin"/>
          <w:color w:val="111111"/>
          <w:sz w:val="28"/>
          <w:szCs w:val="28"/>
          <w:rtl w:val="true"/>
          <w:lang w:bidi="fa-IR"/>
        </w:rPr>
        <w:t xml:space="preserve">» . </w:t>
      </w:r>
      <w:r>
        <w:rPr>
          <w:rStyle w:val="FootnoteAnchor"/>
          <w:rtl w:val="true"/>
        </w:rPr>
        <w:footnoteReference w:id="8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و شوهر در مقدار متعه، اختلاف كنند، بر مرد واجب</w:t>
      </w:r>
      <w:bookmarkStart w:id="82" w:name="pg1980_17887"/>
    </w:p>
    <w:p>
      <w:pPr>
        <w:pStyle w:val="BookText"/>
        <w:rPr/>
      </w:pPr>
      <w:bookmarkEnd w:id="82"/>
      <w:r>
        <w:rPr>
          <w:rFonts w:ascii="IRNazanin" w:hAnsi="IRNazanin" w:eastAsia="IRNazanin"/>
          <w:color w:val="111111"/>
          <w:sz w:val="28"/>
          <w:sz w:val="28"/>
          <w:szCs w:val="28"/>
          <w:rtl w:val="true"/>
          <w:lang w:bidi="fa-IR"/>
        </w:rPr>
        <w:t>است كه نصف مهرالمثل را به زن بپردازد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شافعى در فتواى جديدش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به دادن مقدار معينى مجبور نميشود، مگر بر كمترين مقدارى كه به آن، متعه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كمترين مقدار متعه، چيزى از لباس باشد كه بتواند در آن نماز بخواند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 در فتواى قديمش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متعه، مقدارى نميشناسم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دادن سى درهم را كه از عبدالله بن عمر روايت شده است، نيكو ميدانم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علما در اين باره اختلاف دارند كه آيا دادن متعه به هر زن مطلقهاى لازم است يا فقط در صورتى واجب است كه مهريه معين نشده و به زن نيز دخول نكرده، طلاقش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 مسئله، اقوالى گوناگون مطرح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بنابراين معلوم شد كه متعه به اين معنا، مورد اتفاق همه مذاهب اسلامى است؛ هرچند در برخى از جزئيات، با هم اختلاف دارند</w:t>
      </w:r>
      <w:r>
        <w:rPr>
          <w:rFonts w:eastAsia="IRNazanin" w:cs="IRNazanin"/>
          <w:color w:val="111111"/>
          <w:sz w:val="28"/>
          <w:szCs w:val="28"/>
          <w:rtl w:val="true"/>
          <w:lang w:bidi="fa-IR"/>
        </w:rPr>
        <w:t>.</w:t>
      </w:r>
    </w:p>
    <w:p>
      <w:pPr>
        <w:pStyle w:val="Heading3"/>
        <w:numPr>
          <w:ilvl w:val="2"/>
          <w:numId w:val="1"/>
        </w:numPr>
        <w:rPr/>
      </w:pPr>
      <w:bookmarkStart w:id="83" w:name="__RefHeading___Toc3785701_3650668749"/>
      <w:bookmarkStart w:id="84" w:name="_Toc29"/>
      <w:bookmarkEnd w:id="83"/>
      <w:r>
        <w:rPr>
          <w:rtl w:val="true"/>
        </w:rPr>
        <w:t>معناى دوم متعه</w:t>
      </w:r>
      <w:bookmarkEnd w:id="84"/>
    </w:p>
    <w:p>
      <w:pPr>
        <w:pStyle w:val="BookText"/>
        <w:rPr/>
      </w:pPr>
      <w:r>
        <w:rPr>
          <w:rFonts w:ascii="IRNazanin" w:hAnsi="IRNazanin" w:eastAsia="IRNazanin"/>
          <w:color w:val="111111"/>
          <w:sz w:val="28"/>
          <w:sz w:val="28"/>
          <w:szCs w:val="28"/>
          <w:rtl w:val="true"/>
          <w:lang w:bidi="fa-IR"/>
        </w:rPr>
        <w:t xml:space="preserve">اگر مقصود از متعه، نكاح متعه و عقد موقت است، به اين معنا كه مردى با زنى در مدت معينى و در مقابل مهريه معينى ازدواج كند، شيعه و سنى بر تشريع چنين نكاحى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برخى از صحابه آن را انجام داده‌اند،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با سند صحيح، در كتب هر دو گروه بر اين موضوع دلالت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بين شيعه و سنى در اين است كه آيا جواز متعه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 همان‌طور كه جمعى از علماى اهل‌تسنن به آن اعتقاد دارند، يا اينكه جواز آن تا عصر خلافت عمر بن خطاب ادامه داشت و</w:t>
      </w:r>
    </w:p>
    <w:p>
      <w:pPr>
        <w:pStyle w:val="BookText"/>
        <w:rPr/>
      </w:pPr>
      <w:r>
        <w:rPr>
          <w:rFonts w:ascii="IRNazanin" w:hAnsi="IRNazanin" w:eastAsia="IRNazanin"/>
          <w:color w:val="111111"/>
          <w:sz w:val="28"/>
          <w:sz w:val="28"/>
          <w:szCs w:val="28"/>
          <w:rtl w:val="true"/>
          <w:lang w:bidi="fa-IR"/>
        </w:rPr>
        <w:t>او مسلمانان را از اين عمل منع نمود و مرتكبان آن را به سنگسار كردن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ديدگاه دوم صحيح است و آيات و روايات فريقين نيز آن را تأييد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به حليت و جواز متعه تصريح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زنانى را كه متعه مى‌كنيد، واجب است مهر آنان را بپردازيد و گناهى بر شما نيست در آنچه پس از تعيين مهر با يكديگر توافق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در كتاب تفسيرش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عموم اين آيه، بر جواز نكاح متعه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متعه در ابتداى اسلام مشروع بوده و پس از آن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طايفهاى از علما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مباح بود، سپس نسخ، دوباره مباح و سرانجام براى هميشه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نسخ بيش از دو بار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نيز گفتهاند كه اول مباح بود و سپس براى هميشه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و جماعتى از صحابه معتقدند كه در حال ضرورت، حلال است و از امام احمد بن حنبل نيز روايتى مبنى بر حليت در حال ضرورت نقل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اُبى بن كعب و سعيد بن جبير اين آيه را به اين نحو مى‌خواندند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طبرى</w:t>
      </w:r>
    </w:p>
    <w:p>
      <w:pPr>
        <w:pStyle w:val="BookText"/>
        <w:rPr/>
      </w:pPr>
      <w:r>
        <w:rPr>
          <w:rFonts w:ascii="IRNazanin" w:hAnsi="IRNazanin" w:eastAsia="IRNazanin"/>
          <w:color w:val="111111"/>
          <w:sz w:val="28"/>
          <w:sz w:val="28"/>
          <w:szCs w:val="28"/>
          <w:rtl w:val="true"/>
          <w:lang w:bidi="fa-IR"/>
        </w:rPr>
        <w:t>در تفسيرش به نقل از مجاهد، نزول اين آيه را در مورد نكاح موقت ميداند و از ابونضره چنين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درباره نكاح موقت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سوره نساء را نخوانده‌اى؟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إِلى أَجَلٍ مُسَمًّى فَآتُوهُنَّ أُجُورَهُنَّ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گونه كه تو مى‌خوانى نخواندهام؛ وگرنه از تو نميپرسيدم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اين‌گونه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ديگرى سه بار سوگند خورد كه آيه را خداوند اين‌گونه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از نكاح موقت نهى نكرده بود، جز فرد شقى و بدبخت، كسى مرتكب زنا نمى‌شد</w:t>
      </w:r>
      <w:r>
        <w:rPr>
          <w:rFonts w:eastAsia="IRNazanin" w:cs="IRNazanin"/>
          <w:color w:val="111111"/>
          <w:sz w:val="28"/>
          <w:szCs w:val="28"/>
          <w:rtl w:val="true"/>
          <w:lang w:bidi="fa-IR"/>
        </w:rPr>
        <w:t xml:space="preserve">» .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گروهى از صحابه نيز نكاح موقت را حلال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در تفسيرش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طرطوسى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موقت را عمران بن حصين و ابن عباس و بعضى از صحابه و جماعتى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ميدانند</w:t>
      </w:r>
      <w:r>
        <w:rPr>
          <w:rFonts w:eastAsia="IRNazanin" w:cs="IRNazanin"/>
          <w:color w:val="111111"/>
          <w:sz w:val="28"/>
          <w:szCs w:val="28"/>
          <w:rtl w:val="true"/>
          <w:lang w:bidi="fa-IR"/>
        </w:rPr>
        <w:t xml:space="preserve">» .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روايات فراوانى در كتابهاى اهل تسنن از صحاح و غير آن، بر حليت نكاح موقت دلالت دارد كه به برخى از آنها اشاره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به سند خودش از عطاء روايت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براى مناسك عمره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او رفتيم و مردم از او مسائل گوناگونى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حكم نكاح موقت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خلافت ابوبكر و عمر متعه مى‌كرديم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 ديگرى مسلم از جابر بن عبدالله انصارى نقل ميكند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زمان حيات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ابوبكر با مقدارى از خرما يا آرد، زنان</w:t>
      </w:r>
    </w:p>
    <w:p>
      <w:pPr>
        <w:pStyle w:val="BookText"/>
        <w:rPr/>
      </w:pPr>
      <w:r>
        <w:rPr>
          <w:rFonts w:ascii="IRNazanin" w:hAnsi="IRNazanin" w:eastAsia="IRNazanin"/>
          <w:color w:val="111111"/>
          <w:sz w:val="28"/>
          <w:sz w:val="28"/>
          <w:szCs w:val="28"/>
          <w:rtl w:val="true"/>
          <w:lang w:bidi="fa-IR"/>
        </w:rPr>
        <w:t>را متعه ميكرديم تا اينكه عمر در زمان خلافتش در پيشامدى كه مربوط به عمرو بن حريث بود از نكاح موقت نهى كرد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روايت ديگرى، مسلم نيشابورى به سندش از ابونضره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جابر بن عبدالله انصارى بودم كه شخصى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عباس و عبدالله بن زبير در مسئله نكاح موقت و عمره تمتع اختلاف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انجام داديم تا اينكه عمر به خلافت رسيد و از آنها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انجام نداديم</w:t>
      </w:r>
      <w:r>
        <w:rPr>
          <w:rFonts w:eastAsia="IRNazanin" w:cs="IRNazanin"/>
          <w:color w:val="111111"/>
          <w:sz w:val="28"/>
          <w:szCs w:val="28"/>
          <w:rtl w:val="true"/>
          <w:lang w:bidi="fa-IR"/>
        </w:rPr>
        <w:t xml:space="preserve">» .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روايات ديگرى نيز در كتب ديگر اهل تسنن درباره اين موضوع وجود دارد كه همگى حكايت از حليت آن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ابوبكر و مدتى از خلافت عمر دارد و شخصِ خليفه دوم بوده كه آن را حرام كرده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معانى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غير اين دو كتاب، عبارت زير را از خليفه دوم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متعتان كانتا على عهد رسول الله و أنا انهى عنهما و اعاقب عليهما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دو متعه در زمان رسول خدا بود كه من از آنها نهى ميكنم و فاعلش را مجازات مينمايم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 از دانشمندان بنام اهل تسنن در كتاب تاريخ خلفا و ابوهلال</w:t>
      </w:r>
    </w:p>
    <w:p>
      <w:pPr>
        <w:pStyle w:val="BookText"/>
        <w:rPr/>
      </w:pPr>
      <w:r>
        <w:rPr>
          <w:rFonts w:ascii="Amiri" w:hAnsi="Amiri" w:eastAsia="Amiri" w:cs="Amiri"/>
          <w:color w:val="111111"/>
          <w:sz w:val="28"/>
          <w:sz w:val="28"/>
          <w:szCs w:val="28"/>
          <w:rtl w:val="true"/>
          <w:lang w:bidi="ar-SA"/>
        </w:rPr>
        <w:t>عسكرى در كتاب الاوائل و غير اين دو تصريح كردهاند كه عمر بن خطاب نخستين كسى بود كه نكاح موقت را حرام كرد</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خور توجه است كه در نكاح موقت نيز بايد مهريه معين شود، و اذن ولى در نكاح با دختر باكره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نيز پس از پايان مدت، بايد عدّه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از احكام ازدواج موقت مى‌توان به مصادر فقهى اماميه مراجعه كرد</w:t>
      </w:r>
      <w:r>
        <w:rPr>
          <w:rFonts w:eastAsia="IRNazanin" w:cs="IRNazanin"/>
          <w:color w:val="111111"/>
          <w:sz w:val="28"/>
          <w:szCs w:val="28"/>
          <w:rtl w:val="true"/>
          <w:lang w:bidi="fa-IR"/>
        </w:rPr>
        <w:t>.</w:t>
      </w:r>
      <w:bookmarkStart w:id="85" w:name="pg1980_17892"/>
    </w:p>
    <w:p>
      <w:pPr>
        <w:pStyle w:val="Heading2"/>
        <w:numPr>
          <w:ilvl w:val="1"/>
          <w:numId w:val="1"/>
        </w:numPr>
        <w:rPr/>
      </w:pPr>
      <w:bookmarkStart w:id="86" w:name="__RefHeading___Toc3785703_3650668749"/>
      <w:bookmarkStart w:id="87" w:name="_Toc30"/>
      <w:bookmarkEnd w:id="85"/>
      <w:bookmarkEnd w:id="86"/>
      <w:r>
        <w:rPr>
          <w:rtl w:val="true"/>
        </w:rPr>
        <w:t>حكم عزل در جماع</w:t>
      </w:r>
      <w:bookmarkEnd w:id="87"/>
    </w:p>
    <w:p>
      <w:pPr>
        <w:pStyle w:val="Heading3"/>
        <w:numPr>
          <w:ilvl w:val="2"/>
          <w:numId w:val="1"/>
        </w:numPr>
        <w:rPr/>
      </w:pPr>
      <w:bookmarkStart w:id="88" w:name="__RefHeading___Toc3785705_3650668749"/>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شعبى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همانند يهوديان، عزل را در جماع با كنيزان روا نمى‌شمارند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گفتار شعبى نيز تهمتى بر شيعه است؛ زيرا شيعه، عزل را درباره كنيزان جايز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زنان حُرّه، عدهاى به جواز عزل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اينكه با اذن زن همراه باشد و جمعى نيز آن را مكروه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فقهى شيعه بر اين مطلب گواه است كه به برخى از اين فتواها از علماى اماميه اشاره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 به بيرون ريختن منى در هنگام نزديكى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با كنيزش يا كنيزى كه زوجه اوست نزديكى كند، عزل در اين صورت اشكال ندارد و نيازى به اجازه آن كنيز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عزل در زنان حرّه، با اذن آنان جايز، و بدون اذن آنان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از روايات استفاده مى‌شود كه عزل نكند؛ زيرا براى عزل، كفاره ذكر شده است و وجه ديگر، كراهت آن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 آزاد عزل را در هنگام عقد نكاح شرط نكرده باشد و اجازه ندهد، برخى از فقها به حرمت آن و وجوب پرداخت ده دينار ديه فتوا دادهاند و برخى آن را مكروه دانستهاند؛ هرچند ديه را واجب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به واقع شبيهتر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عزل را در جماع با زن آزاد، حرام، و بر آن ده دينار ديه واجب دانسته است و شيخ طوسى در كتاب نكاح آن را مكروه شمرده، و سلار نيز از او متابعت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كتاب ديات به سبب وجود روايات، به وجوب ديه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را ابوصلاح حلبى اختيار كرده و به كراهت عزل و عدم وجوب ديه معتقد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وى اصل عدم وجوب ديه مى‌باشد و دليل بدى نيست؛ زيرا قاعده اين است كه مال مسلمان حفظ شود و با مسئله‌اى اختلافى به ضرر او حكم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با روايتى كه صدوق از محمد بن مسلم نقل كرده است، تأييد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عزل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مالك منى خود است، هرگونه بخواهد عمل كند</w:t>
      </w:r>
      <w:r>
        <w:rPr>
          <w:rFonts w:eastAsia="IRNazanin" w:cs="IRNazanin"/>
          <w:color w:val="111111"/>
          <w:sz w:val="28"/>
          <w:szCs w:val="28"/>
          <w:rtl w:val="true"/>
          <w:lang w:bidi="fa-IR"/>
        </w:rPr>
        <w:t xml:space="preserve">» .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تعريف عزل و اشاره به اختلاف در حكم مسئله، مينويسد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فقها و از جمله آنان، محقق حلى صاحب شرايع الاسلام، عزل را مكروه ميدانند و به اصل اباحه و به روايت صحيح محمد بن مسلم استدلال ميكنند</w:t>
      </w:r>
    </w:p>
    <w:p>
      <w:pPr>
        <w:pStyle w:val="BookText"/>
        <w:rPr/>
      </w:pPr>
      <w:r>
        <w:rPr>
          <w:rFonts w:ascii="IRNazanin" w:hAnsi="IRNazanin" w:eastAsia="IRNazanin"/>
          <w:color w:val="111111"/>
          <w:sz w:val="28"/>
          <w:sz w:val="28"/>
          <w:szCs w:val="28"/>
          <w:rtl w:val="true"/>
          <w:lang w:bidi="fa-IR"/>
        </w:rPr>
        <w:t xml:space="preserve">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عزل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اختيار مرد است؛ هركارى را كه بخواهد ميتواند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اثبات كراهت، به روايت صحيح ديگرى كه از محمد بن مسلم به نقل از امام محمد باقر</w:t>
      </w:r>
    </w:p>
    <w:p>
      <w:pPr>
        <w:pStyle w:val="BookText"/>
        <w:rPr/>
      </w:pPr>
      <w:r>
        <w:rPr>
          <w:rFonts w:ascii="IRNazanin" w:hAnsi="IRNazanin" w:eastAsia="IRNazanin"/>
          <w:color w:val="111111"/>
          <w:sz w:val="28"/>
          <w:sz w:val="28"/>
          <w:szCs w:val="28"/>
          <w:rtl w:val="true"/>
          <w:lang w:bidi="fa-IR"/>
        </w:rPr>
        <w:t xml:space="preserve">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درباره عزل پرسيده شده است، استناد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جماع با كنيز اشكال ندارد، ولى در جماع با زن حرّه، مكروه ميدانم؛ مگر اينكه وقت ازدواج با او شرط كرده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ديگرى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اينكه زن به عزل، راضى باشد يا مرد در وقت نكاح با او، عزل را شرط كرده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شيخ طوسى و شيخ مفيد و جماعتى ديگر، عزل را حرام ميدانند؛ به دليل روايتى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نهى از عزل، مگر با اذن زوجه، رسيده، و در روايت ديگرى از آن حضرت، آن را كشتن فرزند در پنهان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دو روايت، عزل با حكمت نكاح كه توليد نسل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 غرض شارع از تشريع نكاح ميباشد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اين، گوشه‌اى از ديدگاه فقهاى اماميه بود كه با رواياتى كه علماى اهل تسنن نقل كردهاند،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برخى از روايات اهل سنت را در اين باره نقل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هايشان و نيز ديگران از جابر بن عبدالله انصارى نقل ميكنند كه ما در زمان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نزول قرآن به پايان نرسيده بود، عزل ميكرديم</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روايت ديگرى از جابر نقل ميكند كه ما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w:t>
      </w:r>
    </w:p>
    <w:p>
      <w:pPr>
        <w:pStyle w:val="BookText"/>
        <w:rPr/>
      </w:pPr>
      <w:r>
        <w:rPr>
          <w:rFonts w:ascii="IRNazanin" w:hAnsi="IRNazanin" w:eastAsia="IRNazanin"/>
          <w:color w:val="111111"/>
          <w:sz w:val="28"/>
          <w:sz w:val="28"/>
          <w:szCs w:val="28"/>
          <w:rtl w:val="true"/>
          <w:lang w:bidi="fa-IR"/>
        </w:rPr>
        <w:t xml:space="preserve">ميكرديم و خبرش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ولى ما را از اين كار نهى نكرد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ابن ماجه قزوينى در سنن و احمد بن حنبل در مسند و بيهقى در السنن الكبرى و غير اينان با اسانيدى كه دارند از عمر بن خطاب نقل كردند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عزل در جماع با حرّه، بدون رضايت او نهى كرد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هرحال، بيشتر فقهاى اهل سنت و پيشوايان مذاهب چهارگانه به اين مضمون فتوا دادهاند؛ مثلاً مالك در اين 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از زن حرّه، بدون رضايت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عزل از كنيز خودش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كنيزى كه در ملك ديگران است، بدون رضايت صاحبانش، عزل نكند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ابن قدامه در مغنى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از كنيز، بدون اذنش جايز است و بر اين مطلب، احمد بن حنبل نيز تصريح كرده و اين فتواى مالك و ابوحنيفه و شافعى است؛ زيرا بر كنيز، حقى در وطى و فرزند نيست و از اينرو نمى‌تواند مطالبه رجوع و قسمت كردن شب‌ها را با ديگر همسرانش از شوهر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به اولويت حق ندارد تا شوهرش را از عزل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زن حرّه بدون اذن او عزل نكند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بيهقى در سنن كبرى و ابن ابيشيبه در المصنف، فتواى فوق را مطابق با فتواى عطا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ابن ابى‌شيبه، آن را فتواى سعيد بن جبير و ابراهيم</w:t>
      </w:r>
    </w:p>
    <w:p>
      <w:pPr>
        <w:pStyle w:val="BookText"/>
        <w:rPr/>
      </w:pPr>
      <w:r>
        <w:rPr>
          <w:rFonts w:ascii="Amiri" w:hAnsi="Amiri" w:eastAsia="Amiri" w:cs="Amiri"/>
          <w:color w:val="111111"/>
          <w:sz w:val="28"/>
          <w:sz w:val="28"/>
          <w:szCs w:val="28"/>
          <w:rtl w:val="true"/>
          <w:lang w:bidi="ar-SA"/>
        </w:rPr>
        <w:t>تميمى و عمرو بن مره نيز دانسته است</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اگر در اقوال برخى از صحابه و علماى اهل تسنن بنگريم، ميبينيم كه آنان يا از عزل، نهى ميكرده‌اند يا آن را مكروه ميدانستهاند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بيهقى در سنن كبرى از زُهرى از سالم بن عبدالله، نهى عمر و عبدالله بن عمر را از عزل نقل كرده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ابن ابى‌شيبه در كتاب مصنف، به سند خود از ميمون بن مهران نقل مى‌كند كه عبدالله بن عمر براى يكى از پسرانش كنيزكى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و او باردار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پسرش پرسيد كه چرا آبستن نمى‌شوى؟ مگر عزل ميكنى؟ اگر بدانم چنين كارى را انجام ميدهى، تو را كتك ميزنم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ابى‌امامه هم نقل ميكند كه تصور نميكنم مسلمانى اين كار را انجام بدهد و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يك راوى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كشتن فرزند در خفا مى‌داند</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ابن قدامه در مغنى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كراهت عزل از عمر و على و ابن مسعود و ابوبكر روايت شده است؛ زيرا با عزل، نسل انسان رو به كاهش مى‌گذارد و لذت زن از عمل جنسى قطع مى‌شود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برخى نيز قائل به حرمت عزل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طايفهاى از اصحاب احمد حنبل و عده‌اى ديگر، هر نوع عزلى را حرام مى‌دانند</w:t>
      </w:r>
      <w:r>
        <w:rPr>
          <w:rFonts w:eastAsia="IRNazanin" w:cs="IRNazanin"/>
          <w:color w:val="111111"/>
          <w:sz w:val="28"/>
          <w:szCs w:val="28"/>
          <w:rtl w:val="true"/>
          <w:lang w:bidi="fa-IR"/>
        </w:rPr>
        <w:t xml:space="preserve">» . </w:t>
      </w:r>
      <w:r>
        <w:rPr>
          <w:rStyle w:val="FootnoteAnchor"/>
          <w:rtl w:val="true"/>
        </w:rPr>
        <w:footnoteReference w:id="107"/>
      </w:r>
      <w:r>
        <w:rPr>
          <w:rFonts w:ascii="IRNazanin" w:hAnsi="IRNazanin" w:eastAsia="IRNazanin"/>
          <w:color w:val="111111"/>
          <w:sz w:val="28"/>
          <w:sz w:val="28"/>
          <w:szCs w:val="28"/>
          <w:rtl w:val="true"/>
          <w:lang w:bidi="fa-IR"/>
        </w:rPr>
        <w:t>از</w:t>
      </w:r>
      <w:bookmarkStart w:id="90" w:name="pg1980_17897"/>
    </w:p>
    <w:p>
      <w:pPr>
        <w:pStyle w:val="BookText"/>
        <w:rPr/>
      </w:pPr>
      <w:bookmarkEnd w:id="90"/>
      <w:r>
        <w:rPr>
          <w:rFonts w:ascii="IRNazanin" w:hAnsi="IRNazanin" w:eastAsia="IRNazanin"/>
          <w:color w:val="111111"/>
          <w:sz w:val="28"/>
          <w:sz w:val="28"/>
          <w:szCs w:val="28"/>
          <w:rtl w:val="true"/>
          <w:lang w:bidi="fa-IR"/>
        </w:rPr>
        <w:t>سوى ديگر، صنعانى در كتاب سبل السلام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نوعى كشتن فرزند در خفا ميداند، بر حرمت اين عمل دلالت دارد و ابن حزم اندلسى نيز به حرام بودنش قاطع است</w:t>
      </w:r>
      <w:r>
        <w:rPr>
          <w:rFonts w:eastAsia="IRNazanin" w:cs="IRNazanin"/>
          <w:color w:val="111111"/>
          <w:sz w:val="28"/>
          <w:szCs w:val="28"/>
          <w:rtl w:val="true"/>
          <w:lang w:bidi="fa-IR"/>
        </w:rPr>
        <w:t xml:space="preserve">» . </w:t>
      </w:r>
      <w:r>
        <w:rPr>
          <w:rStyle w:val="FootnoteAnchor"/>
          <w:rtl w:val="true"/>
        </w:rPr>
        <w:footnoteReference w:id="108"/>
      </w:r>
    </w:p>
    <w:p>
      <w:pPr>
        <w:pStyle w:val="Heading3"/>
        <w:numPr>
          <w:ilvl w:val="2"/>
          <w:numId w:val="1"/>
        </w:numPr>
        <w:rPr/>
      </w:pPr>
      <w:bookmarkStart w:id="91" w:name="__RefHeading___Toc3785707_3650668749"/>
      <w:bookmarkStart w:id="92" w:name="_Toc32"/>
      <w:bookmarkEnd w:id="91"/>
      <w:r>
        <w:rPr>
          <w:rtl w:val="true"/>
        </w:rPr>
        <w:t>پرسشى بى‌پاسخ</w:t>
      </w:r>
      <w:bookmarkEnd w:id="9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شعبى و ابن تيميه، رافضيان را در عدم عزل شبيه يهود مى‌دانند؛ با اينكه اماميه به حرمت عزل قائل نيستند؟ آيا عمر، پسرش، عثمان، ديگر صحابه و تابعان و علماى اهل تسنن كه عزل را حرام مى‌دانند، شباهتى به يهود ندارند؟</w:t>
      </w:r>
      <w:bookmarkStart w:id="93" w:name="pg1980_17898"/>
    </w:p>
    <w:p>
      <w:pPr>
        <w:pStyle w:val="Heading2"/>
        <w:numPr>
          <w:ilvl w:val="1"/>
          <w:numId w:val="1"/>
        </w:numPr>
        <w:rPr/>
      </w:pPr>
      <w:bookmarkStart w:id="94" w:name="__RefHeading___Toc3785709_3650668749"/>
      <w:bookmarkStart w:id="95" w:name="_Toc33"/>
      <w:bookmarkEnd w:id="93"/>
      <w:bookmarkEnd w:id="94"/>
      <w:r>
        <w:rPr>
          <w:rtl w:val="true"/>
        </w:rPr>
        <w:t>حكم مارماهى و خرگوش و طحال از نظر شيعه</w:t>
      </w:r>
      <w:bookmarkEnd w:id="95"/>
    </w:p>
    <w:p>
      <w:pPr>
        <w:pStyle w:val="BookText"/>
        <w:rPr/>
      </w:pPr>
      <w:r>
        <w:rPr>
          <w:rFonts w:ascii="IRNazanin" w:hAnsi="IRNazanin" w:eastAsia="IRNazanin"/>
          <w:color w:val="111111"/>
          <w:sz w:val="28"/>
          <w:sz w:val="28"/>
          <w:szCs w:val="28"/>
          <w:rtl w:val="true"/>
          <w:lang w:bidi="fa-IR"/>
        </w:rPr>
        <w:t>او درباره اين موضوع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همانند يهوديان، گوشت ماهى جِرّى و مارماهى و خرگوش و طحال را حرام مى‌دانند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بايد دانست كه اماميه، خوردن خبائث و ناپاكى‌ها را حرام مى‌دانند؛ زيرا خداوند آنها را حرام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يُحِلُّ لَهُمُ الطَّيِّباتِ وَ يُحَرِّمُ عَلَيْهِمُ الْخَبائِثَ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اشياى پاكيزه را براى آنان حلال مى‌شمرد و ناپاكى‌ها را تحريم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چيزهاى پليد، بسيارند و شيعيان، هيچ نسبتى با يهوديان كه ناپاكى را مصرف ميكنند،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طحال يا سپرز، به سبب اين است كه محل ساختن خون است و خون در شريعت اسلام از ناپاكى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مارماهى و جرّى نيز شبيه به 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از حيوانات مسخ شده و داراى دندان نيش است؛ ازاين‌رو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تسنن، رواياتى را نقل كردهاند كه از آنها حرمت اين امور استفاده مى‌شود كه به برخى از آنها اشاره ميكنيم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عبدالرزاق در كتاب مصنف، به سند خود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ميكند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 را ناخوش داشت و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w:t>
      </w:r>
    </w:p>
    <w:p>
      <w:pPr>
        <w:pStyle w:val="BookText"/>
        <w:rPr/>
      </w:pPr>
      <w:r>
        <w:rPr>
          <w:rFonts w:ascii="IRNazanin" w:hAnsi="IRNazanin" w:eastAsia="IRNazanin"/>
          <w:color w:val="111111"/>
          <w:sz w:val="28"/>
          <w:sz w:val="28"/>
          <w:szCs w:val="28"/>
          <w:rtl w:val="true"/>
          <w:lang w:bidi="fa-IR"/>
        </w:rPr>
        <w:t xml:space="preserve">خلاس بن عمرو نقل ميكند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طحالش را و از ماهيان، مارماهى را و از پرندگان، هر چنگال دارى را مكروه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عطف كردن پرنده چنگال دار بر جرّى و طحال، معلوم ميشود كه كراهت در اين حديث، كراهت تحريمى است نه تنزيهى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به سند خود از محمد بن اسحاق نقل ميكند كه به ابوجعفر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دادهاند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مارماهى و طحال اجتناب ميكرد و به خانهاى كه در آن، صورت و تمثالى بود، داخل نمى‌شد، علتش چه بوده است؟</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 را پليد ميدانست و نمى‌خورد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خون‌سازى و اجتماع خون است؛ از اينرو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يا خانهاى كه در آن صورت بود وارد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ماهيانى است كه اهل كتاب آن را نميخورند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ابن ابيشيبه در مصنفش با سند خود به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ايشان، جريث و طحال را نميخورد و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طحال، لقمه و غذاى شيطان است</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ابن حجر در فتح البارى مينويسد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حبيب از مالكيه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جرّى را مكروه ميدارم؛ زيرا آن را از حيوانات مسخ شده، شمردهاند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ازهرى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جريث نوعى ماهى است كه به مارها شباهت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گفته شده كه نوعى ماهى است كه فلس و پولك ندارد كه به آن مارماهى نيز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استفاده از روايات اهل تسنن ثابت مى‌شود كه اميرمؤمنان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طحال و جرّى را مكروه مى‌دانسته است و برخى از مالكيه نيز همين عقيده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در تحريم آنها فتوايى بدون دليل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صحابه و تابعان نيز گوشت خرگوش را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در اين باره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علماى اهل تسنن، از متقدم و متأخر، خوردن گوشت خرگوش را جايز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عبدالله بن عمرو بن عاص، حرمتش، و از ابن ابى‌ليلى كراهتش حكايت شده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ابوداود در سنن، از عبدالله بن عمرو چنين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خرگوشى براى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نخورد و از خوردنش نهى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بود كه خرگوش حيض ميبيند</w:t>
      </w:r>
      <w:r>
        <w:rPr>
          <w:rFonts w:eastAsia="IRNazanin" w:cs="IRNazanin"/>
          <w:color w:val="111111"/>
          <w:sz w:val="28"/>
          <w:szCs w:val="28"/>
          <w:rtl w:val="true"/>
          <w:lang w:bidi="fa-IR"/>
        </w:rPr>
        <w:t xml:space="preserve">» .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ترمذى هم در سنن خود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اهل علم، در خوردن گوشت خرگوش، حرمتى نميبينند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از اهل علم، خوردن گوشتش را مكروه ميشمارند و ميگويند خرگوش خون مى‌بيند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فتح البارى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رافعى، حرمت گوشت خرگوش را از ابوحنيفه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نووى نوشته است كه رافعى در نقل حرمت از</w:t>
      </w:r>
    </w:p>
    <w:p>
      <w:pPr>
        <w:pStyle w:val="BookText"/>
        <w:rPr/>
      </w:pPr>
      <w:r>
        <w:rPr>
          <w:rFonts w:ascii="Amiri" w:hAnsi="Amiri" w:eastAsia="Amiri" w:cs="Amiri"/>
          <w:color w:val="111111"/>
          <w:sz w:val="28"/>
          <w:sz w:val="28"/>
          <w:szCs w:val="28"/>
          <w:rtl w:val="true"/>
          <w:lang w:bidi="ar-SA"/>
        </w:rPr>
        <w:t>ابوحنيفه اشتباه كرده است</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به هر ترتيب، روايات اهل تسنن بر اين نكته اتفاق دارند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خرگوش را نخورد، ولى از خوردن آن نيز نهى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شيعيان، گوشت اين حيوان را نمى‌خورند،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كردهاند و گناهى از آنان سر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اهل تسنن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آن حضرت، هر حيوان داراى دندان نيش را حرام كرد و بدون شبهه، خرگوش از اين‌گونه حيوانات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صحيح خود به سندى كه به ابن عباس ميرسد، 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خوردن هر حيوان درنده صاحب نيش و هر پرنده داراى چنگال نقل كرده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بخارى و مسلم به سند خود از ابوثعلبه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گوشت هر حيوان درنده داراى دندانهاى نيش نهى كرد</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اين نهى را مالك بن انس در موطأ، ابن ماجه و نسائى در سننشان، ابن حبان در صحيحش و بيهقى در السنن الكبرى با سندى كه به ابوهريره دارند، نقل كردهاند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ترمذى نيز اين حديث را حسن شمرده، و اهل علم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آنان را بر آن عامل دانسته، و آن را نظريه عبدالله بن مبارك، شافعى، احمد بن حنبل و اسحاق بن راهويه معرفى كرده است</w:t>
      </w:r>
      <w:r>
        <w:rPr>
          <w:rFonts w:eastAsia="IRNazanin" w:cs="IRNazanin"/>
          <w:color w:val="111111"/>
          <w:sz w:val="28"/>
          <w:szCs w:val="28"/>
          <w:rtl w:val="true"/>
          <w:lang w:bidi="fa-IR"/>
        </w:rPr>
        <w:t xml:space="preserve">. </w:t>
      </w:r>
      <w:r>
        <w:rPr>
          <w:rStyle w:val="FootnoteAnchor"/>
          <w:rtl w:val="true"/>
        </w:rPr>
        <w:footnoteReference w:id="117"/>
      </w:r>
      <w:bookmarkStart w:id="96" w:name="pg1980_17902"/>
    </w:p>
    <w:p>
      <w:pPr>
        <w:pStyle w:val="Heading2"/>
        <w:numPr>
          <w:ilvl w:val="1"/>
          <w:numId w:val="1"/>
        </w:numPr>
        <w:rPr/>
      </w:pPr>
      <w:bookmarkStart w:id="97" w:name="__RefHeading___Toc3785711_3650668749"/>
      <w:bookmarkStart w:id="98" w:name="_Toc34"/>
      <w:bookmarkEnd w:id="96"/>
      <w:bookmarkEnd w:id="97"/>
      <w:r>
        <w:rPr>
          <w:rtl w:val="true"/>
        </w:rPr>
        <w:t>عدم جواز مسح بر روى كفش</w:t>
      </w:r>
      <w:bookmarkEnd w:id="98"/>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همانند يهود، مسح بر كفش را جايز نمى‌دانند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كه بسيارى از بدعتها را حتى يهود هم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از مسلمانان، اساس آن بدعت را به وجود آورده‌اند؛ مانند مسح بر چكمه يا نماز تراويح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كسى به جواز اين امور معتقد نباشد، او شبيه يهود نيست؛ زيرا شباهت، در امور وجودى و افعال است، نه در امور عدمى؛ زيرا امور عدمى بسيار زياد و از شماره بيرون‌اند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مسح بر كفش را به جاى مسح بر پوست پا در وضو جايز مى‌داند، او بايد دليل اقامه كند؛ زيرا اين كار خلاف صريح آيه قرآن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برمى‌خيزيد، صورت و دست‌ها را تا آرنج بشوييد و سر و پاها را تا برآمدگى روى پا مسح كنيد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برخى از صحابه مانند ابن عباس، مسح بر خُفين را جايز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 در بدائع الصنائع مينويسد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 بر خفين را بيشتر فقها و بيشتر صحابه جايز ميدانند؛ مگر اندكى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عدم جواز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فتواى رافضيان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اين كار را براى مسافر، جايز دانسته نه براى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پرسيدند آيا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خفين مسح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سوره مائده،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خفين مسح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بيابان بر پشت الاغى مسح كنم، اين كار را از مسح بر چكمه محبوبتر مى‌دانم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روايتى ديگر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كردن بر پوست الاغ، نزد من محبوب‌تر از مسح بر كفش است</w:t>
      </w:r>
      <w:r>
        <w:rPr>
          <w:rFonts w:eastAsia="IRNazanin" w:cs="IRNazanin"/>
          <w:color w:val="111111"/>
          <w:sz w:val="28"/>
          <w:szCs w:val="28"/>
          <w:rtl w:val="true"/>
          <w:lang w:bidi="fa-IR"/>
        </w:rPr>
        <w:t xml:space="preserve">» . </w:t>
      </w:r>
      <w:r>
        <w:rPr>
          <w:rStyle w:val="FootnoteAnchor"/>
          <w:rtl w:val="true"/>
        </w:rPr>
        <w:footnoteReference w:id="118"/>
      </w:r>
      <w:bookmarkStart w:id="99" w:name="pg1980_17904"/>
    </w:p>
    <w:p>
      <w:pPr>
        <w:pStyle w:val="Heading2"/>
        <w:numPr>
          <w:ilvl w:val="1"/>
          <w:numId w:val="1"/>
        </w:numPr>
        <w:rPr/>
      </w:pPr>
      <w:bookmarkStart w:id="100" w:name="__RefHeading___Toc3785713_3650668749"/>
      <w:bookmarkStart w:id="101" w:name="_Toc35"/>
      <w:bookmarkEnd w:id="99"/>
      <w:bookmarkEnd w:id="100"/>
      <w:r>
        <w:rPr>
          <w:rtl w:val="true"/>
        </w:rPr>
        <w:t>حكم لحد از نظر شيعه</w:t>
      </w:r>
      <w:bookmarkEnd w:id="101"/>
    </w:p>
    <w:p>
      <w:pPr>
        <w:pStyle w:val="BookText"/>
        <w:rPr/>
      </w:pPr>
      <w:r>
        <w:rPr>
          <w:rFonts w:ascii="IRNazanin" w:hAnsi="IRNazanin" w:eastAsia="IRNazanin"/>
          <w:color w:val="111111"/>
          <w:sz w:val="28"/>
          <w:sz w:val="28"/>
          <w:szCs w:val="28"/>
          <w:rtl w:val="true"/>
          <w:lang w:bidi="fa-IR"/>
        </w:rPr>
        <w:t>شعبى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براى قبرها لحد نميگذارند و رافضيان نيز اين‌گونه‌اند؛ درحالى‌كه براى پيامبرلحد كنده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شكافتن ديوار طرف قبله قبر براى نهادن ميت در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گود كردن كف قبر به اندازه‌اى كه ميت را در آن بگذارند،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كردن لحد براى قبر، نزد شيعه و سنى مستحب است و در اين باره احاديثى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سعد بن ابيوقاص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مرضى كه مرگش در آن اتفاق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لحد بسازيد؛ يعنى ديوار قبر را بشكافيد و مرا در آن قرار دهيد و آن را با خشت ببنديد؛ همان‌گونه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در مسند خود به سندى كه به عايشه و ابن عمر مى‌رسد، از آنان نقل كرد كه در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 شرح صحيح مسلم پس از نقل روايت سعد وقاص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بر</w:t>
      </w:r>
    </w:p>
    <w:p>
      <w:pPr>
        <w:pStyle w:val="BookText"/>
        <w:rPr/>
      </w:pPr>
      <w:r>
        <w:rPr>
          <w:rFonts w:ascii="IRNazanin" w:hAnsi="IRNazanin" w:eastAsia="IRNazanin"/>
          <w:color w:val="111111"/>
          <w:sz w:val="28"/>
          <w:sz w:val="28"/>
          <w:szCs w:val="28"/>
          <w:rtl w:val="true"/>
          <w:lang w:bidi="fa-IR"/>
        </w:rPr>
        <w:t xml:space="preserve">استحباب لحد و پوشاندن آن با خشت دلالت دارد و اين عمل به اتفاق صحابه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محقق حلى در كتاب معتبر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كه براى قبر، لحد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و شيخ طوسى و شيخ صدوق، لحد را اين‌گونه معنا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گوركن به اندازه كافى قبر را كند، در طرف قبله قبر به اندازهاى كه يك فرد بتواند بنشيند، ديوار را بشكافد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استحباب لحد به سبب روايتى است كه اهل سنت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اللحد لنا و الشق لغيرنا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طريق اماميه هم روايتى است كه حلبى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ابوطلحه در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كند</w:t>
      </w:r>
      <w:r>
        <w:rPr>
          <w:rFonts w:eastAsia="IRNazanin" w:cs="IRNazanin"/>
          <w:color w:val="111111"/>
          <w:sz w:val="28"/>
          <w:szCs w:val="28"/>
          <w:rtl w:val="true"/>
          <w:lang w:bidi="fa-IR"/>
        </w:rPr>
        <w:t xml:space="preserve">» .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سيدعلى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رياض المسائل، پس از ذكر آنچه از كتاب معتبر در تعريف لحد نقل كرديم و نقل دو روايت گذشته، بر استحباب آن ادعاى اجماع مى‌كند و به اجماع از كتاب خلاف شيخ طوسى و غنيه ابن زهره و تذكرة العلماى علامه حلى نيز اشاره مى‌كند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علامه حلى در اين‌باره مينويسد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كه براى قبر، لحد درست كنند؛ به اين معنا كه وقتى گوركن به اندازه كافى قبر را كند، در طرف قبله قبر به اندازهاى كه يك فرد بتواند بنشيند، ديوار را بشكافد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بهتر از شق است؛ شق آن است كه در كف قبر، مانند جوى آب درآورند و ميت را در آن نهند و روى آن را با چيزى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w:t>
      </w:r>
    </w:p>
    <w:p>
      <w:pPr>
        <w:pStyle w:val="BookText"/>
        <w:rPr/>
      </w:pPr>
      <w:r>
        <w:rPr>
          <w:rFonts w:ascii="IRNazanin" w:hAnsi="IRNazanin" w:eastAsia="IRNazanin"/>
          <w:color w:val="111111"/>
          <w:sz w:val="28"/>
          <w:sz w:val="28"/>
          <w:szCs w:val="28"/>
          <w:rtl w:val="true"/>
          <w:lang w:bidi="fa-IR"/>
        </w:rPr>
        <w:t>ما به استحباب لحد فتوا دادهاند و شافعى و بيشتر اهل علم نيز همين فتوا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روايت ابن عباس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اللحد لنا و الشق لغيرنا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طريق اماميه نيز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ابوطلحه در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كند</w:t>
      </w:r>
      <w:r>
        <w:rPr>
          <w:rFonts w:eastAsia="IRNazanin" w:cs="IRNazanin"/>
          <w:color w:val="111111"/>
          <w:sz w:val="28"/>
          <w:szCs w:val="28"/>
          <w:rtl w:val="true"/>
          <w:lang w:bidi="fa-IR"/>
        </w:rPr>
        <w:t xml:space="preserve">» . </w:t>
      </w:r>
      <w:r>
        <w:rPr>
          <w:rStyle w:val="FootnoteAnchor"/>
          <w:rtl w:val="true"/>
        </w:rPr>
        <w:footnoteReference w:id="12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فتواها و نظريه‌هاى ديگر علماى شيعه را نيز با مراجعه به كتاب‌هايشان ميتوان ديد كه همگى بر استحباب لحد در قبر،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مسئله جزء مسائلى است كه چندين تن از فقها بر آن ادعاى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جاى تعجب است كه مينويسند شيعيان براى مردگانشان در قبر لحد نميسازند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زشت، و دروغ بستن از روى بيحيايى و بيتقوايى، به خدا پناه مى‌بريم</w:t>
      </w:r>
      <w:r>
        <w:rPr>
          <w:rFonts w:eastAsia="IRNazanin" w:cs="IRNazanin"/>
          <w:color w:val="111111"/>
          <w:sz w:val="28"/>
          <w:szCs w:val="28"/>
          <w:rtl w:val="true"/>
          <w:lang w:bidi="fa-IR"/>
        </w:rPr>
        <w:t>.</w:t>
      </w:r>
      <w:bookmarkStart w:id="102" w:name="pg1980_17907"/>
    </w:p>
    <w:p>
      <w:pPr>
        <w:pStyle w:val="Heading2"/>
        <w:numPr>
          <w:ilvl w:val="1"/>
          <w:numId w:val="1"/>
        </w:numPr>
        <w:rPr/>
      </w:pPr>
      <w:bookmarkStart w:id="103" w:name="__RefHeading___Toc3785715_3650668749"/>
      <w:bookmarkStart w:id="104" w:name="_Toc36"/>
      <w:bookmarkEnd w:id="102"/>
      <w:bookmarkEnd w:id="103"/>
      <w:r>
        <w:rPr>
          <w:rtl w:val="true"/>
        </w:rPr>
        <w:t xml:space="preserve">گذاشتن </w:t>
      </w:r>
      <w:r>
        <w:rPr>
          <w:rtl w:val="true"/>
        </w:rPr>
        <w:t>«</w:t>
      </w:r>
      <w:r>
        <w:rPr>
          <w:rtl w:val="true"/>
        </w:rPr>
        <w:t>جريدتين</w:t>
      </w:r>
      <w:r>
        <w:rPr>
          <w:rtl w:val="true"/>
        </w:rPr>
        <w:t xml:space="preserve">» </w:t>
      </w:r>
      <w:r>
        <w:rPr>
          <w:rtl w:val="true"/>
        </w:rPr>
        <w:t>در كفن ميت</w:t>
      </w:r>
      <w:bookmarkEnd w:id="104"/>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همانند يهوديان، شاخه تر درخت خرما را در كفن مردگانشان مى‌گذارند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گذاشتن جريده و دو چوب تر از درخت خرما يا انار يا غير آن در كفن ميت از مستحباتى است كه رواياتى معتبر از طريق شيعه و سنى بر آن دلالت دارد و در اين كار به پيامبر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مسلم در صحيحشان و نيز ديگران با اسانيد خود از عبدالله بن عباس روايت كردهاند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دو قبر مى‌گذشت كه صاحبانشان عذاب مى‌شدند،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بر گناه كبيره عذاب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يكى خود را از ترشحات ادرار محافظت نميكرد و ديگرى بين مردم سخن‌چينى مى‌نمود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ترى را گرفت، دو نصف نمود و هركدام را در قبرى فرو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كار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است تا اين چوبها كه رطوبت دارند، در عذابشان تخفيف حاصل شود</w:t>
      </w:r>
      <w:r>
        <w:rPr>
          <w:rFonts w:eastAsia="IRNazanin" w:cs="IRNazanin"/>
          <w:color w:val="111111"/>
          <w:sz w:val="28"/>
          <w:szCs w:val="28"/>
          <w:rtl w:val="true"/>
          <w:lang w:bidi="fa-IR"/>
        </w:rPr>
        <w:t xml:space="preserve">»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نسائى در سنن و ابن حبان در صحيح خود از ابوهريره چنين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ميرفتيم و به دو قبر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ما هم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تغيير كرد؛ به گونهاى كه آستين پيراهنش ميلرزيد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من ميشنوم، نميشنويد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نفر در قبرهايشان براى گناهى كوچك عذاب ميشوند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آنها خود را از ترشحات ادرارش حفظ نميكرد و ديگرى مردم را با زبانش آزار ميداد و بين آنان سخن چينى ميكرد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دستور داد تا دو شاخه درخت خرما بياورند و سپس در هر قبرى شاخهاى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مرطوب هستند، از عذابشان كاسته ميشود</w:t>
      </w:r>
      <w:r>
        <w:rPr>
          <w:rFonts w:eastAsia="IRNazanin" w:cs="IRNazanin"/>
          <w:color w:val="111111"/>
          <w:sz w:val="28"/>
          <w:szCs w:val="28"/>
          <w:rtl w:val="true"/>
          <w:lang w:bidi="fa-IR"/>
        </w:rPr>
        <w:t xml:space="preserve">» . </w:t>
      </w:r>
      <w:r>
        <w:rPr>
          <w:rStyle w:val="FootnoteAnchor"/>
          <w:rtl w:val="true"/>
        </w:rPr>
        <w:footnoteReference w:id="12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عابدين پس از متذكر شدن استحباب گذاشتن يك چوب تر همراه ميت،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روايتى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شاخة تر را پس از دو نيم كردن، درون دو قبرى كه صاحبانش معذب بودند، نهاد و علت اين كار را تخفيف يافتن عذاب آن دو نفر، مادامى كه چوب تر است، بيان نمود؛ يعنى به بركت تسبيح گفتن آن دو چوب تر عذاب كاهش مييابد؛ زيرا تسبيح چوب تر، كاملتر از چوب خشك است؛ چون حيات اندكى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كندن گياهان و علفهاى سبز قبرستان مكروه است؛ هرچند كه خودرو باشد و كسى مالك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كراهت به سبب حقى است كه ميت دارد و با كندن آنها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 حديث و براى پيروى از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همراه ميت، چوب</w:t>
      </w:r>
    </w:p>
    <w:p>
      <w:pPr>
        <w:pStyle w:val="BookText"/>
        <w:rPr/>
      </w:pPr>
      <w:r>
        <w:rPr>
          <w:rFonts w:ascii="IRNazanin" w:hAnsi="IRNazanin" w:eastAsia="IRNazanin"/>
          <w:color w:val="111111"/>
          <w:sz w:val="28"/>
          <w:sz w:val="28"/>
          <w:szCs w:val="28"/>
          <w:rtl w:val="true"/>
          <w:lang w:bidi="fa-IR"/>
        </w:rPr>
        <w:t>ترى گذاشته شود؛ به همين دليل، جمعى از فقهاى متأخر به استحباب گذاشتن چوبى تر يا گل همراه ميت فتوا دادهاند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ابن حجر در فتح البارى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بريدة بن حصيب كه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عمل آن حضرت، الگو برداشت و وصيت كرد تا هنگام مردنش دو شاخه تر در قبرش نهاده شود و او به پيروى سزاوارتر از ديگران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ابن سعد در الطبقات الكبرى و ذهبى در سير اعلام النبلاء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بن سلمه از عاصم احول نقل كرد كه ابوالعاليه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مورق عجلى وصيت كرد كه دو شاخه خرما در قبرش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بريده اسلمى نيز وصيت كرد تا دو شاخه از چوب خرما در قبرش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دنيا رفت، چوب خرما پيدا نكردند، مگر در جوال الاغى؛ زيرا نزديك خراسان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را در قبر گذاشتند به همراهش چوبها را نيز در قبرش قرار دادند</w:t>
      </w:r>
      <w:r>
        <w:rPr>
          <w:rFonts w:eastAsia="IRNazanin" w:cs="IRNazanin"/>
          <w:color w:val="111111"/>
          <w:sz w:val="28"/>
          <w:szCs w:val="28"/>
          <w:rtl w:val="true"/>
          <w:lang w:bidi="fa-IR"/>
        </w:rPr>
        <w:t xml:space="preserve">» .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نووى در شرح خود بر صحيح مسلم نوشته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در صحيحش، وصيت بريدة بن حصيب اسلمى صحابى را به گذاشتن دو چوب تر در قبرش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مثل چنين كارى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تبرك جسته است</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روشن ميشود كه نهادن دو شاخه تازه خرما در قبر سنت است و كسى كه چنين كند،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 آورده، و آنكه از چنين كارى رو برتابد، از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برتافته است</w:t>
      </w:r>
      <w:r>
        <w:rPr>
          <w:rFonts w:eastAsia="IRNazanin" w:cs="IRNazanin"/>
          <w:color w:val="111111"/>
          <w:sz w:val="28"/>
          <w:szCs w:val="28"/>
          <w:rtl w:val="true"/>
          <w:lang w:bidi="fa-IR"/>
        </w:rPr>
        <w:t>.</w:t>
      </w:r>
      <w:bookmarkStart w:id="105" w:name="pg1980_17911"/>
    </w:p>
    <w:p>
      <w:pPr>
        <w:pStyle w:val="Heading2"/>
        <w:numPr>
          <w:ilvl w:val="1"/>
          <w:numId w:val="1"/>
        </w:numPr>
        <w:rPr/>
      </w:pPr>
      <w:bookmarkStart w:id="106" w:name="__RefHeading___Toc3785717_3650668749"/>
      <w:bookmarkStart w:id="107" w:name="_Toc37"/>
      <w:bookmarkEnd w:id="105"/>
      <w:bookmarkEnd w:id="106"/>
      <w:r>
        <w:rPr>
          <w:rtl w:val="true"/>
        </w:rPr>
        <w:t>بهترين امت از نظر يهود، نصارا و شيعيان</w:t>
      </w:r>
      <w:bookmarkEnd w:id="107"/>
    </w:p>
    <w:p>
      <w:pPr>
        <w:pStyle w:val="BookText"/>
        <w:rPr/>
      </w:pPr>
      <w:r>
        <w:rPr>
          <w:rFonts w:ascii="IRNazanin" w:hAnsi="IRNazanin" w:eastAsia="IRNazanin"/>
          <w:color w:val="111111"/>
          <w:sz w:val="28"/>
          <w:sz w:val="28"/>
          <w:szCs w:val="28"/>
          <w:rtl w:val="true"/>
          <w:lang w:bidi="fa-IR"/>
        </w:rPr>
        <w:t>شعبى، عالم متعصب سنى، در اين‌باره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و مسيحيان در يك ويژگى بر رافضيان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يهوديان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امت شما چه كسانى‌اند؟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مسيحيان نيز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امت شما چه كسانى‌اند؟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رافضيان پرسيده شد كه بدترين امت شما چه كسانى‌اند؟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مرادشان طلحه و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رافضيان امر شد تا براى ياران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رافضيان، آنان را سب و لعن كردند</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شعبى راست گفته باشد و كسى از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طلحه و زبير را شقى‌ترين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باشد، اين فرد از عوام و جاهلان رافضه بوده است نه از علماى آنان؛ زيرا شقى‌ترين مردم از امت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عبدالرحمان بن ملجم مرادى قاتل اميرمؤمنان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كه در روايات زيادى از شيعه و سنى به آن تصريح شده است كه به نمونهاى از اين روايتها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نيشابورى در مستدرك، بيهقى در السنن الكبرى و ديگران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راستگوى راست كردار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ضربت شمشيرى بر اينجا و اينجا فرو آيد و به شقيقههايش اشاره كرد؛ طورى كه خون بر صورتت جارى شود و محاسنت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اين كار، شقى‌ترين افراد اين امت است؛ همان‌گونه كه پى‌كننده ناقه صالح، شقى‌ترين فرد طايفه ثمود بود</w:t>
      </w:r>
      <w:r>
        <w:rPr>
          <w:rFonts w:eastAsia="IRNazanin" w:cs="IRNazanin"/>
          <w:color w:val="111111"/>
          <w:sz w:val="28"/>
          <w:szCs w:val="28"/>
          <w:rtl w:val="true"/>
          <w:lang w:bidi="fa-IR"/>
        </w:rPr>
        <w:t xml:space="preserve">»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احمد بن حنبل، ابويعلى، هيثمى، بزّار و ديگران از عبدالله بن سبيع نقل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ريشها به خون سرم رنگين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شقيترين امت منتظر 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ابى‌شيبه در مصنفش به سندى كه از عبيده دارد، نقل ميكند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چيزى شقيترين امت را مانع شده از اينكه بيايد و مرا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امت خسته شدم و آنان نيز از من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آنان و ايشان را از دست من راحت كن</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در روايات شيعى نيز به اين مطلب تصريح شده است كه به نمونه‌هايى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حر عاملى در كتاب وسائل الشيعه از علل الشرائع صدوق با سندى كه به اصبغ بن نباته مى‌رسد، چنين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چيزى مانع شما از رنگ كردن محاسنتان مى‌شود، درحالى‌كه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ريشش را رنگ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منتظرم شقيترين اين امت، آن را با خون سرم رنگين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 و پيمانى است كه حبيبم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خبر داده است</w:t>
      </w:r>
      <w:r>
        <w:rPr>
          <w:rFonts w:eastAsia="IRNazanin" w:cs="IRNazanin"/>
          <w:color w:val="111111"/>
          <w:sz w:val="28"/>
          <w:szCs w:val="28"/>
          <w:rtl w:val="true"/>
          <w:lang w:bidi="fa-IR"/>
        </w:rPr>
        <w:t xml:space="preserve">» .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شيخ مفيد در كتاب ارشاد با سندش از ابوالطفيل عامر بن وائله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براى بيعت گرفتن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ملجم مرادى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تا دو يا سه بار، او را رد كرد و سپس با او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بيعت كردنش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مانع شقيترين اين امت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خدايى كه جان من در دست اوست، هرآينه اين محاسنم را از خون سرم رنگين ميكنى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حضرت دست بر سر و محاسنش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ابن ملجم رفت،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حيازيمك للموت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كمربندت را براى روبه‌رو شدن با مرگ محكم كن كه مرگ تو را ملاقات خواهد كرد؛ از آمدن مرگ جزع و فزع به پا مكن، آن‌گاه كه در آستان تو نزول ميكند؛ همان‌گونه كه روزگار تو را خندانيد، روزى هم تو را مى‌گرياند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هرحال در روايات شيعه، شقيترين افراد، ابن ملجم مرادى معرفى شده است و ما به همين اندازه اكتفا ميكنيم</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آنچه گفتيم روايات معتبر شيعه و 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اين درست است كه شيعيان را براساس گفته كسى كه نزد آنان اعتبار ندارد، محكوم كرد؟ ديگر آنكه آيا بهتر نبود كه شعبى به جاى اين سؤال از رافضيان بپرسد كه بهترين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تا پاسخ آنان را بشنود؟</w:t>
      </w:r>
    </w:p>
    <w:p>
      <w:pPr>
        <w:pStyle w:val="BookText"/>
        <w:rPr/>
      </w:pPr>
      <w:r>
        <w:rPr>
          <w:rFonts w:ascii="IRNazanin" w:hAnsi="IRNazanin" w:eastAsia="IRNazanin"/>
          <w:color w:val="111111"/>
          <w:sz w:val="28"/>
          <w:sz w:val="28"/>
          <w:szCs w:val="28"/>
          <w:rtl w:val="true"/>
          <w:lang w:bidi="fa-IR"/>
        </w:rPr>
        <w:t xml:space="preserve">پاسخ اين پرسش روشن است كه رافضيان، اهل بيت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بهترين خلق خدا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پاسخ، شعبى و يارانش نمى‌توانند بر شيعه طعن و اشكالى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 تحريك احساسات اهل تسنن عليه شيعيان، سؤالش را آن‌گونه مطرح ميكند تا به خواستهاش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شكايت ميكنيم از گروهى كه بر ما دروغ ميبندند و سپس به وسيله همان دروغ عليه ما استدلال ميكنند و ما را محكوم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شيعه درباره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شيعيان درباره اصحاب و ياران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است و در آن، افراط و تفريطى ديده نميشود؛ نه مانند حشويه‌اند كه همه صحابه را عادل مى‌دانند و نه مانند برخى طوايف كه همه را كافر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شيعيان، صحابه را سه گروه ميدانند؛ همان‌گونه كه قرآن، آنان را سه دسته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از صحابه، كسانى‌اند كه خداوند متعال در كتابش آنان را مدح و ثنا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پيشگامان نخستين از مهاجر و انصار و كسانى كه به نيكى از آنان پيروى كردند، خداوند از آنان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باغ‌هاى بهشتى براى آنان آماده ساخته كه نهرها از پاى درختانش جارى است، جاودانه در آن خواهند ماند و اين است رستگارى و پيروزى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از اصحاب، پيشگامان نخستين از مهاجر و انصار و تابعان به احسان‌اند كه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كردند و با جان و مالشان در راه خدا و همراه با آن حضرت جهاد نمودند و كلام و آيين خدا را برترى دادند و كلام و آيين كافران را به زير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كه خداوند از اين گروه راضى، و به آنان وعده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ولايت و دوستى آنان پايبنديم و برايشان دعا مى‌كنيم كه پاداش آنان مضاعف، و مشمول رحمت و مغفرت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جايز نيست كه مؤمنان در گناهانى كه شايد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زده است، به بدى و مذمت ياد كنند يا مرتكب غيبت آنان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از صحابه كسانى‌اند كه خداوند به دنبال گروه اول در قرآن از آنان ياد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 باده‌نشين كه اطراف شما هستند، جمعى منافق‌اند و از اهل</w:t>
      </w:r>
    </w:p>
    <w:p>
      <w:pPr>
        <w:pStyle w:val="BookText"/>
        <w:rPr/>
      </w:pP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سخت به نفاق پايبندند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نمى‌شناسى، ولى ما آنها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آنها را دو بار مجازات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مجازات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اصحاب پيامبر، منافقانى‌اند كه براى نابودى اسلام به نيرنگ روى آوردند و منتظر پيشامدهاى ناگوار براى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يهود و نصارا و مشركان، همپيمان بودند و عليه مسلمانان توطئه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ما، اين گروه كافرند و در طبقات پايين جهنم عذاب مى‌شوند؛ همان‌گونه كه قرآن كريم به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در دنيا و آخرت، برائت و بيزارى ميجوييم؛ هرچند كه ديگران، آنان را از صحابه قلمداد كنند و برايشان مناقب و فضايل جعل كنند؛ زيرا اين مناقب جعلى، نزد ما به اندازه بال مگسى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فراوانى به ما رسيده است كه دلالت مى‌كند برخى از اصحاب پيامبر، منافق بودهاند كه در اينجا به يكى از آنها 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و ديگران، با سندشان به حذيفه، نقل ميكنند كه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اصحاب من دوازده منافق وجود دارد كه هشت نفر از آنان به بهشت نمى‌روند، مگر اينكه شترى بتواند از سوراخ سوزنى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آنان در دنيا به مرضى سرطانى و دملى چركين مبتلا شوند تا آنان را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نيست كه درباره چهار نفر ديگر، شعبه چه مطلبى نقل كرد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از صحابه كسانى‌اند كه خداوند آنان را اين‌گونه توصيف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اعْتَرَفُوا بِذُنُوبِهِمْ خَلَطُواعَمَلاً صالِحاً وَ آخَرَ سَيِّئاً 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اللهُ أَنْ يَتُوبَ عَلَيْهِمْ إِنَّ اللهَ غَفُورٌ 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گروهى ديگر، به گناهان خود اعتراف كردهاند و كار خوب و بد را به هم آميخته‌اند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ميرود كه خداوند توبه آنان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كسانى‌اند كه اعمال صالحشان را با كردار زشت مخلوط كرده‌اند، ولى كارهاى نيكشان به گونهاى نبوده است كه در زمره گروه اول قرار گيرند و اعمال زشتشان نيز به اندازهاى نبوده است كه سبب انحطاط آنان شود و آنان را در زمره گروه دوم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براى اين گروه، دعا ميكنيم و اميدواريم كه خداوند توبه و مغفرتش را شامل حالشان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اين گروه چنان قداستى ندارند كه آنان را از هرگونه مذمت و نكوهشى دور كند، يا به منزلت و مقامى نزد خدا رسيده باشند كه رسيدن به آن، براى ديگران امكان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اعتقاد شيعه درباره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هركسى چيز ديگرى به آنان نسبت دهد، يا جاهل و ناآگاه است و در نقل قولش بدون تحقيق و دقت سخن مى‌گويد، يا دروغ‌بافى است كه بر شيعه افترا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در كتاب‌هاى اعتقادى شيعه به آنچه درباره صحابه گفته شد، تصريح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نمونه به سخن سيد عبدالحسين شرف الدين موسوى اشاره ميكنيم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از ديدگاه ما درباره صحابه آگاه باشد، آن را ديدگاهى متعادل مييابد؛ بدون اينكه درباره آنان مانند بيشتر اهل تسنن افراط كنيم و بگوييم هركسى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يا سخنانش را شنيده باشد، عادل است يا مانند غاليان و</w:t>
      </w:r>
    </w:p>
    <w:p>
      <w:pPr>
        <w:pStyle w:val="BookText"/>
        <w:rPr/>
      </w:pPr>
      <w:r>
        <w:rPr>
          <w:rFonts w:ascii="Amiri" w:hAnsi="Amiri" w:eastAsia="Amiri" w:cs="Amiri"/>
          <w:color w:val="111111"/>
          <w:sz w:val="28"/>
          <w:sz w:val="28"/>
          <w:szCs w:val="28"/>
          <w:rtl w:val="true"/>
          <w:lang w:bidi="ar-SA"/>
        </w:rPr>
        <w:t>كامليه به كفرشان اعتقاد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ما صحابى بودن را فضيلتى بزرگ ميدانيم، اما تنها صحابى بودن را سبب معصوم بودن از خطا و اشتباه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صحابه، مانند ديگر مسلمانها، انسانهاى عادل، بزرگ و دانشمندى وجود دارند؛ همان‌طور كه افراد ستمگر و منافق بين آنان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اول را در دنيا و آخرت دوست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كسانى كه با وصى و جانشين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دشمنى برخاستند و عليه او شوريدند و افرادى كه مرتكب گناهان بزرگ شدند، مانند پسر هند جگرخوار، معاويه پسر ابوسفيان و پسر زن بدكاره، عمرو بن عاص و مروان بن حكم </w:t>
      </w:r>
      <w:r>
        <w:rPr>
          <w:rStyle w:val="FootnoteAnchor"/>
          <w:rtl w:val="true"/>
        </w:rPr>
        <w:footnoteReference w:id="135"/>
      </w:r>
      <w:r>
        <w:rPr>
          <w:rFonts w:ascii="IRNazanin" w:hAnsi="IRNazanin" w:eastAsia="IRNazanin"/>
          <w:color w:val="111111"/>
          <w:sz w:val="28"/>
          <w:sz w:val="28"/>
          <w:szCs w:val="28"/>
          <w:rtl w:val="true"/>
          <w:lang w:bidi="fa-IR"/>
        </w:rPr>
        <w:t xml:space="preserve">و پسر زن چشم آبى، وليدبن عُقبه، مُسرف بن ارطاة </w:t>
      </w:r>
      <w:r>
        <w:rPr>
          <w:rStyle w:val="FootnoteAnchor"/>
          <w:rtl w:val="true"/>
        </w:rPr>
        <w:footnoteReference w:id="136"/>
      </w:r>
      <w:r>
        <w:rPr>
          <w:rFonts w:ascii="IRNazanin" w:hAnsi="IRNazanin" w:eastAsia="IRNazanin"/>
          <w:color w:val="111111"/>
          <w:sz w:val="28"/>
          <w:sz w:val="28"/>
          <w:szCs w:val="28"/>
          <w:rtl w:val="true"/>
          <w:lang w:bidi="fa-IR"/>
        </w:rPr>
        <w:t>و مانند آنان، هيچ ارزش و مقامى قائل نيستيم و حديثشان را معتبر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صحابهاى كه مجهول‌الحال‌اند نيز توقف ميكنيم تا حالشان روشن شود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همچنين شعبى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دستور دادهاند كه طلحه و زبير را دوست بداريم؛ ولى شيعيان با آنان دشمنى ميكنند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گفتار او نيز به دو علت باطل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روايتى را با سند صحيح در كتابهاى اهل تسنن، نه در صحيح بخارى و مسلم و نه در سنن چهارگانه، نيافتيم كه به دوستى طلحه و زبير دستور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حديثى داشتند، نقل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اماميه معتقد است كه هركسى بر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كند و ضد آن حضرت جنگ برپا كند، باغى، متجاوز و محارب با خدا و رسول او به شمار ميآيد؛ زيرا دشمنى و جنگيدن 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جنگ و دشمنى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مى‌توان به سخنان صريح و آشكار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اميرمؤمنان،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كسى كه با شما جنگ كند، در جنگم و با كسى كه با شما در صلح باشد، در صلحم</w:t>
      </w:r>
      <w:r>
        <w:rPr>
          <w:rFonts w:eastAsia="IRNazanin" w:cs="IRNazanin"/>
          <w:color w:val="111111"/>
          <w:sz w:val="28"/>
          <w:szCs w:val="28"/>
          <w:rtl w:val="true"/>
          <w:lang w:bidi="fa-IR"/>
        </w:rPr>
        <w:t xml:space="preserve">»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انسانهاى مؤمن تو را دوست دارند و تنها منافقان با تو دشمن ميباشند</w:t>
      </w:r>
      <w:r>
        <w:rPr>
          <w:rFonts w:eastAsia="IRNazanin" w:cs="IRNazanin"/>
          <w:color w:val="111111"/>
          <w:sz w:val="28"/>
          <w:szCs w:val="28"/>
          <w:rtl w:val="true"/>
          <w:lang w:bidi="fa-IR"/>
        </w:rPr>
        <w:t xml:space="preserve">» .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هركسى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بيازارد، مرا آزرده است</w:t>
      </w:r>
      <w:r>
        <w:rPr>
          <w:rFonts w:eastAsia="Amiri" w:cs="Amiri" w:ascii="Amiri" w:hAnsi="Amiri"/>
          <w:color w:val="111111"/>
          <w:sz w:val="28"/>
          <w:szCs w:val="28"/>
          <w:rtl w:val="true"/>
          <w:lang w:bidi="ar-SA"/>
        </w:rPr>
        <w:t xml:space="preserve">» . </w:t>
      </w:r>
      <w:r>
        <w:rPr>
          <w:rStyle w:val="FootnoteAnchor"/>
          <w:rtl w:val="true"/>
        </w:rPr>
        <w:footnoteReference w:id="14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بيانى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كند، به من</w:t>
      </w:r>
    </w:p>
    <w:p>
      <w:pPr>
        <w:pStyle w:val="BookText"/>
        <w:rPr/>
      </w:pPr>
      <w:r>
        <w:rPr>
          <w:rFonts w:ascii="Amiri" w:hAnsi="Amiri" w:eastAsia="Amiri" w:cs="Amiri"/>
          <w:color w:val="111111"/>
          <w:sz w:val="28"/>
          <w:sz w:val="28"/>
          <w:szCs w:val="28"/>
          <w:rtl w:val="true"/>
          <w:lang w:bidi="ar-SA"/>
        </w:rPr>
        <w:t>اهانت كرده، و اهانت‌كننده به من، به خدا اهانت كرده است</w:t>
      </w:r>
      <w:r>
        <w:rPr>
          <w:rFonts w:eastAsia="Amiri" w:cs="Amiri" w:ascii="Amiri" w:hAnsi="Amiri"/>
          <w:color w:val="111111"/>
          <w:sz w:val="28"/>
          <w:szCs w:val="28"/>
          <w:rtl w:val="true"/>
          <w:lang w:bidi="ar-SA"/>
        </w:rPr>
        <w:t xml:space="preserve">» .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همچنين حضرت در سخن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مرا دوست داشته، و دشمن او با من دشمنى كرده است</w:t>
      </w:r>
      <w:r>
        <w:rPr>
          <w:rFonts w:eastAsia="IRNazanin" w:cs="IRNazanin"/>
          <w:color w:val="111111"/>
          <w:sz w:val="28"/>
          <w:szCs w:val="28"/>
          <w:rtl w:val="true"/>
          <w:lang w:bidi="fa-IR"/>
        </w:rPr>
        <w:t xml:space="preserve">» .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به راستى پس از ديدن و شنيدن اين روايات، كسى كه منصف باشد چه ميگويد؟ آيا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دشمن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آيا چنين فردى در زمره مؤمنانى است كه خدا و رسولش او را دوست دارند، يا از گروه فاسقانى كه دشمن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p>
    <w:p>
      <w:pPr>
        <w:pStyle w:val="BookText"/>
        <w:rPr/>
      </w:pPr>
      <w:r>
        <w:rPr>
          <w:rFonts w:ascii="IRNazanin" w:hAnsi="IRNazanin" w:eastAsia="IRNazanin"/>
          <w:color w:val="111111"/>
          <w:sz w:val="28"/>
          <w:sz w:val="28"/>
          <w:szCs w:val="28"/>
          <w:rtl w:val="true"/>
          <w:lang w:bidi="fa-IR"/>
        </w:rPr>
        <w:t>از امور شگفت‌انگيز اين است كه اگر كسى به ابوبكر يا عمر يا عثمان اهانت كند، او را از اسلام بينصيب ميدانند و هيچ عذرى از او نمى‌پذيرند، رواياتش را رد مى‌كنند و به اقوالش اعتنا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كسانى كه به اميرمؤمنان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مى‌نمايند و با آن حضرت دشمنى ميكنند، نه تنها احاديث آنان را معتبر مى‌دانند و در صحاحشان نقل ميكنند، بلكه به رواياتشان عمل مى‌نمايند و آنها را توثيق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اينان سوگند ياد كردهاند كه خلاف گفتههاى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كنند و به جاى دشمنى با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آنان دوستى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اثبات اين ادعا، به برخى از سخنان علماى اهل تسنن در اين باره اشاره ميكنيم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كه به عثمان يا يكى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بدهد، دجال، فاسق و ملعون است و حديث او نوشته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ملائكه و همه مردم بر او باد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همين دليل جماعتى از راويان را كه بر عثمان خرده گرفته‌اند،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تليد بن سليمان ابوادريس محاربي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ذهبى در ميزان الاعتدال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شيعه است و در او اشكالى نميبينم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معين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دروغگويى است كه به عثمان دشنام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پشت‌بامى نشست و به عثمان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اولاد نوكران عثمان او را از بلندى به پايين انداختند كه پاهايش شكست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ابوداوود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تليد رافضى است و به ابوبكر و عمر دشنام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يحيى بن معين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تليد بن سليمان، كذاب بود و به عثمان دشنام ميداد</w:t>
      </w:r>
      <w:r>
        <w:rPr>
          <w:rFonts w:eastAsia="IRNazanin" w:cs="IRNazanin"/>
          <w:color w:val="111111"/>
          <w:sz w:val="28"/>
          <w:szCs w:val="28"/>
          <w:rtl w:val="true"/>
          <w:lang w:bidi="fa-IR"/>
        </w:rPr>
        <w:t xml:space="preserve">» . </w:t>
      </w:r>
      <w:r>
        <w:rPr>
          <w:rStyle w:val="FootnoteAnchor"/>
          <w:rtl w:val="true"/>
        </w:rPr>
        <w:footnoteReference w:id="14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يحيى بن معين، او را مردى بد، ضعيف و بيارزش معرفى مى‌كند كه به عثمان دشنام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او را ضعيف ميدانست و سعدى، او را كذاب و افترازن معرفى مى‌كند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يكى از اين 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ابي اسحاق ابواسرائيل مَلايي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ابن عدى در كتاب الكامل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شيعهاى بود كه بغض عثمان را داشت و از جمله غاليانى است كه عثمان را تكفير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حديثش احتجاج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صحيح الحديث است، اما اشتباهاتى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ابوزرعه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راستگويى است كه در رأى و اعتقادش غالى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مهدى روايت او را ترك كرد و ابن معين او را ضعيف شمرد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اصحاب حديث، رواياتش را نمينويسند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دروغ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بهز بن اسد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دشنام به عثمان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كه عثمان كافر كشته شد</w:t>
      </w:r>
      <w:r>
        <w:rPr>
          <w:rFonts w:eastAsia="IRNazanin" w:cs="IRNazanin"/>
          <w:color w:val="111111"/>
          <w:sz w:val="28"/>
          <w:szCs w:val="28"/>
          <w:rtl w:val="true"/>
          <w:lang w:bidi="fa-IR"/>
        </w:rPr>
        <w:t xml:space="preserve">» .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در مقابل، كسانى را كه با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ورزيده و آن حضرت را لعن مى‌كرده‌اند، توثيق كرده و احاديثشان را معتبر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 بن عثمان ابوعثمان رحبى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صبح و شام،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ميكرد و ذهبى و سيوطى و ابن عماد حنبلى او را از حافظان حديث شمردهاند</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حتى بخارى در صحيحش، و ترمذى، ابوداوود، نسائى ابن ماجه در كتابهايشان از او روايت كردهاند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حنبل، راجع به او پرسيدند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و مورد اطمينان است و در شام، كسى ثابتتر از حريز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معين، دحيم، احمد بن يحيى، مفضل بن غسان، عجلى، ابوحاتم، ابن عدى و قطان او را توثيق</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مدينى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هركسى از مشايخ را كه درك كرديم او را توثيق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عيبجويى ميكرد و به او دشنام ميداد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در هر صبح هفتاد مرتبه و در هر شام هفتاد مرتبه،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مى‌كرد</w:t>
      </w:r>
      <w:r>
        <w:rPr>
          <w:rFonts w:eastAsia="IRNazanin" w:cs="IRNazanin"/>
          <w:color w:val="111111"/>
          <w:sz w:val="28"/>
          <w:szCs w:val="28"/>
          <w:rtl w:val="true"/>
          <w:lang w:bidi="fa-IR"/>
        </w:rPr>
        <w:t xml:space="preserve">» . </w:t>
      </w:r>
      <w:r>
        <w:rPr>
          <w:rStyle w:val="FootnoteAnchor"/>
          <w:rtl w:val="true"/>
        </w:rPr>
        <w:footnoteReference w:id="14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خواننده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ميبينى كه چگونه كسى را كه توثيقش جايز نيست، توثيق ميكنند و كسانى را كه هيچ دليلى بر ضعفشان وجود ندارد، تضعيف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است كه آنان احاديث صحيح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نمودند و به هوا و هوس و تعصبات بيجاى خودشان عمل كردند</w:t>
      </w:r>
      <w:r>
        <w:rPr>
          <w:rFonts w:eastAsia="IRNazanin" w:cs="IRNazanin"/>
          <w:color w:val="111111"/>
          <w:sz w:val="28"/>
          <w:szCs w:val="28"/>
          <w:rtl w:val="true"/>
          <w:lang w:bidi="fa-IR"/>
        </w:rPr>
        <w:t>.</w:t>
      </w:r>
      <w:bookmarkStart w:id="108" w:name="pg1980_17924"/>
    </w:p>
    <w:p>
      <w:pPr>
        <w:pStyle w:val="Heading2"/>
        <w:numPr>
          <w:ilvl w:val="1"/>
          <w:numId w:val="1"/>
        </w:numPr>
        <w:rPr/>
      </w:pPr>
      <w:bookmarkStart w:id="109" w:name="__RefHeading___Toc3785719_3650668749"/>
      <w:bookmarkStart w:id="110" w:name="_Toc38"/>
      <w:bookmarkEnd w:id="108"/>
      <w:bookmarkEnd w:id="109"/>
      <w:r>
        <w:rPr>
          <w:rtl w:val="true"/>
        </w:rPr>
        <w:t>ديدگاه عالمان اهل سنت درباره شيعه</w:t>
      </w:r>
      <w:bookmarkEnd w:id="110"/>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قيامت شمشير دشمنى بر آنها حاكم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دعوتشان مردود، پرچمشان به زير و آرايشان پراكنده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أَوْقَدُوا ناراً لِلْحَرْبِ أَطْفَأَهَا اللهُ وَ يَسْعَوْنَ فِي الْأَرْضِ فَساداً وَ اللهُ لا يُحِبُّ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آتش جنگى افروختند، خداوند آن را خاموش ساخت و آنها براى فساد در زمين تلاش مى‌كنند و خداوند، مفسدان را دوست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در ياوههاى قبلياش نيز به دروغ شيعيان را متهم كرد كه همانند يهوديان خون هر مسلمانى را حلال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جملات، مردم را به كشتن رافضيان تحريك مى‌كند و خون آنان را مباح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خون طايفهاى از مسلمانان كه شهادتين بر زبان دارند و به شعائر دين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تهمتى را كه شعبى به شيعه زد، اكنون خودش به آن گرفتار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شعبى بگويد كه شيعيان، مسلمان نيستند و به اين دليل، كشتن آنان جايز است، سخنى بر خلاف تصريح و فتواى علماى بزرگ اهل سنت است كه تكفير اهل قبله را جايز نميدانند؛ خواه رافضى باشد يا غير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شرح اصول اعتقاد اهل السنه با سندى كه به محمد بن</w:t>
      </w:r>
    </w:p>
    <w:p>
      <w:pPr>
        <w:pStyle w:val="BookText"/>
        <w:rPr/>
      </w:pPr>
      <w:r>
        <w:rPr>
          <w:rFonts w:ascii="Amiri" w:hAnsi="Amiri" w:eastAsia="Amiri" w:cs="Amiri"/>
          <w:color w:val="111111"/>
          <w:sz w:val="28"/>
          <w:sz w:val="28"/>
          <w:szCs w:val="28"/>
          <w:rtl w:val="true"/>
          <w:lang w:bidi="ar-SA"/>
        </w:rPr>
        <w:t>اسماعيل بخارى، مؤلف صحيح بخارى دارد،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هزار دانشمند و محدث از علماى حجاز، مكه، مدينه، كوفه، بصره، واسط، بغداد، شام و مصر را در بيش از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ومكرر در مكرر ملاقات كردم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هيچ كدام را نديدم كه احدى از اهل قبله را به سبب ارتكاب گناه تكفير كنند؛ زيرا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يَغْفِرُ أَنْ يُشْرَكَ بِهِ وَ يَغْفِرُ ما دُونَ ذلِكَ لِمَنْ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او را نمى‌بخشد و كمتر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سندى كه به ابوحاتم دارد از او نقل ميكند كه از پدرم و ابوزرعه درباره مذاهب اهل‌سنت در اصول دين، و آنچه علماى شهرهاى مختلف بر آن اتفاق‌نظر دارند و به آن معتقدند،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دانشمندان حجاز، عراق، شام و يمن را ديديم و مذهبشان اين بود كه ايمان، قول و عمل است و كم و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 و در جميع جهات غيرمخلوق است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اهل قبله را به سبب ارتكاب گناه، تكفير نمى‌كنيم و اسرارشان را به خدا واگذار ميكنيم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ابوالحسن اشعرى در كتاب ابانه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ما برخلاف خوارج كه مرتكب كبيره را كافر ميدانند، اين است كه هيچ فردى از اهل قبله را به سبب گناهى مانند زنا، سرقت و شرب خمر، مادامى كه آن كار را حلال نشمارد، تكفير نكنيم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اشعرى همچنين در كتاب مقالات الاسلاميين در بيان عقيده اهل سنت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فردى از اهل قبله را به سبب گناهى مانند زنا، سرقت يا ديگر گناهان كبيره، مادامى كه به دينشان ايمان دارند، تكفير نميكنيم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احمد بن حنبل نيز در كتاب العقيده، در توضيح عقايد اهل سنت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اعتقادات ما اين است كه زبان خود را از اهل قبله نگاه داريم، كسى از مسلمانان را به سبب عملش تكفير نكنيم و او را به واسطه عملش از اسلام خارج ندانيم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ابن تيميه در كتاب العقيدة الواسطيه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اصول اهل سنت و جماعت اين است كه دين و ايمان، عبارت است از قول و عمل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اهل تسنن، برخلاف خوارج، اهل قبله را به سبب ارتكاب گناهان كبيره، خارج از اسلام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اخوت ايمانى با وجود ارتكاب معاصى باقى است؛ همان‌گونه كه خداوند در آيه قصاص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عُفِيَ لَهُ مِنْ أَخيهِ شَيْءٌ فَاتِّباعٌ بِالْمَعْرُوفِ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كسى از سوى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چيزى به او بخشيده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قصاص تبديل به خونبها شود، ولى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راه پسنديده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شرايط پرداخت‌كننده را در نظر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 از قاتل به برادر تعبير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طائِفَتانِ مِنَ الْمُؤْمِنينَ اقْتَتَلُوا فَأَصْلِحُوا بَيْنَهُما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گروه از مؤمنان با هم به نزاع و جنگ پردازند، آنها را آشتى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نيز دو گروه را مؤمن دانسته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در كتاب بيان تلبيس الجهميه آمده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ما اين است كه هيچ‌يك از اهل قبله را به سبب گناهانى مانند زنا، شرب خمر و سرقت، به كفر متهم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خوارج كه تكفيرِ مرتكب گناه را دين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از اين كتاب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صاحب المختصر در كتاب المنتقى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ابوحنيفه هيچ فردى از اهل قبله را تكفير نكرد و رازى از كرخى و غير او همين اعتقاد را حكايت كرده است</w:t>
      </w:r>
      <w:r>
        <w:rPr>
          <w:rFonts w:eastAsia="IRNazanin" w:cs="IRNazanin"/>
          <w:color w:val="111111"/>
          <w:sz w:val="28"/>
          <w:szCs w:val="28"/>
          <w:rtl w:val="true"/>
          <w:lang w:bidi="fa-IR"/>
        </w:rPr>
        <w:t xml:space="preserve">» .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طحاوى در اين‌باره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هيچ‌يك از اهل قبله را به سبب گناهش، مادامى كه آن را حلال نشمارد، تكفير نميكنيم</w:t>
      </w:r>
      <w:r>
        <w:rPr>
          <w:rFonts w:eastAsia="IRNazanin" w:cs="IRNazanin"/>
          <w:color w:val="111111"/>
          <w:sz w:val="28"/>
          <w:szCs w:val="28"/>
          <w:rtl w:val="true"/>
          <w:lang w:bidi="fa-IR"/>
        </w:rPr>
        <w:t xml:space="preserve">» .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ابن قدامه مقدسى در كتاب لمعة الاعتقاد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ورود هيچ يك از اهل قبله به بهشت يا جهنم، جزم نداريم، مگر آنانى را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يا جهنم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نيكوكاران از اهل قبله، اميد خوبى داريم و از عاقبت گناهكاران ترسانيم و هيچ‌يك از اهل قبله را به سبب گناهى كه مرتكب شده‌اند، تكفير نمى‌كنيم و او را به سبب عملش از اسلام خارج نميدانيم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ابن عساكر در كتاب تبيين كذب المفترى رواياتى را نقل ميكند كه مفادش عدم جواز تكفير مسلمانان است كه در اينجا به سه روايت اشاره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عساكر روايتى را با سند خود از نافع نقل ميكند كه مردى به عبدالله‌بن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همسايهاى دارم كه مرا به شرك متهم ميكند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تا او را تكذيب كرده باشى</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سواربن شبيب اعرجى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نزد عبدالله بن</w:t>
      </w:r>
    </w:p>
    <w:p>
      <w:pPr>
        <w:pStyle w:val="BookText"/>
        <w:rPr/>
      </w:pPr>
      <w:r>
        <w:rPr>
          <w:rFonts w:ascii="IRNazanin" w:hAnsi="IRNazanin" w:eastAsia="IRNazanin"/>
          <w:color w:val="111111"/>
          <w:sz w:val="28"/>
          <w:sz w:val="28"/>
          <w:szCs w:val="28"/>
          <w:rtl w:val="true"/>
          <w:lang w:bidi="fa-IR"/>
        </w:rPr>
        <w:t>عمر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پيش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اقوامى ما را به شرك و كفر متهم ميكنند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لا اله الا الله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كسانى كه در آن خانه بودند، صداى خود را به لا اله الا الله بلند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عساكر به سند خود از اعمش از ابوسفيان نقل مى‌كند كه وقتى جابربن عبدالله انصارى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سكونت گزيده بود، به نزد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كسى از اهل قبله را مشرك ميشمرديد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ميبرم و از چنين نسبتى 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دوباره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كافر مى‌دانستيد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عساكر پس از نقل اين روايات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اخبارى مانع ميشود كه فردى از اهل قبله را كافر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كسى كه به تكفير مسلمانان بپردازد، معصيت سيدالمرسلين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مرتكب شده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ازاين‌رو اگر كسى به كلمات علماى بزرگ اهل‌سنت مراجعه كند، مى‌بيند كه آنان به مؤمن بودن مخالفانشان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نمونه‌اى از اين سخنان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در كتاب الاعتقاد با سندى كه به سفيان ثورى دارد از او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مرجئه در سه چيز مخالفيم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ميگوييم كه ايمان، قول است و عمل، اما مرجئه معتقدند كه ايمان، قول بدون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 كه ايمان، كم و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مرجئه معتقدند كه ايمان كم و زيادى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 كه اهل قبله به نظر ما مؤمن‌اند، ولى نزد خدا، او اعلم از ما به حال آنان است؛ در حالى كه مرجئه معتقدند ما نزد خدا هم مؤمن هستيم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ابن تيميه در كتاب بيان تلبيس الجهميه در بيان اعتقادات اهل‌سنت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اهل‌سنت، هيچ فردى از اهل قبله را به علت انجام دادن گناهانى مانند زنا، سرقت و ديگر گناهان كبيره، تكفير نميكنند؛ زيرا آنان در هر حالى باشند مؤمن‌اند؛ هرچند مرتكب گناه كبيره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اهل‌سنت، ايمان عبارت است از ايمان به خدا و ملائكه او و كتاب و پيامبرانش، ايمان به قضا و قدر و خير آن و شرّش، شيرين و تلخش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اسلام عبارت است از شهادتين؛ همان‌گونه كه در حديث آمده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شارح عقيده طحاويه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قبله را مسلمان ميدانيم مادام كه به آنچه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معترف باشند و آنچه را او فرموده و از آن خبر داده است، تصديق كنند</w:t>
      </w:r>
      <w:r>
        <w:rPr>
          <w:rFonts w:eastAsia="IRNazanin" w:cs="IRNazanin"/>
          <w:color w:val="111111"/>
          <w:sz w:val="28"/>
          <w:szCs w:val="28"/>
          <w:rtl w:val="true"/>
          <w:lang w:bidi="fa-IR"/>
        </w:rPr>
        <w:t xml:space="preserve">» .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رواياتى كه بخارى در صحيحش، و ابوداوود در سنن و غير آنها، از انس بن مالك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مصداق مسلمان بودن اين‌گونه معرفى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هركسى شهادت به توحيد خداوند داد و رو به قبله مسلمانان ايستاد و نمازى</w:t>
      </w:r>
    </w:p>
    <w:p>
      <w:pPr>
        <w:pStyle w:val="BookText"/>
        <w:rPr/>
      </w:pPr>
      <w:r>
        <w:rPr>
          <w:rFonts w:ascii="IRNazanin" w:hAnsi="IRNazanin" w:eastAsia="IRNazanin"/>
          <w:color w:val="111111"/>
          <w:sz w:val="28"/>
          <w:sz w:val="28"/>
          <w:szCs w:val="28"/>
          <w:rtl w:val="true"/>
          <w:lang w:bidi="fa-IR"/>
        </w:rPr>
        <w:t>كه آنان ميخوانند به‌جا آورد و از ذبيحه مسلمانان خورد، او مصداق انسان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اوست آنچه براى مسلمانان است و بر اوست آنچه بر مسلمانان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سندى هم در حاشيه سنن نسائى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به جا آوردن نماز مسلمانان اين است كه شعائر اسلام را اظهار كند و به آن پايبند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بخارى در روايتى ديگر از انس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هركسى كه نمازى كه ما ميخوانيم به جا آورد و رو به قبله ما ايستد و از ذبيحه ما خورد، او همان انسان مسلمانى است كه در ذمه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و پيمان خدا را نسبت به او نقض نكنيد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حال كه روشن شد به اعتقاد اهل‌سنت، اهل قبله مسلمان‌اند؛ خواه رافضى باشند يا غير آنان، پس جايز نيست كه بر آنان شمشير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از علماى اهل‌سنت بر اين مطلب تصريح كردهاند كه به نمونه‌هايى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طحاوى دراين‌باره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شمشير كشيدن بر هيچ‌يك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نميدانيم، مگر كسانى كه كشتن آنان واجب باشد</w:t>
      </w:r>
      <w:r>
        <w:rPr>
          <w:rFonts w:eastAsia="IRNazanin" w:cs="IRNazanin"/>
          <w:color w:val="111111"/>
          <w:sz w:val="28"/>
          <w:szCs w:val="28"/>
          <w:rtl w:val="true"/>
          <w:lang w:bidi="fa-IR"/>
        </w:rPr>
        <w:t xml:space="preserve">»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لالكائى، اعتقاد بخارى، مؤلف صحيح را چنين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سنت، شمشير كشيدن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نميدانند</w:t>
      </w:r>
      <w:r>
        <w:rPr>
          <w:rFonts w:eastAsia="IRNazanin" w:cs="IRNazanin"/>
          <w:color w:val="111111"/>
          <w:sz w:val="28"/>
          <w:szCs w:val="28"/>
          <w:rtl w:val="true"/>
          <w:lang w:bidi="fa-IR"/>
        </w:rPr>
        <w:t xml:space="preserve">» . </w:t>
      </w:r>
      <w:r>
        <w:rPr>
          <w:rStyle w:val="FootnoteAnchor"/>
          <w:rtl w:val="true"/>
        </w:rPr>
        <w:footnoteReference w:id="16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ابواحمد حاكم در كتاب شعار اصحاب الحديث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از هركسى</w:t>
      </w:r>
    </w:p>
    <w:p>
      <w:pPr>
        <w:pStyle w:val="BookText"/>
        <w:rPr/>
      </w:pPr>
      <w:r>
        <w:rPr>
          <w:rFonts w:ascii="Amiri" w:hAnsi="Amiri" w:eastAsia="Amiri" w:cs="Amiri"/>
          <w:color w:val="111111"/>
          <w:sz w:val="28"/>
          <w:sz w:val="28"/>
          <w:szCs w:val="28"/>
          <w:rtl w:val="true"/>
          <w:lang w:bidi="ar-SA"/>
        </w:rPr>
        <w:t>كه بر مسلمانان شمشير بكشد، بيزارى ميجوييم؛ هركسى كه باشد</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بنابراين آنچه شعبى گفته و به آن فتوا داده است كه عليه رافضيان تا روز قيامت، شمشير كشيده باد، خلاف اعتقادات بزرگان اهل‌سنت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گفتار شعبى كه حجت و برهان شيعه، هميشه مغلوب و شكست خورده است، دروغ و ياوهاى بيش نيست و اين مسئله بر آنان كه با شيعه ارتباط دارند يا كتابهايشان را در مناظره و احتجاج با مخالفانشان مطالعه كرده‌اند، بسيار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موضوع، كتابهاى فراوانى نوشتهاند كه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 تأليف طبرسى در دو جلد بزرگ؛</w:t>
      </w:r>
    </w:p>
    <w:p>
      <w:pPr>
        <w:pStyle w:val="BookText"/>
        <w:rPr/>
      </w:pPr>
      <w:r>
        <w:rPr>
          <w:rFonts w:ascii="IRNazanin" w:hAnsi="IRNazanin" w:eastAsia="IRNazanin"/>
          <w:color w:val="111111"/>
          <w:sz w:val="28"/>
          <w:sz w:val="28"/>
          <w:szCs w:val="28"/>
          <w:rtl w:val="true"/>
          <w:lang w:bidi="fa-IR"/>
        </w:rPr>
        <w:t xml:space="preserve">جلد چهارم از بحارالانوار مجلسى، از چاپ قديم مطابق با جلد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چاپ جديد؛</w:t>
      </w:r>
    </w:p>
    <w:p>
      <w:pPr>
        <w:pStyle w:val="BookText"/>
        <w:rPr/>
      </w:pPr>
      <w:r>
        <w:rPr>
          <w:rFonts w:ascii="Amiri" w:hAnsi="Amiri" w:eastAsia="Amiri" w:cs="Amiri"/>
          <w:color w:val="111111"/>
          <w:sz w:val="28"/>
          <w:sz w:val="28"/>
          <w:szCs w:val="28"/>
          <w:rtl w:val="true"/>
          <w:lang w:bidi="ar-SA"/>
        </w:rPr>
        <w:t>المراجعات تأليف آيت الله سيد شرف‌الدين؛</w:t>
      </w:r>
    </w:p>
    <w:p>
      <w:pPr>
        <w:pStyle w:val="BookText"/>
        <w:rPr/>
      </w:pPr>
      <w:r>
        <w:rPr>
          <w:rFonts w:ascii="Amiri" w:hAnsi="Amiri" w:eastAsia="Amiri" w:cs="Amiri"/>
          <w:color w:val="111111"/>
          <w:sz w:val="28"/>
          <w:sz w:val="28"/>
          <w:szCs w:val="28"/>
          <w:rtl w:val="true"/>
          <w:lang w:bidi="ar-SA"/>
        </w:rPr>
        <w:t>الفصول المختارة تأليف شيخ مفيد؛</w:t>
      </w:r>
    </w:p>
    <w:p>
      <w:pPr>
        <w:pStyle w:val="BookText"/>
        <w:rPr/>
      </w:pPr>
      <w:r>
        <w:rPr>
          <w:rFonts w:ascii="Amiri" w:hAnsi="Amiri" w:eastAsia="Amiri" w:cs="Amiri"/>
          <w:color w:val="111111"/>
          <w:sz w:val="28"/>
          <w:sz w:val="28"/>
          <w:szCs w:val="28"/>
          <w:rtl w:val="true"/>
          <w:lang w:bidi="ar-SA"/>
        </w:rPr>
        <w:t>الاحتجاجات العشرة تأليف آيت الله سيد عبدالله شيرازى؛</w:t>
      </w:r>
    </w:p>
    <w:p>
      <w:pPr>
        <w:pStyle w:val="BookText"/>
        <w:rPr/>
      </w:pPr>
      <w:r>
        <w:rPr>
          <w:rFonts w:ascii="Amiri" w:hAnsi="Amiri" w:eastAsia="Amiri" w:cs="Amiri"/>
          <w:color w:val="111111"/>
          <w:sz w:val="28"/>
          <w:sz w:val="28"/>
          <w:szCs w:val="28"/>
          <w:rtl w:val="true"/>
          <w:lang w:bidi="ar-SA"/>
        </w:rPr>
        <w:t>مناظرات فى الحرمين الشريفين تأليف بطحايى؛</w:t>
      </w:r>
    </w:p>
    <w:p>
      <w:pPr>
        <w:pStyle w:val="BookText"/>
        <w:rPr/>
      </w:pPr>
      <w:r>
        <w:rPr>
          <w:rFonts w:ascii="IRNazanin" w:hAnsi="IRNazanin" w:eastAsia="IRNazanin"/>
          <w:color w:val="111111"/>
          <w:sz w:val="28"/>
          <w:sz w:val="28"/>
          <w:szCs w:val="28"/>
          <w:rtl w:val="true"/>
          <w:lang w:bidi="fa-IR"/>
        </w:rPr>
        <w:t>شبهاى پيشاور تأليف سيد محمد موسوى شيرازى؛</w:t>
      </w:r>
    </w:p>
    <w:p>
      <w:pPr>
        <w:pStyle w:val="BookText"/>
        <w:rPr/>
      </w:pPr>
      <w:r>
        <w:rPr>
          <w:rFonts w:ascii="IRNazanin" w:hAnsi="IRNazanin" w:eastAsia="IRNazanin"/>
          <w:color w:val="111111"/>
          <w:sz w:val="28"/>
          <w:sz w:val="28"/>
          <w:szCs w:val="28"/>
          <w:rtl w:val="true"/>
          <w:lang w:bidi="fa-IR"/>
        </w:rPr>
        <w:t>مناظرات فى الامامة و مناظرات فى العقائد و الاحكام تأليف شيخ عبدالله حسن و كتابهاى فراوان ديگر كه در بردارنده مناظرات بين شيعه اماميه و اهل‌سنت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همواره دانشمندان مذهب اماميه، مخالفان خود را به مناظره و بحث در</w:t>
      </w:r>
    </w:p>
    <w:p>
      <w:pPr>
        <w:pStyle w:val="BookText"/>
        <w:rPr/>
      </w:pPr>
      <w:r>
        <w:rPr>
          <w:rFonts w:ascii="IRNazanin" w:hAnsi="IRNazanin" w:eastAsia="IRNazanin"/>
          <w:color w:val="111111"/>
          <w:sz w:val="28"/>
          <w:sz w:val="28"/>
          <w:szCs w:val="28"/>
          <w:rtl w:val="true"/>
          <w:lang w:bidi="fa-IR"/>
        </w:rPr>
        <w:t>مسائل اعتقادى و احكام دين دعوت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علماى اهل تسنن از مناظره و بحث فرار ميكنند؛ زيرا دينشان بر پايه و اساس محكمى بنا نشده است، بلكه مستندات آنان، اقوال و آراى افراد و ظنون و خيالاتى است كه جاى حق را پر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گفتار ديگر شعبى كه امور شيعيان را پراكنده خوانده بود، بايد گفت كه اگر مقصودش تفرق در دين است، فساد اين گفتار روشن است؛ زيرا شيعه در اصول و فروع، يك مذهب دارد و هميشه به امام واحد و مرجع واحد مراجعه ميكنند؛ برخلاف اهل‌سنت كه داراى مذاهب مختلف در فروع و اصول دين‌اند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مذاهب فقهى معروف آنان، مذاهب مالكى، حنفى، شافعى و حنبلى و از مذاهب اصولى آنان، مذهب ابوالحسن اشعرى، اهل حديث و ابومنصور ماتريدى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حال بايد پرسيد كه تشتت و تفرقه در دين كدام گروه وجود دارد؟</w:t>
      </w:r>
    </w:p>
    <w:p>
      <w:pPr>
        <w:pStyle w:val="BookText"/>
        <w:rPr/>
      </w:pPr>
      <w:r>
        <w:rPr>
          <w:rFonts w:ascii="IRNazanin" w:hAnsi="IRNazanin" w:eastAsia="IRNazanin"/>
          <w:color w:val="111111"/>
          <w:sz w:val="28"/>
          <w:sz w:val="28"/>
          <w:szCs w:val="28"/>
          <w:rtl w:val="true"/>
          <w:lang w:bidi="fa-IR"/>
        </w:rPr>
        <w:t>اگر مقصود شعبى از تشتت، تفرقه در امور دنيايى است، اين زيانى به حال شيعه ندارد و در كتاب و سنت از آن نهى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مصلحت شيعيان در اين پراكندگى باشد؛ همان‌گونه كه از برخى روايات فهميده ميشود كه امامان شيعه، بين آنان ديدگاههاى گوناگون ايجاد مى‌كردند تا از فتنه دشمنان در امان باشند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آيا اهل‌سنت، بيش از شيعيان پراكنده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 عباسيان تاكنون به دولتهاى متعدد و كشورهاى زيادى تقسيم شده‌اند و جنگ و فتنه، بين آنان افتاده و از قدرتشان كاسته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اجتماع است يا افتراق؟</w:t>
      </w:r>
      <w:bookmarkStart w:id="111" w:name="pg1980_17933"/>
    </w:p>
    <w:p>
      <w:pPr>
        <w:pStyle w:val="Heading2"/>
        <w:numPr>
          <w:ilvl w:val="1"/>
          <w:numId w:val="1"/>
        </w:numPr>
        <w:rPr/>
      </w:pPr>
      <w:bookmarkStart w:id="112" w:name="__RefHeading___Toc3785721_3650668749"/>
      <w:bookmarkStart w:id="113" w:name="_Toc39"/>
      <w:bookmarkEnd w:id="111"/>
      <w:bookmarkEnd w:id="112"/>
      <w:r>
        <w:rPr>
          <w:rtl w:val="true"/>
        </w:rPr>
        <w:t>اندك بودن اهل حق</w:t>
      </w:r>
      <w:bookmarkEnd w:id="113"/>
    </w:p>
    <w:p>
      <w:pPr>
        <w:pStyle w:val="BookText"/>
        <w:rPr/>
      </w:pPr>
      <w:r>
        <w:rPr>
          <w:rFonts w:ascii="IRNazanin" w:hAnsi="IRNazanin" w:eastAsia="IRNazanin"/>
          <w:color w:val="111111"/>
          <w:sz w:val="28"/>
          <w:sz w:val="28"/>
          <w:szCs w:val="28"/>
          <w:rtl w:val="true"/>
          <w:lang w:bidi="fa-IR"/>
        </w:rPr>
        <w:t>او يكى ديگر از تهمتهاى خود را چنين مطرح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پرچمشان شكست خورده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هربار آتش جنگى برافروزند، خداوند آن را خاموش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شعبى ميگوييم بيشك، جمعيت اهل تسنن بيشتر از جمعيت شيعيان است و اين تعجبى ندارد؛ زيرا هميشه ياران حق اندك‌اند، برخلاف پشتيبانان باطل و ياوران شيطان و لشكر ابليس كه حدّ و حصرى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نيز بارها اهل حق و حقيقت را به كمى عدد توصيف كرده است كه به نمونهاى از اين آيات اشاره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إِلَّا قَليلاً مِنْكُمْ وَ أَنْتُمْ مُعْرِضُونَ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همه شما، جز عده كمى، سرپيچى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وفاى به پيمان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 شديد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آمَنَ مَعَهُ إِلَّا قَليلٌ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جز عده كمى همراه او ايمان نياوردند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أَرَأَيْتَكَ هذَا الَّذي كَرَّمْتَ عَلَيَّ لَئِنْ أَخَّرْتَنِ إِلى يَوْمِ الْقِيامَةِ لَأَحْتَنِكَنَّ</w:t>
      </w:r>
    </w:p>
    <w:p>
      <w:pPr>
        <w:pStyle w:val="BookText"/>
        <w:rPr/>
      </w:pPr>
      <w:r>
        <w:rPr>
          <w:rFonts w:ascii="Amiri" w:hAnsi="Amiri" w:eastAsia="Amiri" w:cs="Amiri"/>
          <w:color w:val="111111"/>
          <w:sz w:val="28"/>
          <w:sz w:val="28"/>
          <w:szCs w:val="28"/>
          <w:rtl w:val="true"/>
          <w:lang w:bidi="ar-SA"/>
        </w:rPr>
        <w:t xml:space="preserve">ذُرِّيَّتَهُ إِلَّا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خبر مى‌دهى اين كسى را كه بر من برترى 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تا روز قيامت زنده بگذارى، همه فرزندانش را جز اندكى از ايشان، گمراه و ريشه‌كن خواهم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كَثيراً مِنَ الْخُلَطاءِ لَيَبْغي بَعْضُهُمْ عَلى بَعْضٍ إِلَّا الَّذينَ آمَنُوا وَ عَمِلُوا الصَّالِحاتِ وَ قَليلٌ ما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بسيارى از شريكان به يكديگر ستم مى‌كنند، مگر كسانى كه ايمان آورده و عمل صالح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آنان 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داوُدَ شُكْراً وَ قَليلٌ مِنْ عِبادِيَ الشَّكُورُ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خاندان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عده كمى از بندگان من شكر 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فِي جَنَّاتِ النَّعِيمِ ثُلَّةٌ مِنَ الْأَوَّلِينَ وَ قَلِيلٌ مِنَ الْآخِرِينَ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پيشگامان پيشگامند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باغ‌هاى پر نعمت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امت‌هاى نخستين‌اند و اندكى از امت‌هاى آخرين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 عَلَيْهِمُ الْقِتالُ تَوَلَّوْا إِلَّا قَلِيلاً مِنْهُمْ وَ اللهُ عَلِيمٌ بِالظَّالِمِينَ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هنگامى كه دستور پيكار به آنها داده شد، جز عده كمى از آنان همگى سرپيچى كردند و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سوى ديگر در آيات زيادى نيز اكثريت را نكوهش كرده است كه به برخى از آنها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النَّاسِ وَ لكِنَّ أَكْثَرَ النَّاسِ لا يَشْكُرُونَ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خداوند نسبت به مردم داراى احساس و بخشش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بيشتر مردم،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نمى‌آورند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 النَّاسِ لا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بيشتر مردم نمى‌دانند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الْحَقُّ مِنْ رَبِّكَ وَ لكِنَّ أَكْثَرَ النَّاسِ لا يُؤْمِنُونَ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آن حقى است از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مردم ايمان نميآورند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أَكْثَرُ النَّاسِ وَ لَوْ حَرَصْتَ بِمُؤْمِنينَ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اكثر مردم، هرچند اصرار داشته باشى، ايمان نمى‌آورند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جِئْناكُمْ بِالْحَقِّ وَ لكِنَّ أَكْثَرَكُمْ لِلْحَقِّ كارِهُونَ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حق را براى شما آورديم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بيشتر شما از حق ناخشنود بوديد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يَتَّبِعُ أَكْثَرُهُمْ إِلاَّ ظَنًّا إِنَّ الظَّنَّ لا يُغْني مِنَ الْحَقِّ شَيْئاً إِنَّ اللَّهَ عَليمٌ بِما يَفْعَلُونَ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بيشتر آنان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پندارهاى بى‌اساس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نميكنند؛ با آنكه گمان،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بى‌نياز نمى‌سازد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از آنچه انجام ميدهند،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بِهِ جِنَّةٌ بَلْ جاءَهُمْ بِالْحَقِّ وَ أَكْثَرُهُمْ لِلْحَقِّ كارِهُونَ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ميگويند او به جنون مبتلاست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حق را براى آنان آورده، اما بيشترشان از حق كراهت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گريزان‌اند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گمان مى‌برى بيشتر آنان ميشنوند يا مى‌فهمند؟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همچون چهارپايان‌اند، بلكه گمراهترند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در زمين سير كنيد و بنگريد عاقبت كسانى كه قبل از شما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مشرك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بيشتر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كيفر اعمالشان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يافته، به همين علت ايمان نميآورند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أَكْثَرَ مَنْ فِي الْأَرْضِ يُضِلُّوكَ عَنْ سَبيلِ اللَّهِ إِنْ يَتَّبِعُونَ إِلاَّ الظَّنَّ وَ إِنْ هُمْ إِلاَّ يَخْرُصُونَ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از بيشتر كسانى كه در روى زمين هستند، اطاعت كنى، تو را از راه خدا گمراه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تنها از گمان پيروى مى‌نمايند و تخمين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ضَلَّ قَبْلَهُمْ أَكْثَرُ الْأَوَّلينَ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قبل از آنها بيشتر،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آيات ديگرى نيز وجود دارد كه به مذمت اكثريت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برخى از آيات نيز كفار را از نظر جمعيت و دارايى، قويتر از مؤمنان معرفى كرده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فَيَنْظُرُوا كَيْفَ كانَ عاقِبَةُ الَّذينَ مِنْ قَبْلِهِمْ كانُوا أَكْثَرَ مِنْهُمْ وَ أَشَدَّ قُوَّةً وَ آثاراً فِي الْأَرْضِ فَما أَغْنى عَنْهُمْ ما كانُوا يَكْسِبُونَ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روى زمين سير نكردند تا ببينند عاقبت كسانى كه پيش از آنان بودند، 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نفراتشان از اينها بيشتر و نيرو و آثارشان در زمين فزون‌تر و پايدارتر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آنچه را به دست مى‌آوريد، نتوانست آنها</w:t>
      </w:r>
    </w:p>
    <w:p>
      <w:pPr>
        <w:pStyle w:val="BookText"/>
        <w:rPr/>
      </w:pPr>
      <w:r>
        <w:rPr>
          <w:rFonts w:ascii="Amiri" w:hAnsi="Amiri" w:eastAsia="Amiri" w:cs="Amiri"/>
          <w:color w:val="111111"/>
          <w:sz w:val="28"/>
          <w:sz w:val="28"/>
          <w:szCs w:val="28"/>
          <w:rtl w:val="true"/>
          <w:lang w:bidi="ar-SA"/>
        </w:rPr>
        <w:t>را بى‌نياز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 في قَرْيَةٍ مِنْ نَذيرٍ إِلَّا قالَ مُتْرَفُوها إِنَّا بِما أُرْسِلْتُمْ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أَكْثَرُ أَمْوالاً وَ أَوْلاداً وَ ما نَحْنُ بِمُعَذَّبينَ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در هيچ شهر و ديارى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بيم‌دهنده‌اى نفرستاديم، مگر اينكه ثروتمندان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فرستاده شده‌ايد،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اموال و فرزندان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نشانه علاقه خدا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عذاب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جمعيت مؤمنان، كمتر از جمعيت غيرمؤمن است و ديگران در دارايى و افراد بر آنان برترى دارند، طبيعى است كه مؤمنان در زمين مستضعف باشند و از اينكه تحت سيطره مردم واقع شوند،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قرآن از مؤمنان با عنوان مستضعفان ياد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إِذْ أَنْتُمْ قَليلٌ مُسْتَضْعَفُونَ فِي الْأَرْضِ تَخافُونَ أَنْ يَتَخَطَّفَكُمُ النَّاسُ فَآواكُمْ وَ أَيَّدَكُمْ بِنَصْ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وَ رَزَقَكُمْ مِنَ الطَّيِّباتِ لَعَلَّكُمْ تَشْكُرُونَ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بياوريد هنگامى را كه شما در روى زمين گروهى كوچك و زبون بوديد، آن‌چنان كه مى‌ترسيديد مردم شما را بربايند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شما را پناه داد و با يارى خود تقويت كرد و از روزى‌هاى پاكيزه بهره‌مند ساخت تا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اهل بيتش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مستضعف شدن پس از خود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مسندش و طبرانى در معجم كبير به سند خودشان از امالفضل دختر حارث كه ام ولد عباس و خواهر ميمونه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نقل كرده‌اند كه در بيمارى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آمدم و شروع به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ميترسيم و نميدانيم پس از شما بر سر ما چه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 از من خوار خواهيد شد</w:t>
      </w:r>
      <w:r>
        <w:rPr>
          <w:rFonts w:eastAsia="IRNazanin" w:cs="IRNazanin"/>
          <w:color w:val="111111"/>
          <w:sz w:val="28"/>
          <w:szCs w:val="28"/>
          <w:rtl w:val="true"/>
          <w:lang w:bidi="fa-IR"/>
        </w:rPr>
        <w:t xml:space="preserve">» . </w:t>
      </w:r>
      <w:r>
        <w:rPr>
          <w:rStyle w:val="FootnoteAnchor"/>
          <w:rtl w:val="true"/>
        </w:rPr>
        <w:footnoteReference w:id="166"/>
      </w:r>
      <w:bookmarkStart w:id="114" w:name="pg1980_17939"/>
    </w:p>
    <w:p>
      <w:pPr>
        <w:pStyle w:val="Heading2"/>
        <w:numPr>
          <w:ilvl w:val="1"/>
          <w:numId w:val="1"/>
        </w:numPr>
        <w:rPr/>
      </w:pPr>
      <w:bookmarkStart w:id="115" w:name="__RefHeading___Toc3785723_3650668749"/>
      <w:bookmarkStart w:id="116" w:name="_Toc40"/>
      <w:bookmarkEnd w:id="114"/>
      <w:bookmarkEnd w:id="115"/>
      <w:r>
        <w:rPr>
          <w:rtl w:val="true"/>
        </w:rPr>
        <w:t>چگونگى سلوك شيعيان با مخالفان</w:t>
      </w:r>
      <w:bookmarkEnd w:id="116"/>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هر زمانى كه آتش جنگى به پا كردند، خداوند آن را خاموش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بطلان اين اتهام نيز، همانند ديگر ياوههايش روشن است؛ زيرا شيعه اماميه با آن همه ظلم و جنايت خلفا و حكومتهاى طاغوت، جنگى بر پا نكردند و عليه مسلمانان شمشيرى نكشيدند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 از ديگر طوايف و مذاهب، با مخالفانشان در صلح و آرامش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در برخورد با ديگران، روش مدارا و تقيه بود؛ به گونه‌اى كه با رفتار و عقايد ديگران برخوردى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تعاليم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شيعيان</w:t>
      </w:r>
    </w:p>
    <w:p>
      <w:pPr>
        <w:pStyle w:val="BookText"/>
        <w:rPr/>
      </w:pPr>
      <w:r>
        <w:rPr>
          <w:rFonts w:ascii="IRNazanin" w:hAnsi="IRNazanin" w:eastAsia="IRNazanin"/>
          <w:color w:val="111111"/>
          <w:sz w:val="28"/>
          <w:sz w:val="28"/>
          <w:szCs w:val="28"/>
          <w:rtl w:val="true"/>
          <w:lang w:bidi="fa-IR"/>
        </w:rPr>
        <w:t xml:space="preserve">اهل بيت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دوستى و معاشرت با نيكى و خوبى با ديگران را به شيعيان خود آموزش داده‌اند كه به نمونهاى از اين تعاليم آسمانى اشاره ميكنيم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كه با سندى صحيح است، معاويه پسر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خويشان و كسانى كه با ما هم‌مسلك نيستند و دين و آيين ما</w:t>
      </w:r>
    </w:p>
    <w:p>
      <w:pPr>
        <w:pStyle w:val="BookText"/>
        <w:rPr/>
      </w:pPr>
      <w:r>
        <w:rPr>
          <w:rFonts w:ascii="IRNazanin" w:hAnsi="IRNazanin" w:eastAsia="IRNazanin"/>
          <w:color w:val="111111"/>
          <w:sz w:val="28"/>
          <w:sz w:val="28"/>
          <w:szCs w:val="28"/>
          <w:rtl w:val="true"/>
          <w:lang w:bidi="fa-IR"/>
        </w:rPr>
        <w:t>را قبول ندارند، چگونه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پيشوايان خود نگاه كنيد و عمل آنان را الگوى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شما به عيادت بيماران آنان مى‌روند، در تشييع جنازه آنان شركت مى‌كنند و به نفع و ضرر آنان شهادت مى‌دهند و امانتشان را به آنان بر ميگردانند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روايت صحيح السند ديگرى،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كسانى كه آنان را از شيعيان من ميدانى و از من فرمان ميبرند و به دستورهايم عمل ميكنند، سلام مرا برسان و بگو آنان را به تقواى الهى، ورع و پرهيزكارى در دين، كوشش و اجتهاد براى خدا، راستى در گفتار، اداى امانت، سجده طولانى و نيكى كردن به همسايهها سفارش ميكنم؛ زيرا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ابلاغ اين امور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را به صاحبش و كسى كه شما را امين دانسته، بازگردانيد؛ خواه نيكوكار باشد يا بدكار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با عشيره و خويشان خود صله رحم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آنان شركت كنيد و به عيادت بيمارانشان برويد و حقوقشان را 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شما كه در دينش ورع پيشه كند و در گفتارش راستگو باشد و امانت را به صاحبش برگرداند و با مردم رفتار نيك داشته باشد، مردم ميگويند اين فرد جعفرى و پيرو جعفر است و اين كار مرا شادمان ميكند و مردم اين فرد را تربيت شده جعفر ميدانند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غير آنچه گفته شد انجام دهد، بر من بلا و ننگش وارد ميشود و مردم ميگويند اين تربيت شده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قبيله‌اى بود و زينت آن قبيله به شمار مى‌رفت و</w:t>
      </w:r>
    </w:p>
    <w:p>
      <w:pPr>
        <w:pStyle w:val="BookText"/>
        <w:rPr/>
      </w:pPr>
      <w:r>
        <w:rPr>
          <w:rFonts w:ascii="IRNazanin" w:hAnsi="IRNazanin" w:eastAsia="IRNazanin"/>
          <w:color w:val="111111"/>
          <w:sz w:val="28"/>
          <w:sz w:val="28"/>
          <w:szCs w:val="28"/>
          <w:rtl w:val="true"/>
          <w:lang w:bidi="fa-IR"/>
        </w:rPr>
        <w:t>در اداى امانت، مراعات حقوق ديگران، راستگويى در گفتار بر ديگران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وصيت مى‌كردند و اماناتشان را به او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سراغ او را از افراد قبيلهاش ميگرفتى، پاسخ ميدادند كه چه كسى در اداى امانت و صداقت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پاى او ميرسد؟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روايتى ديگر ابوعلى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ما امام جماعتى است كه مخالف ماست و با ياران ما دشمنى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از گفتار او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گفتارت راستگو باشى، هرآينه تو به مسجد از او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فردى باش كه به مسجد داخل ميشود و آخرين انسانى باش كه از مسجد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نيكو با مردم رفتار كن و با كلام نيك با آنان سخن بگو</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بنابراين امامان شيعه، نه تنها پيروان خود را به بهترين سلوك اجتماعى با پيروان اديان ديگر، و به ويژه ساير مسلمانان، دعوت مى‌كنند، بلكه آنان را از قيام با شمشير نهى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نمونهاى از آنها اشاره‌اى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عيص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 كه ميفرمود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مراعات تقواى خدايى كه برايش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خود، تأمل و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گلهاى از گوسفند داشته باشد و براى آنها شبانى را انتخاب كرده باشد، اگر شبانى داناتر از او پيدا كند، هرآينه شبان اول را رها، و شبان دوم را استخدام مى‌كند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يك از شما دو جان داشت، با يكى از آنها با مشكلات ميجنگيد و تجربه كسب ميكرد و جان ديگرش را با استفاده از تجربههاى</w:t>
      </w:r>
    </w:p>
    <w:p>
      <w:pPr>
        <w:pStyle w:val="BookText"/>
        <w:rPr/>
      </w:pPr>
      <w:r>
        <w:rPr>
          <w:rFonts w:ascii="IRNazanin" w:hAnsi="IRNazanin" w:eastAsia="IRNazanin"/>
          <w:color w:val="111111"/>
          <w:sz w:val="28"/>
          <w:sz w:val="28"/>
          <w:szCs w:val="28"/>
          <w:rtl w:val="true"/>
          <w:lang w:bidi="fa-IR"/>
        </w:rPr>
        <w:t>اندوخته به كار ميگرفت و به زندگى ادامه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از يك جان ندارد و اگر آن از دست برود، راهى براى بازگرداندنش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سزاوارتريد از اينكه براى خودتان راه صحيح را برگزينيد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خاندان ما پيش شما آمد و شما را به قيام دعوت كرد، در اهداف او تأمل كنيد و ببينيد كه براى رسيدن به چه غرضى شما را به قيام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زيد بن على بن حسين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عالم و صدوقى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خود نميخواند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را به رضاى آل محمد دعوت ميكرد و اگر پيروز ميشد به وعده خود وفا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عليه سلطانى كه سلطه خود را بر جامعه گسترانده بود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كسانى كه از اهل بيت قيام ميكنند، شما را به چه چيزى مى‌خوانند؟ به رضاى آل محمد؟ ما شما را شاهد ميگيريم كه به اين كارشان راضى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بيياورند نافرمانى ما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قيامهاى گوناگون و پرچمهاى متعدد در اطرافشان برافراشته شد، به نافرمانى از ما سزاوارترند، مگر آن‌گاه كه همه فرزندان فاطمه با او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كسى نيست، مگر اينكه با او همراهى و همدلى كنند و بهترين علامت براى آن زمان، خروج سفيانى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در معتبره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نامه ابومسلم خراسانى را براى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براى اين نامه پاسخى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سبب عجله بندگانش در كارها عجله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از جا كندن يك كوه، از ساقط كردن حكومتى كه زمان نابودياش نرسيده باشد،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پرسيدم نشانه دولت شما چيست؟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باش تا سفيانى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ما بشتابيد و اين سخن را سه 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حتمى و تخلف ناپذير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بنشين و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فرشى از فرشهاى خانهات باش و همانند شب و روز، آرام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تو خبر خروج سفيانى رسيد، به سوى ما حركت كن؛ هرچند با پاى پياده باشد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خطبهاى از نهج البلاغه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زمين جاى گيريد و بر بلاها استقامت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و شمشيرهايتان را به خاطر هوا و هوس زبانى حركت ندهيد و در چيزى كه خداوند در تحقق آن عجله ندارد، شتاب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هركدام از شما كه در رختخوابش بميرد و در شناخت حق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نكند، شهيد از دنيا رفته است و پاداشش بر خداست و مستحق ثواب اعمالى است كه در نيتش، انجام دادن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 او، نيتش را به جاى كشيدن شمشير و جهاد مى‌پذيرند و بدانيد كه براى هر كارى، مدت و اجلى است</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برخى از روايات نيز به جاى نهى از قيام و خروج بر حكام جور، به اطاعت و فرمانبردارى از سلاطين دستور داده است كه به نمونه‌اى از آن</w:t>
      </w:r>
    </w:p>
    <w:p>
      <w:pPr>
        <w:pStyle w:val="BookText"/>
        <w:rPr/>
      </w:pPr>
      <w:r>
        <w:rPr>
          <w:rFonts w:ascii="Amiri" w:hAnsi="Amiri" w:eastAsia="Amiri" w:cs="Amiri"/>
          <w:color w:val="111111"/>
          <w:sz w:val="28"/>
          <w:sz w:val="28"/>
          <w:szCs w:val="28"/>
          <w:rtl w:val="true"/>
          <w:lang w:bidi="ar-SA"/>
        </w:rPr>
        <w:t>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شيعيانش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ترك اطاعت از سلاطين، خود را خوار و مبتلا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سلطانى عادل است، از خدا دوام سلطنت او را بخواهيد و اگر ستمگر است، از خدا بخواهيد تا او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شما در مصلحت حاكمان شماست و سلطان عادل، مانند پدرى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دوست داريد آنچه را كه براى خودتان دوست داريد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تعاليم و آموزشهاى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باشد كه از آنها ياد شد، چگونه انسان منصف ميتواند شيعه را به فتنه‌انگيزى و شعلهور كردن آتش جنگ متهم كند؟</w:t>
      </w:r>
      <w:bookmarkStart w:id="117" w:name="pg1980_17945"/>
    </w:p>
    <w:p>
      <w:pPr>
        <w:pStyle w:val="Heading2"/>
        <w:numPr>
          <w:ilvl w:val="1"/>
          <w:numId w:val="1"/>
        </w:numPr>
        <w:rPr/>
      </w:pPr>
      <w:bookmarkStart w:id="118" w:name="__RefHeading___Toc3785725_3650668749"/>
      <w:bookmarkStart w:id="119" w:name="_Toc41"/>
      <w:bookmarkEnd w:id="117"/>
      <w:bookmarkEnd w:id="118"/>
      <w:r>
        <w:rPr>
          <w:rtl w:val="true"/>
        </w:rPr>
        <w:t>پرهيز شيعه از فسادطلبى</w:t>
      </w:r>
      <w:bookmarkEnd w:id="119"/>
    </w:p>
    <w:p>
      <w:pPr>
        <w:pStyle w:val="BookText"/>
        <w:rPr/>
      </w:pPr>
      <w:r>
        <w:rPr>
          <w:rFonts w:ascii="IRNazanin" w:hAnsi="IRNazanin" w:eastAsia="IRNazanin"/>
          <w:color w:val="111111"/>
          <w:sz w:val="28"/>
          <w:sz w:val="28"/>
          <w:szCs w:val="28"/>
          <w:rtl w:val="true"/>
          <w:lang w:bidi="fa-IR"/>
        </w:rPr>
        <w:t>آخرين تهمت و افتراى شعبى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براى ايجاد فساد در زمين تلاش ميكنند و خدا مفسدان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واضح است كه شيعيان هيچ حرمتى را زير پا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ريختن خون مسلمانان و آبروى آنان و سرقت اموالشان را مباح نمى‌شمارند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آنان عليه مسلمانان شمشيرى نميكشند و حرامى را حلال نمى‌دانند و واجبى را از وجوبش ساقط نكردهاند؛ به بيان ديگر، حالات شيعيان شناخته شده است و هركسى كه با آنان نشست و برخاست داشته باشد، اين مطالب را به روشنى درمييابد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نويسندگان بزرگ اهل تسنن مينويسد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عصر، شيعيان دوازده امامى در عراق زندگى ميكنند و جمعيت زيادى، نزديك به نصف نفوس مردم عراق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بيشتر مردم ايران، مذهب امامى اثناعشرى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عراق و ايران در اعتقادات و امور اجتماعى، زندگى شخصى، مواريث، وصيت، وقف، زكات، عبادات و غير آن به احكام و دستورهاى فقهى اين مذهب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اماكن ديگر مانند سوريه، لبنان و بسيارى از شهرهاى كشورهاى اسلامى نيز پيروان اين مذهب، زندگى مسالمت‌آميزى با اهل تسنن دارند و هيچ‌گونه درگيرى و ضديتى باهم ندارند</w:t>
      </w:r>
      <w:r>
        <w:rPr>
          <w:rFonts w:eastAsia="IRNazanin" w:cs="IRNazanin"/>
          <w:color w:val="111111"/>
          <w:sz w:val="28"/>
          <w:szCs w:val="28"/>
          <w:rtl w:val="true"/>
          <w:lang w:bidi="fa-IR"/>
        </w:rPr>
        <w:t xml:space="preserve">. </w:t>
      </w:r>
      <w:r>
        <w:rPr>
          <w:rStyle w:val="FootnoteAnchor"/>
          <w:rtl w:val="true"/>
        </w:rPr>
        <w:footnoteReference w:id="174"/>
      </w:r>
      <w:bookmarkStart w:id="120" w:name="pg1980_17946"/>
    </w:p>
    <w:p>
      <w:pPr>
        <w:pStyle w:val="Heading2"/>
        <w:numPr>
          <w:ilvl w:val="1"/>
          <w:numId w:val="1"/>
        </w:numPr>
        <w:rPr/>
      </w:pPr>
      <w:bookmarkStart w:id="121" w:name="__RefHeading___Toc3785727_3650668749"/>
      <w:bookmarkStart w:id="122" w:name="_Toc42"/>
      <w:bookmarkEnd w:id="120"/>
      <w:bookmarkEnd w:id="121"/>
      <w:r>
        <w:rPr>
          <w:rtl w:val="true"/>
        </w:rPr>
        <w:t>نتيجه‌گيرى</w:t>
      </w:r>
      <w:bookmarkEnd w:id="122"/>
    </w:p>
    <w:p>
      <w:pPr>
        <w:pStyle w:val="BookText"/>
        <w:rPr/>
      </w:pPr>
      <w:r>
        <w:rPr>
          <w:rFonts w:ascii="IRNazanin" w:hAnsi="IRNazanin" w:eastAsia="IRNazanin"/>
          <w:color w:val="111111"/>
          <w:sz w:val="28"/>
          <w:sz w:val="28"/>
          <w:szCs w:val="28"/>
          <w:rtl w:val="true"/>
          <w:lang w:bidi="fa-IR"/>
        </w:rPr>
        <w:t>از مباحث گذشته روشن شد اين ياوه‌گويى‌ها كه ابن تيميه و يارانش صدور آن را از شعبى تقويت كردند و وجوه تشابه بين رافضيان و يهوديان ناميدند، غير از افترا و دروغ، چيزى ديگر نبود؛ مطالبى كه هيچ انسان با انصاف و حق‌گرايى به آن لب نميگشايد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سخنان او و يارانش سرابى بيش نيست كه تشنه، مى‌پندارد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آنجا ميرسد چيزى نميبيند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انتقادهايى كه به مذهب شيعه اماميه وارد ميشود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اين جماعت نميتوانند به بنيان مرصوصى كه پايه‌هاى فكرى مذهب اماميه بر آن استوار است، هجمهاى برند، درصدد برآمدند كه با ياوهگويى، تهمت‌زدن و دروغ‌بافى، مردم را عليه شيعه بشورانند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گفت آيا بهتر نيست برادران اهل تسنن ما، به جاى دروغ بافتن و افترا زدن، به انصاف روى آورند و در مصادر و منابع اصيل اماميه نظر كنند و به كتابهاى مورد اعتماد در عقيده، حديث، فقه، تفسير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كنند و منصفانه، بدون هيچ تعصب و غرض‌ورزى به مطالعه آنها بپردازند تا به اين</w:t>
      </w:r>
    </w:p>
    <w:p>
      <w:pPr>
        <w:pStyle w:val="BookText"/>
        <w:rPr/>
      </w:pPr>
      <w:r>
        <w:rPr>
          <w:rFonts w:ascii="IRNazanin" w:hAnsi="IRNazanin" w:eastAsia="IRNazanin"/>
          <w:color w:val="111111"/>
          <w:sz w:val="28"/>
          <w:sz w:val="28"/>
          <w:szCs w:val="28"/>
          <w:rtl w:val="true"/>
          <w:lang w:bidi="fa-IR"/>
        </w:rPr>
        <w:t>وسيله از پراكندگى و افتراقى كه دشمنان درصدد ايجاد آن‌اند،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دانشمندان شيعى و سنى، به جاى اينكه زمان خود را صرف نقد و ايراد يكديگر كنند، به فكر رشد امت اسلامى باشند و همت خود را صرف امورى كنند كه در پيشرفت جامعه و مسلمانان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يكتا ميخواهيم كه مسلمانان را بر آنچه مورد رضايت اوست متحد كند و بين قلبهاى آنان الفت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را همانند بنيانى مرصوص و محكم قرار دهد تا پشتيبان يكديگر باشند و كينه، بغض و غضبشان را تنها عليه دشمنان اسلام قرار دهند؛ زيرا خداوند به بندگانش نزديك، و اجابت‌كننده دعاهاست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دعاى ما حمد و سپاس پروردگار جهانيان است و درود بر محمد و خاندان طيب و طاهر او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عمر تميمى از راويان دروغ‌سازى است كه طبرى، قسمتى از تاريخش را به استناد گفتههاى او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دانشمندان رجالى اهل تسنن، وى را دروغگو و جعل كننده حديث معرفى كردهاند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جعل‌كننده حديث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خطيب بغدادى،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كتاب الضعفاء، عقيلى،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الضعفاء و المتروكين، ابن جوزى،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رجال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مورد راويانى به كار ميبرند كه براى گفتههاى آنان ارزشى قائل نيستند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آيهاى از آيات، اين است كه در دروغگويى شهره آفاق بود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بخارى،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ضعفاء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كتاب الضعفاء و المتروكين،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طبقات الكبرى،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النجوم الزاهرة،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الاعلام، زركلى،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 در كتاب معرفة علوم الحديث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شعبى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نشنيد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دارقطنى هم در علل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شعبى فقط يك حرف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عريف به معناى كارگزار و كسى است كه افراد قبيله را ميشناسد و بر احوال آنان آگاه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ذهبى،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٠٧</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تاريخ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تاريخ الخلفاء، سيوطى،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تحفة الاحوذى،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كه در اين كتاب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ابويعلى آن را با سند صحيح روايت كردهاند؛ مصنف ابن ابى‌شيبه،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فورى در تحفة الاحوذى،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اين گفتار، صحيح است</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نيشابورى،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روز مهراس، روزى است كه جنگ احد اتفاق افتاد و همه اصحاب به جز عده اندكى بر اثر هجوم كفار قريش، پا به فرار گذاشتند و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ماند و از آن حضرت دفاع كرد تا زخمهاى بيشمارى بر بدنش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براى شستن خون جراحت، از صخرهاى به نام مهراس كه در آن حفرهاى بود و آب زيادى در آن جمع شده بود، آب آورد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نيشابورى،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٠٩٠</w:t>
      </w:r>
      <w:r>
        <w:rPr>
          <w:rFonts w:ascii="IRNazanin" w:hAnsi="IRNazanin" w:eastAsia="IRNazanin"/>
          <w:b w:val="false"/>
          <w:b w:val="false"/>
          <w:bCs w:val="false"/>
          <w:i w:val="false"/>
          <w:i w:val="false"/>
          <w:iCs w:val="false"/>
          <w:color w:val="333333"/>
          <w:sz w:val="20"/>
          <w:sz w:val="20"/>
          <w:szCs w:val="20"/>
          <w:rtl w:val="true"/>
        </w:rPr>
        <w:t>؛ تاريخ دمشق، ترجمه امام على بن ابى‌طالب،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فضايلى كه دشمنان به فضيلت بودنش شهادت دادهاند و فضيلت، آن است كه دشمنان به آن شهادت دهند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ساباط يكى از شهرهاى مدائن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حقيقة ام خرافه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شيعه خلافت و امامت را منحصر در خاندان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مى‌داند، به استناد روايات متواتر و صحيحه‌موجود در جوامع روايى و تفسيرى فريقين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تشبيه شيعه به يهود، چه معنا و نتيجه‌اى براى ابن تيميه و شعبى دارد؟ در واقع بيان اين ادعا، نشان‌دهنده ميزان فهم و علم و ايمان ابن تيميه و شعبى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افراد، تنها وقتى مى‌توانند ادعاهاى خود را ثابت كنند كه منكر احاديثى شوند كه در كتب روايى و تفسيرى آنان آمده است؛ به همين علت، تشبه به كفار براى كسانى كه با يهود دست دوستى مى‌دهند و آيات الهى را انكار مى‌كنند، سزاوارتر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در يك نقل خود از شعبى، اين مطلب را از يهوديان، و در نقل ديگر آن را از مسيحيان نقل ميكند و از قديم گفتهاند دروغگو كم‌حافظه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زن‌باردار بايد از ميان دو مدت چهار ماه و ده روز و پايان وضع حمل، آن مدت زمان طولانى‌تر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ابعد الاجلين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عدّه نگاه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تفسير قرآن العظيم،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مسند ابى‌عوانه،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السنن الكبرى، بيهقى،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تفسير القرآن العظيم،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طبرى،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اعتقاد اهل السنة، لالكايى،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٧٧٠</w:t>
      </w:r>
      <w:r>
        <w:rPr>
          <w:rFonts w:ascii="IRNazanin" w:hAnsi="IRNazanin" w:eastAsia="IRNazanin"/>
          <w:b w:val="false"/>
          <w:b w:val="false"/>
          <w:bCs w:val="false"/>
          <w:i w:val="false"/>
          <w:i w:val="false"/>
          <w:iCs w:val="false"/>
          <w:color w:val="333333"/>
          <w:sz w:val="20"/>
          <w:sz w:val="20"/>
          <w:szCs w:val="20"/>
          <w:rtl w:val="true"/>
        </w:rPr>
        <w:t>؛ الايمان ابن مسنده،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السنن الكبرى للبيهقى،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سنن الدارمى،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مستدرك الحاكم،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شرايع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قرون، جمع قرن و به معناى شاخ است كه مجازاً به محل رويش شاخ نيز قرن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به قسمتى از سر، كه در دو طرف پيشانى است و معمولاً بدون مو ميباشد، قرن گفته ميشود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المبسوط، سرخسى،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عمدة القارى،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نووى در كتاب المجموع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سَدَلَ يسدُلُ به معناى رها كردن لباس تا رسيدن آن به زمين است</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ابى‌شيبه،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العمده،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مستدرك، حاكم نيشابورى،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اين حديث را صحيح شمرده، و ذهبى نيز با او موافق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الاحاديث المختاره،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مجمع الزوائد، هيثمى،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السنن الكبرى، بيهقى،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المصنف، ابن ابى‌شيبه،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مسند، طيالسى، ص</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مسند ابى‌يعلى، ابويعلى،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قيد، سلام گفتن به قصد شوخى يا براى تعليم و مانند آن، از بحث خارج مى‌شود؛ زيرا در اين صورت پاسخش واجب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الهداية،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فتح القدير،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المجموع،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فى شرح شرائع الاسلام،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عقايد الصدوق،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تفسير القرآن،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الهدايه،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۶٩٠</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قرآن العظيم،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اين نوع قرائت بدين ترتيب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زنانى را كه براى مدت معينى متعه كردهايد واجب است كه مهريه آنان را بپردازيد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مجاهد نيز معتقد است اين آيه در حليت و جواز نكاح متعه نازل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المصنف، عبدالرزاق،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٠۶</w:t>
      </w:r>
      <w:r>
        <w:rPr>
          <w:rFonts w:ascii="IRNazanin" w:hAnsi="IRNazanin" w:eastAsia="IRNazanin"/>
          <w:b w:val="false"/>
          <w:b w:val="false"/>
          <w:bCs w:val="false"/>
          <w:i w:val="false"/>
          <w:i w:val="false"/>
          <w:iCs w:val="false"/>
          <w:color w:val="333333"/>
          <w:sz w:val="20"/>
          <w:sz w:val="20"/>
          <w:szCs w:val="20"/>
          <w:rtl w:val="true"/>
        </w:rPr>
        <w:t>؛ شرح معانى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كتاب السنن، سعيد بن منصور،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المبسوط،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شرايع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۶٧۶</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٠۶</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٠۶</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ابن قيم بر سنن ابى‌داود،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ابن حزم،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مؤلف در اين كتاب، نظرات و اقوال و افعال برخى از كسانى كه عزل را حرام ميدانند، به تفصيل ذكر كرده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ابى‌شيبه،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كراهت گوشت خرگوش از عكرمه نيز نقل شده و ابن حجر در فتح البارى،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كراهتش را از عبدالله بن عمربن خطاب و عكرمه و ابن ابى‌ليلى نيز نقل كرده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تفسير قرطبى،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٧٧٧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سنن نسائى،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٠٧٧</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سنن الترمذى،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سنن النسائى،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٠۶</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٠۶</w:t>
      </w:r>
      <w:r>
        <w:rPr>
          <w:rFonts w:ascii="IRNazanin" w:hAnsi="IRNazanin" w:eastAsia="IRNazanin"/>
          <w:b w:val="false"/>
          <w:b w:val="false"/>
          <w:bCs w:val="false"/>
          <w:i w:val="false"/>
          <w:i w:val="false"/>
          <w:iCs w:val="false"/>
          <w:color w:val="333333"/>
          <w:sz w:val="20"/>
          <w:sz w:val="20"/>
          <w:szCs w:val="20"/>
          <w:rtl w:val="true"/>
        </w:rPr>
        <w:t>؛ السنن الكبرى، بيهقى،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ابن عابدين بر كتاب رد المختار على الدر المختار،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حاشيه ابن عابدين بر مراقى الفلاح،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النووى على 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ذهبى در 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نيز اين مطلب را نقل كرده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السنن الكبرى،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نيشابورى در ذيل حديث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شرايطى كه بخارى و مسلم در صحت خبر لازم ميدانند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آن را در كتاب خود نياوردهاند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نيز در ذيل حديث، نقد و ايرادى ننوشته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در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طبرانى اين حديث را روايت كرده و سند آن، حسن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روايت همچنين در المعجم الكبير طبرانى،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٠۶</w:t>
      </w:r>
      <w:r>
        <w:rPr>
          <w:rFonts w:ascii="IRNazanin" w:hAnsi="IRNazanin" w:eastAsia="IRNazanin"/>
          <w:b w:val="false"/>
          <w:b w:val="false"/>
          <w:bCs w:val="false"/>
          <w:i w:val="false"/>
          <w:i w:val="false"/>
          <w:iCs w:val="false"/>
          <w:color w:val="333333"/>
          <w:sz w:val="20"/>
          <w:sz w:val="20"/>
          <w:szCs w:val="20"/>
          <w:rtl w:val="true"/>
        </w:rPr>
        <w:t xml:space="preserve"> نيز آمده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هيثمى،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 اين روايت را احمد و ابويعلى نقل كرده‌اند و سندش صحيح است، غير از عبدالله بن سبيع كه او ثقه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بزار نيز با سند حسن در مسندش،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اين مطلب را نقل كرده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او و پدرش را لعن كرد و از مدينه تبعيد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مسلم بن ارطاة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به علت اينكه خون بسيارى از مسلمانان را به ناحق بر زمين ريخت و به دستور يزيد به مدينه حمله كرد و سه روز خون و مال مردم را بر لشكريانش مباح كرد، به مسرف معروف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أجوبه مسائل جارالله، صص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۶٩٨</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مستدرك حاكم نيشابورى،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موارد الظمآن،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٠٠٨</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حاكم نيشابورى حسن شمرده، و ذهبى نيز نسبت به آن نقدى نكرده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ترمذى در ذيل آن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صحيح و حسن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سنن نسائى،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السنن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در ذيل آن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طبرانى اين حديث را در الاوسط روايت كرده است و رجال سند آن ثقه‌اند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البانى آن را در سنن ابن ماجه صحيح شمرده، و همين طور در جمله روايات صحيح نسائى و سلسله احاديث صحيح به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ميافزايد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و طبرانى، آن را به اختصار نقل كرده‌اند و بزار از او مختصرتر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روايت احمد بن حنبل ثقه‌اند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شيبه،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مى‌افزايد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طبرانى روايت كرده، و اسناد آن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كسى كه با من دشمنى كند با خدا دشمنى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افزوده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ضعفاء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ضعفاء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ضعفاء الرجال،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طبقات الحفاظ، ص</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٠٧</w:t>
      </w:r>
      <w:r>
        <w:rPr>
          <w:rFonts w:ascii="IRNazanin" w:hAnsi="IRNazanin" w:eastAsia="IRNazanin"/>
          <w:b w:val="false"/>
          <w:b w:val="false"/>
          <w:bCs w:val="false"/>
          <w:i w:val="false"/>
          <w:i w:val="false"/>
          <w:iCs w:val="false"/>
          <w:color w:val="333333"/>
          <w:sz w:val="20"/>
          <w:sz w:val="20"/>
          <w:szCs w:val="20"/>
          <w:rtl w:val="true"/>
        </w:rPr>
        <w:t>؛ ميزان الاعتدلال،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اعتقاد اهل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الطحاوية،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لمعة الاعتقاد،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المفترى،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سنن نسائى،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الفتح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صحيح 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٠٨٧</w:t>
      </w:r>
      <w:r>
        <w:rPr>
          <w:rFonts w:ascii="IRNazanin" w:hAnsi="IRNazanin" w:eastAsia="IRNazanin"/>
          <w:b w:val="false"/>
          <w:b w:val="false"/>
          <w:bCs w:val="false"/>
          <w:i w:val="false"/>
          <w:i w:val="false"/>
          <w:iCs w:val="false"/>
          <w:color w:val="333333"/>
          <w:sz w:val="20"/>
          <w:sz w:val="20"/>
          <w:szCs w:val="20"/>
          <w:rtl w:val="true"/>
        </w:rPr>
        <w:t>؛ السنن الكبرى، بيهقى،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اعتقاد اهل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اصحاب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الانوار البهيه،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المعجم الكبير، طبرانى،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احمد بن حنبل روايت كرد و در سندش يزيد بن ابى زياد است كه جمعيتى او را تضعيف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ميگويم ترمذى در سنن ترمذى حديث او را در موارد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شمرده است و هيثمى در 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توثيق او را از عبدالله بن مبارك نقل كرده است و در همان كتاب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داود نقل كرده كه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را نميشناسم كه حديث او را كنار زده باشد و غير او پيش من محبوبتر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نيشابورى روايتى را از او مقرون به راوى ديگر نقل كرده و بخارى حديث او را به نحو تعليقى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حديث او را حسن شمرده است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و در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حديثش حسن است و در آن اختلاف ميباشد و در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گفته با اينكه ضعيف است، حديثش حسن است و حاكم نيشابورى در 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روايت يزيد را بخارى و مسلم در صحيحشان نياوردهاند، ولى او از اركان حديث در كوفه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نام او را در كتاب الثقات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ابن شاهين در تاريخ اسماء الثقات،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او را توثيق كرده و از احمد بن صالح نقل كرده كه يزيد بن ابى زياد ثقه است و خوشم نميآيد كسى درباره او بدگويى كند و عجلى در معرفة الثقات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هم‌پيمان بنيهاشم، كوفى و ثقه است، حديثش جايز است و در آخر عمرش او را تلقين مى‌كردند و ذهبى در كاشف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پيمان بنيهاشم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شيعى، عالم، فهيم، راستگو و حافظه‌اش ضعيف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را به سبب شيعه بودن، عالم و هم پيمان بنيهاشم بودن تضعيف كرده‌اند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الاسلاميه،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28874</Words>
  <Characters>112060</Characters>
  <CharactersWithSpaces>140005</CharactersWithSpaces>
  <Paragraphs>1110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2026-08-16T20:07:10Z</dcterms:created>
  <dc:creator>ghaemiyeh.com</dc:creator>
  <dc:description/>
  <dc:language>en-US</dc:language>
  <cp:lastModifiedBy/>
  <dcterms:modified xsi:type="dcterms:W3CDTF">2026-08-16T23:37:14Z</dcterms:modified>
  <cp:revision>1</cp:revision>
  <dc:subject/>
  <dc:title>پیراستگی امامیه از تهمت های ابن تیمیه</dc:title>
</cp:coreProperties>
</file>

<file path=docProps/custom.xml><?xml version="1.0" encoding="utf-8"?>
<Properties xmlns="http://schemas.openxmlformats.org/officeDocument/2006/custom-properties" xmlns:vt="http://schemas.openxmlformats.org/officeDocument/2006/docPropsVTypes"/>
</file>