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شناخت سلفیه معنا شناسی تاریخچه پیدایش و تحولات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7166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937168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37170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937172_3650668749">
            <w:r>
              <w:rPr>
                <w:webHidden/>
                <w:rStyle w:val="IndexLink"/>
                <w:rtl w:val="true"/>
              </w:rPr>
              <w:t>معناى سلفيه‌</w:t>
            </w:r>
            <w:r>
              <w:rPr>
                <w:rStyle w:val="IndexLink"/>
                <w:rtl w:val="true"/>
              </w:rPr>
              <w:tab/>
            </w:r>
            <w:r>
              <w:rPr>
                <w:rStyle w:val="IndexLink"/>
              </w:rPr>
              <w:t>7</w:t>
            </w:r>
          </w:hyperlink>
        </w:p>
        <w:p>
          <w:pPr>
            <w:pStyle w:val="Contents3"/>
            <w:tabs>
              <w:tab w:val="clear" w:pos="8459"/>
              <w:tab w:val="right" w:pos="9026" w:leader="dot"/>
            </w:tabs>
            <w:rPr/>
          </w:pPr>
          <w:hyperlink w:anchor="__RefHeading___Toc2937174_365066874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937176_3650668749">
            <w:r>
              <w:rPr>
                <w:webHidden/>
                <w:rStyle w:val="IndexLink"/>
                <w:rtl w:val="true"/>
              </w:rPr>
              <w:t>تعريف سلفيه از ديدگاه موافقان‌</w:t>
            </w:r>
            <w:r>
              <w:rPr>
                <w:rStyle w:val="IndexLink"/>
                <w:rtl w:val="true"/>
              </w:rPr>
              <w:tab/>
            </w:r>
            <w:r>
              <w:rPr>
                <w:rStyle w:val="IndexLink"/>
              </w:rPr>
              <w:t>9</w:t>
            </w:r>
          </w:hyperlink>
        </w:p>
        <w:p>
          <w:pPr>
            <w:pStyle w:val="Contents3"/>
            <w:tabs>
              <w:tab w:val="clear" w:pos="8459"/>
              <w:tab w:val="right" w:pos="9026" w:leader="dot"/>
            </w:tabs>
            <w:rPr/>
          </w:pPr>
          <w:hyperlink w:anchor="__RefHeading___Toc2937178_3650668749">
            <w:r>
              <w:rPr>
                <w:webHidden/>
                <w:rStyle w:val="IndexLink"/>
                <w:rtl w:val="true"/>
              </w:rPr>
              <w:t>تعريف سلفيه از ديدگاه‌مخالفان‌</w:t>
            </w:r>
            <w:r>
              <w:rPr>
                <w:rStyle w:val="IndexLink"/>
                <w:rtl w:val="true"/>
              </w:rPr>
              <w:tab/>
            </w:r>
            <w:r>
              <w:rPr>
                <w:rStyle w:val="IndexLink"/>
              </w:rPr>
              <w:t>16</w:t>
            </w:r>
          </w:hyperlink>
        </w:p>
        <w:p>
          <w:pPr>
            <w:pStyle w:val="Contents3"/>
            <w:tabs>
              <w:tab w:val="clear" w:pos="8459"/>
              <w:tab w:val="right" w:pos="9026" w:leader="dot"/>
            </w:tabs>
            <w:rPr/>
          </w:pPr>
          <w:hyperlink w:anchor="__RefHeading___Toc2937180_3650668749">
            <w:r>
              <w:rPr>
                <w:webHidden/>
                <w:rStyle w:val="IndexLink"/>
                <w:rtl w:val="true"/>
              </w:rPr>
              <w:t>بررسى و نقد تعاريف‌</w:t>
            </w:r>
            <w:r>
              <w:rPr>
                <w:rStyle w:val="IndexLink"/>
                <w:rtl w:val="true"/>
              </w:rPr>
              <w:tab/>
            </w:r>
            <w:r>
              <w:rPr>
                <w:rStyle w:val="IndexLink"/>
              </w:rPr>
              <w:t>30</w:t>
            </w:r>
          </w:hyperlink>
        </w:p>
        <w:p>
          <w:pPr>
            <w:pStyle w:val="Contents2"/>
            <w:tabs>
              <w:tab w:val="clear" w:pos="8743"/>
              <w:tab w:val="right" w:pos="9026" w:leader="dot"/>
            </w:tabs>
            <w:rPr/>
          </w:pPr>
          <w:hyperlink w:anchor="__RefHeading___Toc2937182_3650668749">
            <w:r>
              <w:rPr>
                <w:webHidden/>
                <w:rStyle w:val="IndexLink"/>
                <w:rtl w:val="true"/>
              </w:rPr>
              <w:t>معناى پيروى از سلف‌</w:t>
            </w:r>
            <w:r>
              <w:rPr>
                <w:rStyle w:val="IndexLink"/>
                <w:rtl w:val="true"/>
              </w:rPr>
              <w:tab/>
            </w:r>
            <w:r>
              <w:rPr>
                <w:rStyle w:val="IndexLink"/>
              </w:rPr>
              <w:t>32</w:t>
            </w:r>
          </w:hyperlink>
        </w:p>
        <w:p>
          <w:pPr>
            <w:pStyle w:val="Contents2"/>
            <w:tabs>
              <w:tab w:val="clear" w:pos="8743"/>
              <w:tab w:val="right" w:pos="9026" w:leader="dot"/>
            </w:tabs>
            <w:rPr/>
          </w:pPr>
          <w:hyperlink w:anchor="__RefHeading___Toc2937184_3650668749">
            <w:r>
              <w:rPr>
                <w:webHidden/>
                <w:rStyle w:val="IndexLink"/>
                <w:rtl w:val="true"/>
              </w:rPr>
              <w:t>مصاديق سلف‌</w:t>
            </w:r>
            <w:r>
              <w:rPr>
                <w:rStyle w:val="IndexLink"/>
                <w:rtl w:val="true"/>
              </w:rPr>
              <w:tab/>
            </w:r>
            <w:r>
              <w:rPr>
                <w:rStyle w:val="IndexLink"/>
              </w:rPr>
              <w:t>50</w:t>
            </w:r>
          </w:hyperlink>
        </w:p>
        <w:p>
          <w:pPr>
            <w:pStyle w:val="Contents3"/>
            <w:tabs>
              <w:tab w:val="clear" w:pos="8459"/>
              <w:tab w:val="right" w:pos="9026" w:leader="dot"/>
            </w:tabs>
            <w:rPr/>
          </w:pPr>
          <w:hyperlink w:anchor="__RefHeading___Toc2937186_3650668749">
            <w:r>
              <w:rPr>
                <w:webHidden/>
                <w:rStyle w:val="IndexLink"/>
                <w:rtl w:val="true"/>
              </w:rPr>
              <w:t>(</w:t>
            </w:r>
            <w:r>
              <w:rPr>
                <w:rStyle w:val="IndexLink"/>
                <w:rtl w:val="true"/>
              </w:rPr>
              <w:t>سلف صالح چه كسانى هستند؟</w:t>
            </w:r>
            <w:r>
              <w:rPr>
                <w:rStyle w:val="IndexLink"/>
                <w:rtl w:val="true"/>
              </w:rPr>
              <w:t>)</w:t>
              <w:tab/>
            </w:r>
            <w:r>
              <w:rPr>
                <w:rStyle w:val="IndexLink"/>
              </w:rPr>
              <w:t>50</w:t>
            </w:r>
          </w:hyperlink>
        </w:p>
        <w:p>
          <w:pPr>
            <w:pStyle w:val="Contents3"/>
            <w:tabs>
              <w:tab w:val="clear" w:pos="8459"/>
              <w:tab w:val="right" w:pos="9026" w:leader="dot"/>
            </w:tabs>
            <w:rPr/>
          </w:pPr>
          <w:hyperlink w:anchor="__RefHeading___Toc2937188_3650668749">
            <w:r>
              <w:rPr>
                <w:webHidden/>
                <w:rStyle w:val="IndexLink"/>
                <w:rtl w:val="true"/>
              </w:rPr>
              <w:t>تعريف صحابه‌</w:t>
            </w:r>
            <w:r>
              <w:rPr>
                <w:rStyle w:val="IndexLink"/>
                <w:rtl w:val="true"/>
              </w:rPr>
              <w:tab/>
            </w:r>
            <w:r>
              <w:rPr>
                <w:rStyle w:val="IndexLink"/>
              </w:rPr>
              <w:t>51</w:t>
            </w:r>
          </w:hyperlink>
        </w:p>
        <w:p>
          <w:pPr>
            <w:pStyle w:val="Contents3"/>
            <w:tabs>
              <w:tab w:val="clear" w:pos="8459"/>
              <w:tab w:val="right" w:pos="9026" w:leader="dot"/>
            </w:tabs>
            <w:rPr/>
          </w:pPr>
          <w:hyperlink w:anchor="__RefHeading___Toc2937190_3650668749">
            <w:r>
              <w:rPr>
                <w:webHidden/>
                <w:rStyle w:val="IndexLink"/>
                <w:rtl w:val="true"/>
              </w:rPr>
              <w:t>نقد تعريف صحابه‌</w:t>
            </w:r>
            <w:r>
              <w:rPr>
                <w:rStyle w:val="IndexLink"/>
                <w:rtl w:val="true"/>
              </w:rPr>
              <w:tab/>
            </w:r>
            <w:r>
              <w:rPr>
                <w:rStyle w:val="IndexLink"/>
              </w:rPr>
              <w:t>59</w:t>
            </w:r>
          </w:hyperlink>
        </w:p>
        <w:p>
          <w:pPr>
            <w:pStyle w:val="Contents3"/>
            <w:tabs>
              <w:tab w:val="clear" w:pos="8459"/>
              <w:tab w:val="right" w:pos="9026" w:leader="dot"/>
            </w:tabs>
            <w:rPr/>
          </w:pPr>
          <w:hyperlink w:anchor="__RefHeading___Toc2937192_3650668749">
            <w:r>
              <w:rPr>
                <w:webHidden/>
                <w:rStyle w:val="IndexLink"/>
                <w:rtl w:val="true"/>
              </w:rPr>
              <w:t>عدالت صحابه و تابعين‌</w:t>
            </w:r>
            <w:r>
              <w:rPr>
                <w:rStyle w:val="IndexLink"/>
                <w:rtl w:val="true"/>
              </w:rPr>
              <w:tab/>
            </w:r>
            <w:r>
              <w:rPr>
                <w:rStyle w:val="IndexLink"/>
              </w:rPr>
              <w:t>84</w:t>
            </w:r>
          </w:hyperlink>
        </w:p>
        <w:p>
          <w:pPr>
            <w:pStyle w:val="Contents2"/>
            <w:tabs>
              <w:tab w:val="clear" w:pos="8743"/>
              <w:tab w:val="right" w:pos="9026" w:leader="dot"/>
            </w:tabs>
            <w:rPr/>
          </w:pPr>
          <w:hyperlink w:anchor="__RefHeading___Toc2937194_3650668749">
            <w:r>
              <w:rPr>
                <w:webHidden/>
                <w:rStyle w:val="IndexLink"/>
                <w:rtl w:val="true"/>
              </w:rPr>
              <w:t>تاريخچه پيدايش سلفيه و تحولات آن‌</w:t>
            </w:r>
            <w:r>
              <w:rPr>
                <w:rStyle w:val="IndexLink"/>
                <w:rtl w:val="true"/>
              </w:rPr>
              <w:tab/>
            </w:r>
            <w:r>
              <w:rPr>
                <w:rStyle w:val="IndexLink"/>
              </w:rPr>
              <w:t>92</w:t>
            </w:r>
          </w:hyperlink>
        </w:p>
        <w:p>
          <w:pPr>
            <w:pStyle w:val="Contents3"/>
            <w:tabs>
              <w:tab w:val="clear" w:pos="8459"/>
              <w:tab w:val="right" w:pos="9026" w:leader="dot"/>
            </w:tabs>
            <w:rPr/>
          </w:pPr>
          <w:hyperlink w:anchor="__RefHeading___Toc2937196_365066874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937198_3650668749">
            <w:r>
              <w:rPr>
                <w:webHidden/>
                <w:rStyle w:val="IndexLink"/>
                <w:rtl w:val="true"/>
              </w:rPr>
              <w:t>الف</w:t>
            </w:r>
            <w:r>
              <w:rPr>
                <w:rStyle w:val="IndexLink"/>
                <w:rtl w:val="true"/>
              </w:rPr>
              <w:t xml:space="preserve">: </w:t>
            </w:r>
            <w:r>
              <w:rPr>
                <w:rStyle w:val="IndexLink"/>
                <w:rtl w:val="true"/>
              </w:rPr>
              <w:t>اختلاف ديدگاه‌ها و روش‌هاى صحابه و تابعين و تابعينِ تابعين‌</w:t>
            </w:r>
            <w:r>
              <w:rPr>
                <w:rStyle w:val="IndexLink"/>
                <w:rtl w:val="true"/>
              </w:rPr>
              <w:tab/>
            </w:r>
            <w:r>
              <w:rPr>
                <w:rStyle w:val="IndexLink"/>
              </w:rPr>
              <w:t>93</w:t>
            </w:r>
          </w:hyperlink>
        </w:p>
        <w:p>
          <w:pPr>
            <w:pStyle w:val="Contents3"/>
            <w:tabs>
              <w:tab w:val="clear" w:pos="8459"/>
              <w:tab w:val="right" w:pos="9026" w:leader="dot"/>
            </w:tabs>
            <w:rPr/>
          </w:pPr>
          <w:hyperlink w:anchor="__RefHeading___Toc2937200_3650668749">
            <w:r>
              <w:rPr>
                <w:webHidden/>
                <w:rStyle w:val="IndexLink"/>
                <w:rtl w:val="true"/>
              </w:rPr>
              <w:t>ب</w:t>
            </w:r>
            <w:r>
              <w:rPr>
                <w:rStyle w:val="IndexLink"/>
                <w:rtl w:val="true"/>
              </w:rPr>
              <w:t xml:space="preserve">: </w:t>
            </w:r>
            <w:r>
              <w:rPr>
                <w:rStyle w:val="IndexLink"/>
                <w:rtl w:val="true"/>
              </w:rPr>
              <w:t>ظهور اهل اثر</w:t>
            </w:r>
            <w:r>
              <w:rPr>
                <w:rStyle w:val="IndexLink"/>
                <w:rtl w:val="true"/>
              </w:rPr>
              <w:tab/>
            </w:r>
            <w:r>
              <w:rPr>
                <w:rStyle w:val="IndexLink"/>
              </w:rPr>
              <w:t>99</w:t>
            </w:r>
          </w:hyperlink>
        </w:p>
        <w:p>
          <w:pPr>
            <w:pStyle w:val="Contents3"/>
            <w:tabs>
              <w:tab w:val="clear" w:pos="8459"/>
              <w:tab w:val="right" w:pos="9026" w:leader="dot"/>
            </w:tabs>
            <w:rPr/>
          </w:pPr>
          <w:hyperlink w:anchor="__RefHeading___Toc2937202_3650668749">
            <w:r>
              <w:rPr>
                <w:webHidden/>
                <w:rStyle w:val="IndexLink"/>
                <w:rtl w:val="true"/>
              </w:rPr>
              <w:t>ج</w:t>
            </w:r>
            <w:r>
              <w:rPr>
                <w:rStyle w:val="IndexLink"/>
                <w:rtl w:val="true"/>
              </w:rPr>
              <w:t xml:space="preserve">: </w:t>
            </w:r>
            <w:r>
              <w:rPr>
                <w:rStyle w:val="IndexLink"/>
                <w:rtl w:val="true"/>
              </w:rPr>
              <w:t>ظهور اهل حديث و احمد بن حنبل‌</w:t>
            </w:r>
            <w:r>
              <w:rPr>
                <w:rStyle w:val="IndexLink"/>
                <w:rtl w:val="true"/>
              </w:rPr>
              <w:tab/>
            </w:r>
            <w:r>
              <w:rPr>
                <w:rStyle w:val="IndexLink"/>
              </w:rPr>
              <w:t>100</w:t>
            </w:r>
          </w:hyperlink>
        </w:p>
        <w:p>
          <w:pPr>
            <w:pStyle w:val="Contents3"/>
            <w:tabs>
              <w:tab w:val="clear" w:pos="8459"/>
              <w:tab w:val="right" w:pos="9026" w:leader="dot"/>
            </w:tabs>
            <w:rPr/>
          </w:pPr>
          <w:hyperlink w:anchor="__RefHeading___Toc2937204_3650668749">
            <w:r>
              <w:rPr>
                <w:webHidden/>
                <w:rStyle w:val="IndexLink"/>
                <w:rtl w:val="true"/>
              </w:rPr>
              <w:t>د</w:t>
            </w:r>
            <w:r>
              <w:rPr>
                <w:rStyle w:val="IndexLink"/>
                <w:rtl w:val="true"/>
              </w:rPr>
              <w:t xml:space="preserve">: </w:t>
            </w:r>
            <w:r>
              <w:rPr>
                <w:rStyle w:val="IndexLink"/>
                <w:rtl w:val="true"/>
              </w:rPr>
              <w:t>تابعان احمد بن حنبل‌</w:t>
            </w:r>
            <w:r>
              <w:rPr>
                <w:rStyle w:val="IndexLink"/>
                <w:rtl w:val="true"/>
              </w:rPr>
              <w:tab/>
            </w:r>
            <w:r>
              <w:rPr>
                <w:rStyle w:val="IndexLink"/>
              </w:rPr>
              <w:t>107</w:t>
            </w:r>
          </w:hyperlink>
        </w:p>
        <w:p>
          <w:pPr>
            <w:pStyle w:val="Contents3"/>
            <w:tabs>
              <w:tab w:val="clear" w:pos="8459"/>
              <w:tab w:val="right" w:pos="9026" w:leader="dot"/>
            </w:tabs>
            <w:rPr/>
          </w:pPr>
          <w:hyperlink w:anchor="__RefHeading___Toc2937206_3650668749">
            <w:r>
              <w:rPr>
                <w:webHidden/>
                <w:rStyle w:val="IndexLink"/>
                <w:rtl w:val="true"/>
              </w:rPr>
              <w:t>ه</w:t>
            </w:r>
            <w:r>
              <w:rPr>
                <w:rStyle w:val="IndexLink"/>
                <w:rtl w:val="true"/>
              </w:rPr>
              <w:t xml:space="preserve">: </w:t>
            </w:r>
            <w:r>
              <w:rPr>
                <w:rStyle w:val="IndexLink"/>
                <w:rtl w:val="true"/>
              </w:rPr>
              <w:t>ظهور ابن تيميه‌</w:t>
            </w:r>
            <w:r>
              <w:rPr>
                <w:rStyle w:val="IndexLink"/>
                <w:rtl w:val="true"/>
              </w:rPr>
              <w:tab/>
            </w:r>
            <w:r>
              <w:rPr>
                <w:rStyle w:val="IndexLink"/>
              </w:rPr>
              <w:t>108</w:t>
            </w:r>
          </w:hyperlink>
        </w:p>
        <w:p>
          <w:pPr>
            <w:pStyle w:val="Contents3"/>
            <w:tabs>
              <w:tab w:val="clear" w:pos="8459"/>
              <w:tab w:val="right" w:pos="9026" w:leader="dot"/>
            </w:tabs>
            <w:rPr/>
          </w:pPr>
          <w:hyperlink w:anchor="__RefHeading___Toc2937208_3650668749">
            <w:r>
              <w:rPr>
                <w:webHidden/>
                <w:rStyle w:val="IndexLink"/>
                <w:rtl w:val="true"/>
              </w:rPr>
              <w:t>و</w:t>
            </w:r>
            <w:r>
              <w:rPr>
                <w:rStyle w:val="IndexLink"/>
                <w:rtl w:val="true"/>
              </w:rPr>
              <w:t xml:space="preserve">: </w:t>
            </w:r>
            <w:r>
              <w:rPr>
                <w:rStyle w:val="IndexLink"/>
                <w:rtl w:val="true"/>
              </w:rPr>
              <w:t>حيات سلفيه بعد از ابن تيميه‌</w:t>
            </w:r>
            <w:r>
              <w:rPr>
                <w:rStyle w:val="IndexLink"/>
                <w:rtl w:val="true"/>
              </w:rPr>
              <w:tab/>
            </w:r>
            <w:r>
              <w:rPr>
                <w:rStyle w:val="IndexLink"/>
              </w:rPr>
              <w:t>109</w:t>
            </w:r>
          </w:hyperlink>
        </w:p>
        <w:p>
          <w:pPr>
            <w:pStyle w:val="Contents3"/>
            <w:tabs>
              <w:tab w:val="clear" w:pos="8459"/>
              <w:tab w:val="right" w:pos="9026" w:leader="dot"/>
            </w:tabs>
            <w:rPr/>
          </w:pPr>
          <w:hyperlink w:anchor="__RefHeading___Toc2937210_3650668749">
            <w:r>
              <w:rPr>
                <w:webHidden/>
                <w:rStyle w:val="IndexLink"/>
                <w:rtl w:val="true"/>
              </w:rPr>
              <w:t>ز</w:t>
            </w:r>
            <w:r>
              <w:rPr>
                <w:rStyle w:val="IndexLink"/>
                <w:rtl w:val="true"/>
              </w:rPr>
              <w:t xml:space="preserve">: </w:t>
            </w:r>
            <w:r>
              <w:rPr>
                <w:rStyle w:val="IndexLink"/>
                <w:rtl w:val="true"/>
              </w:rPr>
              <w:t xml:space="preserve">ظهور محمد بن عبد الوهاب </w:t>
            </w:r>
            <w:r>
              <w:rPr>
                <w:rStyle w:val="IndexLink"/>
                <w:rtl w:val="true"/>
              </w:rPr>
              <w:t>(</w:t>
            </w:r>
            <w:r>
              <w:rPr>
                <w:rStyle w:val="IndexLink"/>
              </w:rPr>
              <w:t>1115</w:t>
            </w:r>
            <w:r>
              <w:rPr>
                <w:rStyle w:val="IndexLink"/>
                <w:rtl w:val="true"/>
              </w:rPr>
              <w:t xml:space="preserve">- </w:t>
            </w:r>
            <w:r>
              <w:rPr>
                <w:rStyle w:val="IndexLink"/>
              </w:rPr>
              <w:t>1206</w:t>
            </w:r>
            <w:r>
              <w:rPr>
                <w:rStyle w:val="IndexLink"/>
                <w:rtl w:val="true"/>
              </w:rPr>
              <w:t xml:space="preserve"> </w:t>
            </w:r>
            <w:r>
              <w:rPr>
                <w:rStyle w:val="IndexLink"/>
                <w:rtl w:val="true"/>
              </w:rPr>
              <w:t>ق</w:t>
            </w:r>
            <w:r>
              <w:rPr>
                <w:rStyle w:val="IndexLink"/>
                <w:rtl w:val="true"/>
              </w:rPr>
              <w:t>)</w:t>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70_178941"/>
      <w:bookmarkStart w:id="1" w:name="pg10570_178941"/>
      <w:bookmarkEnd w:id="1"/>
    </w:p>
    <w:p>
      <w:pPr>
        <w:pStyle w:val="Heading2"/>
        <w:numPr>
          <w:ilvl w:val="1"/>
          <w:numId w:val="1"/>
        </w:numPr>
        <w:rPr/>
      </w:pPr>
      <w:bookmarkStart w:id="2" w:name="pg10570_178941"/>
      <w:bookmarkStart w:id="3" w:name="__RefHeading___Toc293716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بداشتی، علی‌الله ،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 تاریخچه پیدایش و تحولات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علی‌الله بداشتی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و اتباع 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۱۲۸۸۹۶۱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7168_3650668749"/>
      <w:bookmarkStart w:id="6" w:name="_Toc2"/>
      <w:bookmarkEnd w:id="5"/>
      <w:r>
        <w:rPr>
          <w:rtl w:val="true"/>
        </w:rPr>
        <w:t>اشاره</w:t>
      </w:r>
      <w:bookmarkStart w:id="7" w:name="pg10570_178947"/>
      <w:bookmarkEnd w:id="6"/>
    </w:p>
    <w:p>
      <w:pPr>
        <w:pStyle w:val="Heading2"/>
        <w:numPr>
          <w:ilvl w:val="1"/>
          <w:numId w:val="1"/>
        </w:numPr>
        <w:rPr/>
      </w:pPr>
      <w:bookmarkStart w:id="8" w:name="__RefHeading___Toc2937170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پس از رحلت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مسلمانان در موضوع جانشينى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افتاد و اين مسأله يك سؤال اساسى را مطرح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خلافت به نصب الهى و معرفى نبوى ثابت مى‌شود يا به انتخاب مردمى؟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اين سؤال مستلزم يك موضع گيرى اعتقادى بود و طرفداران انتخاب يا انتصاب، هر كدام يك گروه فكرى از مسلمانان را شكل دادند، سپس در زمان خلافت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كلى منكر هر نوع حكومتى شدند و صف خويش را از امت اسلامى جدا كردند</w:t>
      </w:r>
    </w:p>
    <w:p>
      <w:pPr>
        <w:pStyle w:val="BookText"/>
        <w:rPr/>
      </w:pPr>
      <w:r>
        <w:rPr>
          <w:rFonts w:ascii="IRNazanin" w:hAnsi="IRNazanin" w:eastAsia="IRNazanin"/>
          <w:color w:val="111111"/>
          <w:sz w:val="28"/>
          <w:sz w:val="28"/>
          <w:szCs w:val="28"/>
          <w:rtl w:val="true"/>
          <w:lang w:bidi="fa-IR"/>
        </w:rPr>
        <w:t>و به خوارج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نيز مسائلى در باب ايمان و كفر، قضا و قدر، جبر و اختيار، صفات الهى به ويژه قديم يا حادث بودن كلام الهى و به تبع آن حدوث و قدم قرآن، عقل گرايى و نص‌گرايى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كه موجب تفرق مسلمانان به فرقه‌هاى گوناگون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فرقه‌ها اهل حديث بودند كه به اخذ مسائل اعتقادى و فروع عملى از ظواهر قرآن و روايت اصرار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اين جريان فكرى در قرون اخير تفكر سلف‌گرايى با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سلفيه به عنوان يك فرقه شكل گرفت كه در اين مختصر به معرفى آن مى‌پردازيم</w:t>
      </w:r>
      <w:r>
        <w:rPr>
          <w:rFonts w:eastAsia="IRNazanin" w:cs="IRNazanin"/>
          <w:color w:val="111111"/>
          <w:sz w:val="28"/>
          <w:szCs w:val="28"/>
          <w:rtl w:val="true"/>
          <w:lang w:bidi="fa-IR"/>
        </w:rPr>
        <w:t>.</w:t>
      </w:r>
      <w:bookmarkStart w:id="10" w:name="pg10570_178950"/>
    </w:p>
    <w:p>
      <w:pPr>
        <w:pStyle w:val="Heading2"/>
        <w:numPr>
          <w:ilvl w:val="1"/>
          <w:numId w:val="1"/>
        </w:numPr>
        <w:rPr/>
      </w:pPr>
      <w:bookmarkStart w:id="11" w:name="__RefHeading___Toc2937172_3650668749"/>
      <w:bookmarkStart w:id="12" w:name="_Toc4"/>
      <w:bookmarkEnd w:id="10"/>
      <w:bookmarkEnd w:id="11"/>
      <w:r>
        <w:rPr>
          <w:rtl w:val="true"/>
        </w:rPr>
        <w:t>معناى سلفيه‌</w:t>
      </w:r>
      <w:bookmarkEnd w:id="12"/>
    </w:p>
    <w:p>
      <w:pPr>
        <w:pStyle w:val="Heading3"/>
        <w:numPr>
          <w:ilvl w:val="2"/>
          <w:numId w:val="1"/>
        </w:numPr>
        <w:rPr/>
      </w:pPr>
      <w:bookmarkStart w:id="13" w:name="__RefHeading___Toc2937174_365066874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اصطلاح سلفيه در آثار محققان مسلمان كشورهاى عربى به دو معنا به كار رفته است</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معناى اول در مورد كسانى است كه مدعى‌اند در اعتقادات و احكام فقهى به سلف صالح اقتدا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ديگر كه كاربرد آن به دوران بيدارى مسلمانان در عصر حاضر بر مى‌گردد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مراد ما از</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سلفيه در اين بحث معناى اول است كه معرفى آنان محور بررسى و نقد اين مقاله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تعريف‌هاى متعددى از سوى موافقان سلفيه و مخالفان آنان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شده كه به برخى از آنها به ترتيب اشاره مى‌شود</w:t>
      </w:r>
      <w:r>
        <w:rPr>
          <w:rFonts w:eastAsia="Amiri" w:cs="Amiri" w:ascii="Amiri" w:hAnsi="Amiri"/>
          <w:color w:val="111111"/>
          <w:sz w:val="28"/>
          <w:szCs w:val="28"/>
          <w:rtl w:val="true"/>
          <w:lang w:bidi="ar-SA"/>
        </w:rPr>
        <w:t>.</w:t>
      </w:r>
      <w:bookmarkStart w:id="15" w:name="pg10570_178953"/>
    </w:p>
    <w:p>
      <w:pPr>
        <w:pStyle w:val="Heading3"/>
        <w:numPr>
          <w:ilvl w:val="2"/>
          <w:numId w:val="1"/>
        </w:numPr>
        <w:rPr/>
      </w:pPr>
      <w:bookmarkStart w:id="16" w:name="__RefHeading___Toc2937176_3650668749"/>
      <w:bookmarkStart w:id="17" w:name="_Toc6"/>
      <w:bookmarkEnd w:id="15"/>
      <w:bookmarkEnd w:id="16"/>
      <w:r>
        <w:rPr>
          <w:rtl w:val="true"/>
        </w:rPr>
        <w:t>تعريف سلفيه از ديدگاه موافقان‌</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سلفى‌ها در اين معنا متفق‌اند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پيروى از سلف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مصاديق سلف صالح،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شقره، از محققان</w:t>
      </w:r>
    </w:p>
    <w:p>
      <w:pPr>
        <w:pStyle w:val="BookText"/>
        <w:rPr/>
      </w:pPr>
      <w:r>
        <w:rPr>
          <w:rFonts w:ascii="IRNazanin" w:hAnsi="IRNazanin" w:eastAsia="IRNazanin"/>
          <w:color w:val="111111"/>
          <w:sz w:val="28"/>
          <w:sz w:val="28"/>
          <w:szCs w:val="28"/>
          <w:rtl w:val="true"/>
          <w:lang w:bidi="fa-IR"/>
        </w:rPr>
        <w:t>سلفى معاصر، مدعى اتفاق نظر در معناى سلفيه و مصاديق آن است و پيشينيان امت پيامبر به ويژه آنها را كه طى دو سه قرن اوليه اسلام مى‌زيسته‌اند و در احكام، آداب، اخلاق و عقيده پيرو منهج نبوى و خلفاى راشدين بودند، مصداق سلف صالح مى‌داند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اما محمد بن عبدالرحمان المغراوى، يكى ديگر از محققان اين مكتب،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دينى در تعريف اصطلاحى سلف صالح،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نمونه‌هايى از اين تعاريف اشاره مى‌كند و در پايان بهترين تعريف را سخن شيخ محمود خفاجى مى‌داند كه معتقد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محدوديت زمانى سه قرن اول اسلام به تنهايى براى معرفى سلف صالح كافى نيست، مگر اينكه به آن موافقت انديشه آنان با كتاب و سنت و روح كتاب و سنت را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در</w:t>
      </w:r>
    </w:p>
    <w:p>
      <w:pPr>
        <w:pStyle w:val="BookText"/>
        <w:rPr/>
      </w:pPr>
      <w:r>
        <w:rPr>
          <w:rFonts w:ascii="IRNazanin" w:hAnsi="IRNazanin" w:eastAsia="IRNazanin"/>
          <w:color w:val="111111"/>
          <w:sz w:val="28"/>
          <w:sz w:val="28"/>
          <w:szCs w:val="28"/>
          <w:rtl w:val="true"/>
          <w:lang w:bidi="fa-IR"/>
        </w:rPr>
        <w:t>انديشه‌اش مخالف كتاب و سنت باشد از سلف صالح نيست، اگر چه در بين صحابه و تابعين و تابعينِ تابعين زيسته باشد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حسين جابرى، از محققان معاصر جهان عرب، نيز در مفهوم سلفيه كتاب و سنت را مبنا قرار مى‌دهد و اين دو</w:t>
      </w:r>
    </w:p>
    <w:p>
      <w:pPr>
        <w:pStyle w:val="BookText"/>
        <w:rPr/>
      </w:pPr>
      <w:r>
        <w:rPr>
          <w:rFonts w:ascii="IRNazanin" w:hAnsi="IRNazanin" w:eastAsia="IRNazanin"/>
          <w:color w:val="111111"/>
          <w:sz w:val="28"/>
          <w:sz w:val="28"/>
          <w:szCs w:val="28"/>
          <w:rtl w:val="true"/>
          <w:lang w:bidi="fa-IR"/>
        </w:rPr>
        <w:t>را، هم در مسائل نظرى و هم در احكام فقهى شرط مى‌داند و آن را منهج مسلمانان پاسدار كتاب و سنت، در همه زمان‌ها مى‌شمارد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دو محقق اخير، بر خلاف محقق پيشين، به جاى تأكيد بر پيروى از سلف صالح، بر پيروى از كتاب و سنت تأكيد ورزيده‌اند و تلاش كرده‌اند ابتدا تعريف مفهومى ارائه نمايند و سپس مصاديق آن را معين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به ديدگاه دكتر مصطفى حلمى، از محققان سلفيه در مصر، مى‌رسيم كه چند اثر در معرفى سلفيه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عام را اسم عَلَم براى كسانى مى‌داند كه در اعتقادات و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سلف صالح و تابعين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قرن اول اسلام و پيشوايان امت بعد از آنها، مثل ائمه چهارگانه اهل سنت و سفيان ثورى، بخارى و مسلم و ساير اصحاب سنن و همچنين از علمايى كه ملزم به روش مسلمانان اوليه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فاصله زمانى با آنان دارند و با مشكلات و مسائل جديد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ابن تيميه و ابن قيم و محمد بن عبدالوهاب و معاصران</w:t>
      </w:r>
    </w:p>
    <w:p>
      <w:pPr>
        <w:pStyle w:val="BookText"/>
        <w:rPr/>
      </w:pPr>
      <w:r>
        <w:rPr>
          <w:rFonts w:ascii="IRNazanin" w:hAnsi="IRNazanin" w:eastAsia="IRNazanin"/>
          <w:color w:val="111111"/>
          <w:sz w:val="28"/>
          <w:sz w:val="28"/>
          <w:szCs w:val="28"/>
          <w:rtl w:val="true"/>
          <w:lang w:bidi="fa-IR"/>
        </w:rPr>
        <w:t>ديگر كه در عربستان، هند، مصر، شمال آفريقا و سوريه‌اند پيروى كنند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ايشان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خاص را اقتدا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به اين معنا كه سيره نبوى در جغرافياى فكرى و زندگى روزانه سلفيان حضور فعال دارد و آنان شريعت اسلامى را بر طبق سنت نبوى تنظيم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اجتهاد در مسائل مستحدثه را بر طبق اصول فقه و بر مبناى سنت جايز مى‌داند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تعاريف اصطلاحى گذشته و مقايسه بين ديدگاه‌هاى محققان سلفى مى‌توان گفت سلفى‌ها خود را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 رسول خدا، اصحاب آن حضرت، تابعين، تابعينِ تابعين، علماى اهل حديث به ويژه احمد بن حنبل و ابن تيميه، ابن قيم و محمد بن عبدالوهاب مى‌دانند</w:t>
      </w:r>
      <w:r>
        <w:rPr>
          <w:rFonts w:eastAsia="IRNazanin" w:cs="IRNazanin"/>
          <w:color w:val="111111"/>
          <w:sz w:val="28"/>
          <w:szCs w:val="28"/>
          <w:rtl w:val="true"/>
          <w:lang w:bidi="fa-IR"/>
        </w:rPr>
        <w:t>.</w:t>
      </w:r>
      <w:bookmarkStart w:id="18" w:name="pg10570_178961"/>
    </w:p>
    <w:p>
      <w:pPr>
        <w:pStyle w:val="Heading3"/>
        <w:numPr>
          <w:ilvl w:val="2"/>
          <w:numId w:val="1"/>
        </w:numPr>
        <w:rPr/>
      </w:pPr>
      <w:bookmarkStart w:id="19" w:name="__RefHeading___Toc2937178_3650668749"/>
      <w:bookmarkStart w:id="20" w:name="_Toc7"/>
      <w:bookmarkEnd w:id="18"/>
      <w:bookmarkEnd w:id="19"/>
      <w:r>
        <w:rPr>
          <w:rtl w:val="true"/>
        </w:rPr>
        <w:t>تعريف سلفيه از ديدگاه‌مخالفان‌</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از زواياى مختلف درباره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بررسى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آن جهت كه اين اصطلاح اشعار به وابستگى به گذشتگان دارد و بر كسانى دلالت مى‌كند كه جمود بر انديشه گذشتگان به ويژه سه</w:t>
      </w:r>
    </w:p>
    <w:p>
      <w:pPr>
        <w:pStyle w:val="BookText"/>
        <w:rPr/>
      </w:pPr>
      <w:r>
        <w:rPr>
          <w:rFonts w:ascii="IRNazanin" w:hAnsi="IRNazanin" w:eastAsia="IRNazanin"/>
          <w:color w:val="111111"/>
          <w:sz w:val="28"/>
          <w:sz w:val="28"/>
          <w:szCs w:val="28"/>
          <w:rtl w:val="true"/>
          <w:lang w:bidi="fa-IR"/>
        </w:rPr>
        <w:t xml:space="preserve">قرن اوليه اسلام دارند و هرگونه انديشه، گفتار و عمل تازه‌اى را محكوم به بدعت مى‌كنند؛ گاه از آن جهت كه سلف صالح به جهت معاصر بودن با پيامبر گرامى اسلام و يا نزديكى به عصر رسالت و شيوه‌اى كه در فهم متون دينى داشتند، مزيتى دارند كه فهم آن شيوه‌ها موجب فهم دقيق‌تر و بى پيرايه از اسلام يعنى قرآن و سنت نبوى خواهد بود؛ گاه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نحله مذهبى در نظر گرفته مى‌شود كه به آراى عقيدتى و فقهى خاصى پايبند است و از آن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اختصار بعضى از ديدگاه‌هاى مخالفان را بررسى مى‌كنيم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سعيد رمضان البوطى </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جهات گوناگون مورد كاوش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است اين واژه هنگامى كه معناى اصطلاحى آن مورد نظر باشد، برگرفته از واژه سلف است و مراد سه قرن نخست حيات امت اسلامى است كه شايسته‌ترين عصر اسلامى و سزاوارترين آنها به اقتدا و</w:t>
      </w:r>
    </w:p>
    <w:p>
      <w:pPr>
        <w:pStyle w:val="BookText"/>
        <w:rPr/>
      </w:pPr>
      <w:r>
        <w:rPr>
          <w:rFonts w:ascii="IRNazanin" w:hAnsi="IRNazanin" w:eastAsia="IRNazanin"/>
          <w:color w:val="111111"/>
          <w:sz w:val="28"/>
          <w:sz w:val="28"/>
          <w:szCs w:val="28"/>
          <w:rtl w:val="true"/>
          <w:lang w:bidi="fa-IR"/>
        </w:rPr>
        <w:t>پيروى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اصطلاح نيز فرموده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بنابر روايت ابن مسعود به نقل از بخارى و مسلم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مردم، مردم قرن من هستند، سپس كسانى كه در پى‌ايشان مى‌آيند و سپس ديگرانى كه در پى آنان مى‌آيند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سبب اين برترى آن است كه مسلمانان اين سه قرن به سرچشمه‌هاى نبوت و تعاليم رسالت نزديك‌ترند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مجموعه‌اى از مسلمانان را تشكيل مى‌دهند كه گروهى از آنان، يعنى صحابه، عقايد اسلامى و اصول و احكام دين را مستقيم و بدون واسطه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دومين حلقه مظهرى از تابعين، يعنى كسانى هستند كه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كرده‌اند و سومين حلقه كه نشانگر تابعينِ تابعين است، آخرين حلقه از</w:t>
      </w:r>
    </w:p>
    <w:p>
      <w:pPr>
        <w:pStyle w:val="BookText"/>
        <w:rPr/>
      </w:pPr>
      <w:r>
        <w:rPr>
          <w:rFonts w:ascii="Amiri" w:hAnsi="Amiri" w:eastAsia="Amiri" w:cs="Amiri"/>
          <w:color w:val="111111"/>
          <w:sz w:val="28"/>
          <w:sz w:val="28"/>
          <w:szCs w:val="28"/>
          <w:rtl w:val="true"/>
          <w:lang w:bidi="ar-SA"/>
        </w:rPr>
        <w:t>دوران انديشه و خلوص فطرت اسلامى از شائبه‌هاى ناخوانده وارد شده در دين است</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او سلف و سلفى بودن به اين معنا را مى‌پذيرد، چنان كه مى‌نويسد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ما را بدان فرا مى‌خواند كه انديشه و نيز شيوه رفتار خويش را به رشته وفادارى به سلف پيوند دهيم، به آنان اقتدا كنيم و در فهم متون دينى بر اساس قواعدى كه آنان آورده‌اند عمل كنيم، به همه اصول اعتقادى و احكام عملى پايبندى نشان</w:t>
      </w:r>
    </w:p>
    <w:p>
      <w:pPr>
        <w:pStyle w:val="BookText"/>
        <w:rPr/>
      </w:pPr>
      <w:r>
        <w:rPr>
          <w:rFonts w:ascii="Amiri" w:hAnsi="Amiri" w:eastAsia="Amiri" w:cs="Amiri"/>
          <w:color w:val="111111"/>
          <w:sz w:val="28"/>
          <w:sz w:val="28"/>
          <w:szCs w:val="28"/>
          <w:rtl w:val="true"/>
          <w:lang w:bidi="ar-SA"/>
        </w:rPr>
        <w:t>دهيم كه همه يا اكثريت آنان بر آن اتفاق نظر داشته‌اند</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ايشان در ادامه، اين توضيح را اضافه مى‌كند كه مراد از پيروى از سلف، مقيد شدن به ظاهر جزء به جزء الفاظ و كلماتى كه آنان ادا كرده‌اند يا مقيد شدن به موضع‌گيرى خاص و موردى كه آنان در پيش گرفته‌اند نخواهد بود، بلكه مراد رجوع به قواعدى است كه آنان در تفسير و تأويل متون دينى معيار وميزان قرار داده بودند و نيز به اصولى كه آنان براى اجتهاد و تأمل و استدلال در اصول و احكام داشتند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ايشان تمسك به كلمه سلف و ساختن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تاريخ انديشه و شريعت اسلامى پديده‌اى نوظهور</w:t>
      </w:r>
    </w:p>
    <w:p>
      <w:pPr>
        <w:pStyle w:val="BookText"/>
        <w:rPr/>
      </w:pPr>
      <w:r>
        <w:rPr>
          <w:rFonts w:ascii="IRNazanin" w:hAnsi="IRNazanin" w:eastAsia="IRNazanin"/>
          <w:color w:val="111111"/>
          <w:sz w:val="28"/>
          <w:sz w:val="28"/>
          <w:szCs w:val="28"/>
          <w:rtl w:val="true"/>
          <w:lang w:bidi="fa-IR"/>
        </w:rPr>
        <w:t xml:space="preserve">و عنوان مشخص و جداكننده گروه معينى از مسلمانان با عقايد، افكار و انديشه‌هاى خاص است نمى‌پذيرد و آن را بدعتى نو ظهور در دين مى‌داند كه نه سلف صالح اين امت با آن آشنايى داشته‌اند و نه خلف پايبند به روش آنان </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البوطى‌در فصل‌ديگراين‌كتاب، علت بدعت</w:t>
      </w:r>
    </w:p>
    <w:p>
      <w:pPr>
        <w:pStyle w:val="BookText"/>
        <w:rPr/>
      </w:pPr>
      <w:r>
        <w:rPr>
          <w:rFonts w:ascii="IRNazanin" w:hAnsi="IRNazanin" w:eastAsia="IRNazanin"/>
          <w:color w:val="111111"/>
          <w:sz w:val="28"/>
          <w:sz w:val="28"/>
          <w:szCs w:val="28"/>
          <w:rtl w:val="true"/>
          <w:lang w:bidi="fa-IR"/>
        </w:rPr>
        <w:t xml:space="preserve">شمردن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را چنين توضيح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مسلمانى كه خود را وابسته به مذهب سلفيه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سلفيه همان چيزى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مى‌كند، براى جماعت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جز آنچه سلف بر آن اجتماع كرده‌اند گذاشته و بدين ترتيب بدعتى به ميان آورده‌است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برابر نهاده اهل سنت و جماعت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ترديدى نخواهد بود كه استفاده از اين واژه و جايگزين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باطل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 اهل سنت و جماعت كه سلف صالح بر آن اجتماع داشته‌اند مغايرت دارد و بدعت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البوطى در ادامه سلفى را چنين معرفى مى‌كند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از ديدگاه صاحبان اين بدعت، سلفى كسى است كه به فهرستى از آراى اجتهادى معين، خواه در زمينه عقيدتى و خواه در زمينه فقهى، پايبند باشد و از آن دفاع كند وهر كه را از دايره اين</w:t>
      </w:r>
    </w:p>
    <w:p>
      <w:pPr>
        <w:pStyle w:val="BookText"/>
        <w:rPr/>
      </w:pPr>
      <w:r>
        <w:rPr>
          <w:rFonts w:ascii="IRNazanin" w:hAnsi="IRNazanin" w:eastAsia="IRNazanin"/>
          <w:color w:val="111111"/>
          <w:sz w:val="28"/>
          <w:sz w:val="28"/>
          <w:szCs w:val="28"/>
          <w:rtl w:val="true"/>
          <w:lang w:bidi="fa-IR"/>
        </w:rPr>
        <w:t>آرا بيرون باشد نابخرد و بدعت گذار بخواند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پايان، نظر خويش را اين گونه اظهار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تازه اختراع شده در دين است و بنيان آن گرد آمده‌اى از پاره‌اى آراى اجتهادى در زمينه‌هاى عقيدتى و احكام عملى است كه صاحبان</w:t>
      </w:r>
    </w:p>
    <w:p>
      <w:pPr>
        <w:pStyle w:val="BookText"/>
        <w:rPr/>
      </w:pPr>
      <w:r>
        <w:rPr>
          <w:rFonts w:ascii="IRNazanin" w:hAnsi="IRNazanin" w:eastAsia="IRNazanin"/>
          <w:color w:val="111111"/>
          <w:sz w:val="28"/>
          <w:sz w:val="28"/>
          <w:szCs w:val="28"/>
          <w:rtl w:val="true"/>
          <w:lang w:bidi="fa-IR"/>
        </w:rPr>
        <w:t xml:space="preserve">اين مذهب آنها را بر اساس خواست و به اقتضاى طبع و تمايلات خويش از مجموعه بسيار گسترده و گوناگون آرايى اجتهادى كه از سوى بسيارى از عالمان سلف و برگزيدگان اهل سنت و جماعت ابراز داشته شده است، گرد آورده‌اند و آن گاه اعلام كرده‌اند كه اين تنها چيزى است كه مى‌تواند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نجات يافته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پرتو كتاب و سنت پيش مى‌روند در خود جاى دهد و هر كه از اين دايره بيرون رود و آراى اجتهادى ديگرى برگزيند بدعت گذار و گمراه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ناقدان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سامر اسلامبولى از محققان سورى است كه معتقد است بسيارى از مردم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مى‌پندارند كه راه و رسم انديشيدن در مسائل فكرى، فرهنگى و زندگى را بايد از ميراث فرهنگى گذشتگان و تطبيقش بر زمان حاضر، بدون توجه به عامل تغيير زمان و مكان، اخذ كرد و عيناً بر زمان حال و آينده منطبق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جوامع گذشته سلطه خويش را بر آيندگان هموار مى‌كنند،</w:t>
      </w:r>
    </w:p>
    <w:p>
      <w:pPr>
        <w:pStyle w:val="BookText"/>
        <w:rPr/>
      </w:pPr>
      <w:r>
        <w:rPr>
          <w:rFonts w:ascii="IRNazanin" w:hAnsi="IRNazanin" w:eastAsia="IRNazanin"/>
          <w:color w:val="111111"/>
          <w:sz w:val="28"/>
          <w:sz w:val="28"/>
          <w:szCs w:val="28"/>
          <w:rtl w:val="true"/>
          <w:lang w:bidi="fa-IR"/>
        </w:rPr>
        <w:t>گويى گذشتگان زندگانى در بدن آيندگان وپدران زندگانى در اجساد فرزندان هستند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ايشان در ادامه برخى مسلمانان را نيز مانند ساير ملتها اسير اين توهمات و مبتلا به مرض سلف گرايى در فهم امور دينى و حيات اجتماعى مى‌داند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فهم كتاب وسنت را مقيد به فهم صحابه كرده و مبتلا به جمود عقلى شده‌اند، به گونه‌اى كه اگر با يكى از آنها مذاكره كنى، دائماً به زبان ابن تيميه سخن مى‌گويد و پيوسته براى تو از اقوال گذشتگان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مذهب‌شان را مبتنى بر عقل نمى‌كنند، بلكه تكيه گاهشان را نقل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بحث عقلى و مناظره فكرى مى‌گريزند و تنها بر مسائلى تكيه مى‌كنند كه نصّى قطعى يا ظنى بر آن اقامه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آنان پسنديده‌است، قيل و قال گذشتگان است و آنها زبان گذشتگان‌اند و در رابطه عقل و نقل مى‌گويند كه نقل اساس هر فكر و انديشه‌اى است و عقل،</w:t>
      </w:r>
    </w:p>
    <w:p>
      <w:pPr>
        <w:pStyle w:val="BookText"/>
        <w:rPr/>
      </w:pPr>
      <w:r>
        <w:rPr>
          <w:rFonts w:ascii="IRNazanin" w:hAnsi="IRNazanin" w:eastAsia="IRNazanin"/>
          <w:color w:val="111111"/>
          <w:sz w:val="28"/>
          <w:sz w:val="28"/>
          <w:szCs w:val="28"/>
          <w:rtl w:val="true"/>
          <w:lang w:bidi="fa-IR"/>
        </w:rPr>
        <w:t>چيزى جز تابع و خادم نقل نيست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انديشمند مصرى، شيخ محمد ابوزهره، مى‌نويسد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سلفيه كسانى هستند كه در قرن چهارم هجرى ظهور كردند و آنان برخى از پيروان فرقه حنبلى بودند كه مى‌پنداشتند تمام آرايشان از احمد ابن حنبل اتخاذ شده است و او را احيا كننده عقيده سلف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كسانى كه افكارشان منطبق بر آراى آنها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مبارزه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سلفيه در قرن هفتم هجرى توسط ابن تيميه تجديد حيات كرده و در دعوت به آن پافشارى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تيميه مسائل ديگرى را متناسب با عصر خود بدان افزود و مجدداً اين آرا در جزيره العرب در قرن دوازدهم به دست محمد بن عبدالوهاب زنده شد كه وهابى‌ها پيوسته به آن دعوت مى‌كنند</w:t>
      </w:r>
      <w:r>
        <w:rPr>
          <w:rFonts w:eastAsia="IRNazanin" w:cs="IRNazanin"/>
          <w:color w:val="111111"/>
          <w:sz w:val="28"/>
          <w:szCs w:val="28"/>
          <w:rtl w:val="true"/>
          <w:lang w:bidi="fa-IR"/>
        </w:rPr>
        <w:t xml:space="preserve">. </w:t>
      </w:r>
      <w:r>
        <w:rPr>
          <w:rStyle w:val="FootnoteAnchor"/>
          <w:rtl w:val="true"/>
        </w:rPr>
        <w:footnoteReference w:id="18"/>
      </w:r>
      <w:bookmarkStart w:id="21" w:name="pg10570_178975"/>
    </w:p>
    <w:p>
      <w:pPr>
        <w:pStyle w:val="BookText"/>
        <w:rPr/>
      </w:pPr>
      <w:bookmarkEnd w:id="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3"/>
        <w:numPr>
          <w:ilvl w:val="2"/>
          <w:numId w:val="1"/>
        </w:numPr>
        <w:rPr/>
      </w:pPr>
      <w:bookmarkStart w:id="22" w:name="__RefHeading___Toc2937180_3650668749"/>
      <w:bookmarkStart w:id="23" w:name="_Toc8"/>
      <w:bookmarkEnd w:id="22"/>
      <w:r>
        <w:rPr>
          <w:rtl w:val="true"/>
        </w:rPr>
        <w:t>بررسى و نقد تعاريف‌</w:t>
      </w:r>
      <w:bookmarkEnd w:id="23"/>
    </w:p>
    <w:p>
      <w:pPr>
        <w:pStyle w:val="BookText"/>
        <w:rPr/>
      </w:pPr>
      <w:r>
        <w:rPr>
          <w:rFonts w:ascii="IRNazanin" w:hAnsi="IRNazanin" w:eastAsia="IRNazanin"/>
          <w:color w:val="111111"/>
          <w:sz w:val="28"/>
          <w:sz w:val="28"/>
          <w:szCs w:val="28"/>
          <w:rtl w:val="true"/>
          <w:lang w:bidi="fa-IR"/>
        </w:rPr>
        <w:t>محور تعريف‌هاى موافقان از سلفيه، پيروى از سلف صالح است، گرچه مصطفى حلمى در تعريف خويش دامنه اين پيروى را تا محمد بن عبدالوهاب و ساير رهبران معاصر سلفى در دنياى اسلامى بسط داده است، اما غالب انديشوران معيار سلفى بودن را به پيروى از سلف صالح يعنى صحابه و تابعين و تابعينِ تابعين محدود كرده‌اند و افرادى چون ابن تيميه و محمد بن عبدالوهاب را از احياگران سلفى مى‌دانند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بررسى و نقد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ديدگاه‌ها درباره تعريف سلفيه لازم است دو مسأله را تحليل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پيروى‌سلف‌صالح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به‌چه معناست و ديگر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كه پيروى از آنان مايه نجات و تخلف از آنان موجب گمراهى و هلاكت است</w:t>
      </w:r>
      <w:r>
        <w:rPr>
          <w:rFonts w:eastAsia="IRNazanin" w:cs="IRNazanin"/>
          <w:color w:val="111111"/>
          <w:sz w:val="28"/>
          <w:szCs w:val="28"/>
          <w:rtl w:val="true"/>
          <w:lang w:bidi="fa-IR"/>
        </w:rPr>
        <w:t>.</w:t>
      </w:r>
      <w:bookmarkStart w:id="24" w:name="pg10570_178979"/>
    </w:p>
    <w:p>
      <w:pPr>
        <w:pStyle w:val="Heading2"/>
        <w:numPr>
          <w:ilvl w:val="1"/>
          <w:numId w:val="1"/>
        </w:numPr>
        <w:rPr/>
      </w:pPr>
      <w:bookmarkStart w:id="25" w:name="__RefHeading___Toc2937182_3650668749"/>
      <w:bookmarkStart w:id="26" w:name="_Toc9"/>
      <w:bookmarkEnd w:id="24"/>
      <w:bookmarkEnd w:id="25"/>
      <w:r>
        <w:rPr>
          <w:rtl w:val="true"/>
        </w:rPr>
        <w:t>معناى پيروى از سلف‌</w:t>
      </w:r>
      <w:bookmarkEnd w:id="26"/>
    </w:p>
    <w:p>
      <w:pPr>
        <w:pStyle w:val="BookText"/>
        <w:rPr/>
      </w:pPr>
      <w:r>
        <w:rPr>
          <w:rFonts w:ascii="IRNazanin" w:hAnsi="IRNazanin" w:eastAsia="IRNazanin"/>
          <w:color w:val="111111"/>
          <w:sz w:val="28"/>
          <w:sz w:val="28"/>
          <w:szCs w:val="28"/>
          <w:rtl w:val="true"/>
          <w:lang w:bidi="fa-IR"/>
        </w:rPr>
        <w:t>پيروى از سلف صالح به چه معناست؟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مقصود اين است كه در روش انديشه و شيوه زندگى فردى و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 مقلد آنان باشيم و در روش انديشه يا نحوه زندگى، در اصول عقيدتى و يا در احكام</w:t>
      </w:r>
    </w:p>
    <w:p>
      <w:pPr>
        <w:pStyle w:val="BookText"/>
        <w:rPr/>
      </w:pPr>
      <w:r>
        <w:rPr>
          <w:rFonts w:ascii="IRNazanin" w:hAnsi="IRNazanin" w:eastAsia="IRNazanin"/>
          <w:color w:val="111111"/>
          <w:sz w:val="28"/>
          <w:sz w:val="28"/>
          <w:szCs w:val="28"/>
          <w:rtl w:val="true"/>
          <w:lang w:bidi="fa-IR"/>
        </w:rPr>
        <w:t>فردى و اجتماعى، نگاهمان فقط به سلف باشد و از عقل خويش براى تجديد حيات اجتماعى و فهم جديد از قرآن و سنت بهره‌اى نبريم؟</w:t>
      </w:r>
    </w:p>
    <w:p>
      <w:pPr>
        <w:pStyle w:val="BookText"/>
        <w:rPr/>
      </w:pPr>
      <w:r>
        <w:rPr>
          <w:rFonts w:ascii="IRNazanin" w:hAnsi="IRNazanin" w:eastAsia="IRNazanin"/>
          <w:color w:val="111111"/>
          <w:sz w:val="28"/>
          <w:sz w:val="28"/>
          <w:szCs w:val="28"/>
          <w:rtl w:val="true"/>
          <w:lang w:bidi="fa-IR"/>
        </w:rPr>
        <w:t>بديهى است كه اين طرز تفكر نه مورد تأييد خود قرآن و سنت است و نه هيچ عقل سليمى آن را تأييد مى‌كند،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كريم كه سلفيه خود را متوليان انحصارى قرآن مى‌دانند، بسيارى از اقوام گذشته را به جهت پيروى كوركورانه از پدران و گذشتگان سرزنش مى‌كند و اين را دليل بر بى‌خردى مى‌داند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خداوندى كه اين همه بر تعقل و انديشه‌ورزى تأكيد مى‌كند و مشركان عصر رسالت را به جهت تعقل نكردن و تقليد از آبا و اجداد سرزنش</w:t>
      </w:r>
    </w:p>
    <w:p>
      <w:pPr>
        <w:pStyle w:val="BookText"/>
        <w:rPr/>
      </w:pPr>
      <w:r>
        <w:rPr>
          <w:rFonts w:ascii="IRNazanin" w:hAnsi="IRNazanin" w:eastAsia="IRNazanin"/>
          <w:color w:val="111111"/>
          <w:sz w:val="28"/>
          <w:sz w:val="28"/>
          <w:szCs w:val="28"/>
          <w:rtl w:val="true"/>
          <w:lang w:bidi="fa-IR"/>
        </w:rPr>
        <w:t>مى‌كند، آيا امت آخرالزمان را استثنا مى‌نمايد و آنان را به پيروى بى‌دليل از سلف امر مى‌كند؟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عقل سليم مى‌پذيرد كه اگر سلف صالح براى انجام فريضه حج، از استر و اسب و اشتر استفاده مى‌كردند، امروز هم به احترام سلف صالح و به تبعيت از سلف صالح، از اسب و اشتر استفاده كنند و بر هواپيما ننشينند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سلف صالح در هنگام سخنرانى مجبور بودند با صداى بسيار بلند سخن بگويند يا افرادى در وسط جمعيت سخنانشان را به ديگران منتقل كنند، امروز هم عده‌اى مى توانند بگويند چون سلف صالح از بلندگو استفاده نكرده‌اند، اگر ما اين كار را بكنيم بدعت در دين است و بايد حنجره را پاره كرد تا مقصود خويش را به همه مخاطبان رساند؟ سلف نه از راديو استفاده مى‌كردند و نه از تلفن و تلويزيون و ماهواره و نه از روزنامه و مجله و اينترنت، اما امروزه قاطبه علماى اسلام از مذاهب گوناگون، حتى عالمان سلفى مذهب، استفاده از اين وسايل را براى تبليغ فرهنگ اسلامى نه تنها جايز بلكه ضرورى مى‌دانند و خلاف آن را تحجر و واپسگرايى مى‌دانند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همه اينها، اگر</w:t>
      </w:r>
    </w:p>
    <w:p>
      <w:pPr>
        <w:pStyle w:val="BookText"/>
        <w:rPr/>
      </w:pPr>
      <w:r>
        <w:rPr>
          <w:rFonts w:ascii="IRNazanin" w:hAnsi="IRNazanin" w:eastAsia="IRNazanin"/>
          <w:color w:val="111111"/>
          <w:sz w:val="28"/>
          <w:sz w:val="28"/>
          <w:szCs w:val="28"/>
          <w:rtl w:val="true"/>
          <w:lang w:bidi="fa-IR"/>
        </w:rPr>
        <w:t>زندگى سلف را بررسى كنيم، مى‌بينيم در همان سه قرن اوليه اسلام تغييرات بسيارى در شيوه‌هاى زندگى فردى و اجتماعى به ويژه در حكومت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البوطى مى‌نويسد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كدام از پژوهشگران و يا آشنايان با تاريخ صحابه و تابعين در اين ترديد ندارند كه عواملى تقريباً به صورت همزمان بروز كردند </w:t>
      </w:r>
      <w:r>
        <w:rPr>
          <w:rStyle w:val="FootnoteAnchor"/>
          <w:rtl w:val="true"/>
        </w:rPr>
        <w:footnoteReference w:id="20"/>
      </w:r>
      <w:r>
        <w:rPr>
          <w:rFonts w:ascii="IRNazanin" w:hAnsi="IRNazanin" w:eastAsia="IRNazanin"/>
          <w:color w:val="111111"/>
          <w:sz w:val="28"/>
          <w:sz w:val="28"/>
          <w:szCs w:val="28"/>
          <w:rtl w:val="true"/>
          <w:lang w:bidi="fa-IR"/>
        </w:rPr>
        <w:t>و با ظهور</w:t>
      </w:r>
    </w:p>
    <w:p>
      <w:pPr>
        <w:pStyle w:val="BookText"/>
        <w:rPr/>
      </w:pPr>
      <w:r>
        <w:rPr>
          <w:rFonts w:ascii="IRNazanin" w:hAnsi="IRNazanin" w:eastAsia="IRNazanin"/>
          <w:color w:val="111111"/>
          <w:sz w:val="28"/>
          <w:sz w:val="28"/>
          <w:szCs w:val="28"/>
          <w:rtl w:val="true"/>
          <w:lang w:bidi="fa-IR"/>
        </w:rPr>
        <w:t>آنها براى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امكان بر جاى نماند كه در برخورد با انديشه و زندگى بر همان شيوه نخست خود ثابت و پايدار بمانند تا اين ثبات و پايدارى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معيار و الگويى به خود بگيرد و همه مسلمانانى كه پس از آن مى‌آيند موظف به پيروى از آن باشند؛ بلكه ناگزير بودند به اقتضاى عواملى كه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تحولات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ديگرى را در زمينه برخورد با زندگى و مسائل آن جايگزين روش قبلى خود سازند و در زمينه فرهنگ و علوم و شيوه‌هاى شناخت و انديشه به جاى سبك‌هاى فطرى كه قبلًا با آن آشنايى داشتند، سبك‌هاى پيچيده تازه‌اى را در پيش گيرند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ادامه، نمونه‌هايى را از مسائل عمرانى، عادات اجتماعى و فعاليت‌هاى اقتصادى كه صحابه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آشنايى نداشتند و در زمان تابعين و پيروان تابعين به وجود آمده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مى‌كند</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پس بديهى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و تبعيت از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به اين معنا باشد كه ما باب انديشه را در مسائل زندگى ببنديم و شيوه نوينى را براى حل مشكلات زندگى استفاده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آيا سلف صالح در برخورد با مسائل، همه به يك گونه برخورد مى‌كردند و خود</w:t>
      </w:r>
    </w:p>
    <w:p>
      <w:pPr>
        <w:pStyle w:val="BookText"/>
        <w:rPr/>
      </w:pPr>
      <w:r>
        <w:rPr>
          <w:rFonts w:ascii="IRNazanin" w:hAnsi="IRNazanin" w:eastAsia="IRNazanin"/>
          <w:color w:val="111111"/>
          <w:sz w:val="28"/>
          <w:sz w:val="28"/>
          <w:szCs w:val="28"/>
          <w:rtl w:val="true"/>
          <w:lang w:bidi="fa-IR"/>
        </w:rPr>
        <w:t>هيچ اختلافى نداشتند؟</w:t>
      </w:r>
    </w:p>
    <w:p>
      <w:pPr>
        <w:pStyle w:val="BookText"/>
        <w:rPr/>
      </w:pPr>
      <w:r>
        <w:rPr>
          <w:rFonts w:ascii="IRNazanin" w:hAnsi="IRNazanin" w:eastAsia="IRNazanin"/>
          <w:color w:val="111111"/>
          <w:sz w:val="28"/>
          <w:sz w:val="28"/>
          <w:szCs w:val="28"/>
          <w:rtl w:val="true"/>
          <w:lang w:bidi="fa-IR"/>
        </w:rPr>
        <w:t>بررسى تاريخ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سده نخست، گرچه گروهى از تابعان بر سنت‌هاى پيشين اصرار مى‌ورزيدند، اما گروهى ديگر بر اجتهاد در مسائل مستحدثه تأكيد داشتند كه اين گروه از سوى سنت‌گرايان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أرَأيتَ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شدند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اين گروه گرچه در آغاز چندان مورد توجه نبودند، اما گسترش حوزه جغرافيايى اسلام و پيدايى مسائل مستحدثه و دورى از مركز خلافت اسلامى و عدم دسترسى به نصوصى كه مرجع و منبع باشد، زمينه را براى اجتهاد شخصى در مسائل به ويژه احكام فقهى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بر اساس گزارش محققان، در نيمه نخست سده دوم هجرى، فقه در طى تحولى سريع، مرحله فقه نظام گرا را پشت سر گذارده و شتابان روى به سوى مرحله‌اى ديگر يعنى تدوين نهاده بود كه شكل‌گيرى گروهى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آغاز همين مرحله و تكوين فقه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ميانه سده دوم قمرى، نزاع محافل دينى در باب</w:t>
      </w:r>
    </w:p>
    <w:p>
      <w:pPr>
        <w:pStyle w:val="BookText"/>
        <w:rPr/>
      </w:pPr>
      <w:r>
        <w:rPr>
          <w:rFonts w:ascii="IRNazanin" w:hAnsi="IRNazanin" w:eastAsia="IRNazanin"/>
          <w:color w:val="111111"/>
          <w:sz w:val="28"/>
          <w:sz w:val="28"/>
          <w:szCs w:val="28"/>
          <w:rtl w:val="true"/>
          <w:lang w:bidi="fa-IR"/>
        </w:rPr>
        <w:t>استعمال رأى و حدود كاربرد آن در فقه، دو گروه جديد را در مقابل يكديگر نهاده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رأى فقهى را ارجى ويژه مى‌نهادند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به رويارويى با آنان برخاستند و بر پيروى از سنت پيشينيان اصرار 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مى‌شدند و در منابع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نيمه نخست سده سوم قمرى، اصحاب حديث با بار معنايى پيروان حديث نبوى مفهومى افتخار آميز يافت و سنت گرايانى برجسته چون احمد بن حنبل و اسحاق بن راهويه، خود و همفكرانش را اصحاب حديث خواندند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اصحاب اثر، افرادى چون حسن بصرى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حمادبن ابى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شبرمه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ابى 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درايت و اجتهاد در مسائل گرايش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ابوحنيفه نماد اصحاب رأى در تاريخ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مواجهه با آراى صحابه، اتفاق آنان را حجت مى‌شمرد و در صورت اختلاف، خود را در</w:t>
      </w:r>
    </w:p>
    <w:p>
      <w:pPr>
        <w:pStyle w:val="BookText"/>
        <w:rPr/>
      </w:pPr>
      <w:r>
        <w:rPr>
          <w:rFonts w:ascii="Amiri" w:hAnsi="Amiri" w:eastAsia="Amiri" w:cs="Amiri"/>
          <w:color w:val="111111"/>
          <w:sz w:val="28"/>
          <w:sz w:val="28"/>
          <w:szCs w:val="28"/>
          <w:rtl w:val="true"/>
          <w:lang w:bidi="ar-SA"/>
        </w:rPr>
        <w:t>انتخاب به وفق رأى مخير مى‌ديد</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در ميان تابعين و تابعينِ تابعين وحدت نظرى وجود نداشت و هر گروهى خود را مصيب و بر حق مى‌پنداشت و ديگرى را مردود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بين صحابه در همه مسائل وحدت نظر وجود نداشت و به خصوص در مسائل سياسى، اعتقادى، امامت و قيام به سيف گرايش‌هاى مختلفى ديده مى‌شد، </w:t>
      </w:r>
      <w:r>
        <w:rPr>
          <w:rStyle w:val="FootnoteAnchor"/>
          <w:rtl w:val="true"/>
        </w:rPr>
        <w:footnoteReference w:id="27"/>
      </w:r>
      <w:r>
        <w:rPr>
          <w:rFonts w:ascii="IRNazanin" w:hAnsi="IRNazanin" w:eastAsia="IRNazanin"/>
          <w:color w:val="111111"/>
          <w:sz w:val="28"/>
          <w:sz w:val="28"/>
          <w:szCs w:val="28"/>
          <w:rtl w:val="true"/>
          <w:lang w:bidi="fa-IR"/>
        </w:rPr>
        <w:t>به گونه‌اى كه هنوز بدن مطهر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نشده بود كه در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صحابه سعدبن عباده، گروهى ابابكر و گروهى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جانشينى و خلافت پيامبر بر جامعه اسلامى، اولى و احق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دوران خلافت خلفاى ثلاث، افرادى از صحابه چون طلحه و زبير ابتدا با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 آن‌گاه پيمان شكستند و جنگ جمل را به راه انداختند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نيز چون معاويه كه سلفيه او را جزو صحابه مى‌دانند، </w:t>
      </w:r>
      <w:r>
        <w:rPr>
          <w:rStyle w:val="FootnoteAnchor"/>
          <w:rtl w:val="true"/>
        </w:rPr>
        <w:footnoteReference w:id="28"/>
      </w:r>
      <w:r>
        <w:rPr>
          <w:rFonts w:ascii="IRNazanin" w:hAnsi="IRNazanin" w:eastAsia="IRNazanin"/>
          <w:color w:val="111111"/>
          <w:sz w:val="28"/>
          <w:sz w:val="28"/>
          <w:szCs w:val="28"/>
          <w:rtl w:val="true"/>
          <w:lang w:bidi="fa-IR"/>
        </w:rPr>
        <w:t>با امام بر حق،</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دشمنى برخاستند و تنور جنگ صفين برافروختند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چون خوارج براى تحميل نظريه‌هاى خويش بر امت و حتى بر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مطابق هوس‌هاى خويش تأويل كردند و سرانجام آن امام همام را به ميدان پيكار فرا خواندند، در حالى كه بسيارى از آنان از صحابه يا تابعين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كدامين گروه بايد تبعيت كرد؟ از اميرمؤمنان و اصحابش يا از معاويه و اصحاب جمل؟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 تصور كرد هر دو بر صراط مستقيم بوده باشند؟ اگر چنين است و صراط مستقيم تكثيرپذير است، پس چرا امروزه تنها خودشان را بر صراط حق و بقيه را اهل</w:t>
      </w:r>
    </w:p>
    <w:p>
      <w:pPr>
        <w:pStyle w:val="BookText"/>
        <w:rPr/>
      </w:pPr>
      <w:r>
        <w:rPr>
          <w:rFonts w:ascii="IRNazanin" w:hAnsi="IRNazanin" w:eastAsia="IRNazanin"/>
          <w:color w:val="111111"/>
          <w:sz w:val="28"/>
          <w:sz w:val="28"/>
          <w:szCs w:val="28"/>
          <w:rtl w:val="true"/>
          <w:lang w:bidi="fa-IR"/>
        </w:rPr>
        <w:t>ضلال و بدعت مى‌دانند؟ چنان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رافضه، قدريه، مرجئه، جبريه، جهميه، معتزله، اهل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ماتريديه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صوفيه، فلاسفه، باطنيه، احزاب، مليها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بدعت هستند </w:t>
      </w:r>
      <w:r>
        <w:rPr>
          <w:rStyle w:val="FootnoteAnchor"/>
          <w:rtl w:val="true"/>
        </w:rPr>
        <w:footnoteReference w:id="29"/>
      </w:r>
      <w:r>
        <w:rPr>
          <w:rFonts w:ascii="IRNazanin" w:hAnsi="IRNazanin" w:eastAsia="IRNazanin"/>
          <w:color w:val="111111"/>
          <w:sz w:val="28"/>
          <w:sz w:val="28"/>
          <w:szCs w:val="28"/>
          <w:rtl w:val="true"/>
          <w:lang w:bidi="fa-IR"/>
        </w:rPr>
        <w:t>و پيروى از آنها جايز نيست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سخن ايشان در مورد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ضلالت گروه‌هايى مثل خوارج، قدريه، جهميه و جبريه، از نظر نگارنده نيز درست است، اما ظهور بسيارى از اين گروه‌ها در عصر صحابه و تابعين و تابعينِ تابعين بوده است، اگر بر اساس بينش سلفى‌ها رافضه را كسانى بدانيم كه خلافت ابابكر، عمر و عثمان را نپذيرفتند، پس شمارى از صحابه و تابعين و تابعان آنها اين خلافت را نپذيرفتند كه از مشهورترين آنها مى‌توان از صحابه، على بن ابى طالب، امام حسن،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فارسى، مقداد و ابوذر غفارى و از تابعين، امام زين العابدين؛ زينت عابدان و موحدان، امام محمدباقر؛ باقر علم و دانايى و امام جعفر صادق؛ استاد با واسطه و بى‌واسطه پيشوايان چهارگانه فقه اهل سنت و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پيروى از امام على و امام حسن ضلالت و بدعت است، پس بايد غير از پيروان معاويه و اصحاب جمل همه اهل بدعت باشند و حال آنكه خود سلفى‌ها و بسيارى از فرق اهل سنت،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خلفاى راشدين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بهشت بشارت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 لازم است ببينيم از ديدگاه سلفى‌ها سلف صالح چه كسانى هستند كه پيروى از آنان مايه نجات و انحراف از مسير آنان موجب بدعت و ضلالت است، و معيار آنها در صالح بودن چيست</w:t>
      </w:r>
      <w:r>
        <w:rPr>
          <w:rFonts w:eastAsia="IRNazanin" w:cs="IRNazanin"/>
          <w:color w:val="111111"/>
          <w:sz w:val="28"/>
          <w:szCs w:val="28"/>
          <w:rtl w:val="true"/>
          <w:lang w:bidi="fa-IR"/>
        </w:rPr>
        <w:t>.</w:t>
      </w:r>
      <w:bookmarkStart w:id="27" w:name="pg10570_178997"/>
    </w:p>
    <w:p>
      <w:pPr>
        <w:pStyle w:val="Heading2"/>
        <w:numPr>
          <w:ilvl w:val="1"/>
          <w:numId w:val="1"/>
        </w:numPr>
        <w:rPr/>
      </w:pPr>
      <w:bookmarkStart w:id="28" w:name="__RefHeading___Toc2937184_3650668749"/>
      <w:bookmarkStart w:id="29" w:name="_Toc10"/>
      <w:bookmarkEnd w:id="27"/>
      <w:bookmarkEnd w:id="28"/>
      <w:r>
        <w:rPr>
          <w:rtl w:val="true"/>
        </w:rPr>
        <w:t>مصاديق سلف‌</w:t>
      </w:r>
      <w:bookmarkEnd w:id="29"/>
    </w:p>
    <w:p>
      <w:pPr>
        <w:pStyle w:val="Heading3"/>
        <w:numPr>
          <w:ilvl w:val="2"/>
          <w:numId w:val="1"/>
        </w:numPr>
        <w:rPr/>
      </w:pPr>
      <w:bookmarkStart w:id="30" w:name="__RefHeading___Toc2937186_3650668749"/>
      <w:bookmarkStart w:id="31" w:name="_Toc11"/>
      <w:bookmarkEnd w:id="30"/>
      <w:r>
        <w:rPr>
          <w:rtl w:val="true"/>
        </w:rPr>
        <w:t>(</w:t>
      </w:r>
      <w:r>
        <w:rPr>
          <w:rtl w:val="true"/>
        </w:rPr>
        <w:t>سلف صالح چه كسانى هستند؟</w:t>
      </w:r>
      <w:r>
        <w:rPr>
          <w:rtl w:val="true"/>
        </w:rPr>
        <w:t>)</w:t>
      </w:r>
      <w:bookmarkEnd w:id="3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محل اجماع نسبى صاحب نظران سلفيه درباره سلف صالح است، صحابه و تابعين و تابعينِ تابعين‌اند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ببينيم صحابه و تابعان آنها به ويژه آنان كه در سه قرن اول اسلام مى‌زيستند و مورد</w:t>
      </w:r>
      <w:bookmarkStart w:id="32" w:name="pg10570_178998"/>
    </w:p>
    <w:p>
      <w:pPr>
        <w:pStyle w:val="BookText"/>
        <w:rPr/>
      </w:pPr>
      <w:bookmarkEnd w:id="32"/>
      <w:r>
        <w:rPr>
          <w:rFonts w:ascii="IRNazanin" w:hAnsi="IRNazanin" w:eastAsia="IRNazanin"/>
          <w:color w:val="111111"/>
          <w:sz w:val="28"/>
          <w:sz w:val="28"/>
          <w:szCs w:val="28"/>
          <w:rtl w:val="true"/>
          <w:lang w:bidi="fa-IR"/>
        </w:rPr>
        <w:t>استناد بيشتر سلفى‌ها و حتى مورد قبول برخى از مخالفان‌اند چه كسانى هستند</w:t>
      </w:r>
      <w:r>
        <w:rPr>
          <w:rFonts w:eastAsia="IRNazanin" w:cs="IRNazanin"/>
          <w:color w:val="111111"/>
          <w:sz w:val="28"/>
          <w:szCs w:val="28"/>
          <w:rtl w:val="true"/>
          <w:lang w:bidi="fa-IR"/>
        </w:rPr>
        <w:t>.</w:t>
      </w:r>
    </w:p>
    <w:p>
      <w:pPr>
        <w:pStyle w:val="Heading3"/>
        <w:numPr>
          <w:ilvl w:val="2"/>
          <w:numId w:val="1"/>
        </w:numPr>
        <w:rPr/>
      </w:pPr>
      <w:bookmarkStart w:id="33" w:name="__RefHeading___Toc2937188_3650668749"/>
      <w:bookmarkStart w:id="34" w:name="_Toc12"/>
      <w:bookmarkEnd w:id="33"/>
      <w:r>
        <w:rPr>
          <w:rtl w:val="true"/>
        </w:rPr>
        <w:t>تعريف صحابه‌</w:t>
      </w:r>
      <w:bookmarkEnd w:id="34"/>
    </w:p>
    <w:p>
      <w:pPr>
        <w:pStyle w:val="BookText"/>
        <w:rPr/>
      </w:pPr>
      <w:r>
        <w:rPr>
          <w:rFonts w:ascii="IRNazanin" w:hAnsi="IRNazanin" w:eastAsia="IRNazanin"/>
          <w:color w:val="111111"/>
          <w:sz w:val="28"/>
          <w:sz w:val="28"/>
          <w:szCs w:val="28"/>
          <w:rtl w:val="true"/>
          <w:lang w:bidi="fa-IR"/>
        </w:rPr>
        <w:t>اهل سنت، على رغم اشتراك نظر در احترام به صحابه، در مورد ويژگى‌هاى صحابى بودن اختلاف دارند، چنان كه ابن اثير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در اينكه صحابه چه كسانى هستند اختلاف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علما كسى را جزء صحابه دانسته‌اند و بعضى او را نفى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ويژگى‌هاى زير را براى صحابه بر مى‌شمارد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در دار ايمان گرد آمدند، يعنى آنان كه از مهاجرين و انصار بودند و آنان كه سبقت در ايمان دارند، آنان كه از پيشگامان اسلام به نيكويى تبعيت كردند، يعنى آنها كه رسول خدا را مشاهده كردند و كلامش را شنيدند و بر احوال او شاهد و ناظر بودند و آن را به مردان و زنان بعد از خود منتقل نمودند، اينان كسانى هستند كه به خدا ايمان آوردند و ايمانشان را به شرك نيالودند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w:t>
      </w:r>
    </w:p>
    <w:p>
      <w:pPr>
        <w:pStyle w:val="BookText"/>
        <w:rPr/>
      </w:pPr>
      <w:r>
        <w:rPr>
          <w:rFonts w:ascii="Amiri" w:hAnsi="Amiri" w:eastAsia="Amiri" w:cs="Amiri"/>
          <w:color w:val="111111"/>
          <w:sz w:val="28"/>
          <w:sz w:val="28"/>
          <w:szCs w:val="28"/>
          <w:rtl w:val="true"/>
          <w:lang w:bidi="ar-SA"/>
        </w:rPr>
        <w:t>هدايت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اصحاب رسول خدا و عدول امت هستند و جرح و تعديل در آنها راه ندارند</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مصاديق صحابه نيز بين علماى اماميه و اهل سنت و همچنين بين علماى اهل سنت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گروهى از متفكران كسى را صحابى بدانند، اما گروه ديگر او را از منافقين به</w:t>
      </w:r>
    </w:p>
    <w:p>
      <w:pPr>
        <w:pStyle w:val="BookText"/>
        <w:rPr/>
      </w:pPr>
      <w:r>
        <w:rPr>
          <w:rFonts w:ascii="IRNazanin" w:hAnsi="IRNazanin" w:eastAsia="IRNazanin"/>
          <w:color w:val="111111"/>
          <w:sz w:val="28"/>
          <w:sz w:val="28"/>
          <w:szCs w:val="28"/>
          <w:rtl w:val="true"/>
          <w:lang w:bidi="fa-IR"/>
        </w:rPr>
        <w:t>حساب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ميان اصحاب، ابابكر، عمر، عثمان،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عشره مبشره را كه مركّب از چهار خليفه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زبير، سعد، سعيد، عبدالرحمن بن عوف و ابوعبيده جراح‌اند، افضل از ساير صحابه و اهل بهشت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نيز عايشه، ابوموسى اشعرى، عمرو بن العاص و معاويه بن ابى‌سفيان را هم از صحابه و اهل فضائل و محاسن و مجتهدان امت ميداند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آنچه از آنها نقل شده دروغ است و سخن درست اين است كه بگوييم آنها مجتهد هستند و مجتهد اگر به درستى حكم كرد، براى او دو اجر و اگر به خطا حكم كرد يك اجر براى اوست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اثبات فضيلت صحابه،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القرون القرن الّذي بعثت فيه ثم الّذين يلونهم ثم الّذين يلونهم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عين حال كه معاويه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صحابه رسول خدا معرفى مى‌كند، درباره عمار ياسر به نقل از بخارى و مسلم مى‌نويسد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تقتلُهُ الفئة الباغية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گروهى باغى و</w:t>
      </w:r>
    </w:p>
    <w:p>
      <w:pPr>
        <w:pStyle w:val="BookText"/>
        <w:rPr/>
      </w:pPr>
      <w:r>
        <w:rPr>
          <w:rFonts w:ascii="Amiri" w:hAnsi="Amiri" w:eastAsia="Amiri" w:cs="Amiri"/>
          <w:color w:val="111111"/>
          <w:sz w:val="28"/>
          <w:sz w:val="28"/>
          <w:szCs w:val="28"/>
          <w:rtl w:val="true"/>
          <w:lang w:bidi="ar-SA"/>
        </w:rPr>
        <w:t>سركش مى‌كشند</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يعنى از يك سو ابن تيميه، معاويه و عمروبن عاص و سپاهيان معاويه را به عنوان گروهى باغى معرفى مى‌كند و از طرف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دليل كتاب، سنت و اجماع سلف ثابت مى‌شود كه آنها مسلمان و مؤمن‌اند، اگر چه على بن ابى طالب و سپاه او اولى به حق هستند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از يك سو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به طور قطعى بگويد معاويه و اصحابش اهل جهنم‌اند او دروغگوست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از سوى ديگر، حديث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عمار ياسر مى‌آورد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گروهى سركش و باغى مى‌كشند، درحالى كه عمار آنان را به</w:t>
      </w:r>
    </w:p>
    <w:p>
      <w:pPr>
        <w:pStyle w:val="BookText"/>
        <w:rPr/>
      </w:pPr>
      <w:r>
        <w:rPr>
          <w:rFonts w:ascii="Amiri" w:hAnsi="Amiri" w:eastAsia="Amiri" w:cs="Amiri"/>
          <w:color w:val="111111"/>
          <w:sz w:val="28"/>
          <w:sz w:val="28"/>
          <w:szCs w:val="28"/>
          <w:rtl w:val="true"/>
          <w:lang w:bidi="ar-SA"/>
        </w:rPr>
        <w:t>بهشت مى‌خواند و آنها او را به جهنم دعوت مى‌كنند</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او در ادامه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 صحت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طاعتش دلالت مى‌كند و دليل بر آن است كه قتال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كسى كه با او بجنگد خطاكار، باغى و سركش است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در جاى ديگر از قول پيشوايان اهل سنت در</w:t>
      </w:r>
    </w:p>
    <w:p>
      <w:pPr>
        <w:pStyle w:val="BookText"/>
        <w:rPr/>
      </w:pPr>
      <w:r>
        <w:rPr>
          <w:rFonts w:ascii="Amiri" w:hAnsi="Amiri" w:eastAsia="Amiri" w:cs="Amiri"/>
          <w:color w:val="111111"/>
          <w:sz w:val="28"/>
          <w:sz w:val="28"/>
          <w:szCs w:val="28"/>
          <w:rtl w:val="true"/>
          <w:lang w:bidi="ar-SA"/>
        </w:rPr>
        <w:t>باب برترى صحابه از تابعين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هر يك از صحابه از تابعان برترند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وى در ادامه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اين سخن را در مورد مقايسه معاويه و عمربن عبد العزيز اين گونه توجيه كرده‌اند كه گرچه سيره عبدالعزيز عادلانه‌تر از سيره معاويه است، لكن مصاحبت با پيامبر فضيلتى براى اهلش مى‌آورد كه براى غير صحابه حاصل نمى‌شود؛ يعنى معاويه چون از صحابه است، از عمر بن عبدالعزيز برتر است،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تسبوا اصحابي فَوَالّذي نفسي بيده لو ان احدكم انفق مثل احُد ذهباً ما بلغ مُدّ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اصحابم را دشنام ندهيد، چون سوگند به كسي كه جانم در دست اوست، اگر شما به اندازة كوه احد انفاق كنيد، به اندازة يك مُد انفاق صحابه ارزش ندارد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نمونه‌هايى از سخنان پيشوايان سلفيه به ويژه ابن تيميه درباره صحابه پيامبر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كه سلفيه معتقدند پيروى از سلف صالح كه در صدر آنان صحابه، تابعين و تابعينِ از تابعين‌اند، مايه نجات و فلاح و رستگارى است</w:t>
      </w:r>
      <w:r>
        <w:rPr>
          <w:rFonts w:eastAsia="IRNazanin" w:cs="IRNazanin"/>
          <w:color w:val="111111"/>
          <w:sz w:val="28"/>
          <w:szCs w:val="28"/>
          <w:rtl w:val="true"/>
          <w:lang w:bidi="fa-IR"/>
        </w:rPr>
        <w:t>.</w:t>
      </w:r>
      <w:bookmarkStart w:id="35" w:name="pg10570_179007"/>
    </w:p>
    <w:p>
      <w:pPr>
        <w:pStyle w:val="Heading3"/>
        <w:numPr>
          <w:ilvl w:val="2"/>
          <w:numId w:val="1"/>
        </w:numPr>
        <w:rPr/>
      </w:pPr>
      <w:bookmarkStart w:id="36" w:name="__RefHeading___Toc2937190_3650668749"/>
      <w:bookmarkStart w:id="37" w:name="_Toc13"/>
      <w:bookmarkEnd w:id="35"/>
      <w:bookmarkEnd w:id="36"/>
      <w:r>
        <w:rPr>
          <w:rtl w:val="true"/>
        </w:rPr>
        <w:t>نقد تعريف صحابه‌</w:t>
      </w:r>
      <w:bookmarkEnd w:id="37"/>
    </w:p>
    <w:p>
      <w:pPr>
        <w:pStyle w:val="BookText"/>
        <w:rPr/>
      </w:pPr>
      <w:r>
        <w:rPr>
          <w:rFonts w:ascii="IRNazanin" w:hAnsi="IRNazanin" w:eastAsia="IRNazanin"/>
          <w:color w:val="111111"/>
          <w:sz w:val="28"/>
          <w:sz w:val="28"/>
          <w:szCs w:val="28"/>
          <w:rtl w:val="true"/>
          <w:lang w:bidi="fa-IR"/>
        </w:rPr>
        <w:t>يك بررسى اجمالى براى بطلان اين سخنان به ويژه سخن ابن تيميه درباره تعريف صحابى و بدعت بودن آن كافى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بايد گفت هيچ آيه‌اى در كتاب خدا نيست كه امر كند از اهل بغى اطاعت كنيد،</w:t>
      </w:r>
    </w:p>
    <w:p>
      <w:pPr>
        <w:pStyle w:val="BookText"/>
        <w:rPr/>
      </w:pPr>
      <w:r>
        <w:rPr>
          <w:rFonts w:ascii="IRNazanin" w:hAnsi="IRNazanin" w:eastAsia="IRNazanin"/>
          <w:color w:val="111111"/>
          <w:sz w:val="28"/>
          <w:sz w:val="28"/>
          <w:szCs w:val="28"/>
          <w:rtl w:val="true"/>
          <w:lang w:bidi="fa-IR"/>
        </w:rPr>
        <w:t>بلكه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بغى مبارزه كنيد تا به فرمان خدا گردن نهند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ابن تيميه از يك سو معاويه را اهل بغى مى‌نامد، چنان كه در حديث عمار گذشت كه گروهى باغى او را مى‌كشند، و از سوى ديگر او را از صحابه و مجتهد در دين مى‌شمارد كه هر حكمى كرد، اگر خطا بود يك ثواب و اگر درست بود دو ثواب براى او هست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يك سو عمروبن‌العاص را از اهل بغى مى‌نامد كه دعوتش به سوى آتش است و از سوى ديگر او را صحابى مى‌داند كه اگر كسى بگويد كه او اهل جهنم است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تابع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تابع معاويه بن ابى سفيان كه بعد از فتح مكه</w:t>
      </w:r>
    </w:p>
    <w:p>
      <w:pPr>
        <w:pStyle w:val="BookText"/>
        <w:rPr/>
      </w:pPr>
      <w:r>
        <w:rPr>
          <w:rFonts w:ascii="IRNazanin" w:hAnsi="IRNazanin" w:eastAsia="IRNazanin"/>
          <w:color w:val="111111"/>
          <w:sz w:val="28"/>
          <w:sz w:val="28"/>
          <w:szCs w:val="28"/>
          <w:rtl w:val="true"/>
          <w:lang w:bidi="fa-IR"/>
        </w:rPr>
        <w:t>ايمان آورد يكسان است؟ مگر خداى سبحان نمى‌فرمايد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يَسْتَوِي مِنْكُمْ مَنْ أَنْفَقَ مِنْ قَبْلِ الْفَتْحِ وَ قاتَلَ أُولئِكَ أَعْظَمُ دَرَجَةً مِنَ الَّذِينَ أَنْفَقُوا مِنْ بَعْدُ وَ قاتَلُوا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پيش از فتح مكه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احياي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مالشان هزينه كردند و در راه خدا پيكار كردند، با آنها كه بعد از فتح مكه انفاق كردند و پيكار نمودند مساوى</w:t>
      </w:r>
    </w:p>
    <w:p>
      <w:pPr>
        <w:pStyle w:val="BookText"/>
        <w:rPr/>
      </w:pPr>
      <w:r>
        <w:rPr>
          <w:rFonts w:ascii="IRNazanin" w:hAnsi="IRNazanin" w:eastAsia="IRNazanin"/>
          <w:color w:val="111111"/>
          <w:sz w:val="28"/>
          <w:sz w:val="28"/>
          <w:szCs w:val="28"/>
          <w:rtl w:val="true"/>
          <w:lang w:bidi="fa-IR"/>
        </w:rPr>
        <w:t>نيستند، بلكه گروه اول در جه و مقامشان بيشتر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آيا معاويه از صميم قلب ايمان آورد يا نفاق ورزيد؟ چون سيره عملى او حكايت از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كسى جنگيد كه به تأييد ابن اثير از رجال اسلام است و پيامبر در روز جنگ خيبر در شأنش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لأعطينّ الرأية رجلا يفتح الله على يديه الله ورسوله ويحبه الله ورسوله؛ من پرچم را فردا به دست كسي خواهم داد كه خدا و رسولش او را دوست دارند و او هم خدا و رسولش را دوست دارد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معاويه مى‌تواند با چنين كسى پيكاركند و دشمنى ورزد و او را سبّ نمايد و دستور دهد بر بالاى منابر سبّ</w:t>
      </w:r>
    </w:p>
    <w:p>
      <w:pPr>
        <w:pStyle w:val="BookText"/>
        <w:rPr/>
      </w:pPr>
      <w:r>
        <w:rPr>
          <w:rFonts w:ascii="IRNazanin" w:hAnsi="IRNazanin" w:eastAsia="IRNazanin"/>
          <w:color w:val="111111"/>
          <w:sz w:val="28"/>
          <w:sz w:val="28"/>
          <w:szCs w:val="28"/>
          <w:rtl w:val="true"/>
          <w:lang w:bidi="fa-IR"/>
        </w:rPr>
        <w:t>على كنند و باز او را مؤمن و صحابى رسول خدا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دوست بداريم و احترام كنيم و اطاعت نماييم و هم على و اهل بيت پيامبر را؟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نمى‌توان كسى را به صرف درك محضر پيامبر، صحابى راستين و اهل فضايل شمرد و او را الگوى 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كه پيامبر را درك كردند، اما با نفاق و</w:t>
      </w:r>
    </w:p>
    <w:p>
      <w:pPr>
        <w:pStyle w:val="BookText"/>
        <w:rPr/>
      </w:pPr>
      <w:r>
        <w:rPr>
          <w:rFonts w:ascii="IRNazanin" w:hAnsi="IRNazanin" w:eastAsia="IRNazanin"/>
          <w:color w:val="111111"/>
          <w:sz w:val="28"/>
          <w:sz w:val="28"/>
          <w:szCs w:val="28"/>
          <w:rtl w:val="true"/>
          <w:lang w:bidi="fa-IR"/>
        </w:rPr>
        <w:t>دورويى برخورد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كسان، نيز پس از پيامبر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چه بسا افرادى كه وجود خارجى نداشتند و جاعلان حديث آنها را به نام صحابى پيامبر ساختند چنان كه دانشمند محقق، مرحوم سيد مرتضى عسگرى، در كتابى به نام يكصد و پنجاه صحابى ساختگى، اسامى همين تعداد صحابى ساختگى را بر شمرده است كه كتاب‌هاى معتبر تاريخى و حديثى اهل سنت؛ مانند صحيح 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كتاب‌هايى كه شرح حال براى اصحاب پيامبر نوشته‌اند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ساخته دست خيال سيف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جزء صحابه حقيقى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اين كتاب‌ها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الصحابة،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الصحابة، ابن قانع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الصحابة، ابوعلي بن السكين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معرفة الصحابة، ابونعيم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استيعاب في معرفة الاصحاب، ابن عبدالبرّ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اسد الغابةفي معرفة الصحابة، ابن 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الاصابة في تمييز الصحابة، 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تجريد اسماء الصحابة، 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تاريخ نويسان، سيره</w:t>
      </w:r>
    </w:p>
    <w:p>
      <w:pPr>
        <w:pStyle w:val="BookText"/>
        <w:rPr/>
      </w:pPr>
      <w:r>
        <w:rPr>
          <w:rFonts w:ascii="IRNazanin" w:hAnsi="IRNazanin" w:eastAsia="IRNazanin"/>
          <w:color w:val="111111"/>
          <w:sz w:val="28"/>
          <w:sz w:val="28"/>
          <w:szCs w:val="28"/>
          <w:rtl w:val="true"/>
          <w:lang w:bidi="fa-IR"/>
        </w:rPr>
        <w:t xml:space="preserve">نويسان، اديبان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نموده و يادآور شده است كه اينها پاره‌اى از آثارى است كه از سيف، سخن نقل كرده‌اند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برخى ديگر از محققان نيز سيف را در زمره دروغ پردازان و روايت سازان نام برده‌اند؛ مانند عقيلى</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الضعفاء، ابن جوزى</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الموضوعات، سيوطى</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اللئالى المصنوعة و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سلفيه همه اصحاب را اهل بهشت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به اين روايت استناد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لا يدخل النار احد بايع تحت الشجرة؛ </w:t>
      </w:r>
      <w:r>
        <w:rPr>
          <w:rStyle w:val="FootnoteAnchor"/>
          <w:rtl w:val="true"/>
        </w:rPr>
        <w:footnoteReference w:id="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فردى از كسانى كه در بيعت رضوان با پيامبر بيعت كردند داخل جهنم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سلفيه به اين آيه نيز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رَضِيَ اللَّهُ عَنِ الْمُؤْمِنِينَ إِذْ يُبايِعُونَكَ تَحْتَ</w:t>
      </w:r>
    </w:p>
    <w:p>
      <w:pPr>
        <w:pStyle w:val="BookText"/>
        <w:rPr/>
      </w:pPr>
      <w:r>
        <w:rPr>
          <w:rFonts w:ascii="Amiri" w:hAnsi="Amiri" w:eastAsia="Amiri" w:cs="Amiri"/>
          <w:color w:val="111111"/>
          <w:sz w:val="28"/>
          <w:sz w:val="28"/>
          <w:szCs w:val="28"/>
          <w:rtl w:val="true"/>
          <w:lang w:bidi="ar-SA"/>
        </w:rPr>
        <w:t xml:space="preserve">الشَّجَرَةِ؛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مؤمنانى كه در زير آن درخت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 بيعت كردند راضى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بايد دانست كه خداوند از مؤمنان اعلام رضايت كرده نه منافقانى مثل عبدالله بن ابَى و اوس بن خولى، گرچه آنها نيز در بيعت رضوان حاضر بودند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پس از نظر ما صحابه در درجات متفاوتى از ايمان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w:t>
      </w:r>
    </w:p>
    <w:p>
      <w:pPr>
        <w:pStyle w:val="BookText"/>
        <w:rPr/>
      </w:pPr>
      <w:r>
        <w:rPr>
          <w:rFonts w:ascii="Amiri" w:hAnsi="Amiri" w:eastAsia="Amiri" w:cs="Amiri"/>
          <w:color w:val="111111"/>
          <w:sz w:val="28"/>
          <w:sz w:val="28"/>
          <w:szCs w:val="28"/>
          <w:rtl w:val="true"/>
          <w:lang w:bidi="ar-SA"/>
        </w:rPr>
        <w:t>مؤمنانى هستند كه جان و مالشان را به خدا فروختند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Style w:val="FootnoteAnchor"/>
          <w:rtl w:val="true"/>
        </w:rPr>
        <w:footnoteReference w:id="47"/>
      </w:r>
      <w:r>
        <w:rPr>
          <w:rFonts w:ascii="IRNazanin" w:hAnsi="IRNazanin" w:eastAsia="IRNazanin"/>
          <w:color w:val="111111"/>
          <w:sz w:val="28"/>
          <w:sz w:val="28"/>
          <w:szCs w:val="28"/>
          <w:rtl w:val="true"/>
          <w:lang w:bidi="fa-IR"/>
        </w:rPr>
        <w:t>و بعضى هستند كه در صدر اسلام آورندگان و از مهاجرين و انصار هستند و بعضى در طاعت خدا از آنها به خوبى پيروى كردند و رضايت خدا را خريدند و به بهشت خدا وعده داده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وَالسَّابِقُونَ الأَوَّلُونَ مِنَ الْمُهاجِرِينَ وَ الأَنْصارِ وَ الَّذِينَ اتَّبَعُوهُمْ بِإِحْسانٍ رَضِيَ اللَّهُ عَنْهُمْ وَ رَضُوا عَنْهُ وَ أَعَدَّ لَهُمْ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صدر اسلام سبقت به ايمان گرفتند از مهاجر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دين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به طاعت خدا پيروي ايشان كردند، خدا از آنان خشنود است و آنان از خدا خشنودند و خدا براي آنان بهشت‌ها آماده كرده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همين سوره، بعد از آيه فوق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از اعراب اطراف مدينه</w:t>
      </w:r>
    </w:p>
    <w:p>
      <w:pPr>
        <w:pStyle w:val="BookText"/>
        <w:rPr/>
      </w:pPr>
      <w:r>
        <w:rPr>
          <w:rFonts w:ascii="IRNazanin" w:hAnsi="IRNazanin" w:eastAsia="IRNazanin"/>
          <w:color w:val="111111"/>
          <w:sz w:val="28"/>
          <w:sz w:val="28"/>
          <w:szCs w:val="28"/>
          <w:rtl w:val="true"/>
          <w:lang w:bidi="fa-IR"/>
        </w:rPr>
        <w:t>منافق‌اند و حتى بعضى از اهل مدينه هم منافق‌اند و بر نفاق ثابت‌اند و شما از نفاق آنها آگاه‌نيستيد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آنان را مى‌شناسيم و آنها را دو بار عذاب مى‌كنيم و عاقبت هم به عذاب سختى گرفتار مى‌كنيم</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قابل توجه و دقيق</w:t>
      </w:r>
    </w:p>
    <w:p>
      <w:pPr>
        <w:pStyle w:val="BookText"/>
        <w:rPr/>
      </w:pPr>
      <w:r>
        <w:rPr>
          <w:rFonts w:ascii="IRNazanin" w:hAnsi="IRNazanin" w:eastAsia="IRNazanin"/>
          <w:color w:val="111111"/>
          <w:sz w:val="28"/>
          <w:sz w:val="28"/>
          <w:szCs w:val="28"/>
          <w:rtl w:val="true"/>
          <w:lang w:bidi="fa-IR"/>
        </w:rPr>
        <w:t>آيه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أَهْلِ الْمَدِينَةِ مَرَدُوا عَلَى النِّفاقِ لا تَعْلَمُهُمْ نَحْنُ نَعْلَمُهُمْ؛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اهل مدينه به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نمى‌شناسى، ولى ما آنها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شوكانى، از مفسران اهل سنت، در تفسيرش در ذيل جمله مَرَدُوا عَلَي النِّفاقِ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بودند كه بر نفاقشان ماندند و توبه نكردند و بر نفاق مردند؛ كسانى مثل عبدالله بن ابى و ابوعامر راهب و الجدّ بن قيس</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بعضى ديگر از آنان به گناه نفاق خود اعتراف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اعمال صالح داشتند هم اعمال ناپسند، اميد است خدا توبه آنان را بپذيرد و آنها را مورد مغفرت و رحمت خود قرار دهد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از صحابه نيز بودند كه در نماز رسول خدا</w:t>
      </w:r>
    </w:p>
    <w:p>
      <w:pPr>
        <w:pStyle w:val="BookText"/>
        <w:rPr/>
      </w:pPr>
      <w:r>
        <w:rPr>
          <w:rFonts w:ascii="IRNazanin" w:hAnsi="IRNazanin" w:eastAsia="IRNazanin"/>
          <w:color w:val="111111"/>
          <w:sz w:val="28"/>
          <w:sz w:val="28"/>
          <w:szCs w:val="28"/>
          <w:rtl w:val="true"/>
          <w:lang w:bidi="fa-IR"/>
        </w:rPr>
        <w:t>در جمعه و جماعات حاضر مى‌شدند، اما وقتى صداى دهل كاروان تجار را مى‌شنيدند، پيامبر را رها مى‌كردند و به سوى لهو و تجارت مى‌شتافتند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آنان نيز بودند كه از جنگ كراهت داشتند و در شهر ماندن را بر جهاد در راه خدا ترجيح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عين حال در جماعت</w:t>
      </w:r>
    </w:p>
    <w:p>
      <w:pPr>
        <w:pStyle w:val="BookText"/>
        <w:rPr/>
      </w:pPr>
      <w:r>
        <w:rPr>
          <w:rFonts w:ascii="Amiri" w:hAnsi="Amiri" w:eastAsia="Amiri" w:cs="Amiri"/>
          <w:color w:val="111111"/>
          <w:sz w:val="28"/>
          <w:sz w:val="28"/>
          <w:szCs w:val="28"/>
          <w:rtl w:val="true"/>
          <w:lang w:bidi="ar-SA"/>
        </w:rPr>
        <w:t>مؤمنان و مصاحب رسول خدا هم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مؤمناني كه بي هيچ عذري از رفتن به جنگ سر باز زدند و آنهايي كه در راه خدا با مالشان و جانشان جهاد كردند مساوي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مجاهداني را كه با مالشان و جانشان در راه خدا جهاد كردند، بر نشستگان برتري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صحابه به چند دسته تقسيم مى‌شدند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مؤمنان راستين و مجاهدان در راه خدا و اهل عبادت، خضوع و خشوع و آمر به معروف و ناهى از منكر و پاسداران حدود الهى</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نيز در درجات پايين‌تر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اهل نفاق و دورويى و ظاهر الصلاح بودند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كسانى بودند كه خدا به آن‌ها نسبت افك داده، چون به ناموس پيامبر بى‌حرمتى كردند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كسانى بودند كه لهو و تجارت را بر محضر پيامبر و خطبه جمعه ترجيح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نيز دروغگو و جاعل حديث بودند و آن را وسيله رسيدن به دنيا قرار دادند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مصاحبت به تنهايى معيارى براى فضيلت نمى‌شود، مگر آنكه همراه با ايمان راستين و علم و تقوا و جهاد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معيارهاى ثابت قرآن براى برترى افراد و اقوام بر يكديگر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تنها صحابى بودن به تنهايى براى سلف فضيلتى نمى‌آورد و جبران گناهان آنان را نمى‌كند و دليل عدالت آنان نمى‌شود، بلكه همسر پيامبر بودن هم اگر همراه با ايمان و عمل</w:t>
      </w:r>
    </w:p>
    <w:p>
      <w:pPr>
        <w:pStyle w:val="BookText"/>
        <w:rPr/>
      </w:pPr>
      <w:r>
        <w:rPr>
          <w:rFonts w:ascii="IRNazanin" w:hAnsi="IRNazanin" w:eastAsia="IRNazanin"/>
          <w:color w:val="111111"/>
          <w:sz w:val="28"/>
          <w:sz w:val="28"/>
          <w:szCs w:val="28"/>
          <w:rtl w:val="true"/>
          <w:lang w:bidi="fa-IR"/>
        </w:rPr>
        <w:t>صالح نباشد، نه تنها موجب فضيلت نيست، بلكه اگر مرتكب گناه كبيره شوند موجب عذاب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خداى سبحان خطاب به همسران پيامبر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همسران پيامبر، هر يك از شما مرتكب گناه</w:t>
      </w:r>
    </w:p>
    <w:p>
      <w:pPr>
        <w:pStyle w:val="BookText"/>
        <w:rPr/>
      </w:pPr>
      <w:r>
        <w:rPr>
          <w:rFonts w:ascii="IRNazanin" w:hAnsi="IRNazanin" w:eastAsia="IRNazanin"/>
          <w:color w:val="111111"/>
          <w:sz w:val="28"/>
          <w:sz w:val="28"/>
          <w:szCs w:val="28"/>
          <w:rtl w:val="true"/>
          <w:lang w:bidi="fa-IR"/>
        </w:rPr>
        <w:t>آشكارى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به كار ناروايى اقدام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او دو برابر ديگران خواهد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كسى افتخار همسرى پيامبر را داشته باشد و مطيع فرمان خدا و رسول او باشد و عمل صالح انجام دهد، پاداش او دو چندان خواهد بود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پس اساس تقرب به خدا ورسول، ايمان وعمل صالح است، چنان‌كه خداى سبحان براى اهل ايمان، زن فرعون را مثل مى‌زند و او را الگوى اهل ايمان و از ساكنان بهشت قرار مى‌دهد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در مقابل مثل و نمونه كفر و سركشى، زن نوح و زن لوط، همسران دو تن از پيامبران، را قرار مى‌دهد كه اگر چه مصاحب و تحت فرمان دو بنده صالح خدا بودند، اما چون به آنها خيانت كردند، همسرى پيامبر مايه نجاتشان نشد و اهل جهنم</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واين سنت ثابت خداست كه اهل ايمان و عمل صالح‌را رستگار واهل‌بهشت كند واهل‌كفر، فسق‌و فجور را عذاب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معاصران، همسران و حتى فرزندان پيامبر هم از اين قانون كلى الهى مستثنا نيستند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اينكه صرف سلف بودن</w:t>
      </w:r>
    </w:p>
    <w:p>
      <w:pPr>
        <w:pStyle w:val="BookText"/>
        <w:rPr/>
      </w:pPr>
      <w:r>
        <w:rPr>
          <w:rFonts w:ascii="IRNazanin" w:hAnsi="IRNazanin" w:eastAsia="IRNazanin"/>
          <w:color w:val="111111"/>
          <w:sz w:val="28"/>
          <w:sz w:val="28"/>
          <w:szCs w:val="28"/>
          <w:rtl w:val="true"/>
          <w:lang w:bidi="fa-IR"/>
        </w:rPr>
        <w:t>دليل فضليت نمى‌شود؛ زيرا خود ابن تيميه هم اين روايت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مى‌پذيرد كه در توصيف ناقلان و كاتبان حديث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حامِلِ فِقهٍ إلى مَن هَوُ أفقَه مِنهُ؛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چه بسا كسى سخن حكيمانه‌اى را براى ديگرى كه از او فهيم‌تر است نقل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بسا صحابه سخنى را براى تابعين و آنان براى تابعينِ تابعين نقل كنند و آنها سخن رسول خدا را بهتر و عميق‌تر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ابن تيميه پذيرفته نيست كه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 در هر فضيلتى افضل از خلف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علم و چه در عمل، چه از جهت عقل و چه از جهت ديندارى و عبادت، و آنها به تبيين و حل هر مشكلى شايسته‌تر از خلف هستند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اين سخن با حديث مذكور از پيامبر در تعارض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 مبناى سخن ابن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تيميه هيچ تفسير و كتاب علمى، چه در اصول اعتقادى و چه در اصول اخلاقى و چه احكام عملى، نبايد نوشته شود، چون پيشينيان، هم در فهم مسائل دينى و هم از نظر فكرى برتر از خلف‌اند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عمل خود ابن تيميه و سيره علماى اسلام در تعارض است، چرا كه وقتى مسائل در</w:t>
      </w:r>
    </w:p>
    <w:p>
      <w:pPr>
        <w:pStyle w:val="BookText"/>
        <w:rPr/>
      </w:pPr>
      <w:r>
        <w:rPr>
          <w:rFonts w:ascii="IRNazanin" w:hAnsi="IRNazanin" w:eastAsia="IRNazanin"/>
          <w:color w:val="111111"/>
          <w:sz w:val="28"/>
          <w:sz w:val="28"/>
          <w:szCs w:val="28"/>
          <w:rtl w:val="true"/>
          <w:lang w:bidi="fa-IR"/>
        </w:rPr>
        <w:t>گذشته بهتر حل شده‌اند، چه نيازى به اظهار نظر جديد است؟</w:t>
      </w:r>
    </w:p>
    <w:p>
      <w:pPr>
        <w:pStyle w:val="BookText"/>
        <w:rPr/>
      </w:pPr>
      <w:r>
        <w:rPr>
          <w:rFonts w:ascii="IRNazanin" w:hAnsi="IRNazanin" w:eastAsia="IRNazanin"/>
          <w:color w:val="111111"/>
          <w:sz w:val="28"/>
          <w:sz w:val="28"/>
          <w:szCs w:val="28"/>
          <w:rtl w:val="true"/>
          <w:lang w:bidi="fa-IR"/>
        </w:rPr>
        <w:t>البته در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صحابه است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و جميع فرق شيعه و حتى برخى از اهل سنت، چون ابوسهل بشر بن معتمد، ابوموسى عيسى بن صبيح، ابوعبدالله جعفر بن مبشر، ابوجعفر اسكافى، ابوالحسن خياط، ابوالقاسم عبدالله بن محمود بلخى، معتزليان بغداد و متأخران معتزله مانند ابن ابى الحديد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را برترين فرد بعد از نبى‌اكرم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چون آن حضرت داناترين و فداكارترين و پارساترين فرد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خيبر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پرچم را به دست كسى مى‌دهم كه خدا و رسولش را دوست دارد و خدا و رسول او را دوست دارند و خدا به دست او درِ خيبر را</w:t>
      </w:r>
    </w:p>
    <w:p>
      <w:pPr>
        <w:pStyle w:val="BookText"/>
        <w:rPr/>
      </w:pPr>
      <w:r>
        <w:rPr>
          <w:rFonts w:ascii="IRNazanin" w:hAnsi="IRNazanin" w:eastAsia="IRNazanin"/>
          <w:color w:val="111111"/>
          <w:sz w:val="28"/>
          <w:sz w:val="28"/>
          <w:szCs w:val="28"/>
          <w:rtl w:val="true"/>
          <w:lang w:bidi="fa-IR"/>
        </w:rPr>
        <w:t>مى‌گشايد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فرداى آن روز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 خيبر به دست مبارك او گشوده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تيميه در تفسير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سبحان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الْمُتَّقِينَ </w:t>
      </w:r>
      <w:r>
        <w:rPr>
          <w:rStyle w:val="FootnoteAnchor"/>
          <w:rtl w:val="true"/>
        </w:rPr>
        <w:footnoteReference w:id="64"/>
      </w:r>
      <w:r>
        <w:rPr>
          <w:rFonts w:ascii="Amiri" w:hAnsi="Amiri" w:eastAsia="Amiri" w:cs="Amiri"/>
          <w:color w:val="111111"/>
          <w:sz w:val="28"/>
          <w:sz w:val="28"/>
          <w:szCs w:val="28"/>
          <w:rtl w:val="true"/>
          <w:lang w:bidi="ar-SA"/>
        </w:rPr>
        <w:t xml:space="preserve">، يُحِبُّ الْمُحْسِنِينَ </w:t>
      </w:r>
      <w:r>
        <w:rPr>
          <w:rStyle w:val="FootnoteAnchor"/>
          <w:rtl w:val="true"/>
        </w:rPr>
        <w:footnoteReference w:id="65"/>
      </w:r>
      <w:r>
        <w:rPr>
          <w:rFonts w:ascii="Amiri" w:hAnsi="Amiri" w:eastAsia="Amiri" w:cs="Amiri"/>
          <w:color w:val="111111"/>
          <w:sz w:val="28"/>
          <w:sz w:val="28"/>
          <w:szCs w:val="28"/>
          <w:rtl w:val="true"/>
          <w:lang w:bidi="ar-SA"/>
        </w:rPr>
        <w:t xml:space="preserve">، يُحِبُّ الْمُقْسِطِينَ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يُحِبُّ التَّوَّابِينَ وَ يُحِبُّ الْمُتَطَهِّرِينَ </w:t>
      </w:r>
      <w:r>
        <w:rPr>
          <w:rStyle w:val="FootnoteAnchor"/>
          <w:rtl w:val="true"/>
        </w:rPr>
        <w:footnoteReference w:id="67"/>
      </w:r>
      <w:r>
        <w:rPr>
          <w:rFonts w:ascii="Amiri" w:hAnsi="Amiri" w:eastAsia="Amiri" w:cs="Amiri"/>
          <w:color w:val="111111"/>
          <w:sz w:val="28"/>
          <w:sz w:val="28"/>
          <w:szCs w:val="28"/>
          <w:rtl w:val="true"/>
          <w:lang w:bidi="ar-SA"/>
        </w:rPr>
        <w:t xml:space="preserve">و يُحِبُّ الَّذِينَ يُقاتِلُونَ فِي سَبِيلِهِ صَفًّا كَأَنَّهُمْ بُنْيانٌ مَرْصُوصٌ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اوصاف كسانى است كه خداوند آنان را دوست مى‌دارد</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پس همه اين اوصاف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است، چون خدا او را دوست دارد و اين سخن به روايت صحيح از پيامبر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برترى علمى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ساير خلفا و صحابه همين بس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من شهر دانشم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شهر است</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اقضى اهل المدينة علي بن</w:t>
      </w:r>
    </w:p>
    <w:p>
      <w:pPr>
        <w:pStyle w:val="BookText"/>
        <w:rPr/>
      </w:pPr>
      <w:r>
        <w:rPr>
          <w:rFonts w:ascii="Amiri" w:hAnsi="Amiri" w:eastAsia="Amiri" w:cs="Amiri"/>
          <w:color w:val="111111"/>
          <w:sz w:val="28"/>
          <w:sz w:val="28"/>
          <w:szCs w:val="28"/>
          <w:rtl w:val="true"/>
          <w:lang w:bidi="ar-SA"/>
        </w:rPr>
        <w:t>ابي‌طالب؛ شايسته‌ترين فرد در بين مردم مدينه براى حكمرانى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افضليت جز به اعلم و افقه بودن نسبت به كتاب خدا و سنت رسولش و استوارى در عمل به آن و اجراى عدالت در جامعه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نيست كه هر صحابى برتر از تابعى باشد</w:t>
      </w:r>
      <w:r>
        <w:rPr>
          <w:rFonts w:eastAsia="IRNazanin" w:cs="IRNazanin"/>
          <w:color w:val="111111"/>
          <w:sz w:val="28"/>
          <w:szCs w:val="28"/>
          <w:rtl w:val="true"/>
          <w:lang w:bidi="fa-IR"/>
        </w:rPr>
        <w:t>.</w:t>
      </w:r>
      <w:bookmarkStart w:id="38" w:name="pg10570_179032"/>
    </w:p>
    <w:p>
      <w:pPr>
        <w:pStyle w:val="Heading3"/>
        <w:numPr>
          <w:ilvl w:val="2"/>
          <w:numId w:val="1"/>
        </w:numPr>
        <w:rPr/>
      </w:pPr>
      <w:bookmarkStart w:id="39" w:name="__RefHeading___Toc2937192_3650668749"/>
      <w:bookmarkStart w:id="40" w:name="_Toc14"/>
      <w:bookmarkEnd w:id="38"/>
      <w:bookmarkEnd w:id="39"/>
      <w:r>
        <w:rPr>
          <w:rtl w:val="true"/>
        </w:rPr>
        <w:t>عدالت صحابه و تابعين‌</w:t>
      </w:r>
      <w:bookmarkEnd w:id="40"/>
    </w:p>
    <w:p>
      <w:pPr>
        <w:pStyle w:val="BookText"/>
        <w:rPr/>
      </w:pPr>
      <w:r>
        <w:rPr>
          <w:rFonts w:ascii="IRNazanin" w:hAnsi="IRNazanin" w:eastAsia="IRNazanin"/>
          <w:color w:val="111111"/>
          <w:sz w:val="28"/>
          <w:sz w:val="28"/>
          <w:szCs w:val="28"/>
          <w:rtl w:val="true"/>
          <w:lang w:bidi="fa-IR"/>
        </w:rPr>
        <w:t>يكى از صفاتى كه موجب برترى گروهى بر گروه ديگر و فردى بر افراد ديگر است،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همه اصحاب عادل بودند؟ قضاوت دقيق در اين زمينه را بايد به بررسى سيره زندگى عملى و اعتقادى آنان موكول كرد، اما به طور اجمال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عادل بودند و برخى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ميان اهل سنت هم در عدالت صحابه اختلاف وجود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آلوسى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اهل سنت بر عدالت همه صحابه</w:t>
      </w:r>
    </w:p>
    <w:p>
      <w:pPr>
        <w:pStyle w:val="BookText"/>
        <w:rPr/>
      </w:pPr>
      <w:r>
        <w:rPr>
          <w:rFonts w:ascii="Amiri" w:hAnsi="Amiri" w:eastAsia="Amiri" w:cs="Amiri"/>
          <w:color w:val="111111"/>
          <w:sz w:val="28"/>
          <w:sz w:val="28"/>
          <w:szCs w:val="28"/>
          <w:rtl w:val="true"/>
          <w:lang w:bidi="ar-SA"/>
        </w:rPr>
        <w:t>اجماع دارند و تعظيمشان بر امت واجب است</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ايشان قول خطيب بغدادى در الكفاية را هم مؤيد مى‌آورد كه گفته است عدالت صحابه ثابت و آشكار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برخى چون مازرى در شرح البرهان فى الصحابة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w:t>
      </w:r>
    </w:p>
    <w:p>
      <w:pPr>
        <w:pStyle w:val="BookText"/>
        <w:rPr/>
      </w:pPr>
      <w:r>
        <w:rPr>
          <w:rFonts w:ascii="Amiri" w:hAnsi="Amiri" w:eastAsia="Amiri" w:cs="Amiri"/>
          <w:color w:val="111111"/>
          <w:sz w:val="28"/>
          <w:sz w:val="28"/>
          <w:szCs w:val="28"/>
          <w:rtl w:val="true"/>
          <w:lang w:bidi="ar-SA"/>
        </w:rPr>
        <w:t>عادل‌اند و برخى عادل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عمار حنبلى در شذرات الذهب و علماى شيعه نيز همين عقيده را دارند كه برخى از صحابه عادل بودند و از برخى كارهايى سر زده كه موجب سقوط از عدالت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جمهور مفسران گفته‌اند كه آيه إِنْ جاءَكُمْ فاسِقٌ بِنَبَإٍ فَتَبَيَّنُوا </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در مورد وليد بن عقبه بن ابى‌معيط نازل شده است</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عسقلانى گفته او نماز صبح را با مردم چهار ركعتى خواند، در حالى كه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او تازيانه زد، اما با اين حال ائمه حديث او را از صحابه دانستند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آلوسى در پاسخ اين اشكال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نيست كه</w:t>
      </w:r>
    </w:p>
    <w:p>
      <w:pPr>
        <w:pStyle w:val="BookText"/>
        <w:rPr/>
      </w:pPr>
      <w:r>
        <w:rPr>
          <w:rFonts w:ascii="IRNazanin" w:hAnsi="IRNazanin" w:eastAsia="IRNazanin"/>
          <w:color w:val="111111"/>
          <w:sz w:val="28"/>
          <w:sz w:val="28"/>
          <w:szCs w:val="28"/>
          <w:rtl w:val="true"/>
          <w:lang w:bidi="fa-IR"/>
        </w:rPr>
        <w:t xml:space="preserve">صحابه همه عادل بودند و فسقى از آنان سر نزده و گناهى مرتكب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اين است كه آنها بالأخره طاهر از دنيا رفتند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سخن آلوسى چه دليلى دارد؟ آيا معاويه و عمروعاص با همه خيانتشان به اسلام و مسلمانان طاهر از</w:t>
      </w:r>
    </w:p>
    <w:p>
      <w:pPr>
        <w:pStyle w:val="BookText"/>
        <w:rPr/>
      </w:pPr>
      <w:r>
        <w:rPr>
          <w:rFonts w:ascii="Amiri" w:hAnsi="Amiri" w:eastAsia="Amiri" w:cs="Amiri"/>
          <w:color w:val="111111"/>
          <w:sz w:val="28"/>
          <w:sz w:val="28"/>
          <w:szCs w:val="28"/>
          <w:rtl w:val="true"/>
          <w:lang w:bidi="ar-SA"/>
        </w:rPr>
        <w:t xml:space="preserve">دنيا رفتند؟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آيا مروان بن حكم طاهر ازدنيا رفت؟ او كسى است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او دست يهودى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ظاهر بيعت كند، در باطن خيانت مى‌كند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وضع صحابه چنين است، وضع تابعين و تابعينِ تابعين نيز بهتر از صحابه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احاديثى كه سلفيه بر آن تأكيد بسيار دارند، حديث رسول خداست كه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 و سنة الخلفاء الراشدين المهديين من بعدي تمسّكوا بها و عضّوا عليها بالنواجز، و اياكم و محدثات الأمور، فان كان</w:t>
      </w:r>
    </w:p>
    <w:p>
      <w:pPr>
        <w:pStyle w:val="BookText"/>
        <w:rPr/>
      </w:pPr>
      <w:r>
        <w:rPr>
          <w:rFonts w:ascii="Amiri" w:hAnsi="Amiri" w:eastAsia="Amiri" w:cs="Amiri"/>
          <w:color w:val="111111"/>
          <w:sz w:val="28"/>
          <w:sz w:val="28"/>
          <w:szCs w:val="28"/>
          <w:rtl w:val="true"/>
          <w:lang w:bidi="ar-SA"/>
        </w:rPr>
        <w:t>محدث بدعة و كل بدعةٍ ضلالة</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اين حديث را الگوى فكرى و عملى اهل‌سنت مى‌داند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صرف نظر از ضعف سند حديث و مناقشه در اسناد رجال حديث، بحث در محتوا ومصاديق آن است اگر چه غالب اهل سنت مصداق آن را خلفاى</w:t>
      </w:r>
    </w:p>
    <w:p>
      <w:pPr>
        <w:pStyle w:val="BookText"/>
        <w:rPr/>
      </w:pPr>
      <w:r>
        <w:rPr>
          <w:rFonts w:ascii="IRNazanin" w:hAnsi="IRNazanin" w:eastAsia="IRNazanin"/>
          <w:color w:val="111111"/>
          <w:sz w:val="28"/>
          <w:sz w:val="28"/>
          <w:szCs w:val="28"/>
          <w:rtl w:val="true"/>
          <w:lang w:bidi="fa-IR"/>
        </w:rPr>
        <w:t xml:space="preserve">چهارگانه بعد از رسول خدا مى‌دانند، اما از نظر اماميه مصداق خلفا با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راشدين و 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ائمه دوازده‌گانه از اهل بيت عصمت و طهارت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كسى به طور مطلق راه رشد و هدايت است كه از هرگونه گناه و اشتباه مصون باشد و اين تنها بر ائمه شيعه منطبق مى‌شود كه داراى مقام عصمت‌اند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براى اين اوصاف كه امر به تمسك به آنها شده باشد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در باب نقد تعريف اصطلاحى سلفيه اين است كه نه سلف صالح به معنايى كه آنان مى‌گويند مى‌تواند الگو باشند و نه امر پيروى از آنها حجتى شرعى و يا حجتى عقلى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تعريف سلفيه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سلفيه فرقه‌اى نوظهور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غالباً از عقايد احمد بن حنبل و اهل حديث، به ويژه ابن تيميه و محمد بن عبدالوهاب، پيروى مى‌كنند، اما خود را احياگران سنت و پيروان سلف يعنى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تابعان، و تابعان تابعان و پاسداران توحيد و سنت نبوى مى‌دانند</w:t>
      </w:r>
      <w:r>
        <w:rPr>
          <w:rFonts w:eastAsia="IRNazanin" w:cs="IRNazanin"/>
          <w:color w:val="111111"/>
          <w:sz w:val="28"/>
          <w:szCs w:val="28"/>
          <w:rtl w:val="true"/>
          <w:lang w:bidi="fa-IR"/>
        </w:rPr>
        <w:t>.</w:t>
      </w:r>
      <w:bookmarkStart w:id="41" w:name="pg10570_179040"/>
    </w:p>
    <w:p>
      <w:pPr>
        <w:pStyle w:val="Heading2"/>
        <w:numPr>
          <w:ilvl w:val="1"/>
          <w:numId w:val="1"/>
        </w:numPr>
        <w:rPr/>
      </w:pPr>
      <w:bookmarkStart w:id="42" w:name="__RefHeading___Toc2937194_3650668749"/>
      <w:bookmarkStart w:id="43" w:name="_Toc15"/>
      <w:bookmarkEnd w:id="41"/>
      <w:bookmarkEnd w:id="42"/>
      <w:r>
        <w:rPr>
          <w:rtl w:val="true"/>
        </w:rPr>
        <w:t>تاريخچه پيدايش سلفيه و تحولات آن‌</w:t>
      </w:r>
      <w:bookmarkEnd w:id="43"/>
    </w:p>
    <w:p>
      <w:pPr>
        <w:pStyle w:val="Heading3"/>
        <w:numPr>
          <w:ilvl w:val="2"/>
          <w:numId w:val="1"/>
        </w:numPr>
        <w:rPr/>
      </w:pPr>
      <w:bookmarkStart w:id="44" w:name="__RefHeading___Toc2937196_3650668749"/>
      <w:bookmarkStart w:id="45" w:name="_Toc16"/>
      <w:bookmarkEnd w:id="44"/>
      <w:r>
        <w:rPr>
          <w:rtl w:val="true"/>
        </w:rPr>
        <w:t>اشاره</w:t>
      </w:r>
      <w:bookmarkEnd w:id="4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گروهى از مسلمانان كه جدا كننده آنان از ساير مسلمان است، عنوانى بديع و مستحدث است، </w:t>
      </w:r>
      <w:r>
        <w:rPr>
          <w:rStyle w:val="FootnoteAnchor"/>
          <w:rtl w:val="true"/>
        </w:rPr>
        <w:footnoteReference w:id="81"/>
      </w:r>
      <w:r>
        <w:rPr>
          <w:rFonts w:ascii="Amiri" w:hAnsi="Amiri" w:eastAsia="Amiri" w:cs="Amiri"/>
          <w:color w:val="111111"/>
          <w:sz w:val="28"/>
          <w:sz w:val="28"/>
          <w:szCs w:val="28"/>
          <w:rtl w:val="true"/>
          <w:lang w:bidi="ar-SA"/>
        </w:rPr>
        <w:t xml:space="preserve">اما اين اسلوب فكرى ريشه در تاريخ سده اول اسلام دارد و منشأ آن شبهات و اختلافات فكرى مسلمانان قرون اوليه در مسائل اعتقادى از قبيل قضا و قدر، جبر و اختيار، توحيد، صفات خدا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46" w:name="pg10570_179041"/>
    </w:p>
    <w:p>
      <w:pPr>
        <w:pStyle w:val="BookText"/>
        <w:rPr/>
      </w:pPr>
      <w:bookmarkEnd w:id="46"/>
      <w:r>
        <w:rPr>
          <w:rFonts w:ascii="IRNazanin" w:hAnsi="IRNazanin" w:eastAsia="IRNazanin"/>
          <w:color w:val="111111"/>
          <w:sz w:val="28"/>
          <w:sz w:val="28"/>
          <w:szCs w:val="28"/>
          <w:rtl w:val="true"/>
          <w:lang w:bidi="fa-IR"/>
        </w:rPr>
        <w:t>اكنون لازم است در اينجا ريشه‌ها و سير تاريخى پيدايش سلفيه را بررسى كنيم</w:t>
      </w:r>
      <w:r>
        <w:rPr>
          <w:rFonts w:eastAsia="IRNazanin" w:cs="IRNazanin"/>
          <w:color w:val="111111"/>
          <w:sz w:val="28"/>
          <w:szCs w:val="28"/>
          <w:rtl w:val="true"/>
          <w:lang w:bidi="fa-IR"/>
        </w:rPr>
        <w:t>:</w:t>
      </w:r>
    </w:p>
    <w:p>
      <w:pPr>
        <w:pStyle w:val="Heading3"/>
        <w:numPr>
          <w:ilvl w:val="2"/>
          <w:numId w:val="1"/>
        </w:numPr>
        <w:rPr/>
      </w:pPr>
      <w:bookmarkStart w:id="47" w:name="__RefHeading___Toc2937198_3650668749"/>
      <w:bookmarkStart w:id="48" w:name="_Toc17"/>
      <w:bookmarkEnd w:id="47"/>
      <w:r>
        <w:rPr>
          <w:rtl w:val="true"/>
        </w:rPr>
        <w:t>الف</w:t>
      </w:r>
      <w:r>
        <w:rPr>
          <w:rtl w:val="true"/>
        </w:rPr>
        <w:t xml:space="preserve">: </w:t>
      </w:r>
      <w:r>
        <w:rPr>
          <w:rtl w:val="true"/>
        </w:rPr>
        <w:t>اختلاف ديدگاه‌ها و روش‌هاى صحابه و تابعين و تابعينِ تابعين‌</w:t>
      </w:r>
      <w:bookmarkEnd w:id="48"/>
    </w:p>
    <w:p>
      <w:pPr>
        <w:pStyle w:val="BookText"/>
        <w:rPr/>
      </w:pPr>
      <w:r>
        <w:rPr>
          <w:rFonts w:ascii="IRNazanin" w:hAnsi="IRNazanin" w:eastAsia="IRNazanin"/>
          <w:color w:val="111111"/>
          <w:sz w:val="28"/>
          <w:sz w:val="28"/>
          <w:szCs w:val="28"/>
          <w:rtl w:val="true"/>
          <w:lang w:bidi="fa-IR"/>
        </w:rPr>
        <w:t>بعد از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اختلاف درباره موت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گفتند پيامبر نمرده است، بلكه خدا او را چون عيسى بن مريم بالا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اختلاف با قرائت آيه إِنَّكَ مَيِّتٌ وَ إِنَّهُمْ مَيِّتُونَ </w:t>
      </w:r>
      <w:r>
        <w:rPr>
          <w:rStyle w:val="FootnoteAnchor"/>
          <w:rtl w:val="true"/>
        </w:rPr>
        <w:footnoteReference w:id="82"/>
      </w:r>
      <w:r>
        <w:rPr>
          <w:rFonts w:ascii="IRNazanin" w:hAnsi="IRNazanin" w:eastAsia="IRNazanin"/>
          <w:color w:val="111111"/>
          <w:sz w:val="28"/>
          <w:sz w:val="28"/>
          <w:szCs w:val="28"/>
          <w:rtl w:val="true"/>
          <w:lang w:bidi="fa-IR"/>
        </w:rPr>
        <w:t>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اختلاف در مسأله امامت پيش آمد كه تاكنون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نيز اين بود كه گروهى از صحابه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 حقّ شرعى در خلافت مى‌دانستند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در مقابل، گروهى به ابابكر رأى دادند و گروهى پيرامون سعدبن عباده را گرفتند و بالأخره با غلبه طرفداران ابابكر نزاع به ظاهر پايان يافت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بعدى درزمان عمر و در مسأله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كرد، اين سخن به گوش عمر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p>
    <w:p>
      <w:pPr>
        <w:pStyle w:val="BookText"/>
        <w:rPr/>
      </w:pPr>
      <w:r>
        <w:rPr>
          <w:rFonts w:ascii="Amiri" w:hAnsi="Amiri" w:eastAsia="Amiri" w:cs="Amiri"/>
          <w:color w:val="111111"/>
          <w:sz w:val="28"/>
          <w:sz w:val="28"/>
          <w:szCs w:val="28"/>
          <w:rtl w:val="true"/>
          <w:lang w:bidi="ar-SA"/>
        </w:rPr>
        <w:t>را خواست، تازيانه زد، از مجلس بيرون كرد و به بصره تبعيد نمود و از مسلمانان خواست از او دروى كنند</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نظير اين سؤال را پيرمردى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واقعه صفين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رفتن ما به سوى شام و بازگشتمان به قضا و</w:t>
      </w:r>
    </w:p>
    <w:p>
      <w:pPr>
        <w:pStyle w:val="BookText"/>
        <w:rPr/>
      </w:pPr>
      <w:r>
        <w:rPr>
          <w:rFonts w:ascii="IRNazanin" w:hAnsi="IRNazanin" w:eastAsia="IRNazanin"/>
          <w:color w:val="111111"/>
          <w:sz w:val="28"/>
          <w:sz w:val="28"/>
          <w:szCs w:val="28"/>
          <w:rtl w:val="true"/>
          <w:lang w:bidi="fa-IR"/>
        </w:rPr>
        <w:t>قدر الهى بود؟ امير مؤمنان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اجر زحمات ما به حساب خداست و براى ما اجرى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 گمان كردى قضا و قدر امرى حتمى و ضرورى است و انسان را در افعالش اختيارى نيست؟ اگر چنين باشد پس ثواب و عقاب باطل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سوى ديگر، مى‌بينيم برخى از امراى بنى‌اميه به ويژه معاويه جبرگرايى را تبليغ مى‌كنند تا به مردم بقبولانند كه حكومت غاصبانه آنان بر مبناى مشيت و قضاى حتمى الهى بوده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حسن بصرى در نامه‌اى به عبدالملك مروان جبرگرايى را نفى مى‌كند و</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بندگان را بر انجام هيچ امرى مجبور نساخته است،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بكنيد چنان مى‌كنم، يعنى هر عملى را جزاى مناسب آن مى‌دهم </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او معتزله نيز به شدت از عقيده اختيار 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اراده تبليغ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جبرگرايان آزادى اراده و اختيار را با اراده و قدرت و مشيت مطلقه در تعارض مى‌ديدند و بر انجام امور بر وفق قضا و قدرحتمى تأكيد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توحيد نيز عده‌اى بر توحيد صفاتى تأكيد مى‌كردند و عده‌اى بر واقعيت داشتن صفات در خداى تعالى و ايمان به صفات خبرى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اصرار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فكرى موجب پيدايش گروه‌ها و نحله‌هاى متفاوت نظير شيعه، معتزله و صفاتيه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اشعريه، كراميه، مشبهه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هر گروه اعتقاد خاصى در اصول ايمانى داشتند و مردم را به سوى آن فرا خواندند و هركدام خود را فرقه ناجيه و اهل سنت واقعى دانستند</w:t>
      </w:r>
      <w:r>
        <w:rPr>
          <w:rFonts w:eastAsia="IRNazanin" w:cs="IRNazanin"/>
          <w:color w:val="111111"/>
          <w:sz w:val="28"/>
          <w:szCs w:val="28"/>
          <w:rtl w:val="true"/>
          <w:lang w:bidi="fa-IR"/>
        </w:rPr>
        <w:t>.</w:t>
      </w:r>
      <w:bookmarkStart w:id="49" w:name="pg10570_179047"/>
    </w:p>
    <w:p>
      <w:pPr>
        <w:pStyle w:val="Heading3"/>
        <w:numPr>
          <w:ilvl w:val="2"/>
          <w:numId w:val="1"/>
        </w:numPr>
        <w:rPr/>
      </w:pPr>
      <w:bookmarkStart w:id="50" w:name="__RefHeading___Toc2937200_3650668749"/>
      <w:bookmarkStart w:id="51" w:name="_Toc18"/>
      <w:bookmarkEnd w:id="49"/>
      <w:bookmarkEnd w:id="50"/>
      <w:r>
        <w:rPr>
          <w:rtl w:val="true"/>
        </w:rPr>
        <w:t>ب</w:t>
      </w:r>
      <w:r>
        <w:rPr>
          <w:rtl w:val="true"/>
        </w:rPr>
        <w:t xml:space="preserve">: </w:t>
      </w:r>
      <w:r>
        <w:rPr>
          <w:rtl w:val="true"/>
        </w:rPr>
        <w:t>ظهور اهل اثر</w:t>
      </w:r>
      <w:bookmarkEnd w:id="51"/>
    </w:p>
    <w:p>
      <w:pPr>
        <w:pStyle w:val="BookText"/>
        <w:rPr/>
      </w:pPr>
      <w:r>
        <w:rPr>
          <w:rFonts w:ascii="IRNazanin" w:hAnsi="IRNazanin" w:eastAsia="IRNazanin"/>
          <w:color w:val="111111"/>
          <w:sz w:val="28"/>
          <w:sz w:val="28"/>
          <w:szCs w:val="28"/>
          <w:rtl w:val="true"/>
          <w:lang w:bidi="fa-IR"/>
        </w:rPr>
        <w:t>ميان صاحبان انديشه گروهى از عالمان دينى، چه در اصول اعتقادى و چه در فروع و احكام عملى، بر ظواهر كتاب و سنت تأكيد داشتند كه از آن جمله مى‌توان از مالك بن انس، محمد بن ادريس شافعى، سفيان ثورى، احمد بن حنبل، داود بن على محمد اصفهانى و اصحاب او نام برد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را در ابتدا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اصلى آنها بحث در احكام و فروع بود و در احاديث اعتقادى به ظواهر آن بسنده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شدند و احمد بن حنبل كه بيش از ديگران به ظواهر كتاب و سنت، چه در اصول و چه در فروع، تأكيد داشت، به عنوان پيشواى اهل حديث خوانده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مرجع فكرى در مسائل اعتقادى و رساله عملى دراحكام فقهى و عبادى مورد پذيرش قرار گرفت</w:t>
      </w:r>
      <w:r>
        <w:rPr>
          <w:rFonts w:eastAsia="IRNazanin" w:cs="IRNazanin"/>
          <w:color w:val="111111"/>
          <w:sz w:val="28"/>
          <w:szCs w:val="28"/>
          <w:rtl w:val="true"/>
          <w:lang w:bidi="fa-IR"/>
        </w:rPr>
        <w:t xml:space="preserve">. </w:t>
      </w:r>
      <w:r>
        <w:rPr>
          <w:rStyle w:val="FootnoteAnchor"/>
          <w:rtl w:val="true"/>
        </w:rPr>
        <w:footnoteReference w:id="89"/>
      </w:r>
      <w:bookmarkStart w:id="52" w:name="pg10570_179048"/>
    </w:p>
    <w:p>
      <w:pPr>
        <w:pStyle w:val="BookText"/>
        <w:rPr/>
      </w:pPr>
      <w:bookmarkEnd w:id="52"/>
      <w:r>
        <w:rPr>
          <w:rFonts w:ascii="IRNazanin" w:hAnsi="IRNazanin" w:eastAsia="IRNazanin"/>
          <w:color w:val="111111"/>
          <w:sz w:val="28"/>
          <w:sz w:val="28"/>
          <w:szCs w:val="28"/>
          <w:rtl w:val="true"/>
          <w:lang w:bidi="fa-IR"/>
        </w:rPr>
        <w:t>احمد بن حنبل در نامه‌اى كه اصطخرى از او نقل كرده، خود را پيرو اصحاب اثر مى‌داند و اصحاب اثر را اهل سنت مى‌شمارد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53" w:name="__RefHeading___Toc2937202_3650668749"/>
      <w:bookmarkStart w:id="54" w:name="_Toc19"/>
      <w:bookmarkEnd w:id="53"/>
      <w:r>
        <w:rPr>
          <w:rtl w:val="true"/>
        </w:rPr>
        <w:t>ج</w:t>
      </w:r>
      <w:r>
        <w:rPr>
          <w:rtl w:val="true"/>
        </w:rPr>
        <w:t xml:space="preserve">: </w:t>
      </w:r>
      <w:r>
        <w:rPr>
          <w:rtl w:val="true"/>
        </w:rPr>
        <w:t>ظهور اهل حديث و احمد بن حنبل‌</w:t>
      </w:r>
      <w:bookmarkEnd w:id="54"/>
    </w:p>
    <w:p>
      <w:pPr>
        <w:pStyle w:val="BookText"/>
        <w:rPr/>
      </w:pPr>
      <w:r>
        <w:rPr>
          <w:rFonts w:ascii="IRNazanin" w:hAnsi="IRNazanin" w:eastAsia="IRNazanin"/>
          <w:color w:val="111111"/>
          <w:sz w:val="28"/>
          <w:sz w:val="28"/>
          <w:szCs w:val="28"/>
          <w:rtl w:val="true"/>
          <w:lang w:bidi="fa-IR"/>
        </w:rPr>
        <w:t>اگر بخواهيم تاريخ پيدايش و تحولات تفكرى گروهى را كه اكنون سلفيه خوانده مى‌شود به چند مرحله زمانى تقسيم كنيم، ظهور احمد بن حنبل را بايد يكى از نقاط عطف اين جريان فكرى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سطور اخير ذكر شد نيز مجموعه انديشه‌هايى بود كه به ظهور اهل حديث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خود را پيروان اصلى و انحصارى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و خويش را اهل سنت و اهل نجات ناميدند </w:t>
      </w:r>
      <w:r>
        <w:rPr>
          <w:rStyle w:val="FootnoteAnchor"/>
          <w:rtl w:val="true"/>
        </w:rPr>
        <w:footnoteReference w:id="91"/>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بالسّنة نجاةُ</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را مبناى فكرى و عمل خويش قرار داده و بر مبناى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الذّبُ عَن السنّة افضل من الجهاد في سبيل الله؛ </w:t>
      </w:r>
      <w:r>
        <w:rPr>
          <w:rStyle w:val="FootnoteAnchor"/>
          <w:rtl w:val="true"/>
        </w:rPr>
        <w:footnoteReference w:id="9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سنت برتر از جهاد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دفاع از عقايد خويش به عنوان عقيده اهل سنت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ابن حزم و ذهبى مهم‌ترين دوره رواج حديث، نيمه اول قرن سوم هجرى يعنى بعد از به قدرت رسيدن متوكل عباسى است</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اول هجرى بعد از آنكه عمر كتابت حديث و نقل آن را ممنوع كرد، بازار حديث خوانى مدتها از رونق افتاد تا آغاز قرن دوم هجرى كه عمربن عبدالعزيز دستور داد علما به گردآورى حديث و تدوين آن بپردازند و اين كار تا زمان مأمون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موضع مأمون درمقابل اهل حديث همچون موضع عمر بن خطاب بود كه از كتابت حديث نهى كرد و توجهى به آراى محدثان در باب عقايد نداشت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ابن حزم دليل اين كار را ورود اسرائيليات و جعل حديث مى‌داند كه به دنبال آن نزاع در صفات الهى و قديم بودن كلام الهى يعنى قرآن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معتزله كه قائل به خلق قرآن بودند و بيشتر به عقل گرايى گرايش داشتند، مورد حمايت بودند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بر محدثان سخت مى‌گرفت و اين سختگيرى در دوران معتصم نيز تا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كرد،</w:t>
      </w:r>
    </w:p>
    <w:p>
      <w:pPr>
        <w:pStyle w:val="BookText"/>
        <w:rPr/>
      </w:pPr>
      <w:r>
        <w:rPr>
          <w:rFonts w:ascii="IRNazanin" w:hAnsi="IRNazanin" w:eastAsia="IRNazanin"/>
          <w:color w:val="111111"/>
          <w:sz w:val="28"/>
          <w:sz w:val="28"/>
          <w:szCs w:val="28"/>
          <w:rtl w:val="true"/>
          <w:lang w:bidi="fa-IR"/>
        </w:rPr>
        <w:t>به طورى كه اين دوران را دوران محنت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احمد بن حنبل به علت پايدارى در عقايدش بيش از ديگران مورد اذيت و بى مهرى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متوكل بعد از برادرش واثق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خلافت را در دست گرفت، ميل شديدى به محدثان پيدا كرد، آنان را به سامرا فراخواند و از آنان خواست تا احاديث صفات و رؤيت خدا را بر مردم بخوانند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اضافه مى‌كند كه احاديث آحاد در باب عقايد اجازه انتشار نيافت مگر در اين زمان</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ابن حزم در جاى ديگر مى‌نويسد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دولت عباسى حاكميت را در دست گرفت، محدثان در فضيلت عباسيان و مذمت امويان و همچنين تفضيل عرب بر عجم، حديث‌ها جعل كردند و به پيامبر نسبت دادند و نيز طايفه‌اى از علماى اهل كتاب كه تظاهر به اسلام مى‌كردند، احاديثى جعل كردند كه معارض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گفتند كه خداى تعالى ملائكه را از موى بازوان و سينه‌اش خلق كرده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احمد بن حنبل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اثر باقى مانده از او، مسند اوست كه مشتمل بر نزديك به سى‌هزار حديث است كه همه رواياتش از جهت سند در نزد اهل سنت اعتبار يكسان ندارند، بلكه برخى صحيح و برخى ضعيف‌اند كه قابل اعتنا و عمل نيستند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كتاب‌هاى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علي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اولى از فضايل صحابه، به ويژه خلفا و از جمله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كتاب بيش از دويست صفحه در فضيلت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فضايلى چون حديث غدير، حديث منزلت، حديث سعدالابواب، حديث ثقلين، نزول آيه تطهير در حق اهل بيت، اولين مسلمان بودن او و عقد اخوت او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كسانى كه در رواج و گسترش مذهب اهل حديث نقش داشته‌اند، مى‌توان از اسحاق بن راهويه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سفيان ثورى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جرير طبرى نام برد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بعد از احمد بن حنبل نيز اهل حديث همچنان به حيات خويش در بين مسلمانان ادامه دادند</w:t>
      </w:r>
      <w:r>
        <w:rPr>
          <w:rFonts w:eastAsia="IRNazanin" w:cs="IRNazanin"/>
          <w:color w:val="111111"/>
          <w:sz w:val="28"/>
          <w:szCs w:val="28"/>
          <w:rtl w:val="true"/>
          <w:lang w:bidi="fa-IR"/>
        </w:rPr>
        <w:t>.</w:t>
      </w:r>
      <w:bookmarkStart w:id="55" w:name="pg10570_179055"/>
    </w:p>
    <w:p>
      <w:pPr>
        <w:pStyle w:val="Heading3"/>
        <w:numPr>
          <w:ilvl w:val="2"/>
          <w:numId w:val="1"/>
        </w:numPr>
        <w:rPr/>
      </w:pPr>
      <w:bookmarkStart w:id="56" w:name="__RefHeading___Toc2937204_3650668749"/>
      <w:bookmarkStart w:id="57" w:name="_Toc20"/>
      <w:bookmarkEnd w:id="55"/>
      <w:bookmarkEnd w:id="56"/>
      <w:r>
        <w:rPr>
          <w:rtl w:val="true"/>
        </w:rPr>
        <w:t>د</w:t>
      </w:r>
      <w:r>
        <w:rPr>
          <w:rtl w:val="true"/>
        </w:rPr>
        <w:t xml:space="preserve">: </w:t>
      </w:r>
      <w:r>
        <w:rPr>
          <w:rtl w:val="true"/>
        </w:rPr>
        <w:t>تابعان احمد بن حنبل‌</w:t>
      </w:r>
      <w:bookmarkEnd w:id="5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دوره‌هاى حياتى سلفى‌ها و اهل حديث را متمايز كنيم، بايد ظهور اثرگرايان در فقه و اعتقادات را دوره اول، زمان قدرت گرفتن احمد بن حنبل و اصحاب حديث در زمان متوكل عباسى را دوره دوم، دوران بعد از احمد بن حنبل تا ظهور ابن تيميه‌را دوره سوم، ظهور ابن تيميه را دوره چهارم، دوران بعد از او تا ظهور محمد بن عبدالوهاب را دوره پنجم، زمان ظهور او و حاكميت يافتن مذهب وهابيه در برخى سرزمين‌هاى اسلامى را دوره ششم و زمان بعد از او را دوره هفتم يا دوره معاصر بناميم</w:t>
      </w:r>
      <w:r>
        <w:rPr>
          <w:rFonts w:eastAsia="IRNazanin" w:cs="IRNazanin"/>
          <w:color w:val="111111"/>
          <w:sz w:val="28"/>
          <w:szCs w:val="28"/>
          <w:rtl w:val="true"/>
          <w:lang w:bidi="fa-IR"/>
        </w:rPr>
        <w:t>.</w:t>
      </w:r>
      <w:bookmarkStart w:id="58" w:name="pg10570_179056"/>
    </w:p>
    <w:p>
      <w:pPr>
        <w:pStyle w:val="Heading3"/>
        <w:numPr>
          <w:ilvl w:val="2"/>
          <w:numId w:val="1"/>
        </w:numPr>
        <w:rPr/>
      </w:pPr>
      <w:bookmarkStart w:id="59" w:name="__RefHeading___Toc2937206_3650668749"/>
      <w:bookmarkStart w:id="60" w:name="_Toc21"/>
      <w:bookmarkEnd w:id="58"/>
      <w:bookmarkEnd w:id="59"/>
      <w:r>
        <w:rPr>
          <w:rtl w:val="true"/>
        </w:rPr>
        <w:t>ه</w:t>
      </w:r>
      <w:r>
        <w:rPr>
          <w:rtl w:val="true"/>
        </w:rPr>
        <w:t xml:space="preserve">: </w:t>
      </w:r>
      <w:r>
        <w:rPr>
          <w:rtl w:val="true"/>
        </w:rPr>
        <w:t>ظهور ابن تيميه‌</w:t>
      </w:r>
      <w:bookmarkEnd w:id="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نقاط عطف تفكر سلف‌گرايى ظهور ابن تيميه حرّانى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آنكه به جاى پدرش بر كرسى تدريس و اِفتا نشست، عقايدى در مسائل توحيدى و جانبدارى از اهل حديث و پيروى از سلف و مخالفت با ساير گروه‌هاى فكرى و فرقه‌هاى كلامى و فقهى اظهار داشت كه در ميان مسلمانان اختلاف شديدى درباره افكار او پديد آمد تا جايى كه برخى او را به عنوان رهبر فكرى خويش پذيرفتند و برخى نيز او را به شدت انكار كردند و عقايد او را بدعت دانستند و فتوا به قتل يا حبس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ديدگاه‌ها درباره او مجال ديگرى مى‌طلبد</w:t>
      </w:r>
      <w:r>
        <w:rPr>
          <w:rFonts w:eastAsia="IRNazanin" w:cs="IRNazanin"/>
          <w:color w:val="111111"/>
          <w:sz w:val="28"/>
          <w:szCs w:val="28"/>
          <w:rtl w:val="true"/>
          <w:lang w:bidi="fa-IR"/>
        </w:rPr>
        <w:t>.</w:t>
      </w:r>
      <w:bookmarkStart w:id="61" w:name="pg10570_179057"/>
    </w:p>
    <w:p>
      <w:pPr>
        <w:pStyle w:val="Heading3"/>
        <w:numPr>
          <w:ilvl w:val="2"/>
          <w:numId w:val="1"/>
        </w:numPr>
        <w:rPr/>
      </w:pPr>
      <w:bookmarkStart w:id="62" w:name="__RefHeading___Toc2937208_3650668749"/>
      <w:bookmarkStart w:id="63" w:name="_Toc22"/>
      <w:bookmarkEnd w:id="61"/>
      <w:bookmarkEnd w:id="62"/>
      <w:r>
        <w:rPr>
          <w:rtl w:val="true"/>
        </w:rPr>
        <w:t>و</w:t>
      </w:r>
      <w:r>
        <w:rPr>
          <w:rtl w:val="true"/>
        </w:rPr>
        <w:t xml:space="preserve">: </w:t>
      </w:r>
      <w:r>
        <w:rPr>
          <w:rtl w:val="true"/>
        </w:rPr>
        <w:t>حيات سلفيه بعد از ابن تيميه‌</w:t>
      </w:r>
      <w:bookmarkEnd w:id="63"/>
    </w:p>
    <w:p>
      <w:pPr>
        <w:pStyle w:val="BookText"/>
        <w:rPr/>
      </w:pPr>
      <w:r>
        <w:rPr>
          <w:rFonts w:ascii="IRNazanin" w:hAnsi="IRNazanin" w:eastAsia="IRNazanin"/>
          <w:color w:val="111111"/>
          <w:sz w:val="28"/>
          <w:sz w:val="28"/>
          <w:szCs w:val="28"/>
          <w:rtl w:val="true"/>
          <w:lang w:bidi="fa-IR"/>
        </w:rPr>
        <w:t>بعد از ابن تيميه شاگردان و پيروان او، به ويژه ابن قيم جوزيه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انديشه‌هاى او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برخى در اهميت ابن قيم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ابن تيميه هيچ فضيلتى جز ترتبيت ابن قيم جوزى نبود، همين براى بزرگى جايگاه او كافى بود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بعد از وفات ابن تيميه نيز افكار او مورد توجه اهل حديث به ويژه حنبلى‌ها بود و شاگردانش بر مبناى عناصر فكرى او دعوت سلفيه را پايه ريزى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پلى براى وصول به مذهب سلف صالح به شمار مى‌آيد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بديهى است اين سخنان خالى از مبالغه نيست، چون پيروان يك مكتب فكرى غالباً رهبر آن مكتب را با ديده اعجاب و تحسين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شاگردان و پيروان ابن تيميه به افكار او تعصب خاصى داشتند؛ چنان كه يكى از محققان درباره ابن قيم مى‌نويسد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از اذيت‌هايى كه استادش ابن تيميه متحمل شد بى نصيب نبود، چنان كه همراه با او دستگير و در قلعه محبوس 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يكى ديگر از پيروان ابن تيميه، ابن رجب حنبلى</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تأليف اين كتاب در حفظ ميراث فرهنگى حنبلى‌ها تلاش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الاخلاص و تحقيق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شخصيت‌هاى اهل حديث كه در تبلور فكر سلفى و آراى حنابله و دفاع از عقايد مذهب حنبلى نقش بسزايى داشت، شمس الدين محمد بن احمد بن عثمان معروف به ذهبى</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ذهبى را جزء شاگردان ابن تيميه شمرده‌اند </w:t>
      </w:r>
      <w:r>
        <w:rPr>
          <w:rStyle w:val="FootnoteAnchor"/>
          <w:rtl w:val="true"/>
        </w:rPr>
        <w:footnoteReference w:id="103"/>
      </w:r>
      <w:r>
        <w:rPr>
          <w:rFonts w:ascii="IRNazanin" w:hAnsi="IRNazanin" w:eastAsia="IRNazanin"/>
          <w:color w:val="111111"/>
          <w:sz w:val="28"/>
          <w:sz w:val="28"/>
          <w:szCs w:val="28"/>
          <w:rtl w:val="true"/>
          <w:lang w:bidi="fa-IR"/>
        </w:rPr>
        <w:t>و برخى گفته‌اند بين او و ابن‌تيميه رابطه وثيقى وجود داشته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الصفدى او را محدث جامد نمى‌داند، بلكه آگاه به اقوال و مذاهب پيشوايان سلف مى‌شمارد</w:t>
      </w:r>
      <w:r>
        <w:rPr>
          <w:rFonts w:eastAsia="IRNazanin" w:cs="IRNazanin"/>
          <w:color w:val="111111"/>
          <w:sz w:val="28"/>
          <w:szCs w:val="28"/>
          <w:rtl w:val="true"/>
          <w:lang w:bidi="fa-IR"/>
        </w:rPr>
        <w:t xml:space="preserve">. </w:t>
      </w:r>
      <w:r>
        <w:rPr>
          <w:rStyle w:val="FootnoteAnchor"/>
          <w:rtl w:val="true"/>
        </w:rPr>
        <w:footnoteReference w:id="105"/>
      </w:r>
      <w:bookmarkStart w:id="64" w:name="pg10570_179061"/>
    </w:p>
    <w:p>
      <w:pPr>
        <w:pStyle w:val="Heading3"/>
        <w:numPr>
          <w:ilvl w:val="2"/>
          <w:numId w:val="1"/>
        </w:numPr>
        <w:rPr/>
      </w:pPr>
      <w:bookmarkStart w:id="65" w:name="__RefHeading___Toc2937210_3650668749"/>
      <w:bookmarkStart w:id="66" w:name="_Toc23"/>
      <w:bookmarkEnd w:id="64"/>
      <w:bookmarkEnd w:id="65"/>
      <w:r>
        <w:rPr>
          <w:rtl w:val="true"/>
        </w:rPr>
        <w:t>ز</w:t>
      </w:r>
      <w:r>
        <w:rPr>
          <w:rtl w:val="true"/>
        </w:rPr>
        <w:t xml:space="preserve">: </w:t>
      </w:r>
      <w:r>
        <w:rPr>
          <w:rtl w:val="true"/>
        </w:rPr>
        <w:t xml:space="preserve">ظهور محمد بن عبد الوهاب </w:t>
      </w:r>
      <w:r>
        <w:rPr>
          <w:rtl w:val="true"/>
        </w:rPr>
        <w:t>(</w:t>
      </w:r>
      <w:r>
        <w:rPr/>
        <w:t>1115</w:t>
      </w:r>
      <w:r>
        <w:rPr>
          <w:rtl w:val="true"/>
        </w:rPr>
        <w:t xml:space="preserve">- </w:t>
      </w:r>
      <w:r>
        <w:rPr/>
        <w:t>1206</w:t>
      </w:r>
      <w:r>
        <w:rPr>
          <w:rtl w:val="true"/>
        </w:rPr>
        <w:t xml:space="preserve"> </w:t>
      </w:r>
      <w:r>
        <w:rPr>
          <w:rtl w:val="true"/>
        </w:rPr>
        <w:t>ق</w:t>
      </w:r>
      <w:r>
        <w:rPr>
          <w:rtl w:val="true"/>
        </w:rPr>
        <w:t>)</w:t>
      </w:r>
      <w:bookmarkEnd w:id="6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محمد بن عبدالوهاب نقطه عطف ديگرى در تفكر سلفى‌گرى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قدرت نظامى و اقتصادى آل‌سعود افكار خويش را ترويج كرد و ديدگاه‌هاى فقهى خويش را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عينيه واقع در شمال رياض متولد شد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دوران كودكى و نوجوانى را نزد پدرش گذراند و نزد او بر اساس مذهب احمد ابن حنبل درس فقه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بسيار اهل مطالعه بود و توجه خاصى به كتاب‌هاى ابن تيميه و ابن قيم داشت و بيشتر كتاب‌هاى آنها را مطالعه كرد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محمد بن عبد الوهاب حنبلى مذهب بود، اما در فتاواى فقهى ملتزم به فقه احمد بن حنبل نبود و در بعضى از مسائل به فتواى خودش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اصول اعتقادى بيشتر پيرو ابن تيميه بود و به تبع او خود را سلفى مى‌ناميد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استاد مباشر ابن عبد الوهاب است، اگر چه بين آنها چهار قرن فاصله افتاد؛ چرا كه او به شدت تحت تأثير كتاب‌هاى ابن تيميه بود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محمد بن عبدالوهاب به برخى از بلاد اسلامى و از جمله به همدان و اصفهان سفركرد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اصفهان حكمت مشائى، شرح ملاعلى قوشجى بر تجريد، حكمت اشراقى و طريقه تصوف را آموخت</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سفرهاى علمى‌اش به حريملا برگشت و شروع به فعاليت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برخى از اعتقادات مردم را به باد انتقاد گرفت تا جايى كه بين او و پدرش منازعه و جدال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شيخ محمد دعوتش را در حريملا آشكار كرد و عده‌اى از اهل آنجا وى را پيروى كردند و شيخ بدين كار مشهور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بر اثر برخى پيشامدهاى ناگوار آنجا را ترك كرد و به عيينه رفت </w:t>
      </w:r>
      <w:r>
        <w:rPr>
          <w:rStyle w:val="FootnoteAnchor"/>
          <w:rtl w:val="true"/>
        </w:rPr>
        <w:footnoteReference w:id="110"/>
      </w:r>
      <w:r>
        <w:rPr>
          <w:rFonts w:ascii="IRNazanin" w:hAnsi="IRNazanin" w:eastAsia="IRNazanin"/>
          <w:color w:val="111111"/>
          <w:sz w:val="28"/>
          <w:sz w:val="28"/>
          <w:szCs w:val="28"/>
          <w:rtl w:val="true"/>
          <w:lang w:bidi="fa-IR"/>
        </w:rPr>
        <w:t>و عقايدش را براى حاكم آنجا آشكار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يارى رسانى، اميد اين دارم كه خداوند تو را پادشاه نجد و اعراب آن ديار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آنجا، عثمان بن حمد معمر، با او موافقت و مساعدت كرد تا شيخ محمد دعوتش را آشكار ساخت و بعضى از مردم عقايد او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حمايت حاكم و تابعانش درختانى را كه در آن نواحى مظهر تقدس بودند قطع كرد و در جبيله بارگاهى را كه به نام ضيد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عمر كه در غزوه يمامه در مقابل مسيلمه كذاب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بود خراب كرد</w:t>
      </w:r>
      <w:r>
        <w:rPr>
          <w:rFonts w:eastAsia="IRNazanin" w:cs="IRNazanin"/>
          <w:color w:val="111111"/>
          <w:sz w:val="28"/>
          <w:szCs w:val="28"/>
          <w:rtl w:val="true"/>
          <w:lang w:bidi="fa-IR"/>
        </w:rPr>
        <w:t>.</w:t>
      </w:r>
    </w:p>
    <w:p>
      <w:pPr>
        <w:pStyle w:val="BookText"/>
        <w:rPr/>
      </w:pP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اقدامات به گوش والى احساء رسيد و او عثمان بن معمر حاكم عيينه را از حمايت محمد بن عبدالوهاب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آنجا را ترك كرد و به درعيه رفت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حاكم آنجا رابطه دوستى برقرار كرد و از او براى حمايت از اقدامات خويش كمك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سعود با دو شرط پذيرفت كه او را يارى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او را تنها نگذارد و به وطنش برنگردد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مانع اخذ خراج از مردم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عبدالوهاب شرط اول را با جان و دل پذيرفت و در مورد شرط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گنجينه‌هايى بهتر از آن خواهد داد كه تو را بى‌نياز از آن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دعوت و به دنبال آن مبارزه خود را در روستاها و شهرهاى اطراف و مسلمانانى كه به گمان او عقايدشان آلوده به شرك شده بود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روستاهاى اطراف يكى پس از ديگرى تسخير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رياض درسال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وسعت يافتن حوزه فرمانروايى ابن سعود و ابن عبدالوهاب، شيخ امور مردم و اموال و غنائم را به ابن سعود بخشيد و خود رهبرى دينى را به عهده گرفت و به عبادت و كارهاى علمى پرداخت</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شيخ سرانجام در سال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گزارش مختصرى بود كه بيشتر از زبان موافقان محمد بن عبدالوهاب و پيروان عقايد او نگاشته‌شد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صرف نظر از ديدگاه مخالفان او كه اولين آنها پدرش و دومى آنها برادرش بودند و اين دو خود از علماى حنبلى به شمار مى‌آمدند، و صرف نظر از ده‌ها كتاب كه در ردّ عقايد محمد بن عبدالوهاب نوشته شده است،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اينجا لازم است از علماى سلفيه، به ويژه پيروان عقايد محمد بن عبدالوهاب، به استناد مطالبى كه خودشان در كتاب‌هايشان گزارش كرده‌اند چند سؤال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درست است كه ما فهم خويش از دين و توحيد را عين دين و فهم ديگران از دين را باطل بدانيم؟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حق داريم فهم خودمان را از سنت نبوى و آنچه از سنت در دست ماست، عين چيزى كه خدا نازل كرده و پيامبر ابلاغ كرده يا تبيين نموده يا با قول و فعل خويش تقرير كرده بدانيم و فهم ديگران و آنچه را از سنت پيامبر در نزد ديگران است بدعت بشماريم؟</w:t>
      </w:r>
    </w:p>
    <w:p>
      <w:pPr>
        <w:pStyle w:val="BookText"/>
        <w:rPr/>
      </w:pPr>
      <w:r>
        <w:rPr>
          <w:rFonts w:ascii="IRNazanin" w:hAnsi="IRNazanin" w:eastAsia="IRNazanin"/>
          <w:color w:val="111111"/>
          <w:sz w:val="28"/>
          <w:sz w:val="28"/>
          <w:szCs w:val="28"/>
          <w:rtl w:val="true"/>
          <w:lang w:bidi="fa-IR"/>
        </w:rPr>
        <w:t>چرا بايد سنت نبوى را محدود به گفته‌ها و نوشته‌ها و فتاواى محمد بن عبدالوهاب و درنهايت ابن تيميه و ابن حنبل نماييم؟</w:t>
      </w:r>
    </w:p>
    <w:p>
      <w:pPr>
        <w:pStyle w:val="BookText"/>
        <w:rPr/>
      </w:pPr>
      <w:r>
        <w:rPr>
          <w:rFonts w:ascii="Amiri" w:hAnsi="Amiri" w:eastAsia="Amiri" w:cs="Amiri"/>
          <w:color w:val="111111"/>
          <w:sz w:val="28"/>
          <w:sz w:val="28"/>
          <w:szCs w:val="28"/>
          <w:rtl w:val="true"/>
          <w:lang w:bidi="ar-SA"/>
        </w:rPr>
        <w:t>آيا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سرور جوانان بهشت‌اند و باقر آل محمد و جعفر بن محمد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فهم سنت شايسته‌ترند يا محمد ابن عبدالوهاب؟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آنها از سلف صالح هستند يا محمد بن عبدالوهاب؟</w:t>
      </w:r>
    </w:p>
    <w:p>
      <w:pPr>
        <w:pStyle w:val="BookText"/>
        <w:rPr/>
      </w:pPr>
      <w:r>
        <w:rPr>
          <w:rFonts w:ascii="IRNazanin" w:hAnsi="IRNazanin" w:eastAsia="IRNazanin"/>
          <w:color w:val="111111"/>
          <w:sz w:val="28"/>
          <w:sz w:val="28"/>
          <w:szCs w:val="28"/>
          <w:rtl w:val="true"/>
          <w:lang w:bidi="fa-IR"/>
        </w:rPr>
        <w:t>آيا اگر كسى تابع عقايد و آراى فقهى شافعى يا مالك يا ابوحنيفه بود، در ضلالت و اهل بدعت است و اگر تابع آراى محمد بن عبدالوهاب بود در هدايت است؟</w:t>
      </w:r>
    </w:p>
    <w:p>
      <w:pPr>
        <w:pStyle w:val="BookText"/>
        <w:rPr/>
      </w:pPr>
      <w:r>
        <w:rPr>
          <w:rFonts w:ascii="IRNazanin" w:hAnsi="IRNazanin" w:eastAsia="IRNazanin"/>
          <w:color w:val="111111"/>
          <w:sz w:val="28"/>
          <w:sz w:val="28"/>
          <w:szCs w:val="28"/>
          <w:rtl w:val="true"/>
          <w:lang w:bidi="fa-IR"/>
        </w:rPr>
        <w:t>پيروان محمد بن عبدالوهاب ادعاى تبعيت از سلف صالح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اظهار اسلام مى‌كرد، پيامبر او را متهم به كفر و الحاد مى‌كرد؟</w:t>
      </w:r>
    </w:p>
    <w:p>
      <w:pPr>
        <w:pStyle w:val="BookText"/>
        <w:rPr/>
      </w:pPr>
      <w:r>
        <w:rPr>
          <w:rFonts w:ascii="Amiri" w:hAnsi="Amiri" w:eastAsia="Amiri" w:cs="Amiri"/>
          <w:color w:val="111111"/>
          <w:sz w:val="28"/>
          <w:sz w:val="28"/>
          <w:szCs w:val="28"/>
          <w:rtl w:val="true"/>
          <w:lang w:bidi="ar-SA"/>
        </w:rPr>
        <w:t>آيا مردم مكه و مدينه كه ده قرن حافظ بيت الله و بيت رسول الله بودند، مشرك و كافر بودند و محمد بن عبدالوهاب آنها را مسلمان كرد؟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جنگيدن با اهل قبله و متهم كردن آنها به شرك و بدعت جايز است؟</w:t>
      </w:r>
    </w:p>
    <w:p>
      <w:pPr>
        <w:pStyle w:val="BookText"/>
        <w:rPr/>
      </w:pPr>
      <w:r>
        <w:rPr>
          <w:rFonts w:ascii="IRNazanin" w:hAnsi="IRNazanin" w:eastAsia="IRNazanin"/>
          <w:color w:val="111111"/>
          <w:sz w:val="28"/>
          <w:sz w:val="28"/>
          <w:szCs w:val="28"/>
          <w:rtl w:val="true"/>
          <w:lang w:bidi="fa-IR"/>
        </w:rPr>
        <w:t>آيا اگر كسى مقام پيامبر را گرامى داشت و او را شفيع خويش نزد پروردگار قرار داد، به خاطر اينكه بنده صالح خداست و دعاى او نزد خدا مستجاب است، مشرك شده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نظر نگارنده مى‌رسد اين است كه با گذشت زمان و دور شدن از مبدأ رسالت و بى‌توجهى به حقيقت قرآن و سنت و بسنده كردن به ظواهر اسلام، كم‌كم اسرائيليات و مجعولات حاكمان اموى و عباسى و فرقه‌هاى كلامى و سياسى و انتساب آنها به پيامبر و خلفاى راشدين و صحابه در ميان مسلمانان رايج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فضيلت تراشى‌ها براى صحابه به طور مطلق است كه قبر زيد بن خطاب زيارتگاه و به قول محمد ابن عبدالوهاب پرستشگاه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علماى اهل حديث به ويژه حنبلى‌ها براى صحابه، حتى معاويه، فضيلت و برترى بر غير صحابه، ولو كسى چون عمر ابن عبدالعزيز باشد، قائل هستند، </w:t>
      </w:r>
      <w:r>
        <w:rPr>
          <w:rStyle w:val="FootnoteAnchor"/>
          <w:rtl w:val="true"/>
        </w:rPr>
        <w:footnoteReference w:id="115"/>
      </w:r>
      <w:r>
        <w:rPr>
          <w:rFonts w:ascii="Amiri" w:hAnsi="Amiri" w:eastAsia="Amiri" w:cs="Amiri"/>
          <w:color w:val="111111"/>
          <w:sz w:val="28"/>
          <w:sz w:val="28"/>
          <w:szCs w:val="28"/>
          <w:rtl w:val="true"/>
          <w:lang w:bidi="ar-SA"/>
        </w:rPr>
        <w:t>طبيعى است كه مردم عوام قبرشان را محل برآورده شدن حاجات و استجابت دعا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بهتر بود ابن عبدالوهاب و پيروانش به جاى هدر دادن خون مسلمانان به تصحيح منابع روايى خويش مى‌پرداختند و احاديث صحيح را از سقيم جدا مى‌كردند و به مردم رشد فرهنگى مى‌دادند نه اينكه با شمشير از نيام كشيده بخواهند آنها را مؤمن و موحد كنند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سخن در نقد افكار و اعمال سلفيه، به ويژه محمد بن عبدالوهاب و پيروانش كه به وهابيه مشهور شده‌اند، بسيار است كه اين مقال را مجالى بيش از اين نيست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رمضان البوطى، سلفيه بدعت يا مذهب، ترجمة حسين صابر، مشهد، آستان قدس رضوى،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سيد محمد كثيرى، السلفية بين اهل السنة و الامامية،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السلفية، نسبة وعقيدة ومنهجاً،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مغراوى، المفسرون بين التأويل والإثبات فى آيات الصفات، بيروت، مؤسسة الرسالة، 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جابرى، الفكر السلفى عند الشيعة الاثنا عشرية، بى جا، بى‌تا،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حلمى، قواعد المنهج السلفى فى الفكر الاسلامى، اسكندرية، دارالدعوة،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انديشمندان اهل سنت است كه در تقريب مذاهب اسلامى كوشش كرده و ركن ركين مقابله با وهابيت در سوريه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سلفيه، بدعت يا مذهب، مقدمة واعظ زاده خراسانى،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سلفيه، بدعت يا مذهب،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سلفيه، بدعت يا مذهب،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سلفيه، بدعت يا مذهب، ص </w:t>
      </w:r>
      <w:r>
        <w:rPr>
          <w:rFonts w:eastAsia="IRNazanin" w:cs="IRNazanin"/>
          <w:b w:val="false"/>
          <w:bCs w:val="false"/>
          <w:i w:val="false"/>
          <w:iCs w:val="false"/>
          <w:color w:val="333333"/>
          <w:sz w:val="20"/>
          <w:szCs w:val="20"/>
        </w:rPr>
        <w:t>261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 اسلامبولى، تحرير العقل من النقل، دمشق،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ابوزهره، السلفية،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ايشان، گسترش دايرة فتوحات اسلامى، گرايش بسيارى از پيروان اديان ديگر به اسلام، گرويدن هزاران تن از سرزمين‌هاى مجاور و نيز سرزمين‌هاى دور به اسلام و گسترش زندقه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رمضان البوطى، السلفيه، ص </w:t>
      </w:r>
      <w:r>
        <w:rPr>
          <w:rFonts w:eastAsia="IRNazanin" w:cs="IRNazanin"/>
          <w:b w:val="false"/>
          <w:bCs w:val="false"/>
          <w:i w:val="false"/>
          <w:iCs w:val="false"/>
          <w:color w:val="333333"/>
          <w:sz w:val="20"/>
          <w:szCs w:val="20"/>
        </w:rPr>
        <w:t>47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آيا ديدى؟ مقصود اين است كه آيا ديدى حكم فلان مسأله چه بود؟ پس حكم اين مسأله نيز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البوطى، 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پاكتچى، دايرة المعارف بزرگ اسلامى،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تهران، مركز دائرة المعارف بزرگ اسلامى، 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مجموعة فتاوى، مروان كجك، مصر، دارالكلمة الطيبه،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بن عبدالكريم العقل، دراسات فى الاهواء و البدء،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بدران، المدخل إلى مذهب الإمام احمد بن حنبل، بيروت، داراحياء التراث، بى تا،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مذهب الإمام احمد بن حنبل، ص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مجموعة فتاوى، ص </w:t>
      </w:r>
      <w:r>
        <w:rPr>
          <w:rFonts w:eastAsia="IRNazanin" w:cs="IRNazanin"/>
          <w:b w:val="false"/>
          <w:bCs w:val="false"/>
          <w:i w:val="false"/>
          <w:iCs w:val="false"/>
          <w:color w:val="333333"/>
          <w:sz w:val="20"/>
          <w:szCs w:val="20"/>
        </w:rPr>
        <w:t>346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ص </w:t>
      </w:r>
      <w:r>
        <w:rPr>
          <w:rFonts w:eastAsia="IRNazanin" w:cs="IRNazanin"/>
          <w:b w:val="false"/>
          <w:bCs w:val="false"/>
          <w:i w:val="false"/>
          <w:iCs w:val="false"/>
          <w:color w:val="333333"/>
          <w:sz w:val="20"/>
          <w:szCs w:val="20"/>
        </w:rPr>
        <w:t>346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فَقاتِلُوا الَّتِى تَبْغِى حَتَّى تَفِى‌ءَ إِلى 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فى معرفة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عسكرى، يكصد و پنجاه صحابة ساختگى،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مجموعة فتاوى،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عسكرى، معالم المدرستين، ص </w:t>
      </w:r>
      <w:r>
        <w:rPr>
          <w:rFonts w:eastAsia="IRNazanin" w:cs="IRNazanin"/>
          <w:b w:val="false"/>
          <w:bCs w:val="false"/>
          <w:i w:val="false"/>
          <w:iCs w:val="false"/>
          <w:color w:val="333333"/>
          <w:sz w:val="20"/>
          <w:szCs w:val="20"/>
        </w:rPr>
        <w:t>130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شوكانى،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حسين يعقوب اردنى، بررسى نظرية عدالت صحابه، ص </w:t>
      </w:r>
      <w:r>
        <w:rPr>
          <w:rFonts w:eastAsia="IRNazanin" w:cs="IRNazanin"/>
          <w:b w:val="false"/>
          <w:bCs w:val="false"/>
          <w:i w:val="false"/>
          <w:iCs w:val="false"/>
          <w:color w:val="333333"/>
          <w:sz w:val="20"/>
          <w:szCs w:val="20"/>
        </w:rPr>
        <w:t>118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مجموعة فتاوى،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فى معرفة الصحابة،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تيميه، التوحيد،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محمد بن عبدالوهاب، التوحيد، ص </w:t>
      </w:r>
      <w:r>
        <w:rPr>
          <w:rFonts w:eastAsia="IRNazanin" w:cs="IRNazanin"/>
          <w:b w:val="false"/>
          <w:bCs w:val="false"/>
          <w:i w:val="false"/>
          <w:iCs w:val="false"/>
          <w:color w:val="333333"/>
          <w:sz w:val="20"/>
          <w:szCs w:val="20"/>
        </w:rPr>
        <w:t>186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التوحيد،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فى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الاجوبة العراقية على أسئلة لاهورية،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شوكانى،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الاجوبة العراقية على اسئلة لاهورية،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از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از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عقيده واسطيه، ص </w:t>
      </w:r>
      <w:r>
        <w:rPr>
          <w:rFonts w:eastAsia="IRNazanin" w:cs="IRNazanin"/>
          <w:b w:val="false"/>
          <w:bCs w:val="false"/>
          <w:i w:val="false"/>
          <w:iCs w:val="false"/>
          <w:color w:val="333333"/>
          <w:sz w:val="20"/>
          <w:szCs w:val="20"/>
        </w:rPr>
        <w:t>140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رمضان البوطى معتقد است كه مذهب ساختن از عنوان سلف و پيروى از مذهبى به نام سلفيه، در نزد سلف صالح اهل سنت در سه قرن نخستين اسلام شناخته شده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سلفيه، بدعت يا مذهب،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سامى النشار، على؛ نشأة الفكر الفلسفى فى الاسلام، قاهره، مكتبة النهضة المصرية،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همان، ص </w:t>
      </w:r>
      <w:r>
        <w:rPr>
          <w:rFonts w:eastAsia="IRNazanin" w:cs="IRNazanin"/>
          <w:b w:val="false"/>
          <w:bCs w:val="false"/>
          <w:i w:val="false"/>
          <w:iCs w:val="false"/>
          <w:color w:val="333333"/>
          <w:sz w:val="20"/>
          <w:szCs w:val="20"/>
        </w:rPr>
        <w:t>56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عيون اخبار الرضا، ص </w:t>
      </w:r>
      <w:r>
        <w:rPr>
          <w:rFonts w:eastAsia="IRNazanin" w:cs="IRNazanin"/>
          <w:b w:val="false"/>
          <w:bCs w:val="false"/>
          <w:i w:val="false"/>
          <w:iCs w:val="false"/>
          <w:color w:val="333333"/>
          <w:sz w:val="20"/>
          <w:szCs w:val="20"/>
        </w:rPr>
        <w:t>127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كراجكى، كنز الفوائد، ص </w:t>
      </w:r>
      <w:r>
        <w:rPr>
          <w:rFonts w:eastAsia="IRNazanin" w:cs="IRNazanin"/>
          <w:b w:val="false"/>
          <w:bCs w:val="false"/>
          <w:i w:val="false"/>
          <w:iCs w:val="false"/>
          <w:color w:val="333333"/>
          <w:sz w:val="20"/>
          <w:szCs w:val="20"/>
        </w:rPr>
        <w:t>14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بصرى و ديگران، رسائل العدل و التوحيد،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احمد بن يحيى يمانى، المنية و الامل، ص </w:t>
      </w:r>
      <w:r>
        <w:rPr>
          <w:rFonts w:eastAsia="IRNazanin" w:cs="IRNazanin"/>
          <w:b w:val="false"/>
          <w:bCs w:val="false"/>
          <w:i w:val="false"/>
          <w:iCs w:val="false"/>
          <w:color w:val="333333"/>
          <w:sz w:val="20"/>
          <w:szCs w:val="20"/>
        </w:rPr>
        <w:t>201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بغدادى، الفرق بين الفرق، بيروت، دارالآفاق، چاپ دوم،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الملل و النحل، بيروت، دار المعرفه،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الى مذهب الامام احمد بن حنبل، ص </w:t>
      </w:r>
      <w:r>
        <w:rPr>
          <w:rFonts w:eastAsia="IRNazanin" w:cs="IRNazanin"/>
          <w:b w:val="false"/>
          <w:bCs w:val="false"/>
          <w:i w:val="false"/>
          <w:iCs w:val="false"/>
          <w:color w:val="333333"/>
          <w:sz w:val="20"/>
          <w:szCs w:val="20"/>
        </w:rPr>
        <w:t>29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بن احمد بشير آبادى، آثار الواردة عن أئمة السنة فى ابواب الاعتقاد، رياض، دارالوطن،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ذهبى، سير اعلام النبلاء، بيروت، مؤسسة الرسالة،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اندلسى، علم الكلام على مذهب اهل السنة و الجماعة، قاهره، الأزهر،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ص </w:t>
      </w:r>
      <w:r>
        <w:rPr>
          <w:rFonts w:eastAsia="IRNazanin" w:cs="IRNazanin"/>
          <w:b w:val="false"/>
          <w:bCs w:val="false"/>
          <w:i w:val="false"/>
          <w:iCs w:val="false"/>
          <w:color w:val="333333"/>
          <w:sz w:val="20"/>
          <w:szCs w:val="20"/>
        </w:rPr>
        <w:t>256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الكلام على مذهب اهل السنة و الجماعة، ص </w:t>
      </w:r>
      <w:r>
        <w:rPr>
          <w:rFonts w:eastAsia="IRNazanin" w:cs="IRNazanin"/>
          <w:b w:val="false"/>
          <w:bCs w:val="false"/>
          <w:i w:val="false"/>
          <w:iCs w:val="false"/>
          <w:color w:val="333333"/>
          <w:sz w:val="20"/>
          <w:szCs w:val="20"/>
        </w:rPr>
        <w:t>11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الكلام على مذهب اهل السنة و الجماعة، ص </w:t>
      </w:r>
      <w:r>
        <w:rPr>
          <w:rFonts w:eastAsia="IRNazanin" w:cs="IRNazanin"/>
          <w:b w:val="false"/>
          <w:bCs w:val="false"/>
          <w:i w:val="false"/>
          <w:iCs w:val="false"/>
          <w:color w:val="333333"/>
          <w:sz w:val="20"/>
          <w:szCs w:val="20"/>
        </w:rPr>
        <w:t>12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پاكتچى، دائرة المعارف،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شيخ الاسلام ابن تيمية و اثرها على الحركات الاسلامية المعاصرة، ص </w:t>
      </w:r>
      <w:r>
        <w:rPr>
          <w:rFonts w:eastAsia="IRNazanin" w:cs="IRNazanin"/>
          <w:b w:val="false"/>
          <w:bCs w:val="false"/>
          <w:i w:val="false"/>
          <w:iCs w:val="false"/>
          <w:color w:val="333333"/>
          <w:sz w:val="20"/>
          <w:szCs w:val="20"/>
        </w:rPr>
        <w:t>159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الحسين شرف الدين، المراجعات، ص </w:t>
      </w:r>
      <w:r>
        <w:rPr>
          <w:rFonts w:eastAsia="IRNazanin" w:cs="IRNazanin"/>
          <w:b w:val="false"/>
          <w:bCs w:val="false"/>
          <w:i w:val="false"/>
          <w:iCs w:val="false"/>
          <w:color w:val="333333"/>
          <w:sz w:val="20"/>
          <w:szCs w:val="20"/>
        </w:rPr>
        <w:t>70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شيخ الاسلام ابن تيمية و اثرها على الحركات الاسلامية المعاصرة، ص </w:t>
      </w:r>
      <w:r>
        <w:rPr>
          <w:rFonts w:eastAsia="IRNazanin" w:cs="IRNazanin"/>
          <w:b w:val="false"/>
          <w:bCs w:val="false"/>
          <w:i w:val="false"/>
          <w:iCs w:val="false"/>
          <w:color w:val="333333"/>
          <w:sz w:val="20"/>
          <w:szCs w:val="20"/>
        </w:rPr>
        <w:t>83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مقدمه ارنؤط،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آل ابوطامى، كتاب الشيخ محمد بن عبدالوهاب، تصحيح عبد العزيز بن باز، مدينة الجامعة الاسلامية، بى‌تا، ص </w:t>
      </w:r>
      <w:r>
        <w:rPr>
          <w:rFonts w:eastAsia="IRNazanin" w:cs="IRNazanin"/>
          <w:b w:val="false"/>
          <w:bCs w:val="false"/>
          <w:i w:val="false"/>
          <w:iCs w:val="false"/>
          <w:color w:val="333333"/>
          <w:sz w:val="20"/>
          <w:szCs w:val="20"/>
        </w:rPr>
        <w:t>15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عباس محمود العقاد، الاسلام فى القرن العشرين، مصر، بى‌تا، ص </w:t>
      </w:r>
      <w:r>
        <w:rPr>
          <w:rFonts w:eastAsia="IRNazanin" w:cs="IRNazanin"/>
          <w:b w:val="false"/>
          <w:bCs w:val="false"/>
          <w:i w:val="false"/>
          <w:iCs w:val="false"/>
          <w:color w:val="333333"/>
          <w:sz w:val="20"/>
          <w:szCs w:val="20"/>
        </w:rPr>
        <w:t>68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الشيخ محمد بن عبد الوهاب، ص </w:t>
      </w:r>
      <w:r>
        <w:rPr>
          <w:rFonts w:eastAsia="IRNazanin" w:cs="IRNazanin"/>
          <w:b w:val="false"/>
          <w:bCs w:val="false"/>
          <w:i w:val="false"/>
          <w:iCs w:val="false"/>
          <w:color w:val="333333"/>
          <w:sz w:val="20"/>
          <w:szCs w:val="20"/>
        </w:rPr>
        <w:t>127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حماد، عزيز العظمة محمد بن عبدالوهاب، رياض،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فى القرن العشرين، ص </w:t>
      </w:r>
      <w:r>
        <w:rPr>
          <w:rFonts w:eastAsia="IRNazanin" w:cs="IRNazanin"/>
          <w:b w:val="false"/>
          <w:bCs w:val="false"/>
          <w:i w:val="false"/>
          <w:iCs w:val="false"/>
          <w:color w:val="333333"/>
          <w:sz w:val="20"/>
          <w:szCs w:val="20"/>
        </w:rPr>
        <w:t>69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فى القرن العشرين،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كتاب الشيخ محمد بن عبد الوهاب، ص </w:t>
      </w:r>
      <w:r>
        <w:rPr>
          <w:rFonts w:eastAsia="IRNazanin" w:cs="IRNazanin"/>
          <w:b w:val="false"/>
          <w:bCs w:val="false"/>
          <w:i w:val="false"/>
          <w:iCs w:val="false"/>
          <w:color w:val="333333"/>
          <w:sz w:val="20"/>
          <w:szCs w:val="20"/>
        </w:rPr>
        <w:t>23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فى القرن العشرين،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قانع بن حماد الجهنى، الموسوعة الميسرة فى الاديان و المذاهب، رياض، دارالندوة،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 حامد بن مرزوق دركتاب التوسل الى النبى نام چهل و دو كتاب از اين قبيل را ذكر كرده كه برخى از آنان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شيخ محمد بن سليمان كردى، استاد محمد بن عبدالوهاب؛ تجريد السيف الجهاد لمدعى الاجتهاد، عبدالله بن عبد اللطيف شافعى، استاد محمد ابن عبدالوهاب؛ الصواعق الالهية فى الرّد على الوهابية، شيخ سليمان ابن عبدالوهاب، برادر محمد بن عبدالوهاب؛ الصواعق و الرعود، عطيف الدين عبدالله بن داوُد حنبلى كه بسيارى از علماى بصره و بغداد و حلب و احساء و بلاد ديگر بر آن تقريظ نوشته و آن را تأييد كردند؛ رساله احمد بن على بصرى شافى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فقيهى، وهابيان،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مجموعة فتاوى،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11197</Words>
  <Characters>43307</Characters>
  <CharactersWithSpaces>54055</CharactersWithSpaces>
  <Paragraphs>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2026-08-16T19:18:00Z</dcterms:created>
  <dc:creator>ghaemiyeh.com</dc:creator>
  <dc:description/>
  <dc:language>en-US</dc:language>
  <cp:lastModifiedBy/>
  <dcterms:modified xsi:type="dcterms:W3CDTF">2026-08-16T22:48:02Z</dcterms:modified>
  <cp:revision>1</cp:revision>
  <dc:subject/>
  <dc:title>شناخت سلفیه معنا شناسی تاریخچه پیدایش و تحولات آن</dc:title>
</cp:coreProperties>
</file>

<file path=docProps/custom.xml><?xml version="1.0" encoding="utf-8"?>
<Properties xmlns="http://schemas.openxmlformats.org/officeDocument/2006/custom-properties" xmlns:vt="http://schemas.openxmlformats.org/officeDocument/2006/docPropsVTypes"/>
</file>