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المیاه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88940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588942_3650668749">
            <w:r>
              <w:rPr>
                <w:webHidden/>
                <w:rStyle w:val="IndexLink"/>
                <w:rtl w:val="true"/>
              </w:rPr>
              <w:t xml:space="preserve">مقدّمه </w:t>
            </w:r>
            <w:r>
              <w:rPr>
                <w:rStyle w:val="IndexLink"/>
                <w:rtl w:val="true"/>
              </w:rPr>
              <w:t>[</w:t>
            </w:r>
            <w:r>
              <w:rPr>
                <w:rStyle w:val="IndexLink"/>
                <w:rtl w:val="true"/>
              </w:rPr>
              <w:t>محقق</w:t>
            </w:r>
            <w:r>
              <w:rPr>
                <w:rStyle w:val="IndexLink"/>
                <w:rtl w:val="true"/>
              </w:rPr>
              <w:t>]</w:t>
              <w:tab/>
            </w:r>
            <w:r>
              <w:rPr>
                <w:rStyle w:val="IndexLink"/>
              </w:rPr>
              <w:t>4</w:t>
            </w:r>
          </w:hyperlink>
        </w:p>
        <w:p>
          <w:pPr>
            <w:pStyle w:val="Contents3"/>
            <w:tabs>
              <w:tab w:val="clear" w:pos="8459"/>
              <w:tab w:val="right" w:pos="9026" w:leader="dot"/>
            </w:tabs>
            <w:rPr/>
          </w:pPr>
          <w:hyperlink w:anchor="__RefHeading___Toc2588944_3650668749">
            <w:r>
              <w:rPr>
                <w:webHidden/>
                <w:rStyle w:val="IndexLink"/>
                <w:rtl w:val="true"/>
              </w:rPr>
              <w:t>اشارة</w:t>
            </w:r>
            <w:r>
              <w:rPr>
                <w:rStyle w:val="IndexLink"/>
                <w:rtl w:val="true"/>
              </w:rPr>
              <w:tab/>
            </w:r>
            <w:r>
              <w:rPr>
                <w:rStyle w:val="IndexLink"/>
              </w:rPr>
              <w:t>4</w:t>
            </w:r>
          </w:hyperlink>
        </w:p>
        <w:p>
          <w:pPr>
            <w:pStyle w:val="Contents3"/>
            <w:tabs>
              <w:tab w:val="clear" w:pos="8459"/>
              <w:tab w:val="right" w:pos="9026" w:leader="dot"/>
            </w:tabs>
            <w:rPr/>
          </w:pPr>
          <w:hyperlink w:anchor="__RefHeading___Toc2588946_3650668749">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2588948_3650668749">
            <w:r>
              <w:rPr>
                <w:webHidden/>
                <w:rStyle w:val="IndexLink"/>
                <w:rtl w:val="true"/>
              </w:rPr>
              <w:t>الف</w:t>
            </w:r>
            <w:r>
              <w:rPr>
                <w:rStyle w:val="IndexLink"/>
                <w:rtl w:val="true"/>
              </w:rPr>
              <w:t xml:space="preserve">: </w:t>
            </w:r>
            <w:r>
              <w:rPr>
                <w:rStyle w:val="IndexLink"/>
                <w:rtl w:val="true"/>
              </w:rPr>
              <w:t>دربارۀ تقريرات</w:t>
            </w:r>
            <w:r>
              <w:rPr>
                <w:rStyle w:val="IndexLink"/>
                <w:rtl w:val="true"/>
              </w:rPr>
              <w:tab/>
            </w:r>
            <w:r>
              <w:rPr>
                <w:rStyle w:val="IndexLink"/>
              </w:rPr>
              <w:t>5</w:t>
            </w:r>
          </w:hyperlink>
        </w:p>
        <w:p>
          <w:pPr>
            <w:pStyle w:val="Contents3"/>
            <w:tabs>
              <w:tab w:val="clear" w:pos="8459"/>
              <w:tab w:val="right" w:pos="9026" w:leader="dot"/>
            </w:tabs>
            <w:rPr/>
          </w:pPr>
          <w:hyperlink w:anchor="__RefHeading___Toc2588950_3650668749">
            <w:r>
              <w:rPr>
                <w:webHidden/>
                <w:rStyle w:val="IndexLink"/>
                <w:rtl w:val="true"/>
              </w:rPr>
              <w:t>ب</w:t>
            </w:r>
            <w:r>
              <w:rPr>
                <w:rStyle w:val="IndexLink"/>
                <w:rtl w:val="true"/>
              </w:rPr>
              <w:t xml:space="preserve">: </w:t>
            </w:r>
            <w:r>
              <w:rPr>
                <w:rStyle w:val="IndexLink"/>
                <w:rtl w:val="true"/>
              </w:rPr>
              <w:t>حيات علمى و اجتماعى علّامۀ نجفى اصفهانى</w:t>
            </w:r>
            <w:r>
              <w:rPr>
                <w:rStyle w:val="IndexLink"/>
                <w:rtl w:val="true"/>
              </w:rPr>
              <w:tab/>
            </w:r>
            <w:r>
              <w:rPr>
                <w:rStyle w:val="IndexLink"/>
              </w:rPr>
              <w:t>6</w:t>
            </w:r>
          </w:hyperlink>
        </w:p>
        <w:p>
          <w:pPr>
            <w:pStyle w:val="Contents4"/>
            <w:tabs>
              <w:tab w:val="clear" w:pos="8176"/>
              <w:tab w:val="right" w:pos="9026" w:leader="dot"/>
            </w:tabs>
            <w:rPr/>
          </w:pPr>
          <w:hyperlink w:anchor="__RefHeading___Toc2588952_3650668749">
            <w:r>
              <w:rPr>
                <w:webHidden/>
                <w:rStyle w:val="IndexLink"/>
                <w:rtl w:val="true"/>
              </w:rPr>
              <w:t>اشارة</w:t>
            </w:r>
            <w:r>
              <w:rPr>
                <w:rStyle w:val="IndexLink"/>
                <w:rtl w:val="true"/>
              </w:rPr>
              <w:tab/>
            </w:r>
            <w:r>
              <w:rPr>
                <w:rStyle w:val="IndexLink"/>
              </w:rPr>
              <w:t>6</w:t>
            </w:r>
          </w:hyperlink>
        </w:p>
        <w:p>
          <w:pPr>
            <w:pStyle w:val="Contents4"/>
            <w:tabs>
              <w:tab w:val="clear" w:pos="8176"/>
              <w:tab w:val="right" w:pos="9026" w:leader="dot"/>
            </w:tabs>
            <w:rPr/>
          </w:pPr>
          <w:hyperlink w:anchor="__RefHeading___Toc2588954_3650668749">
            <w:r>
              <w:rPr>
                <w:webHidden/>
                <w:rStyle w:val="IndexLink"/>
              </w:rPr>
              <w:t>1</w:t>
            </w:r>
            <w:r>
              <w:rPr>
                <w:rStyle w:val="IndexLink"/>
                <w:rtl w:val="true"/>
              </w:rPr>
              <w:t xml:space="preserve">- </w:t>
            </w:r>
            <w:r>
              <w:rPr>
                <w:rStyle w:val="IndexLink"/>
                <w:rtl w:val="true"/>
              </w:rPr>
              <w:t>تولّد و خاندان</w:t>
            </w:r>
            <w:r>
              <w:rPr>
                <w:rStyle w:val="IndexLink"/>
                <w:rtl w:val="true"/>
              </w:rPr>
              <w:tab/>
            </w:r>
            <w:r>
              <w:rPr>
                <w:rStyle w:val="IndexLink"/>
              </w:rPr>
              <w:t>7</w:t>
            </w:r>
          </w:hyperlink>
        </w:p>
        <w:p>
          <w:pPr>
            <w:pStyle w:val="Contents4"/>
            <w:tabs>
              <w:tab w:val="clear" w:pos="8176"/>
              <w:tab w:val="right" w:pos="9026" w:leader="dot"/>
            </w:tabs>
            <w:rPr/>
          </w:pPr>
          <w:hyperlink w:anchor="__RefHeading___Toc2588956_3650668749">
            <w:r>
              <w:rPr>
                <w:webHidden/>
                <w:rStyle w:val="IndexLink"/>
              </w:rPr>
              <w:t>2</w:t>
            </w:r>
            <w:r>
              <w:rPr>
                <w:rStyle w:val="IndexLink"/>
                <w:rtl w:val="true"/>
              </w:rPr>
              <w:t xml:space="preserve">- </w:t>
            </w:r>
            <w:r>
              <w:rPr>
                <w:rStyle w:val="IndexLink"/>
                <w:rtl w:val="true"/>
              </w:rPr>
              <w:t>تحصيلات و استادان</w:t>
            </w:r>
            <w:r>
              <w:rPr>
                <w:rStyle w:val="IndexLink"/>
                <w:rtl w:val="true"/>
              </w:rPr>
              <w:tab/>
            </w:r>
            <w:r>
              <w:rPr>
                <w:rStyle w:val="IndexLink"/>
              </w:rPr>
              <w:t>8</w:t>
            </w:r>
          </w:hyperlink>
        </w:p>
        <w:p>
          <w:pPr>
            <w:pStyle w:val="Contents4"/>
            <w:tabs>
              <w:tab w:val="clear" w:pos="8176"/>
              <w:tab w:val="right" w:pos="9026" w:leader="dot"/>
            </w:tabs>
            <w:rPr/>
          </w:pPr>
          <w:hyperlink w:anchor="__RefHeading___Toc2588958_3650668749">
            <w:r>
              <w:rPr>
                <w:webHidden/>
                <w:rStyle w:val="IndexLink"/>
              </w:rPr>
              <w:t>3</w:t>
            </w:r>
            <w:r>
              <w:rPr>
                <w:rStyle w:val="IndexLink"/>
                <w:rtl w:val="true"/>
              </w:rPr>
              <w:t xml:space="preserve">- </w:t>
            </w:r>
            <w:r>
              <w:rPr>
                <w:rStyle w:val="IndexLink"/>
                <w:rtl w:val="true"/>
              </w:rPr>
              <w:t>آثار و تأليفات</w:t>
            </w:r>
            <w:r>
              <w:rPr>
                <w:rStyle w:val="IndexLink"/>
                <w:rtl w:val="true"/>
              </w:rPr>
              <w:tab/>
            </w:r>
            <w:r>
              <w:rPr>
                <w:rStyle w:val="IndexLink"/>
              </w:rPr>
              <w:t>9</w:t>
            </w:r>
          </w:hyperlink>
        </w:p>
        <w:p>
          <w:pPr>
            <w:pStyle w:val="Contents4"/>
            <w:tabs>
              <w:tab w:val="clear" w:pos="8176"/>
              <w:tab w:val="right" w:pos="9026" w:leader="dot"/>
            </w:tabs>
            <w:rPr/>
          </w:pPr>
          <w:hyperlink w:anchor="__RefHeading___Toc2588960_3650668749">
            <w:r>
              <w:rPr>
                <w:webHidden/>
                <w:rStyle w:val="IndexLink"/>
              </w:rPr>
              <w:t>4</w:t>
            </w:r>
            <w:r>
              <w:rPr>
                <w:rStyle w:val="IndexLink"/>
                <w:rtl w:val="true"/>
              </w:rPr>
              <w:t xml:space="preserve">- </w:t>
            </w:r>
            <w:r>
              <w:rPr>
                <w:rStyle w:val="IndexLink"/>
                <w:rtl w:val="true"/>
              </w:rPr>
              <w:t>شاگردان</w:t>
            </w:r>
            <w:r>
              <w:rPr>
                <w:rStyle w:val="IndexLink"/>
                <w:rtl w:val="true"/>
              </w:rPr>
              <w:tab/>
            </w:r>
            <w:r>
              <w:rPr>
                <w:rStyle w:val="IndexLink"/>
              </w:rPr>
              <w:t>9</w:t>
            </w:r>
          </w:hyperlink>
        </w:p>
        <w:p>
          <w:pPr>
            <w:pStyle w:val="Contents4"/>
            <w:tabs>
              <w:tab w:val="clear" w:pos="8176"/>
              <w:tab w:val="right" w:pos="9026" w:leader="dot"/>
            </w:tabs>
            <w:rPr/>
          </w:pPr>
          <w:hyperlink w:anchor="__RefHeading___Toc2588962_3650668749">
            <w:r>
              <w:rPr>
                <w:webHidden/>
                <w:rStyle w:val="IndexLink"/>
              </w:rPr>
              <w:t>5</w:t>
            </w:r>
            <w:r>
              <w:rPr>
                <w:rStyle w:val="IndexLink"/>
                <w:rtl w:val="true"/>
              </w:rPr>
              <w:t xml:space="preserve">- </w:t>
            </w:r>
            <w:r>
              <w:rPr>
                <w:rStyle w:val="IndexLink"/>
                <w:rtl w:val="true"/>
              </w:rPr>
              <w:t>تقريرات</w:t>
            </w:r>
            <w:r>
              <w:rPr>
                <w:rStyle w:val="IndexLink"/>
                <w:rtl w:val="true"/>
              </w:rPr>
              <w:tab/>
            </w:r>
            <w:r>
              <w:rPr>
                <w:rStyle w:val="IndexLink"/>
              </w:rPr>
              <w:t>10</w:t>
            </w:r>
          </w:hyperlink>
        </w:p>
        <w:p>
          <w:pPr>
            <w:pStyle w:val="Contents4"/>
            <w:tabs>
              <w:tab w:val="clear" w:pos="8176"/>
              <w:tab w:val="right" w:pos="9026" w:leader="dot"/>
            </w:tabs>
            <w:rPr/>
          </w:pPr>
          <w:hyperlink w:anchor="__RefHeading___Toc2588964_3650668749">
            <w:r>
              <w:rPr>
                <w:webHidden/>
                <w:rStyle w:val="IndexLink"/>
              </w:rPr>
              <w:t>6</w:t>
            </w:r>
            <w:r>
              <w:rPr>
                <w:rStyle w:val="IndexLink"/>
                <w:rtl w:val="true"/>
              </w:rPr>
              <w:t xml:space="preserve">- </w:t>
            </w:r>
            <w:r>
              <w:rPr>
                <w:rStyle w:val="IndexLink"/>
                <w:rtl w:val="true"/>
              </w:rPr>
              <w:t>علّامۀ نجفى از نگاه ديگران</w:t>
            </w:r>
            <w:r>
              <w:rPr>
                <w:rStyle w:val="IndexLink"/>
                <w:rtl w:val="true"/>
              </w:rPr>
              <w:tab/>
            </w:r>
            <w:r>
              <w:rPr>
                <w:rStyle w:val="IndexLink"/>
              </w:rPr>
              <w:t>11</w:t>
            </w:r>
          </w:hyperlink>
        </w:p>
        <w:p>
          <w:pPr>
            <w:pStyle w:val="Contents4"/>
            <w:tabs>
              <w:tab w:val="clear" w:pos="8176"/>
              <w:tab w:val="right" w:pos="9026" w:leader="dot"/>
            </w:tabs>
            <w:rPr/>
          </w:pPr>
          <w:hyperlink w:anchor="__RefHeading___Toc2588966_3650668749">
            <w:r>
              <w:rPr>
                <w:webHidden/>
                <w:rStyle w:val="IndexLink"/>
              </w:rPr>
              <w:t>7</w:t>
            </w:r>
            <w:r>
              <w:rPr>
                <w:rStyle w:val="IndexLink"/>
                <w:rtl w:val="true"/>
              </w:rPr>
              <w:t xml:space="preserve">- </w:t>
            </w:r>
            <w:r>
              <w:rPr>
                <w:rStyle w:val="IndexLink"/>
                <w:rtl w:val="true"/>
              </w:rPr>
              <w:t>وفات</w:t>
            </w:r>
            <w:r>
              <w:rPr>
                <w:rStyle w:val="IndexLink"/>
                <w:rtl w:val="true"/>
              </w:rPr>
              <w:tab/>
            </w:r>
            <w:r>
              <w:rPr>
                <w:rStyle w:val="IndexLink"/>
              </w:rPr>
              <w:t>11</w:t>
            </w:r>
          </w:hyperlink>
        </w:p>
        <w:p>
          <w:pPr>
            <w:pStyle w:val="Contents3"/>
            <w:tabs>
              <w:tab w:val="clear" w:pos="8459"/>
              <w:tab w:val="right" w:pos="9026" w:leader="dot"/>
            </w:tabs>
            <w:rPr/>
          </w:pPr>
          <w:hyperlink w:anchor="__RefHeading___Toc2588968_3650668749">
            <w:r>
              <w:rPr>
                <w:webHidden/>
                <w:rStyle w:val="IndexLink"/>
                <w:rtl w:val="true"/>
              </w:rPr>
              <w:t>ج</w:t>
            </w:r>
            <w:r>
              <w:rPr>
                <w:rStyle w:val="IndexLink"/>
                <w:rtl w:val="true"/>
              </w:rPr>
              <w:t xml:space="preserve">: </w:t>
            </w:r>
            <w:r>
              <w:rPr>
                <w:rStyle w:val="IndexLink"/>
                <w:rtl w:val="true"/>
              </w:rPr>
              <w:t>حيات علمى و اجتماعى آية اللّه سيّد احمد حسينى زنجانى</w:t>
            </w:r>
            <w:r>
              <w:rPr>
                <w:rStyle w:val="IndexLink"/>
                <w:rtl w:val="true"/>
              </w:rPr>
              <w:tab/>
            </w:r>
            <w:r>
              <w:rPr>
                <w:rStyle w:val="IndexLink"/>
              </w:rPr>
              <w:t>12</w:t>
            </w:r>
          </w:hyperlink>
        </w:p>
        <w:p>
          <w:pPr>
            <w:pStyle w:val="Contents4"/>
            <w:tabs>
              <w:tab w:val="clear" w:pos="8176"/>
              <w:tab w:val="right" w:pos="9026" w:leader="dot"/>
            </w:tabs>
            <w:rPr/>
          </w:pPr>
          <w:hyperlink w:anchor="__RefHeading___Toc2588970_3650668749">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2588972_3650668749">
            <w:r>
              <w:rPr>
                <w:webHidden/>
                <w:rStyle w:val="IndexLink"/>
              </w:rPr>
              <w:t>1</w:t>
            </w:r>
            <w:r>
              <w:rPr>
                <w:rStyle w:val="IndexLink"/>
                <w:rtl w:val="true"/>
              </w:rPr>
              <w:t xml:space="preserve">- </w:t>
            </w:r>
            <w:r>
              <w:rPr>
                <w:rStyle w:val="IndexLink"/>
                <w:rtl w:val="true"/>
              </w:rPr>
              <w:t>تولّد و خاندان</w:t>
            </w:r>
            <w:r>
              <w:rPr>
                <w:rStyle w:val="IndexLink"/>
                <w:rtl w:val="true"/>
              </w:rPr>
              <w:tab/>
            </w:r>
            <w:r>
              <w:rPr>
                <w:rStyle w:val="IndexLink"/>
              </w:rPr>
              <w:t>12</w:t>
            </w:r>
          </w:hyperlink>
        </w:p>
        <w:p>
          <w:pPr>
            <w:pStyle w:val="Contents4"/>
            <w:tabs>
              <w:tab w:val="clear" w:pos="8176"/>
              <w:tab w:val="right" w:pos="9026" w:leader="dot"/>
            </w:tabs>
            <w:rPr/>
          </w:pPr>
          <w:hyperlink w:anchor="__RefHeading___Toc2588974_3650668749">
            <w:r>
              <w:rPr>
                <w:webHidden/>
                <w:rStyle w:val="IndexLink"/>
              </w:rPr>
              <w:t>2</w:t>
            </w:r>
            <w:r>
              <w:rPr>
                <w:rStyle w:val="IndexLink"/>
                <w:rtl w:val="true"/>
              </w:rPr>
              <w:t xml:space="preserve">- </w:t>
            </w:r>
            <w:r>
              <w:rPr>
                <w:rStyle w:val="IndexLink"/>
                <w:rtl w:val="true"/>
              </w:rPr>
              <w:t>تحصيلات و استادان</w:t>
            </w:r>
            <w:r>
              <w:rPr>
                <w:rStyle w:val="IndexLink"/>
                <w:rtl w:val="true"/>
              </w:rPr>
              <w:tab/>
            </w:r>
            <w:r>
              <w:rPr>
                <w:rStyle w:val="IndexLink"/>
              </w:rPr>
              <w:t>12</w:t>
            </w:r>
          </w:hyperlink>
        </w:p>
        <w:p>
          <w:pPr>
            <w:pStyle w:val="Contents4"/>
            <w:tabs>
              <w:tab w:val="clear" w:pos="8176"/>
              <w:tab w:val="right" w:pos="9026" w:leader="dot"/>
            </w:tabs>
            <w:rPr/>
          </w:pPr>
          <w:hyperlink w:anchor="__RefHeading___Toc2588976_3650668749">
            <w:r>
              <w:rPr>
                <w:webHidden/>
                <w:rStyle w:val="IndexLink"/>
              </w:rPr>
              <w:t>3</w:t>
            </w:r>
            <w:r>
              <w:rPr>
                <w:rStyle w:val="IndexLink"/>
                <w:rtl w:val="true"/>
              </w:rPr>
              <w:t xml:space="preserve">- </w:t>
            </w:r>
            <w:r>
              <w:rPr>
                <w:rStyle w:val="IndexLink"/>
                <w:rtl w:val="true"/>
              </w:rPr>
              <w:t>آية اللّه زنجانى در كلام ديگران</w:t>
            </w:r>
            <w:r>
              <w:rPr>
                <w:rStyle w:val="IndexLink"/>
                <w:rtl w:val="true"/>
              </w:rPr>
              <w:tab/>
            </w:r>
            <w:r>
              <w:rPr>
                <w:rStyle w:val="IndexLink"/>
              </w:rPr>
              <w:t>13</w:t>
            </w:r>
          </w:hyperlink>
        </w:p>
        <w:p>
          <w:pPr>
            <w:pStyle w:val="Contents4"/>
            <w:tabs>
              <w:tab w:val="clear" w:pos="8176"/>
              <w:tab w:val="right" w:pos="9026" w:leader="dot"/>
            </w:tabs>
            <w:rPr/>
          </w:pPr>
          <w:hyperlink w:anchor="__RefHeading___Toc2588978_3650668749">
            <w:r>
              <w:rPr>
                <w:webHidden/>
                <w:rStyle w:val="IndexLink"/>
              </w:rPr>
              <w:t>4</w:t>
            </w:r>
            <w:r>
              <w:rPr>
                <w:rStyle w:val="IndexLink"/>
                <w:rtl w:val="true"/>
              </w:rPr>
              <w:t xml:space="preserve">- </w:t>
            </w:r>
            <w:r>
              <w:rPr>
                <w:rStyle w:val="IndexLink"/>
                <w:rtl w:val="true"/>
              </w:rPr>
              <w:t>آثار و تأليفات</w:t>
            </w:r>
            <w:r>
              <w:rPr>
                <w:rStyle w:val="IndexLink"/>
                <w:rtl w:val="true"/>
              </w:rPr>
              <w:tab/>
            </w:r>
            <w:r>
              <w:rPr>
                <w:rStyle w:val="IndexLink"/>
              </w:rPr>
              <w:t>14</w:t>
            </w:r>
          </w:hyperlink>
        </w:p>
        <w:p>
          <w:pPr>
            <w:pStyle w:val="Contents4"/>
            <w:tabs>
              <w:tab w:val="clear" w:pos="8176"/>
              <w:tab w:val="right" w:pos="9026" w:leader="dot"/>
            </w:tabs>
            <w:rPr/>
          </w:pPr>
          <w:hyperlink w:anchor="__RefHeading___Toc2588980_3650668749">
            <w:r>
              <w:rPr>
                <w:webHidden/>
                <w:rStyle w:val="IndexLink"/>
              </w:rPr>
              <w:t>5</w:t>
            </w:r>
            <w:r>
              <w:rPr>
                <w:rStyle w:val="IndexLink"/>
                <w:rtl w:val="true"/>
              </w:rPr>
              <w:t xml:space="preserve">- </w:t>
            </w:r>
            <w:r>
              <w:rPr>
                <w:rStyle w:val="IndexLink"/>
                <w:rtl w:val="true"/>
              </w:rPr>
              <w:t>وفات</w:t>
            </w:r>
            <w:r>
              <w:rPr>
                <w:rStyle w:val="IndexLink"/>
                <w:rtl w:val="true"/>
              </w:rPr>
              <w:tab/>
            </w:r>
            <w:r>
              <w:rPr>
                <w:rStyle w:val="IndexLink"/>
              </w:rPr>
              <w:t>14</w:t>
            </w:r>
          </w:hyperlink>
        </w:p>
        <w:p>
          <w:pPr>
            <w:pStyle w:val="Contents2"/>
            <w:tabs>
              <w:tab w:val="clear" w:pos="8743"/>
              <w:tab w:val="right" w:pos="9026" w:leader="dot"/>
            </w:tabs>
            <w:rPr/>
          </w:pPr>
          <w:hyperlink w:anchor="__RefHeading___Toc2588982_3650668749">
            <w:r>
              <w:rPr>
                <w:webHidden/>
                <w:rStyle w:val="IndexLink"/>
                <w:rtl w:val="true"/>
              </w:rPr>
              <w:t>سخنى دربارۀ اين أثر</w:t>
            </w:r>
            <w:r>
              <w:rPr>
                <w:rStyle w:val="IndexLink"/>
                <w:rtl w:val="true"/>
              </w:rPr>
              <w:tab/>
            </w:r>
            <w:r>
              <w:rPr>
                <w:rStyle w:val="IndexLink"/>
              </w:rPr>
              <w:t>15</w:t>
            </w:r>
          </w:hyperlink>
        </w:p>
        <w:p>
          <w:pPr>
            <w:pStyle w:val="Contents2"/>
            <w:tabs>
              <w:tab w:val="clear" w:pos="8743"/>
              <w:tab w:val="right" w:pos="9026" w:leader="dot"/>
            </w:tabs>
            <w:rPr/>
          </w:pPr>
          <w:hyperlink w:anchor="__RefHeading___Toc2588984_3650668749">
            <w:r>
              <w:rPr>
                <w:webHidden/>
                <w:rStyle w:val="IndexLink"/>
                <w:rtl w:val="true"/>
              </w:rPr>
              <w:t>[</w:t>
            </w:r>
            <w:r>
              <w:rPr>
                <w:rStyle w:val="IndexLink"/>
                <w:rtl w:val="true"/>
              </w:rPr>
              <w:t>الماء الراكد القليل</w:t>
            </w:r>
            <w:r>
              <w:rPr>
                <w:rStyle w:val="IndexLink"/>
                <w:rtl w:val="true"/>
              </w:rPr>
              <w:t>]</w:t>
              <w:tab/>
            </w:r>
            <w:r>
              <w:rPr>
                <w:rStyle w:val="IndexLink"/>
              </w:rPr>
              <w:t>19</w:t>
            </w:r>
          </w:hyperlink>
        </w:p>
        <w:p>
          <w:pPr>
            <w:pStyle w:val="Contents2"/>
            <w:tabs>
              <w:tab w:val="clear" w:pos="8743"/>
              <w:tab w:val="right" w:pos="9026" w:leader="dot"/>
            </w:tabs>
            <w:rPr/>
          </w:pPr>
          <w:hyperlink w:anchor="__RefHeading___Toc2588986_3650668749">
            <w:r>
              <w:rPr>
                <w:webHidden/>
                <w:rStyle w:val="IndexLink"/>
                <w:rtl w:val="true"/>
              </w:rPr>
              <w:t>انفعال ماء القليل و المضاف</w:t>
            </w:r>
            <w:r>
              <w:rPr>
                <w:rStyle w:val="IndexLink"/>
                <w:rtl w:val="true"/>
              </w:rPr>
              <w:tab/>
            </w:r>
            <w:r>
              <w:rPr>
                <w:rStyle w:val="IndexLink"/>
              </w:rPr>
              <w:t>22</w:t>
            </w:r>
          </w:hyperlink>
        </w:p>
        <w:p>
          <w:pPr>
            <w:pStyle w:val="Contents2"/>
            <w:tabs>
              <w:tab w:val="clear" w:pos="8743"/>
              <w:tab w:val="right" w:pos="9026" w:leader="dot"/>
            </w:tabs>
            <w:rPr/>
          </w:pPr>
          <w:hyperlink w:anchor="__RefHeading___Toc2588988_3650668749">
            <w:r>
              <w:rPr>
                <w:webHidden/>
                <w:rStyle w:val="IndexLink"/>
                <w:rtl w:val="true"/>
              </w:rPr>
              <w:t>[</w:t>
            </w:r>
            <w:r>
              <w:rPr>
                <w:rStyle w:val="IndexLink"/>
                <w:rtl w:val="true"/>
              </w:rPr>
              <w:t>الماء الجاري</w:t>
            </w:r>
            <w:r>
              <w:rPr>
                <w:rStyle w:val="IndexLink"/>
                <w:rtl w:val="true"/>
              </w:rPr>
              <w:t>]</w:t>
              <w:tab/>
            </w:r>
            <w:r>
              <w:rPr>
                <w:rStyle w:val="IndexLink"/>
              </w:rPr>
              <w:t>23</w:t>
            </w:r>
          </w:hyperlink>
        </w:p>
        <w:p>
          <w:pPr>
            <w:pStyle w:val="Contents2"/>
            <w:tabs>
              <w:tab w:val="clear" w:pos="8743"/>
              <w:tab w:val="right" w:pos="9026" w:leader="dot"/>
            </w:tabs>
            <w:rPr/>
          </w:pPr>
          <w:hyperlink w:anchor="__RefHeading___Toc2588990_3650668749">
            <w:r>
              <w:rPr>
                <w:webHidden/>
                <w:rStyle w:val="IndexLink"/>
                <w:rtl w:val="true"/>
              </w:rPr>
              <w:t>[</w:t>
            </w:r>
            <w:r>
              <w:rPr>
                <w:rStyle w:val="IndexLink"/>
                <w:rtl w:val="true"/>
              </w:rPr>
              <w:t>ماء البئر</w:t>
            </w:r>
            <w:r>
              <w:rPr>
                <w:rStyle w:val="IndexLink"/>
                <w:rtl w:val="true"/>
              </w:rPr>
              <w:t>]</w:t>
              <w:tab/>
            </w:r>
            <w:r>
              <w:rPr>
                <w:rStyle w:val="IndexLink"/>
              </w:rPr>
              <w:t>27</w:t>
            </w:r>
          </w:hyperlink>
        </w:p>
        <w:p>
          <w:pPr>
            <w:pStyle w:val="Contents2"/>
            <w:tabs>
              <w:tab w:val="clear" w:pos="8743"/>
              <w:tab w:val="right" w:pos="9026" w:leader="dot"/>
            </w:tabs>
            <w:rPr/>
          </w:pPr>
          <w:hyperlink w:anchor="__RefHeading___Toc2588992_3650668749">
            <w:r>
              <w:rPr>
                <w:webHidden/>
                <w:rStyle w:val="IndexLink"/>
                <w:rtl w:val="true"/>
              </w:rPr>
              <w:t>[</w:t>
            </w:r>
            <w:r>
              <w:rPr>
                <w:rStyle w:val="IndexLink"/>
                <w:rtl w:val="true"/>
              </w:rPr>
              <w:t>ماء الحمّام</w:t>
            </w:r>
            <w:r>
              <w:rPr>
                <w:rStyle w:val="IndexLink"/>
                <w:rtl w:val="true"/>
              </w:rPr>
              <w:t>]</w:t>
              <w:tab/>
            </w:r>
            <w:r>
              <w:rPr>
                <w:rStyle w:val="IndexLink"/>
              </w:rPr>
              <w:t>29</w:t>
            </w:r>
          </w:hyperlink>
        </w:p>
        <w:p>
          <w:pPr>
            <w:pStyle w:val="Contents3"/>
            <w:tabs>
              <w:tab w:val="clear" w:pos="8459"/>
              <w:tab w:val="right" w:pos="9026" w:leader="dot"/>
            </w:tabs>
            <w:rPr/>
          </w:pPr>
          <w:hyperlink w:anchor="__RefHeading___Toc2588994_3650668749">
            <w:r>
              <w:rPr>
                <w:webHidden/>
                <w:rStyle w:val="IndexLink"/>
                <w:rtl w:val="true"/>
              </w:rPr>
              <w:t>[</w:t>
            </w:r>
            <w:r>
              <w:rPr>
                <w:rStyle w:val="IndexLink"/>
                <w:rtl w:val="true"/>
              </w:rPr>
              <w:t>في ألسن الأعلام ماء الحمّام حكمه حكم الجاري</w:t>
            </w:r>
            <w:r>
              <w:rPr>
                <w:rStyle w:val="IndexLink"/>
                <w:rtl w:val="true"/>
              </w:rPr>
              <w:t>]</w:t>
              <w:tab/>
            </w:r>
            <w:r>
              <w:rPr>
                <w:rStyle w:val="IndexLink"/>
              </w:rPr>
              <w:t>29</w:t>
            </w:r>
          </w:hyperlink>
        </w:p>
        <w:p>
          <w:pPr>
            <w:pStyle w:val="Contents3"/>
            <w:tabs>
              <w:tab w:val="clear" w:pos="8459"/>
              <w:tab w:val="right" w:pos="9026" w:leader="dot"/>
            </w:tabs>
            <w:rPr/>
          </w:pPr>
          <w:hyperlink w:anchor="__RefHeading___Toc2588996_3650668749">
            <w:r>
              <w:rPr>
                <w:webHidden/>
                <w:rStyle w:val="IndexLink"/>
                <w:rtl w:val="true"/>
              </w:rPr>
              <w:t>و أمّا النصوص الواردة فيه فكثيرة</w:t>
            </w:r>
            <w:r>
              <w:rPr>
                <w:rStyle w:val="IndexLink"/>
                <w:rtl w:val="true"/>
              </w:rPr>
              <w:t>:</w:t>
              <w:tab/>
            </w:r>
            <w:r>
              <w:rPr>
                <w:rStyle w:val="IndexLink"/>
              </w:rPr>
              <w:t>30</w:t>
            </w:r>
          </w:hyperlink>
        </w:p>
        <w:p>
          <w:pPr>
            <w:pStyle w:val="Contents2"/>
            <w:tabs>
              <w:tab w:val="clear" w:pos="8743"/>
              <w:tab w:val="right" w:pos="9026" w:leader="dot"/>
            </w:tabs>
            <w:rPr/>
          </w:pPr>
          <w:hyperlink w:anchor="__RefHeading___Toc2588998_3650668749">
            <w:r>
              <w:rPr>
                <w:webHidden/>
                <w:rStyle w:val="IndexLink"/>
                <w:rtl w:val="true"/>
              </w:rPr>
              <w:t>[</w:t>
            </w:r>
            <w:r>
              <w:rPr>
                <w:rStyle w:val="IndexLink"/>
                <w:rtl w:val="true"/>
              </w:rPr>
              <w:t>ماء المطر</w:t>
            </w:r>
            <w:r>
              <w:rPr>
                <w:rStyle w:val="IndexLink"/>
                <w:rtl w:val="true"/>
              </w:rPr>
              <w:t>]</w:t>
              <w:tab/>
            </w:r>
            <w:r>
              <w:rPr>
                <w:rStyle w:val="IndexLink"/>
              </w:rPr>
              <w:t>34</w:t>
            </w:r>
          </w:hyperlink>
        </w:p>
        <w:p>
          <w:pPr>
            <w:pStyle w:val="Contents2"/>
            <w:tabs>
              <w:tab w:val="clear" w:pos="8743"/>
              <w:tab w:val="right" w:pos="9026" w:leader="dot"/>
            </w:tabs>
            <w:rPr/>
          </w:pPr>
          <w:hyperlink w:anchor="__RefHeading___Toc2589000_3650668749">
            <w:r>
              <w:rPr>
                <w:webHidden/>
                <w:rStyle w:val="IndexLink"/>
                <w:rtl w:val="true"/>
              </w:rPr>
              <w:t>[</w:t>
            </w:r>
            <w:r>
              <w:rPr>
                <w:rStyle w:val="IndexLink"/>
                <w:rtl w:val="true"/>
              </w:rPr>
              <w:t>ماء الكر، تعريفه، تحديده و بعض أحكامه</w:t>
            </w:r>
            <w:r>
              <w:rPr>
                <w:rStyle w:val="IndexLink"/>
                <w:rtl w:val="true"/>
              </w:rPr>
              <w:t>]</w:t>
              <w:tab/>
            </w:r>
            <w:r>
              <w:rPr>
                <w:rStyle w:val="IndexLink"/>
              </w:rPr>
              <w:t>38</w:t>
            </w:r>
          </w:hyperlink>
        </w:p>
        <w:p>
          <w:pPr>
            <w:pStyle w:val="Contents2"/>
            <w:tabs>
              <w:tab w:val="clear" w:pos="8743"/>
              <w:tab w:val="right" w:pos="9026" w:leader="dot"/>
            </w:tabs>
            <w:rPr/>
          </w:pPr>
          <w:hyperlink w:anchor="__RefHeading___Toc2589002_3650668749">
            <w:r>
              <w:rPr>
                <w:webHidden/>
                <w:rStyle w:val="IndexLink"/>
                <w:rtl w:val="true"/>
              </w:rPr>
              <w:t xml:space="preserve">فهرست مصادر الرسالة و التقدمة </w:t>
            </w:r>
            <w:r>
              <w:rPr>
                <w:rStyle w:val="IndexLink"/>
                <w:rtl w:val="true"/>
              </w:rPr>
              <w:t>«</w:t>
            </w:r>
            <w:r>
              <w:rPr>
                <w:rStyle w:val="IndexLink"/>
              </w:rPr>
              <w:t>1</w:t>
            </w:r>
            <w:r>
              <w:rPr>
                <w:rStyle w:val="IndexLink"/>
                <w:rtl w:val="true"/>
              </w:rPr>
              <w:t>»</w:t>
              <w:tab/>
            </w:r>
            <w:r>
              <w:rPr>
                <w:rStyle w:val="IndexLink"/>
              </w:rPr>
              <w:t>43</w:t>
            </w:r>
          </w:hyperlink>
        </w:p>
        <w:p>
          <w:pPr>
            <w:pStyle w:val="Contents3"/>
            <w:tabs>
              <w:tab w:val="clear" w:pos="8459"/>
              <w:tab w:val="right" w:pos="9026" w:leader="dot"/>
            </w:tabs>
            <w:rPr/>
          </w:pPr>
          <w:hyperlink w:anchor="__RefHeading___Toc2589004_3650668749">
            <w:r>
              <w:rPr>
                <w:webHidden/>
                <w:rStyle w:val="IndexLink"/>
                <w:rtl w:val="true"/>
              </w:rPr>
              <w:t>المصادر العربية</w:t>
            </w:r>
            <w:r>
              <w:rPr>
                <w:rStyle w:val="IndexLink"/>
                <w:rtl w:val="true"/>
              </w:rPr>
              <w:tab/>
            </w:r>
            <w:r>
              <w:rPr>
                <w:rStyle w:val="IndexLink"/>
              </w:rPr>
              <w:t>43</w:t>
            </w:r>
          </w:hyperlink>
        </w:p>
        <w:p>
          <w:pPr>
            <w:pStyle w:val="Contents3"/>
            <w:tabs>
              <w:tab w:val="clear" w:pos="8459"/>
              <w:tab w:val="right" w:pos="9026" w:leader="dot"/>
            </w:tabs>
            <w:rPr/>
          </w:pPr>
          <w:hyperlink w:anchor="__RefHeading___Toc2589006_3650668749">
            <w:r>
              <w:rPr>
                <w:webHidden/>
                <w:rStyle w:val="IndexLink"/>
                <w:rtl w:val="true"/>
              </w:rPr>
              <w:t>المصادر الفارسية</w:t>
            </w:r>
            <w:r>
              <w:rPr>
                <w:rStyle w:val="IndexLink"/>
                <w:rtl w:val="true"/>
              </w:rPr>
              <w:tab/>
            </w:r>
            <w:r>
              <w:rPr>
                <w:rStyle w:val="IndexLink"/>
              </w:rPr>
              <w:t>49</w:t>
            </w:r>
          </w:hyperlink>
        </w:p>
        <w:p>
          <w:pPr>
            <w:pStyle w:val="Contents3"/>
            <w:tabs>
              <w:tab w:val="clear" w:pos="8459"/>
              <w:tab w:val="right" w:pos="9026" w:leader="dot"/>
            </w:tabs>
            <w:rPr/>
          </w:pPr>
          <w:hyperlink w:anchor="__RefHeading___Toc2589008_3650668749">
            <w:r>
              <w:rPr>
                <w:webHidden/>
                <w:rStyle w:val="IndexLink"/>
                <w:rtl w:val="true"/>
              </w:rPr>
              <w:t>المجلّات</w:t>
            </w:r>
            <w:r>
              <w:rPr>
                <w:rStyle w:val="IndexLink"/>
                <w:rtl w:val="true"/>
              </w:rPr>
              <w:tab/>
            </w:r>
            <w:r>
              <w:rPr>
                <w:rStyle w:val="IndexLink"/>
              </w:rPr>
              <w:t>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06_20058"/>
      <w:bookmarkStart w:id="1" w:name="pg1806_20058"/>
      <w:bookmarkEnd w:id="1"/>
    </w:p>
    <w:p>
      <w:pPr>
        <w:pStyle w:val="Heading2"/>
        <w:numPr>
          <w:ilvl w:val="1"/>
          <w:numId w:val="1"/>
        </w:numPr>
        <w:rPr/>
      </w:pPr>
      <w:bookmarkStart w:id="2" w:name="pg1806_20058"/>
      <w:bookmarkStart w:id="3" w:name="__RefHeading___Toc2588940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أحكام المياه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اصفهانى، محمد رضا، آقا نجفى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مركز تحقيقات رايانه‌اى حوزه علميه اصفهان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شابك</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96567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زنجانى، سيد احمد حسينى تاريخ وفات مقرر</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باقرى سيانى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احياء تراث مركز تحقيقات رايانه‌اى حوزه علميه اصفهان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حوزه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چهارم چاپ شده است</w:t>
      </w:r>
      <w:r>
        <w:rPr>
          <w:rFonts w:eastAsia="IRNazanin" w:cs="IRNazanin"/>
          <w:color w:val="111111"/>
          <w:sz w:val="28"/>
          <w:szCs w:val="28"/>
          <w:rtl w:val="true"/>
          <w:lang w:bidi="fa-IR"/>
        </w:rPr>
        <w:t>.</w:t>
      </w:r>
    </w:p>
    <w:p>
      <w:pPr>
        <w:pStyle w:val="Heading2"/>
        <w:numPr>
          <w:ilvl w:val="1"/>
          <w:numId w:val="1"/>
        </w:numPr>
        <w:rPr/>
      </w:pPr>
      <w:bookmarkStart w:id="5" w:name="__RefHeading___Toc2588942_3650668749"/>
      <w:bookmarkStart w:id="6" w:name="_Toc2"/>
      <w:bookmarkEnd w:id="5"/>
      <w:r>
        <w:rPr>
          <w:rtl w:val="true"/>
        </w:rPr>
        <w:t xml:space="preserve">مقدّمه </w:t>
      </w:r>
      <w:r>
        <w:rPr>
          <w:rtl w:val="true"/>
        </w:rPr>
        <w:t>[</w:t>
      </w:r>
      <w:r>
        <w:rPr>
          <w:rtl w:val="true"/>
        </w:rPr>
        <w:t>محقق</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588944_3650668749"/>
      <w:bookmarkStart w:id="8" w:name="_Toc3"/>
      <w:bookmarkEnd w:id="7"/>
      <w:r>
        <w:rPr>
          <w:rtl w:val="true"/>
        </w:rPr>
        <w:t>اشارة</w:t>
      </w:r>
      <w:bookmarkStart w:id="9" w:name="pg1806_20122"/>
      <w:bookmarkEnd w:id="8"/>
    </w:p>
    <w:p>
      <w:pPr>
        <w:pStyle w:val="Heading3"/>
        <w:numPr>
          <w:ilvl w:val="2"/>
          <w:numId w:val="1"/>
        </w:numPr>
        <w:rPr/>
      </w:pPr>
      <w:bookmarkStart w:id="10" w:name="__RefHeading___Toc2588946_3650668749"/>
      <w:bookmarkStart w:id="11" w:name="_Toc4"/>
      <w:bookmarkEnd w:id="9"/>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أحكام المياه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درس علّامۀ فقيه شيخ محمّد رضا نجفى اصفهانى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سيد احمد حسينى زنجانى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باقرى سيانى</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رسالۀ حاضر كه به انشاى دلپذير فقيه وارسته آية اللّه سيد احمد حسينى زنجانى سمتِ تحرير پذيرفته قسمتى از تقريرات فقهى علّامه ذو فنون آية اللّه العظمى شيخ محمّد رضا نجفى اصفهانى است و به دوران حضور وى در حوزة علميّۀ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مطابق با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مقال ابتدا متذكّر معناى تقريرات، تاريخ پيدائى و نكاتى دربارۀ آن گرديده، سپس به اختصار، به معرّفى علّامۀ نجفى، آية اللّه زنجانى و إيراد سخنى دربارۀ اين اثر مى‌پردازيم</w:t>
      </w:r>
      <w:r>
        <w:rPr>
          <w:rFonts w:eastAsia="IRNazanin" w:cs="IRNazanin"/>
          <w:color w:val="111111"/>
          <w:sz w:val="28"/>
          <w:szCs w:val="28"/>
          <w:rtl w:val="true"/>
          <w:lang w:bidi="fa-IR"/>
        </w:rPr>
        <w:t>.</w:t>
      </w:r>
    </w:p>
    <w:p>
      <w:pPr>
        <w:pStyle w:val="Heading3"/>
        <w:numPr>
          <w:ilvl w:val="2"/>
          <w:numId w:val="1"/>
        </w:numPr>
        <w:rPr/>
      </w:pPr>
      <w:bookmarkStart w:id="12" w:name="__RefHeading___Toc2588948_3650668749"/>
      <w:bookmarkStart w:id="13" w:name="_Toc5"/>
      <w:bookmarkEnd w:id="12"/>
      <w:r>
        <w:rPr>
          <w:rtl w:val="true"/>
        </w:rPr>
        <w:t>الف</w:t>
      </w:r>
      <w:r>
        <w:rPr>
          <w:rtl w:val="true"/>
        </w:rPr>
        <w:t xml:space="preserve">: </w:t>
      </w:r>
      <w:r>
        <w:rPr>
          <w:rtl w:val="true"/>
        </w:rPr>
        <w:t>دربارۀ تقريرات</w:t>
      </w:r>
      <w:bookmarkEnd w:id="13"/>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تقريرات عنوانى است كه بخشى كلان از ميراث علمى دانشمندان و عالمان شيعى</w:t>
      </w:r>
      <w:bookmarkStart w:id="14" w:name="pg1806_20125"/>
    </w:p>
    <w:p>
      <w:pPr>
        <w:pStyle w:val="BookText"/>
        <w:rPr/>
      </w:pPr>
      <w:bookmarkEnd w:id="14"/>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در گسترۀ دانش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كلام بزرگ كتاب‌شناس شيعه، مرحوم علّامه آقا بزرگ طهرانى، در اين باره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تقريرات عنوانى است كه در پايان قرن دوازدهم هجرى و پس از آن رايج گرديد و از برخى جهات شبيه به أمالى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حديثى و در اصطلاح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جهاتى نيز با آن اختلاف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نحوۀ پيدائى تقريرات، اين چنين بوده كه استاد در مجلس درس مطالبى را با تكيه بر حافظۀ خويش و يا از روى كتاب براى شاگردان مطرح مى‌نموده و آن‌ها مطالب استاد را يادداشت مى‌كرده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مجلس درس يا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آن مطالب را، مورد نقد و بررسى قرار مى‌داده و نظر خويش را نيز ذكر مى‌نموده و مجموع آن را در كتاب يا رساله‌اى به عنوان تقريرات و به نام خويش منتشر مى‌كردند</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علّامۀ طهرانى در ادامه، بيش از صد كتاب را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تذكّر اين نكته لازم و ضرور است كه بخشى انبوه از اين تقريرات در گذر زمان دستخوش حوادث گرديده و به ما نرسيد است، و اين مطلب آنگاه نمود بيش‌ترى مى‌يابد كه توجّه كنيم بزرگانى چون شيخ أعظم انصارى، مجدّد شيرازى و آخوند خراسانى در دوره‌هاى درسى خويش شاگردان فاضل فراوانى داشته‌اند كه بسيارى از آنان خود را به نوشتن تقريرات درس استاد مقيّد مى‌دانسته‌اند</w:t>
      </w:r>
      <w:r>
        <w:rPr>
          <w:rFonts w:eastAsia="IRNazanin" w:cs="IRNazanin"/>
          <w:color w:val="111111"/>
          <w:sz w:val="28"/>
          <w:szCs w:val="28"/>
          <w:rtl w:val="true"/>
          <w:lang w:bidi="fa-IR"/>
        </w:rPr>
        <w:t xml:space="preserve">. </w:t>
      </w:r>
      <w:r>
        <w:rPr>
          <w:rStyle w:val="FootnoteAnchor"/>
          <w:rtl w:val="true"/>
        </w:rPr>
        <w:footnoteReference w:id="3"/>
      </w:r>
    </w:p>
    <w:p>
      <w:pPr>
        <w:pStyle w:val="Heading3"/>
        <w:numPr>
          <w:ilvl w:val="2"/>
          <w:numId w:val="1"/>
        </w:numPr>
        <w:rPr/>
      </w:pPr>
      <w:bookmarkStart w:id="15" w:name="__RefHeading___Toc2588950_3650668749"/>
      <w:bookmarkStart w:id="16" w:name="_Toc6"/>
      <w:bookmarkEnd w:id="15"/>
      <w:r>
        <w:rPr>
          <w:rtl w:val="true"/>
        </w:rPr>
        <w:t>ب</w:t>
      </w:r>
      <w:r>
        <w:rPr>
          <w:rtl w:val="true"/>
        </w:rPr>
        <w:t xml:space="preserve">: </w:t>
      </w:r>
      <w:r>
        <w:rPr>
          <w:rtl w:val="true"/>
        </w:rPr>
        <w:t>حيات علمى و اجتماعى علّامۀ نجفى اصفهانى</w:t>
      </w:r>
      <w:bookmarkEnd w:id="16"/>
    </w:p>
    <w:p>
      <w:pPr>
        <w:pStyle w:val="Heading4"/>
        <w:numPr>
          <w:ilvl w:val="3"/>
          <w:numId w:val="1"/>
        </w:numPr>
        <w:rPr/>
      </w:pPr>
      <w:bookmarkStart w:id="17" w:name="__RefHeading___Toc2588952_3650668749"/>
      <w:bookmarkStart w:id="18" w:name="_Toc7"/>
      <w:bookmarkEnd w:id="17"/>
      <w:r>
        <w:rPr>
          <w:rtl w:val="true"/>
        </w:rPr>
        <w:t>اشارة</w:t>
      </w:r>
      <w:bookmarkEnd w:id="18"/>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ذو فنون، فقيه و اصولى نامدار، متكلّم و اديب برجسته، آية اللّه العظمى ابو المجد شيخ محمّد رضا نجفى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نوابغ روزگار و مفاخر علمى شيعه</w:t>
      </w:r>
      <w:bookmarkStart w:id="19" w:name="pg1806_20128"/>
    </w:p>
    <w:p>
      <w:pPr>
        <w:pStyle w:val="BookText"/>
        <w:rPr/>
      </w:pPr>
      <w:bookmarkEnd w:id="19"/>
      <w:r>
        <w:rPr>
          <w:rFonts w:ascii="IRNazanin" w:hAnsi="IRNazanin" w:eastAsia="IRNazanin"/>
          <w:color w:val="111111"/>
          <w:sz w:val="28"/>
          <w:sz w:val="28"/>
          <w:szCs w:val="28"/>
          <w:rtl w:val="true"/>
          <w:lang w:bidi="fa-IR"/>
        </w:rPr>
        <w:t>و مدرّسان بزرگ حوزۀ علمى اصفهان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چنان شهرت و آوازه‌اى برخوردار است كه وى را بى‌نياز از معرّفى مى‌سازد و ما در اين مقام تنها به ذكر چند نكته بسنده مى‌نمائيم</w:t>
      </w:r>
      <w:r>
        <w:rPr>
          <w:rFonts w:eastAsia="IRNazanin" w:cs="IRNazanin"/>
          <w:color w:val="111111"/>
          <w:sz w:val="28"/>
          <w:szCs w:val="28"/>
          <w:rtl w:val="true"/>
          <w:lang w:bidi="fa-IR"/>
        </w:rPr>
        <w:t>:</w:t>
      </w:r>
    </w:p>
    <w:p>
      <w:pPr>
        <w:pStyle w:val="Heading4"/>
        <w:numPr>
          <w:ilvl w:val="3"/>
          <w:numId w:val="1"/>
        </w:numPr>
        <w:rPr/>
      </w:pPr>
      <w:bookmarkStart w:id="20" w:name="__RefHeading___Toc2588954_3650668749"/>
      <w:bookmarkStart w:id="21" w:name="_Toc8"/>
      <w:bookmarkEnd w:id="20"/>
      <w:r>
        <w:rPr/>
        <w:t>1</w:t>
      </w:r>
      <w:r>
        <w:rPr>
          <w:rtl w:val="true"/>
        </w:rPr>
        <w:t xml:space="preserve">- </w:t>
      </w:r>
      <w:r>
        <w:rPr>
          <w:rtl w:val="true"/>
        </w:rPr>
        <w:t>تولّد و خاندان</w:t>
      </w:r>
      <w:bookmarkEnd w:id="21"/>
    </w:p>
    <w:p>
      <w:pPr>
        <w:pStyle w:val="BookText"/>
        <w:rPr/>
      </w:pPr>
      <w:r>
        <w:rPr>
          <w:rFonts w:ascii="Amiri" w:hAnsi="Amiri" w:eastAsia="Amiri" w:cs="Amiri"/>
          <w:color w:val="111111"/>
          <w:sz w:val="28"/>
          <w:sz w:val="28"/>
          <w:szCs w:val="28"/>
          <w:rtl w:val="true"/>
          <w:lang w:bidi="ar-SA"/>
        </w:rPr>
        <w:t xml:space="preserve">وى در بيستم ماه محرّم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در نجف اشرف به دنيا آمد</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پدر وى، علّامۀ، فقيه آية اللّه شيخ محمّد حسين اصفهانى، صاحب تفسير گرانسنگ مجد البيان مى‌باشد كه محدّث قمى از وى با اين تعبيرات ياد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ربّانى و فاضل صمدانى، وحيد بلا ثاني، جامع كمالات نفسانيّه در علم و عمل، شيخ مجاهدين و أفضل سالكين </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 وى، فقيه و اصولى بزرگ، آية اللّه العظمى شيخ محمّد باقر نجفى اصفهانى، از چهره‌هاى نامور حوزۀ علميّۀ اصفهان، از موفّق‌ترين كسان در رسيدگى به محرومان اجتماع در عصر خويش، و از شاگردان خصوصى شيخ اعظم انصارى، و نيز صاحب آثارى چون شرح هداية المسترشدين </w:t>
      </w:r>
      <w:r>
        <w:rPr>
          <w:rStyle w:val="FootnoteAnchor"/>
          <w:rtl w:val="true"/>
        </w:rPr>
        <w:footnoteReference w:id="6"/>
      </w:r>
      <w:r>
        <w:rPr>
          <w:rFonts w:ascii="IRNazanin" w:hAnsi="IRNazanin" w:eastAsia="IRNazanin"/>
          <w:color w:val="111111"/>
          <w:sz w:val="28"/>
          <w:sz w:val="28"/>
          <w:szCs w:val="28"/>
          <w:rtl w:val="true"/>
          <w:lang w:bidi="fa-IR"/>
        </w:rPr>
        <w:t xml:space="preserve">است </w:t>
      </w:r>
      <w:r>
        <w:rPr>
          <w:rStyle w:val="FootnoteAnchor"/>
          <w:rtl w:val="true"/>
        </w:rPr>
        <w:footnoteReference w:id="7"/>
      </w:r>
      <w:r>
        <w:rPr>
          <w:rFonts w:ascii="IRNazanin" w:hAnsi="IRNazanin" w:eastAsia="IRNazanin"/>
          <w:color w:val="111111"/>
          <w:sz w:val="28"/>
          <w:sz w:val="28"/>
          <w:szCs w:val="28"/>
          <w:rtl w:val="true"/>
          <w:lang w:bidi="fa-IR"/>
        </w:rPr>
        <w:t>فقيه محقّق و اصولى بزرگ مرحوم علّامه ميرزا محمّد حسين نائينى كه در ايّام حضور خود در اصفهان در شمار نزديكان شيخ محمّد باقر بوده و در بيرونى منزل وى سكونت داشته، راجع به حالات عبادى استاد خويش نقل مى‌كند كه وى در شب‌هاى ماه مبارك رمضان در قنوت نماز شب خويش با اشك و آه بر دعاى ابو حمزه ثمالى مداومت داشته است</w:t>
      </w:r>
      <w:r>
        <w:rPr>
          <w:rFonts w:eastAsia="IRNazanin" w:cs="IRNazanin"/>
          <w:color w:val="111111"/>
          <w:sz w:val="28"/>
          <w:szCs w:val="28"/>
          <w:rtl w:val="true"/>
          <w:lang w:bidi="fa-IR"/>
        </w:rPr>
        <w:t xml:space="preserve">. </w:t>
      </w:r>
      <w:r>
        <w:rPr>
          <w:rStyle w:val="FootnoteAnchor"/>
          <w:rtl w:val="true"/>
        </w:rPr>
        <w:footnoteReference w:id="8"/>
      </w:r>
      <w:bookmarkStart w:id="22" w:name="pg1806_20131"/>
    </w:p>
    <w:p>
      <w:pPr>
        <w:pStyle w:val="BookText"/>
        <w:rPr/>
      </w:pPr>
      <w:bookmarkEnd w:id="22"/>
      <w:r>
        <w:rPr>
          <w:rFonts w:ascii="IRNazanin" w:hAnsi="IRNazanin" w:eastAsia="IRNazanin"/>
          <w:color w:val="111111"/>
          <w:sz w:val="28"/>
          <w:sz w:val="28"/>
          <w:szCs w:val="28"/>
          <w:rtl w:val="true"/>
          <w:lang w:bidi="fa-IR"/>
        </w:rPr>
        <w:t xml:space="preserve">جدّ أعلاى وى، علّامۀ فقيه و اصولى نامدار، آية اللّه العظمى شيخ محمّد تقى رازى نجفى اصفهانى، است كه از اسطوانه‌هاى علمى شيعه، به شمار مى‌رود و كتاب هداية المسترشدين وى پيوسته مورد توجّه و رجوع عالمان و دانشمندان اصول‌انديش و اصول‌آموز بوده </w:t>
      </w:r>
      <w:r>
        <w:rPr>
          <w:rStyle w:val="FootnoteAnchor"/>
          <w:rtl w:val="true"/>
        </w:rPr>
        <w:footnoteReference w:id="9"/>
      </w:r>
      <w:r>
        <w:rPr>
          <w:rFonts w:ascii="IRNazanin" w:hAnsi="IRNazanin" w:eastAsia="IRNazanin"/>
          <w:color w:val="111111"/>
          <w:sz w:val="28"/>
          <w:sz w:val="28"/>
          <w:szCs w:val="28"/>
          <w:rtl w:val="true"/>
          <w:lang w:bidi="fa-IR"/>
        </w:rPr>
        <w:t xml:space="preserve">و صاحب روضات الجنّات از وى با تعابيرى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المجتهدين و رئيس الموحّدين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مى‌كند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 w:name="__RefHeading___Toc2588956_3650668749"/>
      <w:bookmarkStart w:id="24" w:name="_Toc9"/>
      <w:bookmarkEnd w:id="23"/>
      <w:r>
        <w:rPr/>
        <w:t>2</w:t>
      </w:r>
      <w:r>
        <w:rPr>
          <w:rtl w:val="true"/>
        </w:rPr>
        <w:t xml:space="preserve">- </w:t>
      </w:r>
      <w:r>
        <w:rPr>
          <w:rtl w:val="true"/>
        </w:rPr>
        <w:t>تحصيلات و استادان</w:t>
      </w:r>
      <w:bookmarkEnd w:id="24"/>
    </w:p>
    <w:p>
      <w:pPr>
        <w:pStyle w:val="BookText"/>
        <w:rPr/>
      </w:pPr>
      <w:r>
        <w:rPr>
          <w:rFonts w:ascii="IRNazanin" w:hAnsi="IRNazanin" w:eastAsia="IRNazanin"/>
          <w:color w:val="111111"/>
          <w:sz w:val="28"/>
          <w:sz w:val="28"/>
          <w:szCs w:val="28"/>
          <w:rtl w:val="true"/>
          <w:lang w:bidi="fa-IR"/>
        </w:rPr>
        <w:t xml:space="preserve">علّامه شيخ محمّد رضا نجفى نه سال آغازين عمر را در نجف اشرف گذرانده و سپس همراه پدر ارجمندش به سمت اصفهان رهسپار گشته و پس از درنگى پنج‌ساله در اين شهر در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دوباره به نجف هجرت نموده است و به مدت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اين شهر مقدّس ماندگار گشته و توشه‌هاى ارجمند از علوم مختلف عصر خويش مانند فقه، اصول، حديث، تفسير، علم عروض، فنّ شعر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استادان وى عبارتند از حضرات آيات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محمّد فشاركى، ملّا محمّد كاظم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كفاية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محمّد كاظم 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العروة الوثقى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حاج آقا رضا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مصباح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اسماعيل صدر، شيخ الشرعية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إفاضة القدير في أحكام العصير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شيخ محمّد حسين اصفهانى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تفسير مجد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ميرزا حسين 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مستدرك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 مرتضى كشميرى، علّامه سيّد ابراهيم قزوينى، علّامۀ ميرزا حبيب اللّه اراكى، علّامه سيّد جعفر حلّى و </w:t>
      </w:r>
      <w:r>
        <w:rPr>
          <w:rFonts w:eastAsia="Amiri" w:cs="Amiri" w:ascii="Amiri" w:hAnsi="Amiri"/>
          <w:color w:val="111111"/>
          <w:sz w:val="28"/>
          <w:szCs w:val="28"/>
          <w:rtl w:val="true"/>
          <w:lang w:bidi="ar-SA"/>
        </w:rPr>
        <w:t>...</w:t>
      </w:r>
      <w:bookmarkStart w:id="25" w:name="pg1806_20134"/>
    </w:p>
    <w:p>
      <w:pPr>
        <w:pStyle w:val="Heading4"/>
        <w:numPr>
          <w:ilvl w:val="3"/>
          <w:numId w:val="1"/>
        </w:numPr>
        <w:rPr/>
      </w:pPr>
      <w:bookmarkStart w:id="26" w:name="__RefHeading___Toc2588958_3650668749"/>
      <w:bookmarkStart w:id="27" w:name="_Toc10"/>
      <w:bookmarkEnd w:id="25"/>
      <w:bookmarkEnd w:id="26"/>
      <w:r>
        <w:rPr/>
        <w:t>3</w:t>
      </w:r>
      <w:r>
        <w:rPr>
          <w:rtl w:val="true"/>
        </w:rPr>
        <w:t xml:space="preserve">- </w:t>
      </w:r>
      <w:r>
        <w:rPr>
          <w:rtl w:val="true"/>
        </w:rPr>
        <w:t>آثار و تأليفات</w:t>
      </w:r>
      <w:bookmarkEnd w:id="27"/>
    </w:p>
    <w:p>
      <w:pPr>
        <w:pStyle w:val="BookText"/>
        <w:rPr/>
      </w:pPr>
      <w:r>
        <w:rPr>
          <w:rFonts w:ascii="Amiri" w:hAnsi="Amiri" w:eastAsia="Amiri" w:cs="Amiri"/>
          <w:color w:val="111111"/>
          <w:sz w:val="28"/>
          <w:sz w:val="28"/>
          <w:szCs w:val="28"/>
          <w:rtl w:val="true"/>
          <w:lang w:bidi="ar-SA"/>
        </w:rPr>
        <w:t>وى در ميدان تأليف و آفرينش آثار ارزشمند از توفيقاتى بلند برخودار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گسترۀ آثار وى در حوزه‌هاى مختلف علوم اسلامى چون فقه، اصول، عرفان، فلسفه و كلام، ادبيّات عرب، حديث، تراجم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دقّت و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اصول فقه داراى شاهكارى بس بلند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وقاية الأذهان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ادبيّات عرب صاحب بنيانى رفيع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السيف الصنيع</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 در كارنامۀ خويش دربارۀ عرفان و معارف إلهى اثرى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أمجديّه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مباحث فقهى خالق آثارى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نجعة المرتاد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المجتهدين</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ميدان فلسفه و كلام نظريۀ داروين را به نقد مى‌كشد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فلسفۀ داروين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تراجم،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حلّى الدّهر العاطل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بزرگانى چون محدّث قمى، آقا بزرگ طهرانى، و شيخ على كاشف الغطاء از آن در آثار خود بهره برده‌اند</w:t>
      </w:r>
      <w:r>
        <w:rPr>
          <w:rFonts w:eastAsia="IRNazanin" w:cs="IRNazanin"/>
          <w:color w:val="111111"/>
          <w:sz w:val="28"/>
          <w:szCs w:val="28"/>
          <w:rtl w:val="true"/>
          <w:lang w:bidi="fa-IR"/>
        </w:rPr>
        <w:t xml:space="preserve">. </w:t>
      </w:r>
      <w:r>
        <w:rPr>
          <w:rStyle w:val="FootnoteAnchor"/>
          <w:rtl w:val="true"/>
        </w:rPr>
        <w:footnoteReference w:id="13"/>
      </w:r>
    </w:p>
    <w:p>
      <w:pPr>
        <w:pStyle w:val="Heading4"/>
        <w:numPr>
          <w:ilvl w:val="3"/>
          <w:numId w:val="1"/>
        </w:numPr>
        <w:rPr/>
      </w:pPr>
      <w:bookmarkStart w:id="28" w:name="__RefHeading___Toc2588960_3650668749"/>
      <w:bookmarkStart w:id="29" w:name="_Toc11"/>
      <w:bookmarkEnd w:id="28"/>
      <w:r>
        <w:rPr/>
        <w:t>4</w:t>
      </w:r>
      <w:r>
        <w:rPr>
          <w:rtl w:val="true"/>
        </w:rPr>
        <w:t xml:space="preserve">- </w:t>
      </w:r>
      <w:r>
        <w:rPr>
          <w:rtl w:val="true"/>
        </w:rPr>
        <w:t>شاگردان</w:t>
      </w:r>
      <w:bookmarkEnd w:id="2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نجفى پس از فراهم آوردن توشه‌اى بس گران‌قدر از حضور در درس درخشان‌ترين چهره‌هاى علمى نجف اشرف، بر كرسى تدرسى تكيه زد و انبوهى از تشنگان معارف اهل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چشمۀ فيّاض و جوشان كلام و بيان خويش سيراب نمود</w:t>
      </w:r>
      <w:r>
        <w:rPr>
          <w:rFonts w:eastAsia="IRNazanin" w:cs="IRNazanin"/>
          <w:color w:val="111111"/>
          <w:sz w:val="28"/>
          <w:szCs w:val="28"/>
          <w:rtl w:val="true"/>
          <w:lang w:bidi="fa-IR"/>
        </w:rPr>
        <w:t>.</w:t>
      </w:r>
      <w:bookmarkStart w:id="30" w:name="pg1806_20137"/>
    </w:p>
    <w:p>
      <w:pPr>
        <w:pStyle w:val="BookText"/>
        <w:rPr/>
      </w:pPr>
      <w:bookmarkEnd w:id="30"/>
      <w:r>
        <w:rPr>
          <w:rFonts w:ascii="IRNazanin" w:hAnsi="IRNazanin" w:eastAsia="IRNazanin"/>
          <w:color w:val="111111"/>
          <w:sz w:val="28"/>
          <w:sz w:val="28"/>
          <w:szCs w:val="28"/>
          <w:rtl w:val="true"/>
          <w:lang w:bidi="fa-IR"/>
        </w:rPr>
        <w:t>شاگردان وى را در دو حوزه مى‌توان سراغ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حوزۀ علمى اصفهان، حوزۀ علميّۀ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از زمان ورود به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تدريس را آغاز كرد و اين درس و بحث پرثمر تا پايان عمر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بدون وقفه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فرزانه مرحوم سيّد مصلح الدّين مهدوى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علمى اجتماعى اصفهان در دو قرن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يك‌صد و پنجاه نفر از شاگردان وى در اين دوره نام مى‌برد كه برخى از آنان عبارتند از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احمد فياض فُروشانى، شيخ حَيدر على محقّق، شيخ عبّاسعلى اديب حبيب‌آبادى، شيخ على مشكاة سِدِهى، سيّد مجتبى مير محمّد صادقى، سيّد مصطفى مهدوى هُرِستانى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هجرت به قم حدود يك سال در اين شهر مى‌ماند و به اصرار دوست فرزانۀ خويش، مؤسّس حوزۀ علميّۀ قم، مرحوم حاج شيخ عبد الكريم حائرى يزدى، حوزۀ تدريس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وى در اين دوره عدّه‌اى از طلّاب فاضل آن زمان بودند كه بعدها هريك به مقامات بلند علمى و دينى نائل گشتند، از آن جمله حضرات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سيّد محمّد رضا گلپايگانى، سيّد شهاب الدّين مرعشى نجفى، حاج آقا رضا مدنى كاشانى، سيّد احمد زنجانى، ميرزا محمّد ثقفى طهرانى، شيخ محمّد باقر كمره‌اى، حاج ميرزا خليل كمره‌اى</w:t>
      </w:r>
      <w:r>
        <w:rPr>
          <w:rFonts w:eastAsia="IRNazanin" w:cs="IRNazanin"/>
          <w:color w:val="111111"/>
          <w:sz w:val="28"/>
          <w:szCs w:val="28"/>
          <w:rtl w:val="true"/>
          <w:lang w:bidi="fa-IR"/>
        </w:rPr>
        <w:t>.</w:t>
      </w:r>
    </w:p>
    <w:p>
      <w:pPr>
        <w:pStyle w:val="Heading4"/>
        <w:numPr>
          <w:ilvl w:val="3"/>
          <w:numId w:val="1"/>
        </w:numPr>
        <w:rPr/>
      </w:pPr>
      <w:bookmarkStart w:id="31" w:name="__RefHeading___Toc2588962_3650668749"/>
      <w:bookmarkStart w:id="32" w:name="_Toc12"/>
      <w:bookmarkEnd w:id="31"/>
      <w:r>
        <w:rPr/>
        <w:t>5</w:t>
      </w:r>
      <w:r>
        <w:rPr>
          <w:rtl w:val="true"/>
        </w:rPr>
        <w:t xml:space="preserve">- </w:t>
      </w:r>
      <w:r>
        <w:rPr>
          <w:rtl w:val="true"/>
        </w:rPr>
        <w:t>تقريرات</w:t>
      </w:r>
      <w:bookmarkEnd w:id="3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كه در مقدّمه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ميراث علمى شيعه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شاگردان علّامۀ نجفى نيز تقريرات استاد خويش را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عبارتند از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محمّد باقر نجفى، شيخ حيدر على محقّق، سيّد عطاء اللّه فقيه امامى </w:t>
      </w:r>
      <w:r>
        <w:rPr>
          <w:rStyle w:val="FootnoteAnchor"/>
          <w:rtl w:val="true"/>
        </w:rPr>
        <w:footnoteReference w:id="14"/>
      </w:r>
      <w:r>
        <w:rPr>
          <w:rFonts w:ascii="Amiri" w:hAnsi="Amiri" w:eastAsia="Amiri" w:cs="Amiri"/>
          <w:color w:val="111111"/>
          <w:sz w:val="28"/>
          <w:sz w:val="28"/>
          <w:szCs w:val="28"/>
          <w:rtl w:val="true"/>
          <w:lang w:bidi="ar-SA"/>
        </w:rPr>
        <w:t xml:space="preserve">، سيّد احمد حسينى زنجانى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نويسندۀ تقريرات حاضر</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33" w:name="pg1806_20140"/>
    </w:p>
    <w:p>
      <w:pPr>
        <w:pStyle w:val="Heading4"/>
        <w:numPr>
          <w:ilvl w:val="3"/>
          <w:numId w:val="1"/>
        </w:numPr>
        <w:rPr/>
      </w:pPr>
      <w:bookmarkStart w:id="34" w:name="__RefHeading___Toc2588964_3650668749"/>
      <w:bookmarkStart w:id="35" w:name="_Toc13"/>
      <w:bookmarkEnd w:id="33"/>
      <w:bookmarkEnd w:id="34"/>
      <w:r>
        <w:rPr/>
        <w:t>6</w:t>
      </w:r>
      <w:r>
        <w:rPr>
          <w:rtl w:val="true"/>
        </w:rPr>
        <w:t xml:space="preserve">- </w:t>
      </w:r>
      <w:r>
        <w:rPr>
          <w:rtl w:val="true"/>
        </w:rPr>
        <w:t>علّامۀ نجفى از نگاه ديگران</w:t>
      </w:r>
      <w:bookmarkEnd w:id="35"/>
    </w:p>
    <w:p>
      <w:pPr>
        <w:pStyle w:val="BookText"/>
        <w:rPr/>
      </w:pPr>
      <w:r>
        <w:rPr>
          <w:rFonts w:ascii="IRNazanin" w:hAnsi="IRNazanin" w:eastAsia="IRNazanin"/>
          <w:color w:val="111111"/>
          <w:sz w:val="28"/>
          <w:sz w:val="28"/>
          <w:szCs w:val="28"/>
          <w:rtl w:val="true"/>
          <w:lang w:bidi="fa-IR"/>
        </w:rPr>
        <w:t>علّامۀ فقيه آية اللّه العظمى سيّد حسن صدر كاظمى با چنين تعابيرين از وى ياد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الفاضل النبيل، نابغة العصر و وحيد الدهر، الفقيه على التحقيق و المحقّق لكلّ غامض دقيق </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مؤسّس حوزۀ علميّۀ قم مرحوم آية اللّه العظمى حاج شيخ عبد الكريم حائرى يزدى،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آقا شيخ محمّد رضا ذى فنون نبود شيخ مرتضاى زمان ما بود</w:t>
      </w:r>
      <w:r>
        <w:rPr>
          <w:rFonts w:eastAsia="IRNazanin" w:cs="IRNazanin"/>
          <w:color w:val="111111"/>
          <w:sz w:val="28"/>
          <w:szCs w:val="28"/>
          <w:rtl w:val="true"/>
          <w:lang w:bidi="fa-IR"/>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شيخ محمّد رضا، شيخ بهائى زمان ما مى‌باشد</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بنيان‌گذار انقلاب اسلامى، حضرت امام خمينى، در اربعين حديث خويش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العلّامة المتكلّم الفقيه الأصوليّ الأديب المتبحّر الشّيخ محمّد رضا آل العلّامة الوفي الشيخ محمّد تقي الأصفهاني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توفيقه</w:t>
      </w:r>
      <w:r>
        <w:rPr>
          <w:rFonts w:eastAsia="IRNazanin" w:cs="IRNazanin"/>
          <w:color w:val="111111"/>
          <w:sz w:val="28"/>
          <w:szCs w:val="28"/>
          <w:rtl w:val="true"/>
          <w:lang w:bidi="fa-IR"/>
        </w:rPr>
        <w:t xml:space="preserve">- ...»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p>
    <w:p>
      <w:pPr>
        <w:pStyle w:val="Heading4"/>
        <w:numPr>
          <w:ilvl w:val="3"/>
          <w:numId w:val="1"/>
        </w:numPr>
        <w:rPr/>
      </w:pPr>
      <w:bookmarkStart w:id="36" w:name="__RefHeading___Toc2588966_3650668749"/>
      <w:bookmarkStart w:id="37" w:name="_Toc14"/>
      <w:bookmarkEnd w:id="36"/>
      <w:r>
        <w:rPr/>
        <w:t>7</w:t>
      </w:r>
      <w:r>
        <w:rPr>
          <w:rtl w:val="true"/>
        </w:rPr>
        <w:t xml:space="preserve">- </w:t>
      </w:r>
      <w:r>
        <w:rPr>
          <w:rtl w:val="true"/>
        </w:rPr>
        <w:t>وفات</w:t>
      </w:r>
      <w:bookmarkEnd w:id="37"/>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اين فقيه و اصولى نامور در بامداد روز يكشنبه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پس از عمرى پربار كه به سرپرستى ايتام آل محمّد صلّى اللّه عليه و آله و ترويج احكام و معارف</w:t>
      </w:r>
      <w:bookmarkStart w:id="38" w:name="pg1806_20143"/>
    </w:p>
    <w:p>
      <w:pPr>
        <w:pStyle w:val="BookText"/>
        <w:rPr/>
      </w:pPr>
      <w:bookmarkEnd w:id="38"/>
      <w:r>
        <w:rPr>
          <w:rFonts w:ascii="IRNazanin" w:hAnsi="IRNazanin" w:eastAsia="IRNazanin"/>
          <w:color w:val="111111"/>
          <w:sz w:val="28"/>
          <w:sz w:val="28"/>
          <w:szCs w:val="28"/>
          <w:rtl w:val="true"/>
          <w:lang w:bidi="fa-IR"/>
        </w:rPr>
        <w:t xml:space="preserve">إلهى سپرى شد، رخت از جهان به سراى آخرت كشيد و پس از تشييعى عظيم در تكيۀ جدّ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هداية المسترشدين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 به خاك سپرده شد</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39" w:name="__RefHeading___Toc2588968_3650668749"/>
      <w:bookmarkStart w:id="40" w:name="_Toc15"/>
      <w:bookmarkEnd w:id="39"/>
      <w:r>
        <w:rPr>
          <w:rtl w:val="true"/>
        </w:rPr>
        <w:t>ج</w:t>
      </w:r>
      <w:r>
        <w:rPr>
          <w:rtl w:val="true"/>
        </w:rPr>
        <w:t xml:space="preserve">: </w:t>
      </w:r>
      <w:r>
        <w:rPr>
          <w:rtl w:val="true"/>
        </w:rPr>
        <w:t>حيات علمى و اجتماعى آية اللّه سيّد احمد حسينى زنجانى</w:t>
      </w:r>
      <w:bookmarkEnd w:id="40"/>
    </w:p>
    <w:p>
      <w:pPr>
        <w:pStyle w:val="Heading4"/>
        <w:numPr>
          <w:ilvl w:val="3"/>
          <w:numId w:val="1"/>
        </w:numPr>
        <w:rPr/>
      </w:pPr>
      <w:bookmarkStart w:id="41" w:name="__RefHeading___Toc2588970_3650668749"/>
      <w:bookmarkStart w:id="42" w:name="_Toc16"/>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فقيه و اصولى بزرگ، اديب نامدار، حضرت آية اللّه سيّد احمد حسينى زنجانى، يكى از چهره‌هاى درخشان حوزۀ علمى زنجان و قم در قرن چهاردهم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اخلاق و رفتار إلهى خويش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يذكّركم اللّه رؤيته</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بود و در برآوردن حوائج برادران دينى از هيچ كوششى فروگذار نمى‌نمود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 مجال كوتاه به ذكر نكاتى از زندگى و حيات وى اكتفا نموده و خواننده را به مآخذ شرح حال وى ارجاع مى‌دهيم</w:t>
      </w:r>
      <w:r>
        <w:rPr>
          <w:rFonts w:eastAsia="IRNazanin" w:cs="IRNazanin"/>
          <w:color w:val="111111"/>
          <w:sz w:val="28"/>
          <w:szCs w:val="28"/>
          <w:rtl w:val="true"/>
          <w:lang w:bidi="fa-IR"/>
        </w:rPr>
        <w:t>.</w:t>
      </w:r>
    </w:p>
    <w:p>
      <w:pPr>
        <w:pStyle w:val="Heading4"/>
        <w:numPr>
          <w:ilvl w:val="3"/>
          <w:numId w:val="1"/>
        </w:numPr>
        <w:rPr/>
      </w:pPr>
      <w:bookmarkStart w:id="43" w:name="__RefHeading___Toc2588972_3650668749"/>
      <w:bookmarkStart w:id="44" w:name="_Toc17"/>
      <w:bookmarkEnd w:id="43"/>
      <w:r>
        <w:rPr/>
        <w:t>1</w:t>
      </w:r>
      <w:r>
        <w:rPr>
          <w:rtl w:val="true"/>
        </w:rPr>
        <w:t xml:space="preserve">- </w:t>
      </w:r>
      <w:r>
        <w:rPr>
          <w:rtl w:val="true"/>
        </w:rPr>
        <w:t>تولّد و خاندان</w:t>
      </w:r>
      <w:bookmarkEnd w:id="44"/>
    </w:p>
    <w:p>
      <w:pPr>
        <w:pStyle w:val="BookText"/>
        <w:rPr/>
      </w:pPr>
      <w:r>
        <w:rPr>
          <w:rFonts w:ascii="IRNazanin" w:hAnsi="IRNazanin" w:eastAsia="IRNazanin"/>
          <w:color w:val="111111"/>
          <w:sz w:val="28"/>
          <w:sz w:val="28"/>
          <w:szCs w:val="28"/>
          <w:rtl w:val="true"/>
          <w:lang w:bidi="fa-IR"/>
        </w:rPr>
        <w:t xml:space="preserve">وى در هنگام ظهر چهارمين روز از ماه صفر المظفّر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زنجان چشم به جهان هستى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مرحوم سيّد عنايت اللّه، از شاگردان و نزديكان فقيه نامور خطّۀ زنجان، آخوند ملّا قربانعلى زنجانى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 بوده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تقوا و ملكات نفسانى از افراد كم‌نظير و در حسن نيّت و تقيّد به جهات شرع، بسيار ممتاز بوده است</w:t>
      </w:r>
      <w:r>
        <w:rPr>
          <w:rFonts w:eastAsia="Amiri" w:cs="Amiri" w:ascii="Amiri" w:hAnsi="Amiri"/>
          <w:color w:val="111111"/>
          <w:sz w:val="28"/>
          <w:szCs w:val="28"/>
          <w:rtl w:val="true"/>
          <w:lang w:bidi="ar-SA"/>
        </w:rPr>
        <w:t xml:space="preserve">. </w:t>
      </w:r>
      <w:r>
        <w:rPr>
          <w:rStyle w:val="FootnoteAnchor"/>
          <w:rtl w:val="true"/>
        </w:rPr>
        <w:footnoteReference w:id="24"/>
      </w:r>
    </w:p>
    <w:p>
      <w:pPr>
        <w:pStyle w:val="Heading4"/>
        <w:numPr>
          <w:ilvl w:val="3"/>
          <w:numId w:val="1"/>
        </w:numPr>
        <w:rPr/>
      </w:pPr>
      <w:bookmarkStart w:id="45" w:name="__RefHeading___Toc2588974_3650668749"/>
      <w:bookmarkStart w:id="46" w:name="_Toc18"/>
      <w:bookmarkEnd w:id="45"/>
      <w:r>
        <w:rPr/>
        <w:t>2</w:t>
      </w:r>
      <w:r>
        <w:rPr>
          <w:rtl w:val="true"/>
        </w:rPr>
        <w:t xml:space="preserve">- </w:t>
      </w:r>
      <w:r>
        <w:rPr>
          <w:rtl w:val="true"/>
        </w:rPr>
        <w:t>تحصيلات و استادان</w:t>
      </w:r>
      <w:bookmarkEnd w:id="4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بسيارى از علوم متداول عصر خويش را در زادگاهش زنجان فراگرفت و براى</w:t>
      </w:r>
      <w:bookmarkStart w:id="47" w:name="pg1806_20146"/>
    </w:p>
    <w:p>
      <w:pPr>
        <w:pStyle w:val="BookText"/>
        <w:rPr/>
      </w:pPr>
      <w:bookmarkEnd w:id="47"/>
      <w:r>
        <w:rPr>
          <w:rFonts w:ascii="IRNazanin" w:hAnsi="IRNazanin" w:eastAsia="IRNazanin"/>
          <w:color w:val="111111"/>
          <w:sz w:val="28"/>
          <w:sz w:val="28"/>
          <w:szCs w:val="28"/>
          <w:rtl w:val="true"/>
          <w:lang w:bidi="fa-IR"/>
        </w:rPr>
        <w:t>تكميل تحصيلات خويش، سفرى به مشهد مقدّس نمود و از آن پس به شهر مقدّس قم كوچيد و تا پايان عمر در آنجا بماند و از استادان بنام آن روز، بهره‌ها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استادان وى در زنجان عبارتند از حضرات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زين العابدين زنجانى، ميرزا عبد الرّحيم فقاهتى، ميرزا ابراهيم فلكى حكمى زنجانى، آقا شيخ عبد الحريم خوئينى زنجانى، ميرزا احمد زنجانى، حاج سيّد حسن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مشهد مقدّس در درس مرحوم آية اللّه آقا محمّد آقازاده، فرزند صاحب كفاية الأصول، حاضر شد و تقريرات اين درس را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مقدّس قم در درس آية اللّه مؤسّس حائرى شركت نمود و تقريرات اين درس را در مجموعه‌اى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أفواه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وى همچنين در درس آية اللّه ميرزا محمّد صادق خاتون‌آبادى و آية اللّه حاج شيخ محمّد رضا نجفى اصفهانى شركت نمود</w:t>
      </w:r>
      <w:r>
        <w:rPr>
          <w:rFonts w:eastAsia="IRNazanin" w:cs="IRNazanin"/>
          <w:color w:val="111111"/>
          <w:sz w:val="28"/>
          <w:szCs w:val="28"/>
          <w:rtl w:val="true"/>
          <w:lang w:bidi="fa-IR"/>
        </w:rPr>
        <w:t>.</w:t>
      </w:r>
    </w:p>
    <w:p>
      <w:pPr>
        <w:pStyle w:val="Heading4"/>
        <w:numPr>
          <w:ilvl w:val="3"/>
          <w:numId w:val="1"/>
        </w:numPr>
        <w:rPr/>
      </w:pPr>
      <w:bookmarkStart w:id="48" w:name="__RefHeading___Toc2588976_3650668749"/>
      <w:bookmarkStart w:id="49" w:name="_Toc19"/>
      <w:bookmarkEnd w:id="48"/>
      <w:r>
        <w:rPr/>
        <w:t>3</w:t>
      </w:r>
      <w:r>
        <w:rPr>
          <w:rtl w:val="true"/>
        </w:rPr>
        <w:t xml:space="preserve">- </w:t>
      </w:r>
      <w:r>
        <w:rPr>
          <w:rtl w:val="true"/>
        </w:rPr>
        <w:t>آية اللّه زنجانى در كلام ديگران</w:t>
      </w:r>
      <w:bookmarkEnd w:id="4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آقا بزرگ طهرانى دربارۀ وى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مصنّف ورع تقي</w:t>
      </w:r>
      <w:r>
        <w:rPr>
          <w:rFonts w:eastAsia="IRNazanin" w:cs="IRNazanin"/>
          <w:color w:val="111111"/>
          <w:sz w:val="28"/>
          <w:szCs w:val="28"/>
          <w:rtl w:val="true"/>
          <w:lang w:bidi="fa-IR"/>
        </w:rPr>
        <w:t xml:space="preserve">»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مرحوم آية اللّه العظمى شيخ محمّد على اراكى در مورد مقام علمى و حافظۀ فوق العاده وى مى‌فرمودند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آقاى زنجانى يك‌شبه تمام قسمت صلاة از يك كتاب فقهى را از حفظ حاشيه 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شش جلد جواهر </w:t>
      </w:r>
      <w:r>
        <w:rPr>
          <w:rStyle w:val="FootnoteAnchor"/>
          <w:rtl w:val="true"/>
        </w:rPr>
        <w:footnoteReference w:id="27"/>
      </w:r>
      <w:r>
        <w:rPr>
          <w:rFonts w:ascii="IRNazanin" w:hAnsi="IRNazanin" w:eastAsia="IRNazanin"/>
          <w:color w:val="111111"/>
          <w:sz w:val="28"/>
          <w:sz w:val="28"/>
          <w:szCs w:val="28"/>
          <w:rtl w:val="true"/>
          <w:lang w:bidi="fa-IR"/>
        </w:rPr>
        <w:t>مانند انگشتر در دست‌هاى ايشان است كه آن را به هر طرف كه بخواهد مى‌گرداند</w:t>
      </w:r>
      <w:r>
        <w:rPr>
          <w:rFonts w:eastAsia="IRNazanin" w:cs="IRNazanin"/>
          <w:color w:val="111111"/>
          <w:sz w:val="28"/>
          <w:szCs w:val="28"/>
          <w:rtl w:val="true"/>
          <w:lang w:bidi="fa-IR"/>
        </w:rPr>
        <w:t xml:space="preserve">». </w:t>
      </w:r>
      <w:r>
        <w:rPr>
          <w:rStyle w:val="FootnoteAnchor"/>
          <w:rtl w:val="true"/>
        </w:rPr>
        <w:footnoteReference w:id="28"/>
      </w:r>
      <w:bookmarkStart w:id="50" w:name="pg1806_20149"/>
    </w:p>
    <w:p>
      <w:pPr>
        <w:pStyle w:val="Heading4"/>
        <w:numPr>
          <w:ilvl w:val="3"/>
          <w:numId w:val="1"/>
        </w:numPr>
        <w:rPr/>
      </w:pPr>
      <w:bookmarkStart w:id="51" w:name="__RefHeading___Toc2588978_3650668749"/>
      <w:bookmarkStart w:id="52" w:name="_Toc20"/>
      <w:bookmarkEnd w:id="50"/>
      <w:bookmarkEnd w:id="51"/>
      <w:r>
        <w:rPr/>
        <w:t>4</w:t>
      </w:r>
      <w:r>
        <w:rPr>
          <w:rtl w:val="true"/>
        </w:rPr>
        <w:t xml:space="preserve">- </w:t>
      </w:r>
      <w:r>
        <w:rPr>
          <w:rtl w:val="true"/>
        </w:rPr>
        <w:t>آثار و تأليفات</w:t>
      </w:r>
      <w:bookmarkEnd w:id="52"/>
    </w:p>
    <w:p>
      <w:pPr>
        <w:pStyle w:val="BookText"/>
        <w:rPr/>
      </w:pPr>
      <w:r>
        <w:rPr>
          <w:rFonts w:ascii="Amiri" w:hAnsi="Amiri" w:eastAsia="Amiri" w:cs="Amiri"/>
          <w:color w:val="111111"/>
          <w:sz w:val="28"/>
          <w:sz w:val="28"/>
          <w:szCs w:val="28"/>
          <w:rtl w:val="true"/>
          <w:lang w:bidi="ar-SA"/>
        </w:rPr>
        <w:t xml:space="preserve">آثار اين فقيه فرزانه كه در رشته‌هاى مختلف علوم اسلامى است در مجموع به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مى‌رسد </w:t>
      </w:r>
      <w:r>
        <w:rPr>
          <w:rStyle w:val="FootnoteAnchor"/>
          <w:rtl w:val="true"/>
        </w:rPr>
        <w:footnoteReference w:id="29"/>
      </w:r>
      <w:r>
        <w:rPr>
          <w:rFonts w:ascii="IRNazanin" w:hAnsi="IRNazanin" w:eastAsia="IRNazanin"/>
          <w:color w:val="111111"/>
          <w:sz w:val="28"/>
          <w:sz w:val="28"/>
          <w:szCs w:val="28"/>
          <w:rtl w:val="true"/>
          <w:lang w:bidi="fa-IR"/>
        </w:rPr>
        <w:t>و برخى از آن‌ها 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تقريرات فقهى قم به اضافۀ تقريرات درس مرحوم آية اللّه شيخ محمّد آقازاده در مشهد مقدّس 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حديث در چهار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الكلام يجرّ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چهار مجلد است و تنها دو جلد اوّل آن چاپ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اثر بسيار ارزشمند و خواندنى، سال‌هاست كه در بازار كتاب ناياب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است كه صاحب همّتى سلسله‌جنبان شده به نشر آن دست يازد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مستثنيات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رسيد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و رجعت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حواشى بر درر الاصول، فرائد الاصول، كفاية الاصول، عروة الوثقى، و وسيلة النجاة</w:t>
      </w:r>
      <w:r>
        <w:rPr>
          <w:rFonts w:eastAsia="Amiri" w:cs="Amiri" w:ascii="Amiri" w:hAnsi="Amiri"/>
          <w:color w:val="111111"/>
          <w:sz w:val="28"/>
          <w:szCs w:val="28"/>
          <w:rtl w:val="true"/>
          <w:lang w:bidi="ar-SA"/>
        </w:rPr>
        <w:t xml:space="preserve">. </w:t>
      </w:r>
      <w:r>
        <w:rPr>
          <w:rStyle w:val="FootnoteAnchor"/>
          <w:rtl w:val="true"/>
        </w:rPr>
        <w:footnoteReference w:id="30"/>
      </w:r>
    </w:p>
    <w:p>
      <w:pPr>
        <w:pStyle w:val="Heading4"/>
        <w:numPr>
          <w:ilvl w:val="3"/>
          <w:numId w:val="1"/>
        </w:numPr>
        <w:rPr/>
      </w:pPr>
      <w:bookmarkStart w:id="53" w:name="__RefHeading___Toc2588980_3650668749"/>
      <w:bookmarkStart w:id="54" w:name="_Toc21"/>
      <w:bookmarkEnd w:id="53"/>
      <w:r>
        <w:rPr/>
        <w:t>5</w:t>
      </w:r>
      <w:r>
        <w:rPr>
          <w:rtl w:val="true"/>
        </w:rPr>
        <w:t xml:space="preserve">- </w:t>
      </w:r>
      <w:r>
        <w:rPr>
          <w:rtl w:val="true"/>
        </w:rPr>
        <w:t>وفات</w:t>
      </w:r>
      <w:bookmarkEnd w:id="5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اين فقيه وارسته پس از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با بركت پس از نيمه شب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مبارك رمضان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مطابق با پنجم آبان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 در شهر مقدّس قم ديده از جهان خاكى فروبست و پس از تشييع جنازه‌اى باشكوه در جوار حضرت معصومه عليها السّلام به خاك سپرده شد</w:t>
      </w:r>
      <w:r>
        <w:rPr>
          <w:rFonts w:eastAsia="IRNazanin" w:cs="IRNazanin"/>
          <w:color w:val="111111"/>
          <w:sz w:val="28"/>
          <w:szCs w:val="28"/>
          <w:rtl w:val="true"/>
          <w:lang w:bidi="fa-IR"/>
        </w:rPr>
        <w:t xml:space="preserve">. </w:t>
      </w:r>
      <w:r>
        <w:rPr>
          <w:rStyle w:val="FootnoteAnchor"/>
          <w:rtl w:val="true"/>
        </w:rPr>
        <w:footnoteReference w:id="31"/>
      </w:r>
      <w:bookmarkStart w:id="55" w:name="pg1806_20152"/>
    </w:p>
    <w:p>
      <w:pPr>
        <w:pStyle w:val="Heading2"/>
        <w:numPr>
          <w:ilvl w:val="1"/>
          <w:numId w:val="1"/>
        </w:numPr>
        <w:rPr/>
      </w:pPr>
      <w:bookmarkStart w:id="56" w:name="__RefHeading___Toc2588982_3650668749"/>
      <w:bookmarkStart w:id="57" w:name="_Toc22"/>
      <w:bookmarkEnd w:id="55"/>
      <w:bookmarkEnd w:id="56"/>
      <w:r>
        <w:rPr>
          <w:rtl w:val="true"/>
        </w:rPr>
        <w:t>سخنى دربارۀ اين أثر</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حاضر قسمتى از جلد دوم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أفواه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نسخۀ أصل اين كتاب كه هنوز به زيور طبع آراسته نگرديده و مانند بسيارى از آثار مرحوم علّامه آية اللّه سيّد احمد زنجانى مخلوط است، نزد فرزند مؤلّف، فقيه مدقّق و رجالى محقّق حضرت آية اللّه العظمى سيّد موسى شبيرى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تصوير اين قسمت را در اختيار استاد معظّم، آية اللّه شيخ هادى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پس از اطّلاع از چنين اثرى ارزشمند، در پى احياى آن برآمد و پس از تحويل گرفتن نسخه از حضرت استاد نجفى، نسخه را استنساخ نمود و سپس مواردى چون آيات، روايات، اقوال عامّة و خاصّه، اجماعات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در متن رساله ذكر شده بود، استخراج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فقيه سيّد احمد زنجانى حواشى بسيار ارزشمندى نيز بر اين رساله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برخى موارد حاشيه با امضاى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احمد حسينى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پذيرفته كه ما نيز آن را در حاشيه به همين صورت ذكر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موارد نيز بدون امضا بود كه آن را با تعبير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ساخته‌ايم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اقوالى را كه مقرّر محترم در حاشيه ذكر فرموده‌اند، استخراج كرده‌ايم مگر دو مورد كه متأسّفانه آنها را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مورد نقل كلامى از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السّنية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على‌رغم تفحّص و جست‌وجو در اين كتاب، آن را نيافتيم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ديگر كلامى است كه وى از يكى از استادان خود نقل مى‌نمايد و متأسفانه آن قول نيز در مآخذ پيش روى ما دستياب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محترم در مورد اندازۀ آب كر به مساحت، و تعيين محيط و مساحت دائره، در پايان رساله محاسباتى دارد كه بنا بر سبك رايج در بين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آنچه در خلاصة الحساب شيخ بهائى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تحرير يافته است ليك ما در پاورقى روش محاسبۀ آن را به سبك محاسبات امروزين نيز ذكر كرده‌ايم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رساله، يادداشتى اين چنين، از مقرّر محترم، چشم را مى‌نوازد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حضرت مستطاب حجة الاسلام آقاى آقا شيخ محمّد رضا اصفهانى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ظله العالى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اين بنده، سيّد احمد زنجانى در بدو تشرّف قم استفاده كردم، شهر جمادى الأخرى </w:t>
      </w:r>
      <w:r>
        <w:rPr>
          <w:rFonts w:eastAsia="Amiri" w:cs="Amiri" w:ascii="Amiri" w:hAnsi="Amiri"/>
          <w:color w:val="111111"/>
          <w:sz w:val="28"/>
          <w:szCs w:val="28"/>
          <w:lang w:bidi="ar-SA"/>
        </w:rPr>
        <w:t>1346</w:t>
      </w:r>
      <w:r>
        <w:rPr>
          <w:rFonts w:ascii="Amiri" w:hAnsi="Amiri" w:eastAsia="Amiri" w:cs="Amiri"/>
          <w:color w:val="111111"/>
          <w:sz w:val="28"/>
          <w:sz w:val="28"/>
          <w:szCs w:val="28"/>
          <w:rtl w:val="true"/>
          <w:lang w:bidi="ar-SA"/>
        </w:rPr>
        <w:t>، حرّره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الأحقر سيّد أحمد الحسيني الزنجاني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معظّم، حضرت آية اللّه حاج آقا هادى نجفى، را در به انجام رسيدن اين تحقيق سهمى است 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محقّق بر عهده خود مى‌داند كه از ايشان تشكّر نموده از درگاه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توفيقات روزافزون ايشان را در جهت احياء آثارى از اين دست، طلب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پايانى اين كه نگارنده، اميد آن دارد كه ساير تقريرات نوشته شده به دست علّامۀ فقيه آية اللّه سيّد احمد زنجانى به زودى به زيور طبع آراسته گردد؛ بويژه كه به خطّى خوش و قلمى روان تحرير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دعوانا أن الحمد للّه ربّ العالمين</w:t>
      </w:r>
    </w:p>
    <w:p>
      <w:pPr>
        <w:pStyle w:val="BookText"/>
        <w:rPr/>
      </w:pPr>
      <w:r>
        <w:rPr>
          <w:rFonts w:ascii="IRNazanin" w:hAnsi="IRNazanin" w:eastAsia="IRNazanin"/>
          <w:color w:val="111111"/>
          <w:sz w:val="28"/>
          <w:sz w:val="28"/>
          <w:szCs w:val="28"/>
          <w:rtl w:val="true"/>
          <w:lang w:bidi="fa-IR"/>
        </w:rPr>
        <w:t>اصفهان، حوزۀ علميّه، مدرسۀ جدّه كوچك</w:t>
      </w:r>
    </w:p>
    <w:p>
      <w:pPr>
        <w:pStyle w:val="BookText"/>
        <w:rPr/>
      </w:pPr>
      <w:r>
        <w:rPr>
          <w:rFonts w:ascii="Amiri" w:hAnsi="Amiri" w:eastAsia="Amiri" w:cs="Amiri"/>
          <w:color w:val="111111"/>
          <w:sz w:val="28"/>
          <w:sz w:val="28"/>
          <w:szCs w:val="28"/>
          <w:rtl w:val="true"/>
          <w:lang w:bidi="ar-SA"/>
        </w:rPr>
        <w:t>مهدى باقرى سيانى</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برابر با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أوّل نسخۀ 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المياه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 آخر نسخۀ خطى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المياه</w:t>
      </w:r>
      <w:r>
        <w:rPr>
          <w:rFonts w:eastAsia="IRNazanin" w:cs="IRNazanin"/>
          <w:color w:val="111111"/>
          <w:sz w:val="28"/>
          <w:szCs w:val="28"/>
          <w:rtl w:val="true"/>
          <w:lang w:bidi="fa-IR"/>
        </w:rPr>
        <w:t>»</w:t>
      </w:r>
      <w:bookmarkStart w:id="58" w:name="pg1806_20164"/>
    </w:p>
    <w:p>
      <w:pPr>
        <w:pStyle w:val="BookText"/>
        <w:rPr/>
      </w:pPr>
      <w:bookmarkEnd w:id="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2"/>
        <w:numPr>
          <w:ilvl w:val="1"/>
          <w:numId w:val="1"/>
        </w:numPr>
        <w:rPr/>
      </w:pPr>
      <w:bookmarkStart w:id="59" w:name="__RefHeading___Toc2588984_3650668749"/>
      <w:bookmarkStart w:id="60" w:name="_Toc23"/>
      <w:bookmarkEnd w:id="59"/>
      <w:r>
        <w:rPr>
          <w:rtl w:val="true"/>
        </w:rPr>
        <w:t>[</w:t>
      </w:r>
      <w:r>
        <w:rPr>
          <w:rtl w:val="true"/>
        </w:rPr>
        <w:t>الماء الراكد القليل</w:t>
      </w:r>
      <w:r>
        <w:rPr>
          <w:rtl w:val="true"/>
        </w:rPr>
        <w:t>]</w:t>
      </w:r>
      <w:bookmarkEnd w:id="60"/>
    </w:p>
    <w:p>
      <w:pPr>
        <w:pStyle w:val="BookText"/>
        <w:rPr/>
      </w:pPr>
      <w:r>
        <w:rPr>
          <w:rFonts w:ascii="Amiri" w:hAnsi="Amiri" w:eastAsia="Amiri" w:cs="Amiri"/>
          <w:color w:val="111111"/>
          <w:sz w:val="28"/>
          <w:sz w:val="28"/>
          <w:szCs w:val="28"/>
          <w:rtl w:val="true"/>
          <w:lang w:bidi="ar-SA"/>
        </w:rPr>
        <w:t>قد عرفت قوة القول بانفعال الراكد القليل من الماء بملاقاة النجاسة</w:t>
      </w:r>
      <w:r>
        <w:rPr>
          <w:rFonts w:eastAsia="Amiri" w:cs="Amiri" w:ascii="Amiri" w:hAnsi="Amiri"/>
          <w:color w:val="111111"/>
          <w:sz w:val="28"/>
          <w:szCs w:val="28"/>
          <w:rtl w:val="true"/>
          <w:lang w:bidi="ar-SA"/>
        </w:rPr>
        <w:t xml:space="preserve">. </w:t>
      </w:r>
      <w:r>
        <w:rPr>
          <w:rStyle w:val="FootnoteAnchor"/>
          <w:rtl w:val="true"/>
        </w:rPr>
        <w:footnoteReference w:id="3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الأصحاب تسرية الحكم بملاقاة المتنجّس و ملاقي ملاقيه و لو بوسائط عديدة </w:t>
      </w:r>
      <w:r>
        <w:rPr>
          <w:rStyle w:val="FootnoteAnchor"/>
          <w:rtl w:val="true"/>
        </w:rPr>
        <w:footnoteReference w:id="33"/>
      </w:r>
      <w:r>
        <w:rPr>
          <w:rFonts w:ascii="Amiri" w:hAnsi="Amiri" w:eastAsia="Amiri" w:cs="Amiri"/>
          <w:color w:val="111111"/>
          <w:sz w:val="28"/>
          <w:sz w:val="28"/>
          <w:szCs w:val="28"/>
          <w:rtl w:val="true"/>
          <w:lang w:bidi="ar-SA"/>
        </w:rPr>
        <w:t>لكنّ الأصل مع اختصاص الأدلّة بتنجيس نفس النجس يرشدنا إلى</w:t>
      </w:r>
    </w:p>
    <w:p>
      <w:pPr>
        <w:pStyle w:val="BookText"/>
        <w:rPr/>
      </w:pPr>
      <w:r>
        <w:rPr>
          <w:rFonts w:ascii="IRNazanin" w:hAnsi="IRNazanin" w:eastAsia="IRNazanin"/>
          <w:color w:val="111111"/>
          <w:sz w:val="28"/>
          <w:sz w:val="28"/>
          <w:szCs w:val="28"/>
          <w:rtl w:val="true"/>
          <w:lang w:bidi="fa-IR"/>
        </w:rPr>
        <w:t xml:space="preserve">العدم </w:t>
      </w:r>
      <w:r>
        <w:rPr>
          <w:rStyle w:val="FootnoteAnchor"/>
          <w:rtl w:val="true"/>
        </w:rPr>
        <w:footnoteReference w:id="34"/>
      </w:r>
      <w:r>
        <w:rPr>
          <w:rFonts w:ascii="Amiri" w:hAnsi="Amiri" w:eastAsia="Amiri" w:cs="Amiri"/>
          <w:color w:val="111111"/>
          <w:sz w:val="28"/>
          <w:sz w:val="28"/>
          <w:szCs w:val="28"/>
          <w:rtl w:val="true"/>
          <w:lang w:bidi="ar-SA"/>
        </w:rPr>
        <w:t>، نعم تنجيس المتنجّس خصوص إنائه ممّا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استثنوا من كليّة انفعال القليل بالملاقاة موارد بعضها ممّا لا شبهة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الاستنجاء </w:t>
      </w:r>
      <w:r>
        <w:rPr>
          <w:rStyle w:val="FootnoteAnchor"/>
          <w:rtl w:val="true"/>
        </w:rPr>
        <w:footnoteReference w:id="35"/>
      </w:r>
      <w:r>
        <w:rPr>
          <w:rFonts w:ascii="Amiri" w:hAnsi="Amiri" w:eastAsia="Amiri" w:cs="Amiri"/>
          <w:color w:val="111111"/>
          <w:sz w:val="28"/>
          <w:sz w:val="28"/>
          <w:szCs w:val="28"/>
          <w:rtl w:val="true"/>
          <w:lang w:bidi="ar-SA"/>
        </w:rPr>
        <w:t xml:space="preserve">، فسيجي‌ء في محلّه إن شاء اللّه تعالى </w:t>
      </w:r>
      <w:r>
        <w:rPr>
          <w:rStyle w:val="FootnoteAnchor"/>
          <w:rtl w:val="true"/>
        </w:rPr>
        <w:footnoteReference w:id="36"/>
      </w:r>
      <w:r>
        <w:rPr>
          <w:rFonts w:ascii="Amiri" w:hAnsi="Amiri" w:eastAsia="Amiri" w:cs="Amiri"/>
          <w:color w:val="111111"/>
          <w:sz w:val="28"/>
          <w:sz w:val="28"/>
          <w:szCs w:val="28"/>
          <w:rtl w:val="true"/>
          <w:lang w:bidi="ar-SA"/>
        </w:rPr>
        <w:t>ى 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العالي ممّا يرد على النجس فإنّه لا ينفعل بملاقاة الجزء السافل، كما هو المقطوع به في كلام الأصحاب </w:t>
      </w:r>
      <w:r>
        <w:rPr>
          <w:rStyle w:val="FootnoteAnchor"/>
          <w:rtl w:val="true"/>
        </w:rPr>
        <w:footnoteReference w:id="37"/>
      </w:r>
      <w:r>
        <w:rPr>
          <w:rFonts w:ascii="Amiri" w:hAnsi="Amiri" w:eastAsia="Amiri" w:cs="Amiri"/>
          <w:color w:val="111111"/>
          <w:sz w:val="28"/>
          <w:sz w:val="28"/>
          <w:szCs w:val="28"/>
          <w:rtl w:val="true"/>
          <w:lang w:bidi="ar-SA"/>
        </w:rPr>
        <w:t>و ذكر السيّد قدّس سرّه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جرى فكان فوق الوارد فهو على الطهر بقول واحد </w:t>
      </w:r>
      <w:r>
        <w:rPr>
          <w:rStyle w:val="FootnoteAnchor"/>
          <w:rtl w:val="true"/>
        </w:rPr>
        <w:footnoteReference w:id="3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هذا مراد السيّد المرتضى قدّس سرّه في الناصريات </w:t>
      </w:r>
      <w:r>
        <w:rPr>
          <w:rStyle w:val="FootnoteAnchor"/>
          <w:rtl w:val="true"/>
        </w:rPr>
        <w:footnoteReference w:id="39"/>
      </w:r>
      <w:r>
        <w:rPr>
          <w:rFonts w:ascii="Amiri" w:hAnsi="Amiri" w:eastAsia="Amiri" w:cs="Amiri"/>
          <w:color w:val="111111"/>
          <w:sz w:val="28"/>
          <w:sz w:val="28"/>
          <w:szCs w:val="28"/>
          <w:rtl w:val="true"/>
          <w:lang w:bidi="ar-SA"/>
        </w:rPr>
        <w:t>حيث حكم بطهارة الوارد، إذ</w:t>
      </w:r>
    </w:p>
    <w:p>
      <w:pPr>
        <w:pStyle w:val="BookText"/>
        <w:rPr/>
      </w:pPr>
      <w:r>
        <w:rPr>
          <w:rFonts w:ascii="Amiri" w:hAnsi="Amiri" w:eastAsia="Amiri" w:cs="Amiri"/>
          <w:color w:val="111111"/>
          <w:sz w:val="28"/>
          <w:sz w:val="28"/>
          <w:szCs w:val="28"/>
          <w:rtl w:val="true"/>
          <w:lang w:bidi="ar-SA"/>
        </w:rPr>
        <w:t xml:space="preserve">الظاهر أنّ الوارد يقال على المتلبّس بالفعل لا على ما استقرّ بعد الانقطاع؛ كما أنّ المطر يقال عليه حين نزوله؛ و إلّا فبعد الانقطاع لا يقال عليه المطر و لا يعامل معه معاملة المطر؛ فما نسب إليه من التفصيل بين الورودين فغير وجيه </w:t>
      </w:r>
      <w:r>
        <w:rPr>
          <w:rStyle w:val="FootnoteAnchor"/>
          <w:rtl w:val="true"/>
        </w:rPr>
        <w:footnoteReference w:id="40"/>
      </w:r>
      <w:r>
        <w:rPr>
          <w:rFonts w:ascii="Amiri" w:hAnsi="Amiri" w:eastAsia="Amiri" w:cs="Amiri"/>
          <w:color w:val="111111"/>
          <w:sz w:val="28"/>
          <w:sz w:val="28"/>
          <w:szCs w:val="28"/>
          <w:rtl w:val="true"/>
          <w:lang w:bidi="ar-SA"/>
        </w:rPr>
        <w:t xml:space="preserve">و استثنى الشيخ قدّس سرّه </w:t>
      </w:r>
      <w:r>
        <w:rPr>
          <w:rStyle w:val="FootnoteAnchor"/>
          <w:rtl w:val="true"/>
        </w:rPr>
        <w:footnoteReference w:id="41"/>
      </w:r>
      <w:r>
        <w:rPr>
          <w:rFonts w:ascii="Amiri" w:hAnsi="Amiri" w:eastAsia="Amiri" w:cs="Amiri"/>
          <w:color w:val="111111"/>
          <w:sz w:val="28"/>
          <w:sz w:val="28"/>
          <w:szCs w:val="28"/>
          <w:rtl w:val="true"/>
          <w:lang w:bidi="ar-SA"/>
        </w:rPr>
        <w:t>ما لا يدركه الطرف من خصوص الدم لصحيحة عليّ بن جعفر عن أخيه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رعف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امتخط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قطعا صغارا فأصاب إناءه، هل يصلح الوضوء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شي‌ء يستبين في الماء فلا بأس</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
      </w:r>
      <w:r>
        <w:rPr>
          <w:rFonts w:ascii="Amiri" w:hAnsi="Amiri" w:eastAsia="Amiri" w:cs="Amiri"/>
          <w:color w:val="111111"/>
          <w:sz w:val="28"/>
          <w:sz w:val="28"/>
          <w:szCs w:val="28"/>
          <w:rtl w:val="true"/>
          <w:lang w:bidi="ar-SA"/>
        </w:rPr>
        <w:t xml:space="preserve">و حملها المشهور على إصابة الماء </w:t>
      </w:r>
      <w:r>
        <w:rPr>
          <w:rStyle w:val="FootnoteAnchor"/>
          <w:rtl w:val="true"/>
        </w:rPr>
        <w:footnoteReference w:id="43"/>
      </w:r>
      <w:r>
        <w:rPr>
          <w:rFonts w:ascii="Amiri" w:hAnsi="Amiri" w:eastAsia="Amiri" w:cs="Amiri"/>
          <w:color w:val="111111"/>
          <w:sz w:val="28"/>
          <w:sz w:val="28"/>
          <w:szCs w:val="28"/>
          <w:rtl w:val="true"/>
          <w:lang w:bidi="ar-SA"/>
        </w:rPr>
        <w:t xml:space="preserve">، لكن لا وجه لهذا الحمل بعد كون ظهر الإناء و باطنه الحاوي للماء من الشبهة المحصورة المحكومة عقلا بوجوب الاجتناب لكون كليهما مورد الابتلاء، و الذي يقوى في نظري </w:t>
      </w:r>
      <w:r>
        <w:rPr>
          <w:rStyle w:val="FootnoteAnchor"/>
          <w:rtl w:val="true"/>
        </w:rPr>
        <w:footnoteReference w:id="44"/>
      </w:r>
      <w:r>
        <w:rPr>
          <w:rFonts w:ascii="Amiri" w:hAnsi="Amiri" w:eastAsia="Amiri" w:cs="Amiri"/>
          <w:color w:val="111111"/>
          <w:sz w:val="28"/>
          <w:sz w:val="28"/>
          <w:szCs w:val="28"/>
          <w:rtl w:val="true"/>
          <w:lang w:bidi="ar-SA"/>
        </w:rPr>
        <w:t xml:space="preserve">هو ما ذهب إليه الشيخ قدّس سرّه </w:t>
      </w:r>
      <w:r>
        <w:rPr>
          <w:rStyle w:val="FootnoteAnchor"/>
          <w:rtl w:val="true"/>
        </w:rPr>
        <w:footnoteReference w:id="45"/>
      </w:r>
      <w:r>
        <w:rPr>
          <w:rFonts w:ascii="Amiri" w:hAnsi="Amiri" w:eastAsia="Amiri" w:cs="Amiri"/>
          <w:color w:val="111111"/>
          <w:sz w:val="28"/>
          <w:sz w:val="28"/>
          <w:szCs w:val="28"/>
          <w:rtl w:val="true"/>
          <w:lang w:bidi="ar-SA"/>
        </w:rPr>
        <w:t>من الفرق في</w:t>
      </w:r>
      <w:bookmarkStart w:id="61" w:name="pg1806_20173"/>
    </w:p>
    <w:p>
      <w:pPr>
        <w:pStyle w:val="BookText"/>
        <w:rPr/>
      </w:pPr>
      <w:bookmarkEnd w:id="61"/>
      <w:r>
        <w:rPr>
          <w:rFonts w:ascii="Amiri" w:hAnsi="Amiri" w:eastAsia="Amiri" w:cs="Amiri"/>
          <w:color w:val="111111"/>
          <w:sz w:val="28"/>
          <w:sz w:val="28"/>
          <w:szCs w:val="28"/>
          <w:rtl w:val="true"/>
          <w:lang w:bidi="ar-SA"/>
        </w:rPr>
        <w:t>النجاسات بين ما يدركه الطرف و غيره لأنّ ما لا يدركه الطرف و غيره لأنّ ما لا يدركه الطرف و لا يدخل تحت حيطة الحواس منصرف عنه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 التراب حرام أكله و الغبار و مفسد للصوم مع أنّ الأجزاء اليسيرة منهما منصرف عن دليلي الحرمة و الإبطال؛ و هكذا سائر الموضوعات الشرعيّة و العرفيّة فالحكم يدور فيها مدار التحقّق عرفا، فغير المدرِك ملحق بالعدم فلا يكون منشئا للأثر</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2588986_3650668749"/>
      <w:bookmarkStart w:id="63" w:name="_Toc24"/>
      <w:bookmarkEnd w:id="62"/>
      <w:r>
        <w:rPr>
          <w:rtl w:val="true"/>
        </w:rPr>
        <w:t>انفعال ماء القليل و المضاف</w:t>
      </w:r>
      <w:bookmarkEnd w:id="63"/>
    </w:p>
    <w:p>
      <w:pPr>
        <w:pStyle w:val="BookText"/>
        <w:rPr/>
      </w:pPr>
      <w:r>
        <w:rPr>
          <w:rFonts w:ascii="Amiri" w:hAnsi="Amiri" w:eastAsia="Amiri" w:cs="Amiri"/>
          <w:color w:val="111111"/>
          <w:sz w:val="28"/>
          <w:sz w:val="28"/>
          <w:szCs w:val="28"/>
          <w:rtl w:val="true"/>
          <w:lang w:bidi="ar-SA"/>
        </w:rPr>
        <w:t xml:space="preserve">ثمّ إنّ في كيفية نجاسة الماء القليل أو المضاف بمجموعها بملاقاة جزءٍ منها النجاسة وجوها ذكرها شيخ مشايخنا قدّس سرّه في الطهارة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السراية من حيث الحكم بأن يلاقي الجزء الأوّل النجس فينجِّس و ينجّس ملاقيه بما يليه؛ و هكذا لأنّ كلّ جزء ملاق بالفعل لما يليه فينجس جميع الأجزاء في زمان واحد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الأجزاء لا يتلاقيان بتمامها بل بسطحيها، كما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تقرّر في محلّه و من المعلوم عدم ملاقاة أحد السطحين الملاقي للنجس للسطح الآخر</w:t>
      </w:r>
      <w:r>
        <w:rPr>
          <w:rFonts w:eastAsia="Amiri" w:cs="Amiri" w:ascii="Amiri" w:hAnsi="Amiri"/>
          <w:color w:val="111111"/>
          <w:sz w:val="28"/>
          <w:szCs w:val="28"/>
          <w:rtl w:val="true"/>
          <w:lang w:bidi="ar-SA"/>
        </w:rPr>
        <w:t>.</w:t>
      </w:r>
      <w:bookmarkStart w:id="64" w:name="pg1806_20176"/>
    </w:p>
    <w:p>
      <w:pPr>
        <w:pStyle w:val="BookText"/>
        <w:rPr/>
      </w:pPr>
      <w:bookmarkEnd w:id="64"/>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السراية من حيث نفس المتنجّس فإنّ الجزء الملاقي للنجس يسري بنفسه إلى ما حوله من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ما فيه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الوجه تعبّد الشارع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نرى التنفّر و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جميع الماء بمجرّد ملاقاة جزء منه النجس و القذر، كما نرى ذلك ممّن لا يتدينون بالدين؛ فالأظهر أنّ الاستقذار و الاستخباث أمر عرفي لا شرعي، نعم للشارع بيان الموضوع و أنّ هذا نجس، أمّا كيفية الاستقذار فهو عرفي، و العرف يعدّ مجموع الماء أو المائع الآخر متنجّسا لازم الاجتناب موجبا للتنفّر بملاقاة جزء منه النجاسة، فبعد وكول الأمر في الاستقذار إلى العرف تعلم أنّ ما ذهب إليه المشهور من انفعال كرور من الجلّاب بملاقاة قطرة من البول منظور فيه لعدم الاستقذار العرفي فيه</w:t>
      </w:r>
      <w:r>
        <w:rPr>
          <w:rFonts w:eastAsia="Amiri" w:cs="Amiri" w:ascii="Amiri" w:hAnsi="Amiri"/>
          <w:color w:val="111111"/>
          <w:sz w:val="28"/>
          <w:szCs w:val="28"/>
          <w:rtl w:val="true"/>
          <w:lang w:bidi="ar-SA"/>
        </w:rPr>
        <w:t>.</w:t>
      </w:r>
    </w:p>
    <w:p>
      <w:pPr>
        <w:pStyle w:val="Heading2"/>
        <w:numPr>
          <w:ilvl w:val="1"/>
          <w:numId w:val="1"/>
        </w:numPr>
        <w:rPr/>
      </w:pPr>
      <w:bookmarkStart w:id="65" w:name="__RefHeading___Toc2588988_3650668749"/>
      <w:bookmarkStart w:id="66" w:name="_Toc25"/>
      <w:bookmarkEnd w:id="65"/>
      <w:r>
        <w:rPr>
          <w:rtl w:val="true"/>
        </w:rPr>
        <w:t>[</w:t>
      </w:r>
      <w:r>
        <w:rPr>
          <w:rtl w:val="true"/>
        </w:rPr>
        <w:t>الماء الجاري</w:t>
      </w:r>
      <w:r>
        <w:rPr>
          <w:rtl w:val="true"/>
        </w:rPr>
        <w:t>]</w:t>
      </w:r>
      <w:bookmarkEnd w:id="6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w:t>
      </w:r>
      <w:r>
        <w:rPr>
          <w:rStyle w:val="FootnoteAnchor"/>
          <w:rtl w:val="true"/>
        </w:rPr>
        <w:footnoteReference w:id="48"/>
      </w:r>
      <w:r>
        <w:rPr>
          <w:rFonts w:ascii="Amiri" w:hAnsi="Amiri" w:eastAsia="Amiri" w:cs="Amiri"/>
          <w:color w:val="111111"/>
          <w:sz w:val="28"/>
          <w:sz w:val="28"/>
          <w:szCs w:val="28"/>
          <w:rtl w:val="true"/>
          <w:lang w:bidi="ar-SA"/>
        </w:rPr>
        <w:t>أنّ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كان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ينفعل بالملاقاة </w:t>
      </w:r>
      <w:r>
        <w:rPr>
          <w:rStyle w:val="FootnoteAnchor"/>
          <w:rtl w:val="true"/>
        </w:rPr>
        <w:footnoteReference w:id="49"/>
      </w:r>
      <w:r>
        <w:rPr>
          <w:rFonts w:ascii="IRNazanin" w:hAnsi="IRNazanin" w:eastAsia="IRNazanin"/>
          <w:color w:val="111111"/>
          <w:sz w:val="28"/>
          <w:sz w:val="28"/>
          <w:szCs w:val="28"/>
          <w:rtl w:val="true"/>
          <w:lang w:bidi="fa-IR"/>
        </w:rPr>
        <w:t xml:space="preserve">، و اصطلحوا </w:t>
      </w:r>
      <w:r>
        <w:rPr>
          <w:rStyle w:val="FootnoteAnchor"/>
          <w:rtl w:val="true"/>
        </w:rPr>
        <w:footnoteReference w:id="5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تفسيره بالنابع </w:t>
      </w:r>
      <w:r>
        <w:rPr>
          <w:rStyle w:val="FootnoteAnchor"/>
          <w:rtl w:val="true"/>
        </w:rPr>
        <w:footnoteReference w:id="51"/>
      </w:r>
      <w:r>
        <w:rPr>
          <w:rFonts w:ascii="Amiri" w:hAnsi="Amiri" w:eastAsia="Amiri" w:cs="Amiri"/>
          <w:color w:val="111111"/>
          <w:sz w:val="28"/>
          <w:sz w:val="28"/>
          <w:szCs w:val="28"/>
          <w:rtl w:val="true"/>
          <w:lang w:bidi="ar-SA"/>
        </w:rPr>
        <w:t xml:space="preserve">، ثمّ أخذوا في تحقيق معنى النابع في مراجعة كتب اللغة و نقل أربابها؛ و لعلّ هذا الاصطلاح ناش لهم عن تعليل حكم البئر في صحيحة </w:t>
      </w:r>
      <w:r>
        <w:rPr>
          <w:rStyle w:val="FootnoteAnchor"/>
          <w:rtl w:val="true"/>
        </w:rPr>
        <w:footnoteReference w:id="52"/>
      </w:r>
      <w:r>
        <w:rPr>
          <w:rFonts w:ascii="Amiri" w:hAnsi="Amiri" w:eastAsia="Amiri" w:cs="Amiri"/>
          <w:color w:val="111111"/>
          <w:sz w:val="28"/>
          <w:sz w:val="28"/>
          <w:szCs w:val="28"/>
          <w:rtl w:val="true"/>
          <w:lang w:bidi="ar-SA"/>
        </w:rPr>
        <w:t xml:space="preserve">ابن بزيع </w:t>
      </w:r>
      <w:r>
        <w:rPr>
          <w:rStyle w:val="FootnoteAnchor"/>
          <w:rtl w:val="true"/>
        </w:rPr>
        <w:footnoteReference w:id="53"/>
      </w:r>
      <w:r>
        <w:rPr>
          <w:rFonts w:ascii="Amiri" w:hAnsi="Amiri" w:eastAsia="Amiri" w:cs="Amiri"/>
          <w:color w:val="111111"/>
          <w:sz w:val="28"/>
          <w:sz w:val="28"/>
          <w:szCs w:val="28"/>
          <w:rtl w:val="true"/>
          <w:lang w:bidi="ar-SA"/>
        </w:rPr>
        <w:t xml:space="preserve">بأنّ له مادّة </w:t>
      </w:r>
      <w:r>
        <w:rPr>
          <w:rStyle w:val="FootnoteAnchor"/>
          <w:rtl w:val="true"/>
        </w:rPr>
        <w:footnoteReference w:id="54"/>
      </w:r>
      <w:r>
        <w:rPr>
          <w:rFonts w:ascii="Amiri" w:hAnsi="Amiri" w:eastAsia="Amiri" w:cs="Amiri"/>
          <w:color w:val="111111"/>
          <w:sz w:val="28"/>
          <w:sz w:val="28"/>
          <w:szCs w:val="28"/>
          <w:rtl w:val="true"/>
          <w:lang w:bidi="ar-SA"/>
        </w:rPr>
        <w:t>حيث أخذوا المادّة بمعنى المنبع نظرا إلى انحصار الاعتصام بالنبعان و دورانه مداره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اصطلحوا عليه من أخذ النبعان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الجاري و إن كان لا مشاحة في الاصطلاح 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الجاري بهذا الاصطلاح أيّ دليل على كونه مخصوصا بالموضوعيّة لأحكام المترتّبة على عنوان الجاري؛ و أيّ حاصر للاعتصام على خصوص النبعان مع أنّ ماء الحمام أيضا كذلك و علّل بالمادّة و ليس له النبعان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فالأظهر أنّ الجاري بمعنى المتحرّك؛ كما أنّ الراكد في قباله بمعنى الساكن </w:t>
      </w:r>
      <w:r>
        <w:rPr>
          <w:rStyle w:val="FootnoteAnchor"/>
          <w:rtl w:val="true"/>
        </w:rPr>
        <w:footnoteReference w:id="55"/>
      </w:r>
      <w:r>
        <w:rPr>
          <w:rFonts w:ascii="Amiri" w:hAnsi="Amiri" w:eastAsia="Amiri" w:cs="Amiri"/>
          <w:color w:val="111111"/>
          <w:sz w:val="28"/>
          <w:sz w:val="28"/>
          <w:szCs w:val="28"/>
          <w:rtl w:val="true"/>
          <w:lang w:bidi="ar-SA"/>
        </w:rPr>
        <w:t>على ما هو المتعارف في الاستعمال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الريح أن تحرّكت </w:t>
      </w:r>
      <w:r>
        <w:rPr>
          <w:rStyle w:val="FootnoteAnchor"/>
          <w:rtl w:val="true"/>
        </w:rPr>
        <w:footnoteReference w:id="56"/>
      </w:r>
      <w:r>
        <w:rPr>
          <w:rFonts w:ascii="Amiri" w:hAnsi="Amiri" w:eastAsia="Amiri" w:cs="Amiri"/>
          <w:color w:val="111111"/>
          <w:sz w:val="28"/>
          <w:sz w:val="28"/>
          <w:szCs w:val="28"/>
          <w:rtl w:val="true"/>
          <w:lang w:bidi="ar-SA"/>
        </w:rPr>
        <w:t>، جرى الميزاب، جرى النسيم، و هكذا كلّ ذلك من مصاديق الجريان مع عدم اعتبار النبعان فيها فبعد عدم ظهور نقل أو تقييد من الشارع يكون هذا المعنى المتعارف مناطا في الأحكام مثلا لو كان لسان الديل هكذا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جرى فلا بأس؛ فيصدق بهذا اللسان على أيّ نحو من أنحاء الجريان و لو كان بالانصباب من الإبريق؛ نعم لو تعلّق الحكم على عنوان الجاري فصدقه على ما يصبّ من الإبريق بالمنع حقيق؛ إذا الجاري بصيغة الفاعل مأخوذ فيه عرفا الامتداد و المزاولة شبه الملكة كالشاعر و الحائك؛ إذ لا يقال شاعر على من قال شعرا و الحائك على من حاك مرّة؛ بل اعتبر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صدقهما التكرار و الملكة و كذا الجاري؛ و لذا ينصرف هذا العنوان عمّا ينصبّ من الإبريق و نحوه فما احتمله النراقي من صدقه على المنصبّ من الإبريق خال عن التحقيق</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الجاري هو ما يسيل و يتحرّك و إن لم يكن له منبع ينبع عنه </w:t>
      </w:r>
      <w:r>
        <w:rPr>
          <w:rStyle w:val="FootnoteAnchor"/>
          <w:rtl w:val="true"/>
        </w:rPr>
        <w:footnoteReference w:id="57"/>
      </w:r>
      <w:r>
        <w:rPr>
          <w:rFonts w:ascii="Amiri" w:hAnsi="Amiri" w:eastAsia="Amiri" w:cs="Amiri"/>
          <w:color w:val="111111"/>
          <w:sz w:val="28"/>
          <w:sz w:val="28"/>
          <w:szCs w:val="28"/>
          <w:rtl w:val="true"/>
          <w:lang w:bidi="ar-SA"/>
        </w:rPr>
        <w:t>أ لا ترى أنّ</w:t>
      </w:r>
    </w:p>
    <w:p>
      <w:pPr>
        <w:pStyle w:val="BookText"/>
        <w:rPr/>
      </w:pPr>
      <w:r>
        <w:rPr>
          <w:rFonts w:ascii="Amiri" w:hAnsi="Amiri" w:eastAsia="Amiri" w:cs="Amiri"/>
          <w:color w:val="111111"/>
          <w:sz w:val="28"/>
          <w:sz w:val="28"/>
          <w:szCs w:val="28"/>
          <w:rtl w:val="true"/>
          <w:lang w:bidi="ar-SA"/>
        </w:rPr>
        <w:t>العرف إذا رأى ماء يسيل في الأرض يحكم بكونه جاريا و لا يتوقّف في الحكم بذلك على تحقيق مجراه من أنّه ينبع عن الأرض فيحكم؛ أو يذوب من الثلج فلا يحكم؛ كما أنّ الماء الغير المتحرّك و لو كان له منبع ينبع عنه لا يقال في العرف أنّه جار؛ بل يقال أنّه عين راكدة فلا يترتّب عليه أحكام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التعجّب من صاحب الجواهر رحمه اللّه مع تنبّهه لما ذكرنا حكم في ما يسيل في الأرض بكونه جاريا حتى يثبت خلافه </w:t>
      </w:r>
      <w:r>
        <w:rPr>
          <w:rStyle w:val="FootnoteAnchor"/>
          <w:rtl w:val="true"/>
        </w:rPr>
        <w:footnoteReference w:id="58"/>
      </w:r>
      <w:r>
        <w:rPr>
          <w:rFonts w:ascii="Amiri" w:hAnsi="Amiri" w:eastAsia="Amiri" w:cs="Amiri"/>
          <w:color w:val="111111"/>
          <w:sz w:val="28"/>
          <w:sz w:val="28"/>
          <w:szCs w:val="28"/>
          <w:rtl w:val="true"/>
          <w:lang w:bidi="ar-SA"/>
        </w:rPr>
        <w:t>، ليت شعرى من أنّى له هذا الحكم بعد أخذ النبعان في مفهومه مع الشك في تحقّق النبعان، و لا أصل له حتّى يكون هو المرجع، و عرفت أنّ العرف لا يعتبر فيه عدا الجريان الفعلي دائرا مدار الامتداد و المزاولة فالحكم على كونه جاريا من حكم العرف بذلك فيناط الأحكام مناطه، فافهم و اغتنم</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ثم إنّ العلامة قدّس سرّه </w:t>
      </w:r>
      <w:r>
        <w:rPr>
          <w:rStyle w:val="FootnoteAnchor"/>
          <w:rtl w:val="true"/>
        </w:rPr>
        <w:footnoteReference w:id="60"/>
      </w:r>
      <w:r>
        <w:rPr>
          <w:rFonts w:ascii="Amiri" w:hAnsi="Amiri" w:eastAsia="Amiri" w:cs="Amiri"/>
          <w:color w:val="111111"/>
          <w:sz w:val="28"/>
          <w:sz w:val="28"/>
          <w:szCs w:val="28"/>
          <w:rtl w:val="true"/>
          <w:lang w:bidi="ar-SA"/>
        </w:rPr>
        <w:t xml:space="preserve">و بعض من تأخّر عنه اعتبروا الكرّية في الجاري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كالراكد </w:t>
      </w:r>
      <w:r>
        <w:rPr>
          <w:rStyle w:val="FootnoteAnchor"/>
          <w:rtl w:val="true"/>
        </w:rPr>
        <w:footnoteReference w:id="61"/>
      </w:r>
      <w:r>
        <w:rPr>
          <w:rFonts w:ascii="Amiri" w:hAnsi="Amiri" w:eastAsia="Amiri" w:cs="Amiri"/>
          <w:color w:val="111111"/>
          <w:sz w:val="28"/>
          <w:sz w:val="28"/>
          <w:szCs w:val="28"/>
          <w:rtl w:val="true"/>
          <w:lang w:bidi="ar-SA"/>
        </w:rPr>
        <w:t>لإطلاق الأخبار الدالّة على اعتبارها في عدم انفعال الماء</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يضعف </w:t>
      </w:r>
      <w:r>
        <w:rPr>
          <w:rStyle w:val="FootnoteAnchor"/>
          <w:rtl w:val="true"/>
        </w:rPr>
        <w:footnoteReference w:id="62"/>
      </w:r>
      <w:r>
        <w:rPr>
          <w:rFonts w:ascii="Amiri" w:hAnsi="Amiri" w:eastAsia="Amiri" w:cs="Amiri"/>
          <w:color w:val="111111"/>
          <w:sz w:val="28"/>
          <w:sz w:val="28"/>
          <w:szCs w:val="28"/>
          <w:rtl w:val="true"/>
          <w:lang w:bidi="ar-SA"/>
        </w:rPr>
        <w:t>بظهور بعضها في غير الجاري و على فرض تمامية إطلاقه أو عمومه فالنسبة بينها و بين ما دلّ بإطلاقه أو عمومه على عدم انفعال الجاري العموم من وجه؛</w:t>
      </w:r>
      <w:bookmarkStart w:id="67" w:name="pg1806_20190"/>
    </w:p>
    <w:p>
      <w:pPr>
        <w:pStyle w:val="BookText"/>
        <w:rPr/>
      </w:pPr>
      <w:bookmarkEnd w:id="67"/>
      <w:r>
        <w:rPr>
          <w:rFonts w:ascii="Amiri" w:hAnsi="Amiri" w:eastAsia="Amiri" w:cs="Amiri"/>
          <w:color w:val="111111"/>
          <w:sz w:val="28"/>
          <w:sz w:val="28"/>
          <w:szCs w:val="28"/>
          <w:rtl w:val="true"/>
          <w:lang w:bidi="ar-SA"/>
        </w:rPr>
        <w:t>فلا ريب أنّ الترجيح مع الأخير من وجوه عديدة، و على فرض التكافؤ و التساقط فالمرجع عموم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الماء طهورا لا ينجّسه شي‌ء إلّا ما غيّر </w:t>
      </w:r>
      <w:r>
        <w:rPr>
          <w:rFonts w:eastAsia="Amiri" w:cs="Amiri" w:ascii="Amiri" w:hAnsi="Amiri"/>
          <w:color w:val="111111"/>
          <w:sz w:val="28"/>
          <w:szCs w:val="28"/>
          <w:rtl w:val="true"/>
          <w:lang w:bidi="ar-SA"/>
        </w:rPr>
        <w:t>...».</w:t>
      </w:r>
    </w:p>
    <w:p>
      <w:pPr>
        <w:pStyle w:val="BookText"/>
        <w:rPr/>
      </w:pPr>
      <w:r>
        <w:rPr>
          <w:rStyle w:val="FootnoteAnchor"/>
          <w:rtl w:val="true"/>
        </w:rPr>
        <w:footnoteReference w:id="63"/>
      </w:r>
      <w:r>
        <w:rPr>
          <w:rFonts w:ascii="Amiri" w:hAnsi="Amiri" w:eastAsia="Amiri" w:cs="Amiri"/>
          <w:color w:val="111111"/>
          <w:sz w:val="28"/>
          <w:sz w:val="28"/>
          <w:szCs w:val="28"/>
          <w:rtl w:val="true"/>
          <w:lang w:bidi="ar-SA"/>
        </w:rPr>
        <w:t>و مع التنزّل عن ذلك فالرجوع إلى الأصل متعيّن</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2588990_3650668749"/>
      <w:bookmarkStart w:id="69" w:name="_Toc26"/>
      <w:bookmarkEnd w:id="68"/>
      <w:r>
        <w:rPr>
          <w:rtl w:val="true"/>
        </w:rPr>
        <w:t>[</w:t>
      </w:r>
      <w:r>
        <w:rPr>
          <w:rtl w:val="true"/>
        </w:rPr>
        <w:t>ماء البئر</w:t>
      </w:r>
      <w:r>
        <w:rPr>
          <w:rtl w:val="true"/>
        </w:rPr>
        <w:t>]</w:t>
      </w:r>
      <w:bookmarkEnd w:id="69"/>
    </w:p>
    <w:p>
      <w:pPr>
        <w:pStyle w:val="BookText"/>
        <w:rPr/>
      </w:pPr>
      <w:r>
        <w:rPr>
          <w:rFonts w:ascii="IRNazanin" w:hAnsi="IRNazanin" w:eastAsia="IRNazanin"/>
          <w:color w:val="111111"/>
          <w:sz w:val="28"/>
          <w:sz w:val="28"/>
          <w:szCs w:val="28"/>
          <w:rtl w:val="true"/>
          <w:lang w:bidi="fa-IR"/>
        </w:rPr>
        <w:t xml:space="preserve">ماء البئر و عرفوها بأنّه </w:t>
      </w:r>
      <w:r>
        <w:rPr>
          <w:rStyle w:val="FootnoteAnchor"/>
          <w:rtl w:val="true"/>
        </w:rPr>
        <w:footnoteReference w:id="64"/>
      </w:r>
      <w:r>
        <w:rPr>
          <w:rFonts w:ascii="Amiri" w:hAnsi="Amiri" w:eastAsia="Amiri" w:cs="Amiri"/>
          <w:color w:val="111111"/>
          <w:sz w:val="28"/>
          <w:sz w:val="28"/>
          <w:szCs w:val="28"/>
          <w:rtl w:val="true"/>
          <w:lang w:bidi="ar-SA"/>
        </w:rPr>
        <w:t xml:space="preserve">مجمع ماء نابع من الأرض لا يتعدّاها غالبا و لا يخرج عن مسمّاها عرفا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قال شيخنا الأنصاري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يخلوا هذا التعريف عن خدشات فالأولى وكوله إلى العرف</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أوكل بالقيد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 لا يخرج عن مسمّاها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العرف فحينئذ يكون التعريف سالما عن الخدشات المتوجهة إليه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انفعال ماء البئر بالملاقاة و عدمه قولان مشهوران بالشهرة العظيمة بين المتقدمين بالانفعال و بين المتأخرين بعدمه </w:t>
      </w:r>
      <w:r>
        <w:rPr>
          <w:rStyle w:val="FootnoteAnchor"/>
          <w:rtl w:val="true"/>
        </w:rPr>
        <w:footnoteReference w:id="67"/>
      </w:r>
      <w:r>
        <w:rPr>
          <w:rFonts w:ascii="IRNazanin" w:hAnsi="IRNazanin" w:eastAsia="IRNazanin"/>
          <w:color w:val="111111"/>
          <w:sz w:val="28"/>
          <w:sz w:val="28"/>
          <w:szCs w:val="28"/>
          <w:rtl w:val="true"/>
          <w:lang w:bidi="fa-IR"/>
        </w:rPr>
        <w:t xml:space="preserve">و ربما فصّل بعض </w:t>
      </w:r>
      <w:r>
        <w:rPr>
          <w:rStyle w:val="FootnoteAnchor"/>
          <w:rtl w:val="true"/>
        </w:rPr>
        <w:footnoteReference w:id="68"/>
      </w:r>
      <w:r>
        <w:rPr>
          <w:rFonts w:ascii="Amiri" w:hAnsi="Amiri" w:eastAsia="Amiri" w:cs="Amiri"/>
          <w:color w:val="111111"/>
          <w:sz w:val="28"/>
          <w:sz w:val="28"/>
          <w:szCs w:val="28"/>
          <w:rtl w:val="true"/>
          <w:lang w:bidi="ar-SA"/>
        </w:rPr>
        <w:t xml:space="preserve">بين الكرّ و عدمه جمعا بين الأخبار و الأدلة للطرفين من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في غاية الكثرة و إن كان</w:t>
      </w:r>
    </w:p>
    <w:p>
      <w:pPr>
        <w:pStyle w:val="BookText"/>
        <w:rPr/>
      </w:pPr>
      <w:r>
        <w:rPr>
          <w:rFonts w:ascii="Amiri" w:hAnsi="Amiri" w:eastAsia="Amiri" w:cs="Amiri"/>
          <w:color w:val="111111"/>
          <w:sz w:val="28"/>
          <w:sz w:val="28"/>
          <w:szCs w:val="28"/>
          <w:rtl w:val="true"/>
          <w:lang w:bidi="ar-SA"/>
        </w:rPr>
        <w:t xml:space="preserve">للخدشة في كثير منها مجال </w:t>
      </w:r>
      <w:r>
        <w:rPr>
          <w:rStyle w:val="FootnoteAnchor"/>
          <w:rtl w:val="true"/>
        </w:rPr>
        <w:footnoteReference w:id="69"/>
      </w:r>
      <w:r>
        <w:rPr>
          <w:rFonts w:ascii="Amiri" w:hAnsi="Amiri" w:eastAsia="Amiri" w:cs="Amiri"/>
          <w:color w:val="111111"/>
          <w:sz w:val="28"/>
          <w:sz w:val="28"/>
          <w:szCs w:val="28"/>
          <w:rtl w:val="true"/>
          <w:lang w:bidi="ar-SA"/>
        </w:rPr>
        <w:t>إلّا أنّ مجموعها في كلّ واحد من الطرفين لو لا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يوجب الاطمئنان بما راموا الاستدلال عليه من الانفعال و عدمه، و الجمع بينها بحمل أخبار النزح على الاستحباب ممّا يأباه بعض تلك الأخبار الناصّة من حيث النصّ فيه على كون النزح مطهّرا، </w:t>
      </w:r>
      <w:r>
        <w:rPr>
          <w:rStyle w:val="FootnoteAnchor"/>
          <w:rtl w:val="true"/>
        </w:rPr>
        <w:footnoteReference w:id="70"/>
      </w:r>
      <w:r>
        <w:rPr>
          <w:rFonts w:ascii="Amiri" w:hAnsi="Amiri" w:eastAsia="Amiri" w:cs="Amiri"/>
          <w:color w:val="111111"/>
          <w:sz w:val="28"/>
          <w:sz w:val="28"/>
          <w:szCs w:val="28"/>
          <w:rtl w:val="true"/>
          <w:lang w:bidi="ar-SA"/>
        </w:rPr>
        <w:t>و إن كان فى بعضها إشعار بهذا الحمل؛ فغاية ما يمكن لنا من التوجيه الجمع بينها بالفصل بين الكرّ و عدمه، و في رواية حسن بن صالح الثوري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في الركي كرّا لم ينجّسه شي‌ء</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شاهد عليه، الركي جمع الكرية بمعنى البئر </w:t>
      </w:r>
      <w:r>
        <w:rPr>
          <w:rStyle w:val="FootnoteAnchor"/>
          <w:rtl w:val="true"/>
        </w:rPr>
        <w:footnoteReference w:id="72"/>
      </w:r>
      <w:r>
        <w:rPr>
          <w:rFonts w:ascii="Amiri" w:hAnsi="Amiri" w:eastAsia="Amiri" w:cs="Amiri"/>
          <w:color w:val="111111"/>
          <w:sz w:val="28"/>
          <w:sz w:val="28"/>
          <w:szCs w:val="28"/>
          <w:rtl w:val="true"/>
          <w:lang w:bidi="ar-SA"/>
        </w:rPr>
        <w:t xml:space="preserve">، إلّا أنّه يبعّد أنّ حمل أخبار النجاسة على القليل لا يلتئم بعض أخبار النزح كنزح كرّ في بعضها </w:t>
      </w:r>
      <w:r>
        <w:rPr>
          <w:rStyle w:val="FootnoteAnchor"/>
          <w:rtl w:val="true"/>
        </w:rPr>
        <w:footnoteReference w:id="73"/>
      </w:r>
      <w:r>
        <w:rPr>
          <w:rFonts w:ascii="Amiri" w:hAnsi="Amiri" w:eastAsia="Amiri" w:cs="Amiri"/>
          <w:color w:val="111111"/>
          <w:sz w:val="28"/>
          <w:sz w:val="28"/>
          <w:szCs w:val="28"/>
          <w:rtl w:val="true"/>
          <w:lang w:bidi="ar-SA"/>
        </w:rPr>
        <w:t xml:space="preserve">و نزح سبعين دلوا في بعضها </w:t>
      </w:r>
      <w:r>
        <w:rPr>
          <w:rStyle w:val="FootnoteAnchor"/>
          <w:rtl w:val="true"/>
        </w:rPr>
        <w:footnoteReference w:id="74"/>
      </w:r>
      <w:r>
        <w:rPr>
          <w:rFonts w:ascii="Amiri" w:hAnsi="Amiri" w:eastAsia="Amiri" w:cs="Amiri"/>
          <w:color w:val="111111"/>
          <w:sz w:val="28"/>
          <w:sz w:val="28"/>
          <w:szCs w:val="28"/>
          <w:rtl w:val="true"/>
          <w:lang w:bidi="ar-SA"/>
        </w:rPr>
        <w:t xml:space="preserve">، مضافا إلى أخبار التراوح الناصّة بغزارة </w:t>
      </w:r>
      <w:r>
        <w:rPr>
          <w:rStyle w:val="FootnoteAnchor"/>
          <w:rtl w:val="true"/>
        </w:rPr>
        <w:footnoteReference w:id="75"/>
      </w:r>
      <w:r>
        <w:rPr>
          <w:rFonts w:ascii="IRNazanin" w:hAnsi="IRNazanin" w:eastAsia="IRNazanin"/>
          <w:color w:val="111111"/>
          <w:sz w:val="28"/>
          <w:sz w:val="28"/>
          <w:szCs w:val="28"/>
          <w:rtl w:val="true"/>
          <w:lang w:bidi="fa-IR"/>
        </w:rPr>
        <w:t xml:space="preserve">الماء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تنافي في ذلك إذ يمكن أن يكون الماء حين الملاقاة قليلا؛ و مع ذلك ينزح من البئر الكرّ و ما فوقه لإمكان ترشّح بدل ما ينزح من المنبع</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تقدير التنزّل عن ذلك</w:t>
      </w:r>
      <w:r>
        <w:rPr>
          <w:rFonts w:eastAsia="Amiri" w:cs="Amiri" w:ascii="Amiri" w:hAnsi="Amiri"/>
          <w:color w:val="111111"/>
          <w:sz w:val="28"/>
          <w:szCs w:val="28"/>
          <w:rtl w:val="true"/>
          <w:lang w:bidi="ar-SA"/>
        </w:rPr>
        <w:t>.</w:t>
      </w:r>
      <w:bookmarkStart w:id="70" w:name="pg1806_20196"/>
    </w:p>
    <w:p>
      <w:pPr>
        <w:pStyle w:val="BookText"/>
        <w:rPr/>
      </w:pPr>
      <w:bookmarkEnd w:id="70"/>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الأخبار الدالة على عدم انفعال في البئر معتضدة بالعمومات الخاصّة و العامّة </w:t>
      </w:r>
      <w:r>
        <w:rPr>
          <w:rStyle w:val="FootnoteAnchor"/>
          <w:rtl w:val="true"/>
        </w:rPr>
        <w:footnoteReference w:id="77"/>
      </w:r>
      <w:r>
        <w:rPr>
          <w:rFonts w:ascii="Amiri" w:hAnsi="Amiri" w:eastAsia="Amiri" w:cs="Amiri"/>
          <w:color w:val="111111"/>
          <w:sz w:val="28"/>
          <w:sz w:val="28"/>
          <w:szCs w:val="28"/>
          <w:rtl w:val="true"/>
          <w:lang w:bidi="ar-SA"/>
        </w:rPr>
        <w:t xml:space="preserve">مضافا إلى أصالة البراءة من وجوب الاجتناب و وجوب نزح الماء و استصحاب الطهارة السابقة عن اللقاء فلا جرم نحكم بالطهارة إلى أن يثبت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فلو سلّم دليل النجاسة في مورد خاص سندا و دلالة من الخدشة و احتوى شرائط الحجيّة خرجنا </w:t>
      </w:r>
      <w:r>
        <w:rPr>
          <w:rStyle w:val="FootnoteAnchor"/>
          <w:rtl w:val="true"/>
        </w:rPr>
        <w:footnoteReference w:id="78"/>
      </w:r>
      <w:r>
        <w:rPr>
          <w:rFonts w:ascii="Amiri" w:hAnsi="Amiri" w:eastAsia="Amiri" w:cs="Amiri"/>
          <w:color w:val="111111"/>
          <w:sz w:val="28"/>
          <w:sz w:val="28"/>
          <w:szCs w:val="28"/>
          <w:rtl w:val="true"/>
          <w:lang w:bidi="ar-SA"/>
        </w:rPr>
        <w:t>عن تلك القاعدة مقتصرا به، عكس الماء القليل حيث حكموا فيه بالانفعال؛ و استثنوا موارد لدليل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تيسّر لنا من وجه الجمع في المقام؛ و على اللّه التوكّل و الاعتصام</w:t>
      </w:r>
      <w:r>
        <w:rPr>
          <w:rFonts w:eastAsia="Amiri" w:cs="Amiri" w:ascii="Amiri" w:hAnsi="Amiri"/>
          <w:color w:val="111111"/>
          <w:sz w:val="28"/>
          <w:szCs w:val="28"/>
          <w:rtl w:val="true"/>
          <w:lang w:bidi="ar-SA"/>
        </w:rPr>
        <w:t>.</w:t>
      </w:r>
    </w:p>
    <w:p>
      <w:pPr>
        <w:pStyle w:val="Heading2"/>
        <w:numPr>
          <w:ilvl w:val="1"/>
          <w:numId w:val="1"/>
        </w:numPr>
        <w:rPr/>
      </w:pPr>
      <w:bookmarkStart w:id="71" w:name="__RefHeading___Toc2588992_3650668749"/>
      <w:bookmarkStart w:id="72" w:name="_Toc27"/>
      <w:bookmarkEnd w:id="71"/>
      <w:r>
        <w:rPr>
          <w:rtl w:val="true"/>
        </w:rPr>
        <w:t>[</w:t>
      </w:r>
      <w:r>
        <w:rPr>
          <w:rtl w:val="true"/>
        </w:rPr>
        <w:t>ماء الحمّام</w:t>
      </w:r>
      <w:r>
        <w:rPr>
          <w:rtl w:val="true"/>
        </w:rPr>
        <w:t>]</w:t>
      </w:r>
      <w:bookmarkEnd w:id="72"/>
    </w:p>
    <w:p>
      <w:pPr>
        <w:pStyle w:val="Heading3"/>
        <w:numPr>
          <w:ilvl w:val="2"/>
          <w:numId w:val="1"/>
        </w:numPr>
        <w:rPr/>
      </w:pPr>
      <w:bookmarkStart w:id="73" w:name="__RefHeading___Toc2588994_3650668749"/>
      <w:bookmarkStart w:id="74" w:name="_Toc28"/>
      <w:bookmarkEnd w:id="73"/>
      <w:r>
        <w:rPr>
          <w:rtl w:val="true"/>
        </w:rPr>
        <w:t>[</w:t>
      </w:r>
      <w:r>
        <w:rPr>
          <w:rtl w:val="true"/>
        </w:rPr>
        <w:t>في ألسن الأعلام ماء الحمّام حكمه حكم الجاري</w:t>
      </w:r>
      <w:r>
        <w:rPr>
          <w:rtl w:val="true"/>
        </w:rPr>
        <w:t>]</w:t>
      </w:r>
      <w:bookmarkEnd w:id="74"/>
    </w:p>
    <w:p>
      <w:pPr>
        <w:pStyle w:val="BookText"/>
        <w:rPr/>
      </w:pPr>
      <w:r>
        <w:rPr>
          <w:rFonts w:ascii="Amiri" w:hAnsi="Amiri" w:eastAsia="Amiri" w:cs="Amiri"/>
          <w:color w:val="111111"/>
          <w:sz w:val="28"/>
          <w:sz w:val="28"/>
          <w:szCs w:val="28"/>
          <w:rtl w:val="true"/>
          <w:lang w:bidi="ar-SA"/>
        </w:rPr>
        <w:t xml:space="preserve">و من المياه الدائرة في ألسن الأعلام ماء الحمّام مصرّحين بأنّ حكمه حكم الجاري </w:t>
      </w:r>
      <w:r>
        <w:rPr>
          <w:rStyle w:val="FootnoteAnchor"/>
          <w:rtl w:val="true"/>
        </w:rPr>
        <w:footnoteReference w:id="79"/>
      </w:r>
      <w:r>
        <w:rPr>
          <w:rFonts w:ascii="Amiri" w:hAnsi="Amiri" w:eastAsia="Amiri" w:cs="Amiri"/>
          <w:color w:val="111111"/>
          <w:sz w:val="28"/>
          <w:sz w:val="28"/>
          <w:szCs w:val="28"/>
          <w:rtl w:val="true"/>
          <w:lang w:bidi="ar-SA"/>
        </w:rPr>
        <w:t xml:space="preserve">، و ورد به بالخصوص النصوص عن أئمتنا الكرام عليهم السلام </w:t>
      </w:r>
      <w:r>
        <w:rPr>
          <w:rStyle w:val="FootnoteAnchor"/>
          <w:rtl w:val="true"/>
        </w:rPr>
        <w:footnoteReference w:id="8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موضوع الحمّام فهو من الموضوعات الواضحة العرفيّة فلا يعتريه ريب، </w:t>
      </w:r>
      <w:r>
        <w:rPr>
          <w:rStyle w:val="FootnoteAnchor"/>
          <w:rtl w:val="true"/>
        </w:rPr>
        <w:footnoteReference w:id="81"/>
      </w:r>
      <w:r>
        <w:rPr>
          <w:rFonts w:ascii="IRNazanin" w:hAnsi="IRNazanin" w:eastAsia="IRNazanin"/>
          <w:color w:val="111111"/>
          <w:sz w:val="28"/>
          <w:sz w:val="28"/>
          <w:szCs w:val="28"/>
          <w:rtl w:val="true"/>
          <w:lang w:bidi="fa-IR"/>
        </w:rPr>
        <w:t>فما</w:t>
      </w:r>
      <w:bookmarkStart w:id="75" w:name="pg1806_20199"/>
    </w:p>
    <w:p>
      <w:pPr>
        <w:pStyle w:val="BookText"/>
        <w:rPr/>
      </w:pPr>
      <w:bookmarkEnd w:id="75"/>
      <w:r>
        <w:rPr>
          <w:rFonts w:ascii="Amiri" w:hAnsi="Amiri" w:eastAsia="Amiri" w:cs="Amiri"/>
          <w:color w:val="111111"/>
          <w:sz w:val="28"/>
          <w:sz w:val="28"/>
          <w:szCs w:val="28"/>
          <w:rtl w:val="true"/>
          <w:lang w:bidi="ar-SA"/>
        </w:rPr>
        <w:t>نقل في الجواهر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قوّاه أيضا على ما هو ببالي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منصرف الحمّام في الأخبار ما هو المتعارف في عهدهم عليهم السّلام فلعلّه على كيفيّة مخصوصة غير كيفيّة الحمّامات المتعارفة في عصرنا فحينئذ لا وجه للحكم للتسوية بينهما في الحكم</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مردود بأنّ فتح باب هذا الاحتمال يسدّنا باب الاستدلال في غالب أبواب الفقه؛ مثلا يقال في مسألة حرمان الزوجة من إرث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الدور و العقارات في عهد المعصوم عليه السّلام كانت على كيفيّة مخصوصة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يستلزم حرمانها منها حرمانها ممّا هو المتعارف الآن، نعم لو أراد أنّ احتمال وضعها على كيفيّة خاصّة يحتمل أن يكون لها خصوصيّة في الحكم يمنعنا عن الحكم فيما هو المتعارف الآن لعدم علمنا بتلك الخصوصيّة في هذه الحمّامات فلا وجه؛ لكنّا نعلم من الأخبار إجمالا كيفيّة حمّامات عصر المعصوم عليه السّلام بما لا تحتوي على خصوصيّة تكون هي المناط في الحكم كما سيأتي</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2588996_3650668749"/>
      <w:bookmarkStart w:id="77" w:name="_Toc29"/>
      <w:bookmarkEnd w:id="76"/>
      <w:r>
        <w:rPr>
          <w:rtl w:val="true"/>
        </w:rPr>
        <w:t>و أمّا النصوص الواردة فيه فكثيرة</w:t>
      </w:r>
      <w:r>
        <w:rPr>
          <w:rtl w:val="true"/>
        </w:rPr>
        <w:t>:</w:t>
      </w:r>
      <w:bookmarkEnd w:id="77"/>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داود بن سرحان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ما تقول في ماء الحمّام؟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الجاري</w:t>
      </w:r>
      <w:r>
        <w:rPr>
          <w:rFonts w:eastAsia="Amiri" w:cs="Amiri" w:ascii="Amiri" w:hAnsi="Amiri"/>
          <w:color w:val="111111"/>
          <w:sz w:val="28"/>
          <w:szCs w:val="28"/>
          <w:rtl w:val="true"/>
          <w:lang w:bidi="ar-SA"/>
        </w:rPr>
        <w:t>»</w:t>
      </w:r>
    </w:p>
    <w:p>
      <w:pPr>
        <w:pStyle w:val="BookText"/>
        <w:rPr/>
      </w:pPr>
      <w:r>
        <w:rPr>
          <w:rStyle w:val="FootnoteAnchor"/>
          <w:rtl w:val="true"/>
        </w:rPr>
        <w:footnoteReference w:id="83"/>
      </w:r>
      <w:r>
        <w:rPr>
          <w:rFonts w:ascii="Amiri" w:hAnsi="Amiri" w:eastAsia="Amiri" w:cs="Amiri"/>
          <w:color w:val="111111"/>
          <w:sz w:val="28"/>
          <w:sz w:val="28"/>
          <w:szCs w:val="28"/>
          <w:rtl w:val="true"/>
          <w:lang w:bidi="ar-SA"/>
        </w:rPr>
        <w:t>و خبر ابن أبي يعفور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ماء الحمّام كماء النهر يطهّر بعضه بعضا</w:t>
      </w:r>
      <w:r>
        <w:rPr>
          <w:rFonts w:eastAsia="Amiri" w:cs="Amiri" w:ascii="Amiri" w:hAnsi="Amiri"/>
          <w:color w:val="111111"/>
          <w:sz w:val="28"/>
          <w:szCs w:val="28"/>
          <w:rtl w:val="true"/>
          <w:lang w:bidi="ar-SA"/>
        </w:rPr>
        <w:t>»</w:t>
      </w:r>
    </w:p>
    <w:p>
      <w:pPr>
        <w:pStyle w:val="BookText"/>
        <w:rPr/>
      </w:pPr>
      <w:r>
        <w:rPr>
          <w:rStyle w:val="FootnoteAnchor"/>
          <w:rtl w:val="true"/>
        </w:rPr>
        <w:footnoteReference w:id="84"/>
      </w:r>
      <w:r>
        <w:rPr>
          <w:rFonts w:ascii="Amiri" w:hAnsi="Amiri" w:eastAsia="Amiri" w:cs="Amiri"/>
          <w:color w:val="111111"/>
          <w:sz w:val="28"/>
          <w:sz w:val="28"/>
          <w:szCs w:val="28"/>
          <w:rtl w:val="true"/>
          <w:lang w:bidi="ar-SA"/>
        </w:rPr>
        <w:t>و غيرهما ممّا هو خال عن قيد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خبر بكر بن حبيب 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الحمّام لا بأس به إذا كانت له مادّة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حمل الأصحاب مطلقها على مقيّدها </w:t>
      </w:r>
      <w:r>
        <w:rPr>
          <w:rStyle w:val="FootnoteAnchor"/>
          <w:rtl w:val="true"/>
        </w:rPr>
        <w:footnoteReference w:id="86"/>
      </w:r>
      <w:r>
        <w:rPr>
          <w:rFonts w:ascii="Amiri" w:hAnsi="Amiri" w:eastAsia="Amiri" w:cs="Amiri"/>
          <w:color w:val="111111"/>
          <w:sz w:val="28"/>
          <w:sz w:val="28"/>
          <w:szCs w:val="28"/>
          <w:rtl w:val="true"/>
          <w:lang w:bidi="ar-SA"/>
        </w:rPr>
        <w:t xml:space="preserve">لكن ابن حبيب </w:t>
      </w:r>
      <w:r>
        <w:rPr>
          <w:rStyle w:val="FootnoteAnchor"/>
          <w:rtl w:val="true"/>
        </w:rPr>
        <w:footnoteReference w:id="87"/>
      </w:r>
      <w:r>
        <w:rPr>
          <w:rFonts w:ascii="Amiri" w:hAnsi="Amiri" w:eastAsia="Amiri" w:cs="Amiri"/>
          <w:color w:val="111111"/>
          <w:sz w:val="28"/>
          <w:sz w:val="28"/>
          <w:szCs w:val="28"/>
          <w:rtl w:val="true"/>
          <w:lang w:bidi="ar-SA"/>
        </w:rPr>
        <w:t xml:space="preserve">مرميّ بالجهالة </w:t>
      </w:r>
      <w:r>
        <w:rPr>
          <w:rStyle w:val="FootnoteAnchor"/>
          <w:rtl w:val="true"/>
        </w:rPr>
        <w:footnoteReference w:id="88"/>
      </w:r>
      <w:r>
        <w:rPr>
          <w:rFonts w:ascii="Amiri" w:hAnsi="Amiri" w:eastAsia="Amiri" w:cs="Amiri"/>
          <w:color w:val="111111"/>
          <w:sz w:val="28"/>
          <w:sz w:val="28"/>
          <w:szCs w:val="28"/>
          <w:rtl w:val="true"/>
          <w:lang w:bidi="ar-SA"/>
        </w:rPr>
        <w:t xml:space="preserve">كما عن المدارك </w:t>
      </w:r>
      <w:r>
        <w:rPr>
          <w:rStyle w:val="FootnoteAnchor"/>
          <w:rtl w:val="true"/>
        </w:rPr>
        <w:footnoteReference w:id="89"/>
      </w:r>
      <w:r>
        <w:rPr>
          <w:rFonts w:ascii="Amiri" w:hAnsi="Amiri" w:eastAsia="Amiri" w:cs="Amiri"/>
          <w:color w:val="111111"/>
          <w:sz w:val="28"/>
          <w:sz w:val="28"/>
          <w:szCs w:val="28"/>
          <w:rtl w:val="true"/>
          <w:lang w:bidi="ar-SA"/>
        </w:rPr>
        <w:t>فالعجب من شيخنا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درجاته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بكر بن محمّد بن حبيب الذي ظاهر المحكيّ عن النجاشي و صريح الخلاصة أنّه من علماء الإماميّة؛ لأنّ بكر بن محمّد هو أبو عثمان المازني المعروف النحوي؛ و هو من علماء الإماميّة</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لكنّه ما أدرك زمان الباقر عليه السّلام إذ هو من علماء زمان الهادي عليه السّلام؛ بل العسكري عليه السلام؛ و له قصّة معروفة مع الواثق باللّه العباسي، </w:t>
      </w:r>
      <w:r>
        <w:rPr>
          <w:rStyle w:val="FootnoteAnchor"/>
          <w:rtl w:val="true"/>
        </w:rPr>
        <w:footnoteReference w:id="92"/>
      </w:r>
      <w:r>
        <w:rPr>
          <w:rFonts w:ascii="Amiri" w:hAnsi="Amiri" w:eastAsia="Amiri" w:cs="Amiri"/>
          <w:color w:val="111111"/>
          <w:sz w:val="28"/>
          <w:sz w:val="28"/>
          <w:szCs w:val="28"/>
          <w:rtl w:val="true"/>
          <w:lang w:bidi="ar-SA"/>
        </w:rPr>
        <w:t xml:space="preserve">مضافا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لم يعهد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الرواية </w:t>
      </w:r>
      <w:r>
        <w:rPr>
          <w:rStyle w:val="FootnoteAnchor"/>
          <w:rtl w:val="true"/>
        </w:rPr>
        <w:footnoteReference w:id="93"/>
      </w:r>
      <w:r>
        <w:rPr>
          <w:rFonts w:ascii="Amiri" w:hAnsi="Amiri" w:eastAsia="Amiri" w:cs="Amiri"/>
          <w:color w:val="111111"/>
          <w:sz w:val="28"/>
          <w:sz w:val="28"/>
          <w:szCs w:val="28"/>
          <w:rtl w:val="true"/>
          <w:lang w:bidi="ar-SA"/>
        </w:rPr>
        <w:t xml:space="preserve">و كيف كان </w:t>
      </w:r>
      <w:r>
        <w:rPr>
          <w:rStyle w:val="FootnoteAnchor"/>
          <w:rtl w:val="true"/>
        </w:rPr>
        <w:footnoteReference w:id="94"/>
      </w:r>
      <w:r>
        <w:rPr>
          <w:rFonts w:ascii="Amiri" w:hAnsi="Amiri" w:eastAsia="Amiri" w:cs="Amiri"/>
          <w:color w:val="111111"/>
          <w:sz w:val="28"/>
          <w:sz w:val="28"/>
          <w:szCs w:val="28"/>
          <w:rtl w:val="true"/>
          <w:lang w:bidi="ar-SA"/>
        </w:rPr>
        <w:t>لا ريب في أنّ المراد من الحمّام ما له مادّة؛ لا من باب حمل المطلق على المقيّد كما ارتكبه المشهور حتى يتأمّل في سند المقيّد بما في المدارك من</w:t>
      </w:r>
    </w:p>
    <w:p>
      <w:pPr>
        <w:pStyle w:val="BookText"/>
        <w:rPr/>
      </w:pPr>
      <w:r>
        <w:rPr>
          <w:rFonts w:ascii="Amiri" w:hAnsi="Amiri" w:eastAsia="Amiri" w:cs="Amiri"/>
          <w:color w:val="111111"/>
          <w:sz w:val="28"/>
          <w:sz w:val="28"/>
          <w:szCs w:val="28"/>
          <w:rtl w:val="true"/>
          <w:lang w:bidi="ar-SA"/>
        </w:rPr>
        <w:t>نسبة الجهالة إليه؛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يقو قوّة انصراف المطلقات الكثيرة عن الظهور كما هو الظاهر؛ بل لأنّ الأخبار منصرف إلى ما هو المتعارف في عصرهم عليهم السّلام من كونه ذا مادّة يستمدّ منه و لا يستظهر من 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تعارف ذلك بخصوصه؛ بل كونه قسمين لأنّ معنى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اتصل بها؛ و إلّا لا يكون لها مادّة فعلا؛ أو ذكر لإخراج بعض الحمّامات النادرة التي يصبّ إليه باليد و الآلة، فوجه ترتّب أحكام الجاري عليه لكونه بسبب اتصاله بالمادّة من أقسام الجاري حقيقة، كما حقّقناه سابقا من أنّ الجاري هو ما كان سائلا بالفعل أعمّ من أن يكون سيلانه عنه المنبع أو المادّة؛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ينافي ما في صحيحة ابن سرحان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بمنزلة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أنّه نفس 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الجاري في تعارف العوام يقال لما يجري في سطح الأرض، لا ما كان نازلا من العلوّ؛ و إن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الميزاب أيضا، لكن عنوان الجاري بهذا الاشتقاق مخصوص في تعارفهم بما يجري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السطح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يكون خطّ سيره أفقيّا لا عموديّا فمشى الإمام عليه السّلام في هذا التعبير ممشاهم؛ و إن كان بحسب الواقع جاريا حقيقة؛ فافهم</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انقدح ممّا حقّقنا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الحمّام جار على وفق القاعدة و وجه اعتصامه اتّصاله</w:t>
      </w:r>
      <w:bookmarkStart w:id="78" w:name="pg1806_20212"/>
    </w:p>
    <w:p>
      <w:pPr>
        <w:pStyle w:val="BookText"/>
        <w:rPr/>
      </w:pPr>
      <w:bookmarkEnd w:id="78"/>
      <w:r>
        <w:rPr>
          <w:rFonts w:ascii="Amiri" w:hAnsi="Amiri" w:eastAsia="Amiri" w:cs="Amiri"/>
          <w:color w:val="111111"/>
          <w:sz w:val="28"/>
          <w:sz w:val="28"/>
          <w:szCs w:val="28"/>
          <w:rtl w:val="true"/>
          <w:lang w:bidi="ar-SA"/>
        </w:rPr>
        <w:t>بالمادّة بالجريان منها إليه و كونه جاريا حقيقة، و في رواية ابن أبي يعفور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الحمّام كماء النهر يطهّر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إشعار بأنّ العاصم له هو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من شيخ المشايخ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تربته الزاكية</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حيث جعل رواية ابن أبي يعفور مشيرا؛ بل دالّا على أنّ العاصم له هي الكثرة، مع أنّها على ما ذكرنا أدل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لنا القطع بأنّ البنيان المخصوص لا دخل له في الحكم؛ و إنّ الماء بوصف كونه فيه لا يتحصّل له اعتصام فما بقي إلّا انطباقه على المياه المعتصمة من الجاري أو الكثير، و علمت أنّ الأظهر اعتصامه من خصوص الجريان لا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ماء الحوضين بالاتّصال يعدّ ماءً و التعدّد في ظرفه و مكانه لا فيه نفسه؛ أ لا ترى أنّه لو جمد ماء الإنائين بعد الاتّصال لا يرتاب أحد في عدّه واحدا سواء كان سطحاهما متساويين أم مختلفين </w:t>
      </w:r>
      <w:r>
        <w:rPr>
          <w:rStyle w:val="FootnoteAnchor"/>
          <w:rtl w:val="true"/>
        </w:rPr>
        <w:footnoteReference w:id="97"/>
      </w:r>
      <w:r>
        <w:rPr>
          <w:rFonts w:ascii="Amiri" w:hAnsi="Amiri" w:eastAsia="Amiri" w:cs="Amiri"/>
          <w:color w:val="111111"/>
          <w:sz w:val="28"/>
          <w:sz w:val="28"/>
          <w:szCs w:val="28"/>
          <w:rtl w:val="true"/>
          <w:lang w:bidi="ar-SA"/>
        </w:rPr>
        <w:t xml:space="preserve">نعم لو كان المجرى بينهما ضيّقا بحيث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يلحقه العرف بالعدم لا يؤثّر ذلك في صدق الوحدة</w:t>
      </w:r>
      <w:r>
        <w:rPr>
          <w:rFonts w:eastAsia="Amiri" w:cs="Amiri" w:ascii="Amiri" w:hAnsi="Amiri"/>
          <w:color w:val="111111"/>
          <w:sz w:val="28"/>
          <w:szCs w:val="28"/>
          <w:rtl w:val="true"/>
          <w:lang w:bidi="ar-SA"/>
        </w:rPr>
        <w:t>.</w:t>
      </w:r>
    </w:p>
    <w:p>
      <w:pPr>
        <w:pStyle w:val="Heading2"/>
        <w:numPr>
          <w:ilvl w:val="1"/>
          <w:numId w:val="1"/>
        </w:numPr>
        <w:rPr/>
      </w:pPr>
      <w:bookmarkStart w:id="79" w:name="__RefHeading___Toc2588998_3650668749"/>
      <w:bookmarkStart w:id="80" w:name="_Toc30"/>
      <w:bookmarkEnd w:id="79"/>
      <w:r>
        <w:rPr>
          <w:rtl w:val="true"/>
        </w:rPr>
        <w:t>[</w:t>
      </w:r>
      <w:r>
        <w:rPr>
          <w:rtl w:val="true"/>
        </w:rPr>
        <w:t>ماء المطر</w:t>
      </w:r>
      <w:r>
        <w:rPr>
          <w:rtl w:val="true"/>
        </w:rPr>
        <w:t>]</w:t>
      </w:r>
      <w:bookmarkEnd w:id="8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ماء المطر لا اشكال في أنّه بعد الانقطاع في حكم الراكد </w:t>
      </w:r>
      <w:r>
        <w:rPr>
          <w:rStyle w:val="FootnoteAnchor"/>
          <w:rtl w:val="true"/>
        </w:rPr>
        <w:footnoteReference w:id="98"/>
      </w:r>
      <w:r>
        <w:rPr>
          <w:rFonts w:ascii="Amiri" w:hAnsi="Amiri" w:eastAsia="Amiri" w:cs="Amiri"/>
          <w:color w:val="111111"/>
          <w:sz w:val="28"/>
          <w:sz w:val="28"/>
          <w:szCs w:val="28"/>
          <w:rtl w:val="true"/>
          <w:lang w:bidi="ar-SA"/>
        </w:rPr>
        <w:t>قليله ينفعل و كثيره يعتصم،</w:t>
      </w:r>
    </w:p>
    <w:p>
      <w:pPr>
        <w:pStyle w:val="BookText"/>
        <w:rPr/>
      </w:pPr>
      <w:r>
        <w:rPr>
          <w:rFonts w:ascii="Amiri" w:hAnsi="Amiri" w:eastAsia="Amiri" w:cs="Amiri"/>
          <w:color w:val="111111"/>
          <w:sz w:val="28"/>
          <w:sz w:val="28"/>
          <w:szCs w:val="28"/>
          <w:rtl w:val="true"/>
          <w:lang w:bidi="ar-SA"/>
        </w:rPr>
        <w:t xml:space="preserve">و لا في أنّه حين النزول في حكم الجاري يطهّر ما لاقاه و لا ينفعل منه </w:t>
      </w:r>
      <w:r>
        <w:rPr>
          <w:rStyle w:val="FootnoteAnchor"/>
          <w:rtl w:val="true"/>
        </w:rPr>
        <w:footnoteReference w:id="99"/>
      </w:r>
      <w:r>
        <w:rPr>
          <w:rFonts w:ascii="Amiri" w:hAnsi="Amiri" w:eastAsia="Amiri" w:cs="Amiri"/>
          <w:color w:val="111111"/>
          <w:sz w:val="28"/>
          <w:sz w:val="28"/>
          <w:szCs w:val="28"/>
          <w:rtl w:val="true"/>
          <w:lang w:bidi="ar-SA"/>
        </w:rPr>
        <w:t>، إنّما الإشكال في شرطه هل يشترط في القوّة المصحّحة لإطلاق اسم المطر، أو الكثرة، أو الجريان بالقوّة، أو بالفعل من الشعب أو من خصوص الميزاب، أو لم يشترط شي‌ء من ذلك، بل هو معصوم مطلقا و لو كان قطرة واحدة؛ أقوال</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أقواها الأوّل </w:t>
      </w:r>
      <w:r>
        <w:rPr>
          <w:rStyle w:val="FootnoteAnchor"/>
          <w:rtl w:val="true"/>
        </w:rPr>
        <w:footnoteReference w:id="101"/>
      </w:r>
      <w:r>
        <w:rPr>
          <w:rFonts w:ascii="Amiri" w:hAnsi="Amiri" w:eastAsia="Amiri" w:cs="Amiri"/>
          <w:color w:val="111111"/>
          <w:sz w:val="28"/>
          <w:sz w:val="28"/>
          <w:szCs w:val="28"/>
          <w:rtl w:val="true"/>
          <w:lang w:bidi="ar-SA"/>
        </w:rPr>
        <w:t xml:space="preserve">و أضعفها الأخير </w:t>
      </w:r>
      <w:r>
        <w:rPr>
          <w:rStyle w:val="FootnoteAnchor"/>
          <w:rtl w:val="true"/>
        </w:rPr>
        <w:footnoteReference w:id="102"/>
      </w:r>
      <w:r>
        <w:rPr>
          <w:rFonts w:ascii="Amiri" w:hAnsi="Amiri" w:eastAsia="Amiri" w:cs="Amiri"/>
          <w:color w:val="111111"/>
          <w:sz w:val="28"/>
          <w:sz w:val="28"/>
          <w:szCs w:val="28"/>
          <w:rtl w:val="true"/>
          <w:lang w:bidi="ar-SA"/>
        </w:rPr>
        <w:t>، و وجه ضعف الأخير واضح لأنّه لا يصدق اسم</w:t>
      </w:r>
    </w:p>
    <w:p>
      <w:pPr>
        <w:pStyle w:val="BookText"/>
        <w:rPr/>
      </w:pPr>
      <w:r>
        <w:rPr>
          <w:rFonts w:ascii="Amiri" w:hAnsi="Amiri" w:eastAsia="Amiri" w:cs="Amiri"/>
          <w:color w:val="111111"/>
          <w:sz w:val="28"/>
          <w:sz w:val="28"/>
          <w:szCs w:val="28"/>
          <w:rtl w:val="true"/>
          <w:lang w:bidi="ar-SA"/>
        </w:rPr>
        <w:t>المطر في العرف إلّا على ما فيه فضل قوّة، و يسلبون اسمه عن القطرات؛ كما تراهم لو سئلوا حين نزول القطرات اليسيرة هل يمطر السماء؟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يقطر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بضميمة الأصل يظهر قوّة الأوّل لإطلاق </w:t>
      </w:r>
      <w:r>
        <w:rPr>
          <w:rStyle w:val="FootnoteAnchor"/>
          <w:rtl w:val="true"/>
        </w:rPr>
        <w:footnoteReference w:id="103"/>
      </w:r>
      <w:r>
        <w:rPr>
          <w:rFonts w:ascii="Amiri" w:hAnsi="Amiri" w:eastAsia="Amiri" w:cs="Amiri"/>
          <w:color w:val="111111"/>
          <w:sz w:val="28"/>
          <w:sz w:val="28"/>
          <w:szCs w:val="28"/>
          <w:rtl w:val="true"/>
          <w:lang w:bidi="ar-SA"/>
        </w:rPr>
        <w:t>قوله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يراه المطر فقد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مرسل الكاهلي المروي في الكافي عن الصادق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في الطريق فيسيل عليّ الميزاب في أوقات أعلم أنّ الناس يتوضّئون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لا تسأل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فيسيل عليّ من ماء المطر أرى فيه التغيّر، و أرى فيه آثار القذر، فتقطر القطرات عليّ و ينتضح عليّ منه، و البيت يتوضّأ على سطحه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 على ثيابنا؟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بهذا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يراه المطر فقد طهر</w:t>
      </w:r>
      <w:r>
        <w:rPr>
          <w:rFonts w:eastAsia="Amiri" w:cs="Amiri" w:ascii="Amiri" w:hAnsi="Amiri"/>
          <w:color w:val="111111"/>
          <w:sz w:val="28"/>
          <w:szCs w:val="28"/>
          <w:rtl w:val="true"/>
          <w:lang w:bidi="ar-SA"/>
        </w:rPr>
        <w:t>»</w:t>
      </w:r>
    </w:p>
    <w:p>
      <w:pPr>
        <w:pStyle w:val="BookText"/>
        <w:rPr/>
      </w:pPr>
      <w:r>
        <w:rPr>
          <w:rStyle w:val="FootnoteAnchor"/>
          <w:rtl w:val="true"/>
        </w:rPr>
        <w:footnoteReference w:id="104"/>
      </w:r>
      <w:r>
        <w:rPr>
          <w:rFonts w:ascii="Amiri" w:hAnsi="Amiri" w:eastAsia="Amiri" w:cs="Amiri"/>
          <w:color w:val="111111"/>
          <w:sz w:val="28"/>
          <w:sz w:val="28"/>
          <w:szCs w:val="28"/>
          <w:rtl w:val="true"/>
          <w:lang w:bidi="ar-SA"/>
        </w:rPr>
        <w:t>قال في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هذا السؤال لا يلائم ذيله، فإنّ السيلان غير القطرات </w:t>
      </w:r>
      <w:r>
        <w:rPr>
          <w:rStyle w:val="FootnoteAnchor"/>
          <w:rtl w:val="true"/>
        </w:rPr>
        <w:footnoteReference w:id="105"/>
      </w:r>
      <w:r>
        <w:rPr>
          <w:rFonts w:ascii="Amiri" w:hAnsi="Amiri" w:eastAsia="Amiri" w:cs="Amiri"/>
          <w:color w:val="111111"/>
          <w:sz w:val="28"/>
          <w:sz w:val="28"/>
          <w:szCs w:val="28"/>
          <w:rtl w:val="true"/>
          <w:lang w:bidi="ar-SA"/>
        </w:rPr>
        <w:t xml:space="preserve">ثمّ نقل عن الوافي و عن نسخة من الكافي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فيسيل </w:t>
      </w:r>
      <w:r>
        <w:rPr>
          <w:rStyle w:val="FootnoteAnchor"/>
          <w:rtl w:val="true"/>
        </w:rPr>
        <w:footnoteReference w:id="106"/>
      </w:r>
      <w:r>
        <w:rPr>
          <w:rFonts w:ascii="IRNazanin" w:hAnsi="IRNazanin" w:eastAsia="IRNazanin"/>
          <w:color w:val="111111"/>
          <w:sz w:val="28"/>
          <w:sz w:val="28"/>
          <w:szCs w:val="28"/>
          <w:rtl w:val="true"/>
          <w:lang w:bidi="fa-IR"/>
        </w:rPr>
        <w:t>على الماء المطر</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يلتئم الذيل و يصلح المتن من إشكال نفي البأس بالتغيّر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استدلّ به شرط الكثرة من صحيحة هشام بن سالم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الصادق عليه السّلام عن السطح يبال عليه فيصيبه السماء فيكفّ الثوب؟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ما أصاب به من الماء أكثر منه</w:t>
      </w:r>
      <w:r>
        <w:rPr>
          <w:rFonts w:eastAsia="Amiri" w:cs="Amiri" w:ascii="Amiri" w:hAnsi="Amiri"/>
          <w:color w:val="111111"/>
          <w:sz w:val="28"/>
          <w:szCs w:val="28"/>
          <w:rtl w:val="true"/>
          <w:lang w:bidi="ar-SA"/>
        </w:rPr>
        <w:t>».</w:t>
      </w:r>
    </w:p>
    <w:p>
      <w:pPr>
        <w:pStyle w:val="BookText"/>
        <w:rPr/>
      </w:pPr>
      <w:r>
        <w:rPr>
          <w:rStyle w:val="FootnoteAnchor"/>
          <w:rtl w:val="true"/>
        </w:rPr>
        <w:footnoteReference w:id="107"/>
      </w: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بالأكثرية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يحتمل ضعيفا أن يكون المراد أنّ القطرة الواصلة إلى الثوب أكثر من البول الذي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اشتراط الجريان أخبار لا يخلوا شي‌ء منها عن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p>
    <w:p>
      <w:pPr>
        <w:pStyle w:val="BookText"/>
        <w:rPr/>
      </w:pPr>
      <w:r>
        <w:rPr>
          <w:rFonts w:ascii="Amiri" w:hAnsi="Amiri" w:eastAsia="Amiri" w:cs="Amiri"/>
          <w:color w:val="111111"/>
          <w:sz w:val="28"/>
          <w:sz w:val="28"/>
          <w:szCs w:val="28"/>
          <w:rtl w:val="true"/>
          <w:lang w:bidi="ar-SA"/>
        </w:rPr>
        <w:t>عليّ بن جعفر عن أخيه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المطر يجري في المكان فيه العذرة فيصيب الثوب، أ يصلّي فيه قبل أن يغسل؟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جرى به المطر فلا بأس</w:t>
      </w:r>
      <w:r>
        <w:rPr>
          <w:rFonts w:eastAsia="Amiri" w:cs="Amiri" w:ascii="Amiri" w:hAnsi="Amiri"/>
          <w:color w:val="111111"/>
          <w:sz w:val="28"/>
          <w:szCs w:val="28"/>
          <w:rtl w:val="true"/>
          <w:lang w:bidi="ar-SA"/>
        </w:rPr>
        <w:t>»</w:t>
      </w:r>
    </w:p>
    <w:p>
      <w:pPr>
        <w:pStyle w:val="BookText"/>
        <w:rPr/>
      </w:pP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المحتمل؛ بل الظاهر أن يكون المراد من الجريان، الجريان من المساء أى النزول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لكان المناسب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روايته الأخرى عن أخيه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الكنيف يكون فوق البيت، فيصيبه المطر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 فيصيب الثياب أ يصلّي فيه قبل أن تغسل؟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فلا بأس</w:t>
      </w:r>
      <w:r>
        <w:rPr>
          <w:rFonts w:eastAsia="Amiri" w:cs="Amiri" w:ascii="Amiri" w:hAnsi="Amiri"/>
          <w:color w:val="111111"/>
          <w:sz w:val="28"/>
          <w:szCs w:val="28"/>
          <w:rtl w:val="true"/>
          <w:lang w:bidi="ar-SA"/>
        </w:rPr>
        <w:t>».</w:t>
      </w:r>
    </w:p>
    <w:p>
      <w:pPr>
        <w:pStyle w:val="BookText"/>
        <w:rPr/>
      </w:pPr>
      <w:r>
        <w:rPr>
          <w:rStyle w:val="FootnoteAnchor"/>
          <w:rtl w:val="true"/>
        </w:rPr>
        <w:footnoteReference w:id="109"/>
      </w:r>
      <w:r>
        <w:rPr>
          <w:rFonts w:ascii="IRNazanin" w:hAnsi="IRNazanin" w:eastAsia="IRNazanin"/>
          <w:color w:val="111111"/>
          <w:sz w:val="28"/>
          <w:sz w:val="28"/>
          <w:szCs w:val="28"/>
          <w:rtl w:val="true"/>
          <w:lang w:bidi="fa-IR"/>
        </w:rPr>
        <w:t xml:space="preserve">إذ الظاهر </w:t>
      </w:r>
      <w:r>
        <w:rPr>
          <w:rStyle w:val="FootnoteAnchor"/>
          <w:rtl w:val="true"/>
        </w:rPr>
        <w:footnoteReference w:id="110"/>
      </w:r>
      <w:r>
        <w:rPr>
          <w:rFonts w:ascii="Amiri" w:hAnsi="Amiri" w:eastAsia="Amiri" w:cs="Amiri"/>
          <w:color w:val="111111"/>
          <w:sz w:val="28"/>
          <w:sz w:val="28"/>
          <w:szCs w:val="28"/>
          <w:rtl w:val="true"/>
          <w:lang w:bidi="ar-SA"/>
        </w:rPr>
        <w:t>أن يجري من ماء المطر على ثيابه، لا أن يجري على الأرض؛ كما هو دعواهم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البيت يبال على ظهره، و يغتسل فيه من</w:t>
      </w:r>
      <w:bookmarkStart w:id="81" w:name="pg1806_20224"/>
    </w:p>
    <w:p>
      <w:pPr>
        <w:pStyle w:val="BookText"/>
        <w:rPr/>
      </w:pPr>
      <w:bookmarkEnd w:id="81"/>
      <w:r>
        <w:rPr>
          <w:rFonts w:ascii="Amiri" w:hAnsi="Amiri" w:eastAsia="Amiri" w:cs="Amiri"/>
          <w:color w:val="111111"/>
          <w:sz w:val="28"/>
          <w:sz w:val="28"/>
          <w:szCs w:val="28"/>
          <w:rtl w:val="true"/>
          <w:lang w:bidi="ar-SA"/>
        </w:rPr>
        <w:t>الجنابة، ثمّ يصيبه المطر، أ يؤخذ من مائه فيتوضّأ به للصلاة؟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جرى فلا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Style w:val="FootnoteAnchor"/>
          <w:rtl w:val="true"/>
        </w:rPr>
        <w:footnoteReference w:id="111"/>
      </w:r>
      <w:r>
        <w:rPr>
          <w:rFonts w:ascii="Amiri" w:hAnsi="Amiri" w:eastAsia="Amiri" w:cs="Amiri"/>
          <w:color w:val="111111"/>
          <w:sz w:val="28"/>
          <w:sz w:val="28"/>
          <w:szCs w:val="28"/>
          <w:rtl w:val="true"/>
          <w:lang w:bidi="ar-SA"/>
        </w:rPr>
        <w:t xml:space="preserve">إذ يحتمل أن يكون </w:t>
      </w:r>
      <w:r>
        <w:rPr>
          <w:rStyle w:val="FootnoteAnchor"/>
          <w:rtl w:val="true"/>
        </w:rPr>
        <w:footnoteReference w:id="112"/>
      </w:r>
      <w:r>
        <w:rPr>
          <w:rFonts w:ascii="Amiri" w:hAnsi="Amiri" w:eastAsia="Amiri" w:cs="Amiri"/>
          <w:color w:val="111111"/>
          <w:sz w:val="28"/>
          <w:sz w:val="28"/>
          <w:szCs w:val="28"/>
          <w:rtl w:val="true"/>
          <w:lang w:bidi="ar-SA"/>
        </w:rPr>
        <w:t>بمعنى النزول من السماء، أي حين الجريان لا بأس به؛ لا بعد الانقطاع لتنجّسه بالمكان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قد تمسّكوا في أصل المسألة ببعض الأخبار الواردة في طين المطر، كمرسلة محمّد بن اسماعيل عنه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طين المطر، أنّه لا بأس به أن يصيب الثوب ثلاثة أيّام، إلّا أن يعلم أنّه قد نجسه شي‌ء بعد المطر، فإن أصابه بعد ثلاثة أيّام فاغسله، و إن كان الطريق نظيفا لم تغسله</w:t>
      </w:r>
      <w:r>
        <w:rPr>
          <w:rFonts w:eastAsia="Amiri" w:cs="Amiri" w:ascii="Amiri" w:hAnsi="Amiri"/>
          <w:color w:val="111111"/>
          <w:sz w:val="28"/>
          <w:szCs w:val="28"/>
          <w:rtl w:val="true"/>
          <w:lang w:bidi="ar-SA"/>
        </w:rPr>
        <w:t>».</w:t>
      </w:r>
    </w:p>
    <w:p>
      <w:pPr>
        <w:pStyle w:val="BookText"/>
        <w:rPr/>
      </w:pPr>
      <w:r>
        <w:rPr>
          <w:rStyle w:val="FootnoteAnchor"/>
          <w:rtl w:val="true"/>
        </w:rPr>
        <w:footnoteReference w:id="113"/>
      </w:r>
      <w:r>
        <w:rPr>
          <w:rFonts w:ascii="Amiri" w:hAnsi="Amiri" w:eastAsia="Amiri" w:cs="Amiri"/>
          <w:color w:val="111111"/>
          <w:sz w:val="28"/>
          <w:sz w:val="28"/>
          <w:szCs w:val="28"/>
          <w:rtl w:val="true"/>
          <w:lang w:bidi="ar-SA"/>
        </w:rPr>
        <w:t xml:space="preserve">و الظاهر أنّه ليس من أخبار الباب، و الحكم في المرسلة بالطهارة في ثلاثة أيّام على وفق الأصل، و بعده بالغسل على خلافه و لعلّه من باب تقديم الظاهر عليه؛ و إلّا فلو اختصّ حكم الغسل في صورة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بالنجاسة لا يبقي التقييد بالثلاثة فائدة، و هذا نظير إلحاق الماء المشتبه قبل الاستبراء بالبول أو المني تبعّدا هذا فقه الحديث مع قطع النظر عمّا يعارضه، و إلّا يطرح أو يؤول بما لا يعارضه فهو موكول إلى محلّه ليس هنا مقام ذكره</w:t>
      </w:r>
      <w:r>
        <w:rPr>
          <w:rFonts w:eastAsia="Amiri" w:cs="Amiri" w:ascii="Amiri" w:hAnsi="Amiri"/>
          <w:color w:val="111111"/>
          <w:sz w:val="28"/>
          <w:szCs w:val="28"/>
          <w:rtl w:val="true"/>
          <w:lang w:bidi="ar-SA"/>
        </w:rPr>
        <w:t>.</w:t>
      </w:r>
    </w:p>
    <w:p>
      <w:pPr>
        <w:pStyle w:val="Heading2"/>
        <w:numPr>
          <w:ilvl w:val="1"/>
          <w:numId w:val="1"/>
        </w:numPr>
        <w:rPr/>
      </w:pPr>
      <w:bookmarkStart w:id="82" w:name="__RefHeading___Toc2589000_3650668749"/>
      <w:bookmarkStart w:id="83" w:name="_Toc31"/>
      <w:bookmarkEnd w:id="82"/>
      <w:r>
        <w:rPr>
          <w:rtl w:val="true"/>
        </w:rPr>
        <w:t>[</w:t>
      </w:r>
      <w:r>
        <w:rPr>
          <w:rtl w:val="true"/>
        </w:rPr>
        <w:t>ماء الكر، تعريفه، تحديده و بعض أحكامه</w:t>
      </w:r>
      <w:r>
        <w:rPr>
          <w:rtl w:val="true"/>
        </w:rPr>
        <w:t>]</w:t>
      </w:r>
      <w:bookmarkEnd w:id="8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اتّفق المسلمون العامّة عامّتهم عدى المالك، و الخاصة كافّتهم إلّا العمّاني على اعتبار وزن ما في عصمة الماء </w:t>
      </w:r>
      <w:r>
        <w:rPr>
          <w:rStyle w:val="FootnoteAnchor"/>
          <w:rtl w:val="true"/>
        </w:rPr>
        <w:footnoteReference w:id="114"/>
      </w:r>
      <w:r>
        <w:rPr>
          <w:rFonts w:ascii="Amiri" w:hAnsi="Amiri" w:eastAsia="Amiri" w:cs="Amiri"/>
          <w:color w:val="111111"/>
          <w:sz w:val="28"/>
          <w:sz w:val="28"/>
          <w:szCs w:val="28"/>
          <w:rtl w:val="true"/>
          <w:lang w:bidi="ar-SA"/>
        </w:rPr>
        <w:t xml:space="preserve">و إن اختلفوا في مقداره، </w:t>
      </w:r>
      <w:r>
        <w:rPr>
          <w:rStyle w:val="FootnoteAnchor"/>
          <w:rtl w:val="true"/>
        </w:rPr>
        <w:footnoteReference w:id="115"/>
      </w:r>
      <w:r>
        <w:rPr>
          <w:rFonts w:ascii="Amiri" w:hAnsi="Amiri" w:eastAsia="Amiri" w:cs="Amiri"/>
          <w:color w:val="111111"/>
          <w:sz w:val="28"/>
          <w:sz w:val="28"/>
          <w:szCs w:val="28"/>
          <w:rtl w:val="true"/>
          <w:lang w:bidi="ar-SA"/>
        </w:rPr>
        <w:t>و عبّر عن ذاك الوزن في أكثر</w:t>
      </w:r>
    </w:p>
    <w:p>
      <w:pPr>
        <w:pStyle w:val="BookText"/>
        <w:rPr/>
      </w:pPr>
      <w:r>
        <w:rPr>
          <w:rFonts w:ascii="Amiri" w:hAnsi="Amiri" w:eastAsia="Amiri" w:cs="Amiri"/>
          <w:color w:val="111111"/>
          <w:sz w:val="28"/>
          <w:sz w:val="28"/>
          <w:szCs w:val="28"/>
          <w:rtl w:val="true"/>
          <w:lang w:bidi="ar-SA"/>
        </w:rPr>
        <w:t xml:space="preserve">الأخبار بالكرّ الذي فسّره في بعضها </w:t>
      </w:r>
      <w:r>
        <w:rPr>
          <w:rStyle w:val="FootnoteAnchor"/>
          <w:rtl w:val="true"/>
        </w:rPr>
        <w:footnoteReference w:id="116"/>
      </w:r>
      <w:r>
        <w:rPr>
          <w:rFonts w:ascii="Amiri" w:hAnsi="Amiri" w:eastAsia="Amiri" w:cs="Amiri"/>
          <w:color w:val="111111"/>
          <w:sz w:val="28"/>
          <w:sz w:val="28"/>
          <w:szCs w:val="28"/>
          <w:rtl w:val="true"/>
          <w:lang w:bidi="ar-SA"/>
        </w:rPr>
        <w:t xml:space="preserve">و في أخبار آخر بما سيأتي، و عبّر عنه في بعضها بالقلّتين اللتين فسّرهما بالجرتين </w:t>
      </w:r>
      <w:r>
        <w:rPr>
          <w:rStyle w:val="FootnoteAnchor"/>
          <w:rtl w:val="true"/>
        </w:rPr>
        <w:footnoteReference w:id="117"/>
      </w:r>
      <w:r>
        <w:rPr>
          <w:rFonts w:ascii="Amiri" w:hAnsi="Amiri" w:eastAsia="Amiri" w:cs="Amiri"/>
          <w:color w:val="111111"/>
          <w:sz w:val="28"/>
          <w:sz w:val="28"/>
          <w:szCs w:val="28"/>
          <w:rtl w:val="true"/>
          <w:lang w:bidi="ar-SA"/>
        </w:rPr>
        <w:t xml:space="preserve">، و في آخر بأنّه أكثر من راوية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إرجاعها إلى ما يوافق الكرّ بالتفسير الذي سنذكره حسبما استفدناه من كلام أهل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الكرّ في معرفته طريقتان مأخوذتان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باعتبار الوزن، و الأخرى بملاحظة المسامحة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المشهور جمعوا بين الأخبار في كلّ واحدة من الطريقتين بما لا يمكن التوفيق بينهما فوقعوا في وجه التوفيق في إشكال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أنّهم قدّروه باعتبار الوزن بألف و مأتي رطل بالعراقي، و بالمساحة بما كان كلّ واحد من طوله و عرضه و عمقه ثلاثة أشبار و نصف و رأوا </w:t>
      </w:r>
      <w:r>
        <w:rPr>
          <w:rStyle w:val="FootnoteAnchor"/>
          <w:rtl w:val="true"/>
        </w:rPr>
        <w:footnoteReference w:id="120"/>
      </w:r>
      <w:r>
        <w:rPr>
          <w:rFonts w:ascii="Amiri" w:hAnsi="Amiri" w:eastAsia="Amiri" w:cs="Amiri"/>
          <w:color w:val="111111"/>
          <w:sz w:val="28"/>
          <w:sz w:val="28"/>
          <w:szCs w:val="28"/>
          <w:rtl w:val="true"/>
          <w:lang w:bidi="ar-SA"/>
        </w:rPr>
        <w:t xml:space="preserve">أنّ الوزني </w:t>
      </w:r>
      <w:r>
        <w:rPr>
          <w:rStyle w:val="FootnoteAnchor"/>
          <w:rtl w:val="true"/>
        </w:rPr>
        <w:footnoteReference w:id="121"/>
      </w:r>
      <w:r>
        <w:rPr>
          <w:rFonts w:ascii="Amiri" w:hAnsi="Amiri" w:eastAsia="Amiri" w:cs="Amiri"/>
          <w:color w:val="111111"/>
          <w:sz w:val="28"/>
          <w:sz w:val="28"/>
          <w:szCs w:val="28"/>
          <w:rtl w:val="true"/>
          <w:lang w:bidi="ar-SA"/>
        </w:rPr>
        <w:t>منها ينقص عن المساحي دائما بما يصعب تطبيقهما</w:t>
      </w:r>
    </w:p>
    <w:p>
      <w:pPr>
        <w:pStyle w:val="BookText"/>
        <w:rPr/>
      </w:pPr>
      <w:r>
        <w:rPr>
          <w:rFonts w:ascii="Amiri" w:hAnsi="Amiri" w:eastAsia="Amiri" w:cs="Amiri"/>
          <w:color w:val="111111"/>
          <w:sz w:val="28"/>
          <w:sz w:val="28"/>
          <w:szCs w:val="28"/>
          <w:rtl w:val="true"/>
          <w:lang w:bidi="ar-SA"/>
        </w:rPr>
        <w:t>فوقعوا في الإشكال بأنّه لا داعي إلى هذا التقدير المختلف بعد علمهم عليهم السّلام بنقص الوزن عن المساحة دائما مع القدرة على ضابط منطبق عليه، و أتى بعض الأعظام في مقام بما يشمئز النفس من نقله، و الأولى أن نضرب عنه و التعرّض لما فيه صفحا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نقرّ تقدير المساحي بما يقرب من الوزني فيأتي التوفيق بينهما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الإشكال المذكورة نشأ من أخذ سطح المساحي بشكل المربع فيبلغ مكسره حينئذ إلى اثنين و أربعين شبرا و سبعة أثمان شبر </w:t>
      </w:r>
      <w:r>
        <w:rPr>
          <w:rStyle w:val="FootnoteAnchor"/>
          <w:rtl w:val="true"/>
        </w:rPr>
        <w:footnoteReference w:id="122"/>
      </w:r>
      <w:r>
        <w:rPr>
          <w:rFonts w:ascii="Amiri" w:hAnsi="Amiri" w:eastAsia="Amiri" w:cs="Amiri"/>
          <w:color w:val="111111"/>
          <w:sz w:val="28"/>
          <w:sz w:val="28"/>
          <w:szCs w:val="28"/>
          <w:rtl w:val="true"/>
          <w:lang w:bidi="ar-SA"/>
        </w:rPr>
        <w:t>فيكثر التفاوت حينئذ بينه و بين الوزني بما يصعب التطبيق، لكن ظاهر رواية حسن بن صالح أخذ السطح بشكل المستدير، لأنّه فرض فيها الماء في الركي بمعنى البئر، و الآبار غالبا وضعها على الاستدارة، لا على المربع فحينئذ يقرب من الوزني بما يأتي التوفيق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هاهنا ختم مجلس الإفادة لما أصابتهم مصيبة من رحلة عمّهم الأكرم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أعلى اللّه درجاته إلى دار القرار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 لأجله الرجوع من بلدة قم إلى أصفهان</w:t>
      </w:r>
    </w:p>
    <w:p>
      <w:pPr>
        <w:pStyle w:val="BookText"/>
        <w:rPr/>
      </w:pPr>
      <w:r>
        <w:rPr>
          <w:rFonts w:ascii="Amiri" w:hAnsi="Amiri" w:eastAsia="Amiri" w:cs="Amiri"/>
          <w:color w:val="111111"/>
          <w:sz w:val="28"/>
          <w:sz w:val="28"/>
          <w:szCs w:val="28"/>
          <w:rtl w:val="true"/>
          <w:lang w:bidi="ar-SA"/>
        </w:rPr>
        <w:t>جزاهم اللّه عن الإسلام خيرا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قرب ما قرّره من المساحي بالوزني أنّه بناء على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السطح بشكل المستدير يفرض ثلاثة أشبار و نصف قطرا للدائرة </w:t>
      </w:r>
      <w:r>
        <w:rPr>
          <w:rStyle w:val="FootnoteAnchor"/>
          <w:rtl w:val="true"/>
        </w:rPr>
        <w:footnoteReference w:id="123"/>
      </w:r>
      <w:r>
        <w:rPr>
          <w:rFonts w:ascii="Amiri" w:hAnsi="Amiri" w:eastAsia="Amiri" w:cs="Amiri"/>
          <w:color w:val="111111"/>
          <w:sz w:val="28"/>
          <w:sz w:val="28"/>
          <w:szCs w:val="28"/>
          <w:rtl w:val="true"/>
          <w:lang w:bidi="ar-SA"/>
        </w:rPr>
        <w:t xml:space="preserve">، و القطر إذا ضرب في ثلاث و سبع يحصل المحيط، فالمحيط حينئذ يكون أحد عشر شبرا </w:t>
      </w:r>
      <w:r>
        <w:rPr>
          <w:rStyle w:val="FootnoteAnchor"/>
          <w:rtl w:val="true"/>
        </w:rPr>
        <w:footnoteReference w:id="124"/>
      </w:r>
      <w:r>
        <w:rPr>
          <w:rFonts w:ascii="Amiri" w:hAnsi="Amiri" w:eastAsia="Amiri" w:cs="Amiri"/>
          <w:color w:val="111111"/>
          <w:sz w:val="28"/>
          <w:sz w:val="28"/>
          <w:szCs w:val="28"/>
          <w:rtl w:val="true"/>
          <w:lang w:bidi="ar-SA"/>
        </w:rPr>
        <w:t xml:space="preserve">فالقاعدة في تعيين مساحة الدائرة </w:t>
      </w:r>
      <w:r>
        <w:rPr>
          <w:rStyle w:val="FootnoteAnchor"/>
          <w:rtl w:val="true"/>
        </w:rPr>
        <w:footnoteReference w:id="125"/>
      </w:r>
      <w:r>
        <w:rPr>
          <w:rFonts w:ascii="Amiri" w:hAnsi="Amiri" w:eastAsia="Amiri" w:cs="Amiri"/>
          <w:color w:val="111111"/>
          <w:sz w:val="28"/>
          <w:sz w:val="28"/>
          <w:szCs w:val="28"/>
          <w:rtl w:val="true"/>
          <w:lang w:bidi="ar-SA"/>
        </w:rPr>
        <w:t xml:space="preserve">أن يضرب نصف قطرها في نصف محيطها فيكون مضروب الواحد و ثلاثة أرباع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القطر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الخمسة و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أشبار و خمسة أثمان الشبر فهو مساحة سطح الدائرة فيضرب ذلك في العمق ثلاثة أشبار و نصف فيكون الحاصل ثلاثة و ثلاثين شبرا و أحد عشر جزء من ستة و عشر جزء</w:t>
      </w:r>
    </w:p>
    <w:p>
      <w:pPr>
        <w:pStyle w:val="BookText"/>
        <w:rPr/>
      </w:pPr>
      <w:r>
        <w:rPr>
          <w:rFonts w:ascii="IRNazanin" w:hAnsi="IRNazanin" w:eastAsia="IRNazanin"/>
          <w:color w:val="111111"/>
          <w:sz w:val="28"/>
          <w:sz w:val="28"/>
          <w:szCs w:val="28"/>
          <w:rtl w:val="true"/>
          <w:lang w:bidi="fa-IR"/>
        </w:rPr>
        <w:t xml:space="preserve">من الشبر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حرّره الأحقر أحمد الحسيني الزنجاني في شهر رجب المرجّب عام ست و أربعين بعد ثلاثمائة و الألف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bookmarkStart w:id="84" w:name="pg1806_20239"/>
    </w:p>
    <w:p>
      <w:pPr>
        <w:pStyle w:val="Heading2"/>
        <w:numPr>
          <w:ilvl w:val="1"/>
          <w:numId w:val="1"/>
        </w:numPr>
        <w:rPr/>
      </w:pPr>
      <w:bookmarkStart w:id="85" w:name="__RefHeading___Toc2589002_3650668749"/>
      <w:bookmarkStart w:id="86" w:name="_Toc32"/>
      <w:bookmarkEnd w:id="84"/>
      <w:bookmarkEnd w:id="85"/>
      <w:r>
        <w:rPr>
          <w:rtl w:val="true"/>
        </w:rPr>
        <w:t xml:space="preserve">فهرست مصادر الرسالة و التقدمة </w:t>
      </w:r>
      <w:r>
        <w:rPr>
          <w:rtl w:val="true"/>
        </w:rPr>
        <w:t>«</w:t>
      </w:r>
      <w:r>
        <w:rPr/>
        <w:t>1</w:t>
      </w:r>
      <w:r>
        <w:rPr>
          <w:rtl w:val="true"/>
        </w:rPr>
        <w:t>»</w:t>
      </w:r>
      <w:bookmarkEnd w:id="86"/>
    </w:p>
    <w:p>
      <w:pPr>
        <w:pStyle w:val="Heading3"/>
        <w:numPr>
          <w:ilvl w:val="2"/>
          <w:numId w:val="1"/>
        </w:numPr>
        <w:rPr/>
      </w:pPr>
      <w:bookmarkStart w:id="87" w:name="__RefHeading___Toc2589004_3650668749"/>
      <w:bookmarkStart w:id="88" w:name="_Toc33"/>
      <w:bookmarkEnd w:id="87"/>
      <w:r>
        <w:rPr>
          <w:rtl w:val="true"/>
        </w:rPr>
        <w:t>المصادر العربية</w:t>
      </w:r>
      <w:bookmarkEnd w:id="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الاثنا عشريات الخمس، للشيخ البهائي، إعداد مسعود شكوهي، قم، إعجاز،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للمحقق الخواجوئي، تحقيق السيّد مهدي الرجائي، مؤسسة النشر الإسلامي،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للشيخ الطوسي، تحقيق السيّد حسن الموسوي الخرسان، الطبعة الرابعة، طهران، دار الكتب الإسلامية،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أسئلة و أجوبة فقهية، للشيخ منير الدين البروجردي، تحقيق مهدي الباقري السياني،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حوزه‌ى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للسيّد محسن الأمين، إعداد السيّد حسن الأمين، الطبعة الخامسة، بيروت، دار التعارف،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للعلّامة المجلسي، الطبعة الثانية، بيروت، مؤسسة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 النهاية، لابن أثير، تحقيق على شيري، بيروت، دار إحياء التراث العربي،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الفقهاء، للشيخ محمّد تقي الرازي النجفي الأصفهاني صاحب هداية المسترشدين، تحقيق السيّد صادق الحسيني الإشكوري، قم، مجمع الذخائر الإسلامية،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الأحكام الشرعية، للعلّامة الحلّي، تحقيق ابراهيم البهادري، قم، مؤسسة الإمام الصادق عليه السّلام،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للعلّامة الحلّي، قم، مؤسسة آل البيت عليهم السّلام،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التنقيح الرائع، الفاضل المقداد، تحقيق عبد اللطيف الحسيني، قم، مكتبة السيّد المرعشي،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للشيخ الطوسي، إعداد السيّد حسن الموسوي الخرسان، الطبعة الرابعة، طهران، دار الكتب الإسلامية،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المقال، للسيّد محمّد علي الموحّد الأبطحي، الطبعة الثانية، قم، سيّد الشهداء عليه السّلام،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للمحقّق الثاني، قم، مؤسسة آل البيت عليهم السّلام،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للشيخ محمّد حسن النجفي، قم مؤسسة النشر الإسلامي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إرشاد الأذهان، للمحقّق الثاني، تحقيق الشيخ محمّد الحسون، طهران،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الحاشية على مدارك الأحكام، للوحيد البهبهاني، مشهد مؤسسة آل البيت عليهم السّلام،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الحبل المتين، للشيخ البهائي، تحقيق السيّد بلاسم الموسوي، مشهد، مكتبة الروضة الرضوية،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للمحدّث البحراني، قم، مؤسسة النشر الإسلامي،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المحقّق الكركي و آثاره، للمحقّق الثاني، تحقيق الشيخ محمّد الحسون، طهران، احتجاج،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للعلّامة الحلّي، تحقيق جواد القيّومي، قم، نشر الفقاهة،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النجفيّة، للعلّامة بحر العلوم النجفي، قم، مكتبة المفيد،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ذخيرة المعاد، للمحقّق السبزواري، قم، افست مؤسسة آل البيت عليهم السّلام،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للشيخ آقا بزرگ الطهراني، الطبعة الثالثة، بيروت، دار الأضواء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ذكرى الشيعة، للشهيد الأوّل، قم، مؤسسة آل البيت عليهم السّلام،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لشيخ الطائفة الطوسي، تحقيق جواد القيّومى، قم، مؤسسة النشر الإسلامي،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لأبي العباس النجاشي، تحقيق السيّد موسى الشبيري الزنجاني، قم، مؤسسة النشر الإسلامي،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الشهيد الثاني، للشيخ زين الدين العاملي، قم، مكتب الإعلام الإسلامي،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عدم تنجيس المتنجّس، للشيخ محمد رضا النجفي الأصفهاني، تحقيق رحيم القاسمي، قم،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مجلة فقه أهل البيت عليه السّلام، الفارسية، العدد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الرعاية، للشهيد الثاني، قم، مكتب الإعلام الإسلامي،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الرواشح السماوية، للمير الداماد، تحقيق نعمة اللّه الجليلي و غلامحسين قيصريه‌ها، قم دار الحديث،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في أحوال العلماء و السادات، للسيّد محمّد باقر الخوانساري، تحقيق أسد اللّه إسماعيليان، قم، إسماعيليان،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للشهيد الثاني، إعداد السيّد محمّد الكلانتر، الطبعة الثانية، بيروت، دار إحياء التراث العربي،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 الجنان، للشهيد الثاني، قم، مكتب الإعلام الإسلامى،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لابن إدريس الحلّي، قم، مؤسسة النشر الإسلامي،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للذهبي، الطبعة التاسعة، بيروت، مؤسسة الرسالة،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الصنيع لرقاب منكري علم البديع، للشيخ محمد رضا النجفي الأصفهاني، تحقيق مجيد هادى‌زاده، قم، مكتبة الأدبية المختصّة،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جمل العلم و العمل، للقاضي ابن برّاج، تحقيق كاظم مدير شانه‌چى، مشهد، جامعة مشهد،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هداية المسترشدين، للشيخ محمّد باقر النجفي الأصفهاني، تحقيق مهدي الباقري السياني، قم، عطر عترت،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علماء الأسرة، للسيّد محمّد باقر الخوانساري، طهران، مكتب القرآن،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المراد، للشهيد الأوّل، تحقيق رضا المختاري، قم، مكتب الإعلام الإسلامي،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غنائم الأيّام، للمحقّق القمّي، قم، مكتب الإعلام الإسلامي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الأصول، للشيخ الأنصاري، الطبعة الخامسة، قم، مجمع دار الفكر الإسلامي،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الإمامية، للشيخ محمّد تقي آقا نجفي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أصفهان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على المذاهب الخمسة، للشيخ جواد المغنية، الطبعة الخامسة، طهران مؤسسة الصادق،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لمشاهير و علماء زنجان، للشيخ موسى الزنجاني، إعداد السيّد حسين الجعفري الزنجاني، قم، آل عبا،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للعلّامة الفيض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الرجال، للمحقّق التستري، الطبعة الثانية، قم، مؤسسة النشر الإسلامي،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لعبد اللّه بن جعفر الحميري، قم، مؤسسة آل البيت عليهم السّلام،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الأحكام، للعلّامة الحلّي، قم، مؤسسة النشر الإسلامي،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لثقة الإسلام الكليني، تحقيق علي أكبر الغفّاري، الطبعة الثامنة، طهران، دار الكتب الإسلامية،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للإمام الخميني، طهران، مؤسسة تنظيم و نشر آثار الإمام الخميني،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للشيخ الأنصاري، إعداد لجنة التحقيق،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للسيّد مصطفى الخميني، طهران، مؤسسة تنظيم و نشر آثار الإمام الخميني،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الالتباس، للشيخ مفلح الصميري، قم، مؤسسة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للشيخ جعفر كاشف الغطاء، مشهد، مكتب الإعلام الإسلامي،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اللثام، للفاضل الهندي، قم، مؤسسة النشر الإسلامي،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الأحكام، للمحقق السبزواري، تحقيق الشيخ مرتضى الواعظي، قم، مؤسسة النشر الإسلامي،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 الألقاب، للمحدّث القمي، الطبعة الخامسة، طهران، مكتبة الصدر،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لابن منظور المصري، بيروت، دار إحياء التراث العربي،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اللمعات النّيرة، للآخوند الخراساني، تحقيق السيّد صالح المدرسي، قم، مرصاد،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في فقه الإمامية، للشيخ الطوسي، طهران، مكتبة المرتضوية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و البرهان، للمحقق الأردبيلي، قم، مؤسسة النشر الإسلامي،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الشيعة، للعلّامة الحلّي، الطبعة الثانية، قم، مكتب الإعلام الإسلامي،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مدارك الأحكام، للسيّد محمّد العاملي، قم، مؤسسة آل البيت عليهم السلام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لعلّي بن جعفر العريضى، قم، مؤسسة آل البيت عليهم السّلام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الناصريات، للسيّد المرتضى، طهران، المجمع العالمي للتقريب بين المذاهب الإسلامية،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للشهيد الثاني، الطبعة الثانية، قم، مؤسسة المعارف الإسلامية،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للمحدّث النوري، قم، مؤسسة آل البيت عليهم السّلام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مستمسك العروة الوثقى، للسيّد محسن الحكيم، قم إسماعيليان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الشيعة، للفاضل النراقي، مشهد، مؤسسة آل البيت عليهم السّلام،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الأحكام، للعلّامة بحر العلوم النجفي، تحقيق السيّد مهدي الطباطبائي و فخر الدين الصانعي، قم، فقه الثقلين،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مصابيح الظلام، للعلّامة الوحيد البهبهاني، قم، مؤسسة الوحيد البهبهاني،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الفقيه، للفقيه الهمداني، قم، مؤسسة الجعفرية،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المنير، للفيومي، قم، دار الهجرة </w:t>
      </w: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مصفى المقال، للشيخ آقا بزرگ الطهراني، إعداد أحمد المنزوي، طهران،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للمحقّق الحلّي، قم، مؤسسة سيّد الشهداء عليه السّلام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للمحقّق الخوئي، قم، آثار الشيعة،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 لابن قدامة، بيروت، دار الكتاب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الشرائع، للفيض الكاشاني، تحقيق السيّد مهدي الرجائي، قم، مجمع الذخائر الإسلامية،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الكرامة للسيّد جواد العاملي، تحقيق الشيخ محمّد باقر الخالصي، قم، مؤسسة النشر الإسلامي،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منتقد المنافع، للمولى حبيب اللّه الكاشاني، قم، مكتب الإعلام الإسلامي،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المطلب، للعلّامة الحلّي، مشهد، مكتبة الروضة الرضوية،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الصدوق تحقيق علي أكبر الغفّاري، الطبعة الثانية، قم، مؤسسة النشر الإسلامي،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المواهب السنيّة في شرح الدّرة النجفية، للسيّد محمود الطباطبائي البروجردي، 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الرجالية الميسّرة، لعليّ أكبر الترابي، الطبعة الثانية، قم، مؤسسة الإمام الصادق عليه السّلام،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مؤلفي الإمامية، قم، مجمع الفكر الإسلامي،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النجعة في شرح اللمعة، للمحقّق التستري، طهران، مكتبة الصدوق،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bookmarkStart w:id="89" w:name="pg1806_20257"/>
    </w:p>
    <w:p>
      <w:pPr>
        <w:pStyle w:val="BookText"/>
        <w:rPr/>
      </w:pPr>
      <w:bookmarkEnd w:id="89"/>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نجعة المرتاد، للشيخ محمّد رضا النجفي الأصفهاني، تحقيق رحيم القاسمي،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 حوزه‌ى اصفهان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للشيخ آقا بزرگ الطهراني، مشهد، دار المرتضى،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الإحكام، للعلّامة الحلّي، تحقيق السيّد مهدي الرجائي، الطبعة الثانية، قم إسماعيليان،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للفيض الكاشاني، أصفهان، مكتبة الإمام أمير المؤمنين عليه السّلام،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إلى تحصيل مسائل الشريعة، للسيّد محسن الكاظمي البغدادي، طهران، مكتبة المصطفوي،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إلى تحصيل مسائل الشريعة، للشيخ حرّ العاملي، الطبعة الثالثة، قم، مؤسسة آل البيت عليهم السّلام،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الأعيان، لابن خلّكان، تحقيق إحسان عبّاس، بيروت، دار الصادر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الرازي إلى الإمام المجدّد الشيرازي، للشيخ آقا بزرگ الطهرانى، طهران، مكتبة الميقات،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الأحكام، للسيّد علي الموسوي القزويني، تحقيق السيّد علي العلوي، قم، مؤسسة النشر الإسلامي،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2589006_3650668749"/>
      <w:bookmarkStart w:id="91" w:name="_Toc34"/>
      <w:bookmarkEnd w:id="90"/>
      <w:r>
        <w:rPr>
          <w:rtl w:val="true"/>
        </w:rPr>
        <w:t>المصادر الفارسية</w:t>
      </w:r>
      <w:bookmarkEnd w:id="91"/>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آشنائى با چند نسخۀ خطى، للسيّد المدرسي و الشيخ رضا الأستادي، قم، مكتبة مهر،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اربعين حديث، للإمام الخميني، طهران، مؤسسۀ تنظيم و نشر آثار الإمام الخميني، الطبعة السادسة،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علمى و اجتماعى اصفهان در دو قرن اخير، للسيّد مصلح الدين المهدوي، قم، الهداية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bookmarkStart w:id="92" w:name="pg1806_20259"/>
    </w:p>
    <w:p>
      <w:pPr>
        <w:pStyle w:val="BookText"/>
        <w:rPr/>
      </w:pPr>
      <w:bookmarkEnd w:id="92"/>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پاكان قم، لعبد الحسين جواهر كلام، قم، انصاريان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أمجديه، للشيخ محمّد رضا النجفي الأصفهاني، تحقيق الشيخ هادي النجفي، طهران، حروفيه،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رساله صلاتيه، للشيخ محمد تقي الرازي النجفي الأصفهاني، تحقيق مهدي الباقري السياني، قم، ذوى القربى، </w:t>
      </w:r>
      <w:r>
        <w:rPr>
          <w:rFonts w:eastAsia="Amiri" w:cs="Amiri" w:ascii="Amiri" w:hAnsi="Amiri"/>
          <w:color w:val="111111"/>
          <w:sz w:val="28"/>
          <w:szCs w:val="28"/>
          <w:lang w:bidi="ar-SA"/>
        </w:rPr>
        <w:t>13181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قبيلۀ عالمان دين، للشيخ هادي النجفي، قم، عسكرية،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الحساب في شرح خلاصة الحساب، لفرهاد ميرزا، اصفهان، مكتبة الشفيعي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گلشن اهل سلوك، للشيخ رحيم القاسمي، اصفهان، كانون پژوهش،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حوزۀ اصفهان، سنوية، تصدر في أصفهان، العدد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سنه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2589008_3650668749"/>
      <w:bookmarkStart w:id="94" w:name="_Toc35"/>
      <w:bookmarkEnd w:id="93"/>
      <w:r>
        <w:rPr>
          <w:rtl w:val="true"/>
        </w:rPr>
        <w:t>المجلّات</w:t>
      </w:r>
      <w:bookmarkEnd w:id="94"/>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آينۀ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فارسية، تصدر كلّ شهرين من مركز الأبحاث و الدراسات الإسلامية القم المقدّسة، العدد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تصدر كلّ شهرين من مدينة قم المقدّسة، العدد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فصليّة، تصدر بمدينة قم المقدّسة، العدد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علم، فارسية فصلية، تصدر في مدينة قم المقدّسة، العدد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را،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الرّازى،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در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به اهتمام نگارندۀ اين سطور به زيور طبع آراسته گرديد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وى را نگر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قبيلۀ عالمان دين،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شرح هداية المسترشدين،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حوزه، شمارۀ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مرحوم آية اللّه سيّد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حسينى همدانى صاحب تفسير انوار درخشان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وى را نگر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قبيلۀ عالمان دين،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گلشن اهل سلوك،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رسالۀ صلاتيه،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الأسرة،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و نيز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را دربارۀ اين اثر و مؤلّف آن، مقاله‌اى است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 آنكه شمشير آشنائى مى‌زند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آينۀ پژوهش، شمارۀ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اين اثر بسيار ارزشمند مفقود مى‌باشد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كتاب‌شناسى آثار مرحوم علّامۀ نجفى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الصنيع،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قبيلۀ عالمان دين،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گلشن اهل سلوك،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نجعة المرتاد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حوزۀ اصفهان، دفتر 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أمجديه،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نيز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حوزه، شمارۀ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اربعين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سخنان بزرگان در توصيف مقام علمى و ادبى وى را نگر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مقدمۀ السيف الصنيع،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گلشن اهل سلوك،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مدفونان در اين بقعه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گلشن اهل سلوك</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اين فقيه مجاهد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سلطنت علم و دولت فقر اثر على ابو الحسنى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نور علم شمارۀ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تربت پاكان قم، جواهر كلام،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آشنائى با چند نسخۀ خطّى،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مفصل‌ترين شرح بر شرايع الاسلام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حجرى آن 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بوده و اوّلين طبع حروفى آن در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مى‌باشد كه اخيرا با تحقيقى شايسته، توسط مؤسّسۀ نشر اسلامى وابسته به جامعۀ مدرّسين حوزۀ علميّۀ قم، شانزده جلد از آن به زيور طبع آراسته گرديده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مجلّۀ نور علم، شمارۀ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كتاب‌شناسى علّامۀ زنجانى 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آشنائى با چند نسخۀ خطّى،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موسوعة مؤلّفي الإماميّة،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مفصّل وى را نگر 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لمشاهير و علماء زنجان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شمارۀ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مجلّۀ نور علم شمارۀ،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إلى نصّ كلام بعض الأعلام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البهائي في الاثنا عشرية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وافق هذا القول جماعة من الأعلام ذكره آية اللّه الميرزا محمّد الفيض القمي في كتابه الفيض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خالف المشهور ممّن تقدّم عصره علينا في ما نعلم ابن إدريس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 صدر الدين و المولى المحدّث الكاشاني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المفاتيح،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ممّن عاصرناه المحقّق الأستاذ المولى محمّد كاظم الخراساني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اللمعات النّيرة،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النبيه الآغا رضا الهمداني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مصباح الفقيه،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الشيخ مهدي الخالصي، و نقل عن شيخ الشريعة المولى فتح اللّه الشيرازي الغروي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للمقرّر له في هذا المجال رسالة في عدم تنجيس المتنجّس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طبعت في مجلة فقه أهل البيت عليهم السّلام الرقم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قدّس سرّه يقول في ختام رسالته هذا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مقام النظر العلمي، و أمّا في مقام العمل فأقول كما قاله صاحب نجاة العباد في مسألة ماء الغسالة و عملي على التجنّب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تحرير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في نيّة المقرّر أن يبحث عنها و لكنّه لم يتمكّن منه لأجل ما ذكره المقرّر في ختام هذه التقريرات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ادّعى الشيخ الأعظم قدّس سرّه في كتاب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الإجماع عليه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النجفيّة،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الإنصاف صحّة النسبة المذكورة إلى السيد قدّس سرّه لأنّ كلامه ظاهر في أنّه أراد من الوارد خصوص جزء الملاقي؛ لا ما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حمل عليه الأستاذ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 لأنّه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الوجه في ذلك أنّه لو حكمنا بنجاسة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 الوارد على النجاسة لأدّى ذلك إلى أنّ الثوب لا يطهّر من النجاسة إلّا بإيراد كرّ من الماء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أنّ ظاهر التعليل اختصاص الحكم بخصوص الجزء الملاقي و إلّا لذكرها محذور تاليه أشدّ من هذا عن أنّه بعد حكاية الفرق عن جدّه الناصر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هذه المسألة لا أعرف فيها نصّا لأصحابنا و لا قولا صريحا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اختار الفرق إذ الفرق بين ما فوق الجز الوارد و غيره ليس فيه خفاء حتّى يتأمّل السيّد قدّس سرّه و يبعد عنه أن لا يعرف فيه نصّا و قولا مع حكاية قضاء الضرورة بذلك عن غير واحد، هكذا أفهم من ظاهر عبارته و إن كانت قلّة بضاعتى برهانا على سقوط ما يصل إليه فهمي القاصر من الاعتبار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الحسيني الزنجاني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ظهر الإناء معلوم الإصابة بتصريح قول السائل أصاب إناءه و باطنه مشكوكا فحينئذ لا يكون المورد من الشبهة المحضورة؛ لكن يفيد هذا الاحتمال جلالة مقام السائل من أن يسأل عن حكم المشكوك بالشك البدوي؛ و إلّا هذا الاحتمال بنفسه ليس بذلك البعيد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الحسيني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فرق بين قول الشيخ و ما أفاده الأستاذ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ظلّه لأنّ الشيخ قدّس سرّه على ما حكى شيخ مشايخنا في رسالة البراءة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 بالعفو عنه للصحيحة المذكورة؛ لا عدم الانفعال، و كذا حكى في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المبسوط العفو لعدم إمكان التحرّز و إن نسب فيها عدم الانفعال أيضا، و أمّا على ما استدلّ به الأستاذ لا يكون منفعلا أصلا حتى يحتاج إلى العفو و إلّا مقتضى استدلاله اختصاص الحكم بالعدم، و أمّا استدلال الأستاذ فمعناه عمومية الحكم بجميع النجاسات، نعم قضية عدم إمكان التحرّز كما عن ظاهر العموم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حكي تصريح المبسوط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الحسيني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الشيخ الأعظم الأنصارى قدّس سرّه في كتاب الطهارة،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الأعظم في ردّ هذا الوجه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هذا أكثر نقضا من الوجه الأوّل، لانتقاضه بالكرّ مع إحساس السراية فيه، و بما ذكر في الوجه السابق؛ و يلزم عليه أن يكون انفعال مجموع الماء على التدريج، و أن يتفاوت زمان السراية بالنسبة إلى المائع الرقيق و الغليظ؛ مع أنّ التدريج باطل إجماعا، فضلا عن تفاوت المائعات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ممّن صرّح بالشهرة في المقام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ادّعى الإجماع عليه في شرح جمل العلم و 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المعتبر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الغنائم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إليك نصّ بعض الأعلام قدس سرهم في هذا الاصطلاح</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أنّ العلامة الطباطبائي في منظومة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النجفيّة،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اقتصر في التعبير عنه بالنابع في بيته هذا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صحيحة ابن بزيع؛ قال في مواهب السنية في شأنها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الخبر قلّما يوجد مثله في علوّ السند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المواهب السنية في شرح الدرة النجفية؛ و ما وجدته في مظانّها بالرغم من تفحصي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رجوع التعليل 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تفسده شي‌ء 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احتمله البهائي 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هذا المجال ما أفاده الفقيه البارع السيّد مصطفى الخميني قدّس سرّه في كتاب الطهارة،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الشَّمْسُ تَجْرِي لِمُسْتَقَرٍّ 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يس، 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يعتبر في غسلات الوضوء الجريان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تحقيق متين في غاية المتانة إلّا أنّه جعل في الأخبار ماء الحمام إذا كانت له مادّة بمنزلة الجاري بمعنى أنّه جار بهذا المعنى حقيقة لا منزّل منزلته؛ كما أجاب به شيخ مشايخنا قدّس سرّه هذا القول المحكي عن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الحسينى</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كان الغالب في المياه الجارية في الأرض النبعان فيكون مشكوكها ملحقة بالغالب، و لعل الجواهر حكم به لهذا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الحسيني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الأكبر في كشف 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أجاب بعض الأساتيد قدّس سرّه في مجلس الدرس عن استدلال العلامة قدّس سرّه بأنّ نفس تقدير الكثرة بالكرّ قرينة على اختصاصه بالراكد؛ لأنّ القلّة و الكثرة في كلّ شي‌ء بحسبه فالجاري قلّته و كثرته لا يعتبر بالوزن و المسامحة، بل بضيق المجرى و سعته بخلاف الراكد فيعتبر بالوزن و المسامحة، فعلى هذا يكون أخبار اعتبار الكرّ ظاهرا في الراكد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الحسيني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تذكير الضمير حال الخبر و إلّا فمرجعه البئر و هو مؤنث سماعي و لذا أنّث الضمائر الأخيرة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كشف الالتباس،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الروضة البهيّة،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مفتاح الكرامة،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مصباح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الشيخ أبو الحسن محمّد بن محمّد البصروي على ما نقل عنه في 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مجمع الفائدة و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استبعاد المصابيح بأنّه في صورة النجاسة لا يطهَّر بغير النزح، و النزح لا يصلح لذلك إذ لم يعهد شرعا تطهير شي‌ء بإعدام بعضه، و اعترض عليه الأستاذ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بالنقض بطهارة العصير بذهاب ثلثه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الحسيني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كصحيحتي محمّد بن إسماعيل بن بزيع و عليّ بن يقطين؛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إلى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عمرو بن سعيد؛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كموثقة عمّار الساباطي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غزر الماء بالضم غزارة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 المصباح المنير،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كمعتبرة عمّار الساباطي؛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هذا المجال ما أفاده البهبهاني في المصابيح،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يكون ذلك قول بالفصل بين موارد النزح مع عدم القول به فبعد خروج شي‌ء منها يلحق به باقيها بعدم القول بالفصل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إليك نصوص بعض كلماتهم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و منها صحيحة داود بن سرحان و رواية ابن أبي يعفور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هذا المجال ما أفاده عمّ المقرّر له آية اللّه الشيخ محمّد تقي الآقا 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الأصفهاني في كتابه فقه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الأوّل من الطهارة،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قدّس سرّه في الذكرى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إليك نصّ كلامه الشريف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ماء الحمّام بالمادّة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الأظهر اشتراط كثرتها حملا للمطلق على المقيّد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 الطائفة قدّس سرّه في رجال الباقر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الطوسي،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بكر بن حبيب الأحمسي البجلّي الكوفي أبو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ذكره في رجال الصادق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روى عنها عليهما السّلام أحد عشر موردا في الكافي و التهذيبين؛ و روى عن منصور بن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1840</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و موسوعة الرجالية الميسّرة،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القدح غير مضرّ؛ لأنّ بعد البكر منصور و بعده صفوان بن يحيى و هو من أصحاب الإجماع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الأقوال،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البحث و الاطّلاع حول بكر بن محمّد بن حبيب، راجع ما أفاده العلّامة المحقّق التستري في تراثه الرجالي القيّم 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المحقّق السيّد محمّد على الأبطحي في تهذيب المقال،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و إليك نصّ كلام المحدّث القمي في الكنى و الألقاب،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ممّا رواه المبرّد عنه أنّ بعض أهل الذمّة قصده ليقرأ عليه كتاب سيبويه و بذل له مائة دينار، في تدريسه إيّاه فامتنع أبو عثمان من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جعلت فداك أ ترد هذه المنفعة مع فاقتك و شدّة إضاقتك؟</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تعرّض العلّامة في الخلاصة لحاله يكشف عن كونه من رجال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لتأييد ما ذكره المقرّر له لعدم دخوله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محمّد 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أسناد الروايات راجع إلى 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الرجال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مع هذا كلّه يمكن تصحيح السند بما قاله الشيخ بهاء الدين العاملي قدّس سرّه في الحبل المتين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إليك نصّ كلامه الشريف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ابن حبيب و إن كان مجهول الحال إلّا أنّ جمهور الأصحاب تلقّوا روايته هذه بالقبول؛ فلعلّ ضعفها منجبر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 فيه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أدار حكم الجاري فيما سبق مدار الصدق العرفي فلو اختصّ الصدق العرفي بما ذكر فلازمه خروج نحو مياه الميزاب عن موضوع الجاري فينفي حكمه؛ فهو كما ترى، على أنّ مشي الإمام عليه السّلام في بيان الحكم الشرعي ممشى الغير إنّما يجوز لو لم يوقعهم على خلاف الواقع في الحكم الشرعي؛ مع أنّ أعاظم العلماء وقع في خلاف الواقع بزعمه في عدم ترتّب أحكام الجاري عليه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الشيخ الأعظم الأنصاري قدّس سرّه في كتاب الطهارة،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اعتصام الحوض الصغير في الحمّام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حقّقه الأستاذ دام عزّه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بواسطة الجريان من المادّة إليه، و أمّا اعتصام الحوض الكبير بسبب الكثرة فيلزم أن يكون الماء الواحد مُعَنونا بعُنوانَين و محكوما بحُكمَين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إليك نصّ كلمات بعض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إليك نصّ بعض كلماتهم</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للعثور على هذه الأقوال، راجع ما أفاده الفقيه المحقّق السيّد عليّ القزويني في ينابيع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العلّامة الفقيه الشيخ منير الدين البروجردي الأصفهاني في رسالة أسئلة و أجوبة فقهيّة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ميراث حوزۀ اصفهان، المجلّد الثالث،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قدّس سرّه بلغ الأقوال إلى الستة مع ذكر أصحاب الأقوال، و الفقيه الماهر الشيخ محمّد تقي آقا نجفي الأصفهاني في فقه الإماميّة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المجلّد الأول من كتاب الطهارة،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يشترط فيه القوّة المصحّحة لإطلاق اسم المطر عليه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الاكتفاء بقطرة واحدة؛ و حكى هذا القول ثاني الشهيدين في روض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معاصريه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هامش الحدائق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حسن بن السيّد جعفر المتوفّى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من المشايخ و المعاصرين لشيخنا الشهيد الثاني و الشهيد يعبّر عنه بعبائر 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شيخنا الأجلّ الأعلم الأكمل ذي النفس الطاهرة الزكيّة، أفضل المتأخرين في قوّتيه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العلميّة و العلميّة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إطلاق لا عموم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توهّمه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يكون مراده من العموم، العموم بحسب الحكمة لا بحسب الوضع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الحسيني الزنجاني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القطر و النضح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القطرات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في المصدر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متن الخبر في بعض نسخ الكافي و نسخة صاحب الوافي هكذا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مسائل عليّ بن جعفر،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أقلّ من الاحتمال المانع عن الاستدلال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وجوه آخر أيضا في الجواب عن ذلك،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أن يكون المنع حينئذ لكونه غسالة غير رافعة للحدث لكون مورد السؤال جواز الوضوء بماء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علماؤنا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ابن أبي عقيل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الماء 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نقص عن الكرّ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ينجّس بملاقاة النجاسة له، سواء تغيّر أو لم يتغيّر،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عقيل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ينجس إلّا بتغيّره بالنجاسة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ساوى بينه و بين الكثير و قال به مالك بن أنس من الجمهور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الخمسة،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هذا المجال ما أفاده المحقّق الخواجوئي في أربعون حديثا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المحقّق التستري في النجعة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كصحيحتي محمّد بن مسلم و معاوية بن عمّار،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كمرسلة عبد اللّه بن المغيرة،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كصحيحة زرارة،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كمرسلة</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هذا المجال ما أفاده الفقيه المحقق السيّد مصطفى الخميني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تحريرات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الطهارة،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قدّس سرّه قد بلغ الأقوال في المسألة إلى السبعة مع ذكر أصحاب الأقوال</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مستمسك 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باعتبار ضرب الطول في العرض في العمق فيكون النتيجة هكذا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لتفصيل هذه المحاسبات و الأشكال راجع ما أفاده الشيخ محمّد بهاء الملّة و الدين العاملي المعروف بالشيخ البهائي في الحبل المتين،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محيط الدائرة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پى</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مساحة الدائرة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نصف 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پى</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أشار إليه الوحيد في حاشية المدارك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بكلامه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المعهود منه الدوري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الحاصل منهما ثلاثة و ثلاثين شبرا و نصفا و ثمنا و نصف ثمن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image" Target="media/image2.jpeg"/><Relationship Id="rId54" Type="http://schemas.openxmlformats.org/officeDocument/2006/relationships/image" Target="media/image2.jpeg"/><Relationship Id="rId55" Type="http://schemas.openxmlformats.org/officeDocument/2006/relationships/footer" Target="footer48.xml"/><Relationship Id="rId56" Type="http://schemas.openxmlformats.org/officeDocument/2006/relationships/footnotes" Target="footnotes.xml"/><Relationship Id="rId57" Type="http://schemas.openxmlformats.org/officeDocument/2006/relationships/numbering" Target="numbering.xml"/><Relationship Id="rId58" Type="http://schemas.openxmlformats.org/officeDocument/2006/relationships/fontTable" Target="fontTable.xml"/><Relationship Id="rId59" Type="http://schemas.openxmlformats.org/officeDocument/2006/relationships/settings" Target="settings.xml"/><Relationship Id="rId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Pages>
  <Words>10726</Words>
  <Characters>44427</Characters>
  <CharactersWithSpaces>54750</CharactersWithSpaces>
  <Paragraphs>566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2026-08-16T18:57:48Z</dcterms:created>
  <dc:creator>ghaemiyeh.com</dc:creator>
  <dc:description/>
  <dc:language>en-US</dc:language>
  <cp:lastModifiedBy/>
  <dcterms:modified xsi:type="dcterms:W3CDTF">2026-08-16T22:27:50Z</dcterms:modified>
  <cp:revision>1</cp:revision>
  <dc:subject/>
  <dc:title>احکام المیاه</dc:title>
</cp:coreProperties>
</file>

<file path=docProps/custom.xml><?xml version="1.0" encoding="utf-8"?>
<Properties xmlns="http://schemas.openxmlformats.org/officeDocument/2006/custom-properties" xmlns:vt="http://schemas.openxmlformats.org/officeDocument/2006/docPropsVTypes"/>
</file>